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5"/>
          <w:szCs w:val="25"/>
          <w:b w:val="1"/>
          <w:bCs w:val="1"/>
          <w:color w:val="auto"/>
        </w:rPr>
        <w:t>UNITED STATES</w:t>
      </w:r>
    </w:p>
    <w:p>
      <w:pPr>
        <w:spacing w:after="0" w:line="42" w:lineRule="exact"/>
        <w:rPr>
          <w:sz w:val="24"/>
          <w:szCs w:val="24"/>
          <w:color w:val="auto"/>
        </w:rPr>
      </w:pPr>
    </w:p>
    <w:p>
      <w:pPr>
        <w:jc w:val="center"/>
        <w:ind w:right="-39"/>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5" w:lineRule="exact"/>
        <w:rPr>
          <w:sz w:val="24"/>
          <w:szCs w:val="24"/>
          <w:color w:val="auto"/>
        </w:rPr>
      </w:pPr>
    </w:p>
    <w:p>
      <w:pPr>
        <w:jc w:val="center"/>
        <w:ind w:right="-79"/>
        <w:spacing w:after="0"/>
        <w:rPr>
          <w:sz w:val="20"/>
          <w:szCs w:val="20"/>
          <w:color w:val="auto"/>
        </w:rPr>
      </w:pPr>
      <w:r>
        <w:rPr>
          <w:rFonts w:ascii="Arial" w:cs="Arial" w:eastAsia="Arial" w:hAnsi="Arial"/>
          <w:sz w:val="25"/>
          <w:szCs w:val="25"/>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2886710</wp:posOffset>
            </wp:positionH>
            <wp:positionV relativeFrom="paragraph">
              <wp:posOffset>-170815</wp:posOffset>
            </wp:positionV>
            <wp:extent cx="149225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92250" cy="8890"/>
                    </a:xfrm>
                    <a:prstGeom prst="rect">
                      <a:avLst/>
                    </a:prstGeom>
                    <a:noFill/>
                  </pic:spPr>
                </pic:pic>
              </a:graphicData>
            </a:graphic>
          </wp:anchor>
        </w:drawing>
      </w:r>
    </w:p>
    <w:p>
      <w:pPr>
        <w:spacing w:after="0" w:line="69" w:lineRule="exact"/>
        <w:rPr>
          <w:sz w:val="24"/>
          <w:szCs w:val="24"/>
          <w:color w:val="auto"/>
        </w:rPr>
      </w:pPr>
    </w:p>
    <w:p>
      <w:pPr>
        <w:jc w:val="center"/>
        <w:ind w:right="-39"/>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b w:val="1"/>
          <w:bCs w:val="1"/>
          <w:color w:val="auto"/>
        </w:rPr>
        <w:t xml:space="preserve"> ANNUAL REPORT PURSUANT TO SECTION 13 OR 15(d) OF THE</w:t>
      </w:r>
    </w:p>
    <w:p>
      <w:pPr>
        <w:spacing w:after="0" w:line="52"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SECURITIES EXCHANGE ACT OF 1934</w:t>
      </w:r>
    </w:p>
    <w:p>
      <w:pPr>
        <w:spacing w:after="0" w:line="64" w:lineRule="exact"/>
        <w:rPr>
          <w:sz w:val="24"/>
          <w:szCs w:val="24"/>
          <w:color w:val="auto"/>
        </w:rPr>
      </w:pPr>
    </w:p>
    <w:tbl>
      <w:tblPr>
        <w:tblLayout w:type="fixed"/>
        <w:tblInd w:w="0" w:type="dxa"/>
        <w:tblCellMar>
          <w:top w:w="0" w:type="dxa"/>
          <w:left w:w="0" w:type="dxa"/>
          <w:bottom w:w="0" w:type="dxa"/>
          <w:right w:w="0" w:type="dxa"/>
        </w:tblCellMar>
      </w:tblPr>
      <w:tr>
        <w:trPr>
          <w:trHeight w:val="190"/>
        </w:trPr>
        <w:tc>
          <w:tcPr>
            <w:tcW w:w="8280" w:type="dxa"/>
            <w:vAlign w:val="bottom"/>
            <w:gridSpan w:val="7"/>
          </w:tcPr>
          <w:p>
            <w:pPr>
              <w:jc w:val="center"/>
              <w:ind w:left="3065"/>
              <w:spacing w:after="0"/>
              <w:rPr>
                <w:sz w:val="20"/>
                <w:szCs w:val="20"/>
                <w:color w:val="auto"/>
              </w:rPr>
            </w:pPr>
            <w:r>
              <w:rPr>
                <w:rFonts w:ascii="Arial" w:cs="Arial" w:eastAsia="Arial" w:hAnsi="Arial"/>
                <w:sz w:val="14"/>
                <w:szCs w:val="14"/>
                <w:b w:val="1"/>
                <w:bCs w:val="1"/>
                <w:color w:val="auto"/>
              </w:rPr>
              <w:t>For the fiscal year ended December 31, 2017</w:t>
            </w:r>
          </w:p>
        </w:tc>
        <w:tc>
          <w:tcPr>
            <w:tcW w:w="2320" w:type="dxa"/>
            <w:vAlign w:val="bottom"/>
          </w:tcPr>
          <w:p>
            <w:pPr>
              <w:spacing w:after="0"/>
              <w:rPr>
                <w:sz w:val="16"/>
                <w:szCs w:val="16"/>
                <w:color w:val="auto"/>
              </w:rPr>
            </w:pPr>
          </w:p>
        </w:tc>
      </w:tr>
      <w:tr>
        <w:trPr>
          <w:trHeight w:val="215"/>
        </w:trPr>
        <w:tc>
          <w:tcPr>
            <w:tcW w:w="4540" w:type="dxa"/>
            <w:vAlign w:val="bottom"/>
          </w:tcPr>
          <w:p>
            <w:pPr>
              <w:spacing w:after="0"/>
              <w:rPr>
                <w:sz w:val="18"/>
                <w:szCs w:val="18"/>
                <w:color w:val="auto"/>
              </w:rPr>
            </w:pPr>
          </w:p>
        </w:tc>
        <w:tc>
          <w:tcPr>
            <w:tcW w:w="2100" w:type="dxa"/>
            <w:vAlign w:val="bottom"/>
            <w:gridSpan w:val="2"/>
          </w:tcPr>
          <w:p>
            <w:pPr>
              <w:jc w:val="center"/>
              <w:ind w:left="168"/>
              <w:spacing w:after="0"/>
              <w:rPr>
                <w:sz w:val="20"/>
                <w:szCs w:val="20"/>
                <w:color w:val="auto"/>
              </w:rPr>
            </w:pPr>
            <w:r>
              <w:rPr>
                <w:rFonts w:ascii="Arial" w:cs="Arial" w:eastAsia="Arial" w:hAnsi="Arial"/>
                <w:sz w:val="14"/>
                <w:szCs w:val="14"/>
                <w:b w:val="1"/>
                <w:bCs w:val="1"/>
                <w:color w:val="auto"/>
              </w:rPr>
              <w:t>OR</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320" w:type="dxa"/>
            <w:vAlign w:val="bottom"/>
          </w:tcPr>
          <w:p>
            <w:pPr>
              <w:spacing w:after="0"/>
              <w:rPr>
                <w:sz w:val="18"/>
                <w:szCs w:val="18"/>
                <w:color w:val="auto"/>
              </w:rPr>
            </w:pPr>
          </w:p>
        </w:tc>
      </w:tr>
      <w:tr>
        <w:trPr>
          <w:trHeight w:val="176"/>
        </w:trPr>
        <w:tc>
          <w:tcPr>
            <w:tcW w:w="8280" w:type="dxa"/>
            <w:vAlign w:val="bottom"/>
            <w:gridSpan w:val="7"/>
          </w:tcPr>
          <w:p>
            <w:pPr>
              <w:jc w:val="center"/>
              <w:ind w:left="3085"/>
              <w:spacing w:after="0"/>
              <w:rPr>
                <w:sz w:val="20"/>
                <w:szCs w:val="20"/>
                <w:color w:val="auto"/>
              </w:rPr>
            </w:pPr>
            <w:r>
              <w:rPr>
                <w:rFonts w:ascii="Arial" w:cs="Arial" w:eastAsia="Arial" w:hAnsi="Arial"/>
                <w:sz w:val="14"/>
                <w:szCs w:val="14"/>
                <w:color w:val="auto"/>
              </w:rPr>
              <w:t xml:space="preserve">o </w:t>
            </w:r>
            <w:r>
              <w:rPr>
                <w:rFonts w:ascii="Arial" w:cs="Arial" w:eastAsia="Arial" w:hAnsi="Arial"/>
                <w:sz w:val="14"/>
                <w:szCs w:val="14"/>
                <w:b w:val="1"/>
                <w:bCs w:val="1"/>
                <w:color w:val="auto"/>
              </w:rPr>
              <w:t>TRANSITION REPORT PURSUANT TO SECTION 13 OR 15(d) OF THE</w:t>
            </w:r>
          </w:p>
        </w:tc>
        <w:tc>
          <w:tcPr>
            <w:tcW w:w="2320" w:type="dxa"/>
            <w:vAlign w:val="bottom"/>
          </w:tcPr>
          <w:p>
            <w:pPr>
              <w:spacing w:after="0"/>
              <w:rPr>
                <w:sz w:val="15"/>
                <w:szCs w:val="15"/>
                <w:color w:val="auto"/>
              </w:rPr>
            </w:pPr>
          </w:p>
        </w:tc>
      </w:tr>
      <w:tr>
        <w:trPr>
          <w:trHeight w:val="190"/>
        </w:trPr>
        <w:tc>
          <w:tcPr>
            <w:tcW w:w="8280" w:type="dxa"/>
            <w:vAlign w:val="bottom"/>
            <w:gridSpan w:val="7"/>
          </w:tcPr>
          <w:p>
            <w:pPr>
              <w:jc w:val="center"/>
              <w:ind w:left="3065"/>
              <w:spacing w:after="0"/>
              <w:rPr>
                <w:sz w:val="20"/>
                <w:szCs w:val="20"/>
                <w:color w:val="auto"/>
              </w:rPr>
            </w:pPr>
            <w:r>
              <w:rPr>
                <w:rFonts w:ascii="Arial" w:cs="Arial" w:eastAsia="Arial" w:hAnsi="Arial"/>
                <w:sz w:val="14"/>
                <w:szCs w:val="14"/>
                <w:b w:val="1"/>
                <w:bCs w:val="1"/>
                <w:color w:val="auto"/>
              </w:rPr>
              <w:t>SECURITIES EXCHANGE ACT OF 1934</w:t>
            </w:r>
          </w:p>
        </w:tc>
        <w:tc>
          <w:tcPr>
            <w:tcW w:w="2320" w:type="dxa"/>
            <w:vAlign w:val="bottom"/>
          </w:tcPr>
          <w:p>
            <w:pPr>
              <w:spacing w:after="0"/>
              <w:rPr>
                <w:sz w:val="16"/>
                <w:szCs w:val="16"/>
                <w:color w:val="auto"/>
              </w:rPr>
            </w:pPr>
          </w:p>
        </w:tc>
      </w:tr>
      <w:tr>
        <w:trPr>
          <w:trHeight w:val="215"/>
        </w:trPr>
        <w:tc>
          <w:tcPr>
            <w:tcW w:w="6160" w:type="dxa"/>
            <w:vAlign w:val="bottom"/>
            <w:gridSpan w:val="2"/>
          </w:tcPr>
          <w:p>
            <w:pPr>
              <w:ind w:left="4100"/>
              <w:spacing w:after="0"/>
              <w:rPr>
                <w:sz w:val="20"/>
                <w:szCs w:val="20"/>
                <w:color w:val="auto"/>
              </w:rPr>
            </w:pPr>
            <w:r>
              <w:rPr>
                <w:rFonts w:ascii="Arial" w:cs="Arial" w:eastAsia="Arial" w:hAnsi="Arial"/>
                <w:sz w:val="14"/>
                <w:szCs w:val="14"/>
                <w:b w:val="1"/>
                <w:bCs w:val="1"/>
                <w:color w:val="auto"/>
              </w:rPr>
              <w:t>For the transition period from</w:t>
            </w:r>
          </w:p>
        </w:tc>
        <w:tc>
          <w:tcPr>
            <w:tcW w:w="480" w:type="dxa"/>
            <w:vAlign w:val="bottom"/>
            <w:tcBorders>
              <w:bottom w:val="single" w:sz="8" w:color="auto"/>
            </w:tcBorders>
          </w:tcPr>
          <w:p>
            <w:pPr>
              <w:spacing w:after="0"/>
              <w:rPr>
                <w:sz w:val="18"/>
                <w:szCs w:val="18"/>
                <w:color w:val="auto"/>
              </w:rPr>
            </w:pPr>
          </w:p>
        </w:tc>
        <w:tc>
          <w:tcPr>
            <w:tcW w:w="220" w:type="dxa"/>
            <w:vAlign w:val="bottom"/>
          </w:tcPr>
          <w:p>
            <w:pPr>
              <w:ind w:left="40"/>
              <w:spacing w:after="0"/>
              <w:rPr>
                <w:sz w:val="20"/>
                <w:szCs w:val="20"/>
                <w:color w:val="auto"/>
              </w:rPr>
            </w:pPr>
            <w:r>
              <w:rPr>
                <w:rFonts w:ascii="Arial" w:cs="Arial" w:eastAsia="Arial" w:hAnsi="Arial"/>
                <w:sz w:val="14"/>
                <w:szCs w:val="14"/>
                <w:b w:val="1"/>
                <w:bCs w:val="1"/>
                <w:color w:val="auto"/>
              </w:rPr>
              <w:t>to</w:t>
            </w:r>
          </w:p>
        </w:tc>
        <w:tc>
          <w:tcPr>
            <w:tcW w:w="480" w:type="dxa"/>
            <w:vAlign w:val="bottom"/>
            <w:tcBorders>
              <w:bottom w:val="single" w:sz="8" w:color="auto"/>
            </w:tcBorders>
            <w:gridSpan w:val="2"/>
          </w:tcPr>
          <w:p>
            <w:pPr>
              <w:spacing w:after="0"/>
              <w:rPr>
                <w:sz w:val="18"/>
                <w:szCs w:val="18"/>
                <w:color w:val="auto"/>
              </w:rPr>
            </w:pPr>
          </w:p>
        </w:tc>
        <w:tc>
          <w:tcPr>
            <w:tcW w:w="940" w:type="dxa"/>
            <w:vAlign w:val="bottom"/>
          </w:tcPr>
          <w:p>
            <w:pPr>
              <w:spacing w:after="0"/>
              <w:rPr>
                <w:sz w:val="18"/>
                <w:szCs w:val="18"/>
                <w:color w:val="auto"/>
              </w:rPr>
            </w:pPr>
          </w:p>
        </w:tc>
        <w:tc>
          <w:tcPr>
            <w:tcW w:w="2320" w:type="dxa"/>
            <w:vAlign w:val="bottom"/>
          </w:tcPr>
          <w:p>
            <w:pPr>
              <w:spacing w:after="0"/>
              <w:rPr>
                <w:sz w:val="18"/>
                <w:szCs w:val="18"/>
                <w:color w:val="auto"/>
              </w:rPr>
            </w:pPr>
          </w:p>
        </w:tc>
      </w:tr>
      <w:tr>
        <w:trPr>
          <w:trHeight w:val="252"/>
        </w:trPr>
        <w:tc>
          <w:tcPr>
            <w:tcW w:w="4540" w:type="dxa"/>
            <w:vAlign w:val="bottom"/>
          </w:tcPr>
          <w:p>
            <w:pPr>
              <w:spacing w:after="0"/>
              <w:rPr>
                <w:sz w:val="21"/>
                <w:szCs w:val="21"/>
                <w:color w:val="auto"/>
              </w:rPr>
            </w:pPr>
          </w:p>
        </w:tc>
        <w:tc>
          <w:tcPr>
            <w:tcW w:w="3740" w:type="dxa"/>
            <w:vAlign w:val="bottom"/>
            <w:gridSpan w:val="6"/>
          </w:tcPr>
          <w:p>
            <w:pPr>
              <w:jc w:val="center"/>
              <w:ind w:right="1308"/>
              <w:spacing w:after="0"/>
              <w:rPr>
                <w:sz w:val="20"/>
                <w:szCs w:val="20"/>
                <w:color w:val="auto"/>
              </w:rPr>
            </w:pPr>
            <w:r>
              <w:rPr>
                <w:rFonts w:ascii="Arial" w:cs="Arial" w:eastAsia="Arial" w:hAnsi="Arial"/>
                <w:sz w:val="14"/>
                <w:szCs w:val="14"/>
                <w:b w:val="1"/>
                <w:bCs w:val="1"/>
                <w:color w:val="auto"/>
              </w:rPr>
              <w:t>COMMISSION FILE NO. 001-10308</w:t>
            </w:r>
          </w:p>
        </w:tc>
        <w:tc>
          <w:tcPr>
            <w:tcW w:w="2320" w:type="dxa"/>
            <w:vAlign w:val="bottom"/>
          </w:tcPr>
          <w:p>
            <w:pPr>
              <w:spacing w:after="0"/>
              <w:rPr>
                <w:sz w:val="21"/>
                <w:szCs w:val="21"/>
                <w:color w:val="auto"/>
              </w:rPr>
            </w:pPr>
          </w:p>
        </w:tc>
      </w:tr>
      <w:tr>
        <w:trPr>
          <w:trHeight w:val="552"/>
        </w:trPr>
        <w:tc>
          <w:tcPr>
            <w:tcW w:w="4540" w:type="dxa"/>
            <w:vAlign w:val="bottom"/>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gridSpan w:val="2"/>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376"/>
        </w:trPr>
        <w:tc>
          <w:tcPr>
            <w:tcW w:w="8280" w:type="dxa"/>
            <w:vAlign w:val="bottom"/>
            <w:gridSpan w:val="7"/>
          </w:tcPr>
          <w:p>
            <w:pPr>
              <w:jc w:val="center"/>
              <w:ind w:left="3065"/>
              <w:spacing w:after="0"/>
              <w:rPr>
                <w:sz w:val="20"/>
                <w:szCs w:val="20"/>
                <w:color w:val="auto"/>
              </w:rPr>
            </w:pPr>
            <w:r>
              <w:rPr>
                <w:rFonts w:ascii="Arial" w:cs="Arial" w:eastAsia="Arial" w:hAnsi="Arial"/>
                <w:sz w:val="25"/>
                <w:szCs w:val="25"/>
                <w:b w:val="1"/>
                <w:bCs w:val="1"/>
                <w:color w:val="auto"/>
                <w:w w:val="98"/>
              </w:rPr>
              <w:t>AVIS BUDGET GROUP, INC.</w:t>
            </w:r>
          </w:p>
        </w:tc>
        <w:tc>
          <w:tcPr>
            <w:tcW w:w="2320" w:type="dxa"/>
            <w:vAlign w:val="bottom"/>
          </w:tcPr>
          <w:p>
            <w:pPr>
              <w:spacing w:after="0"/>
              <w:rPr>
                <w:sz w:val="24"/>
                <w:szCs w:val="24"/>
                <w:color w:val="auto"/>
              </w:rPr>
            </w:pPr>
          </w:p>
        </w:tc>
      </w:tr>
      <w:tr>
        <w:trPr>
          <w:trHeight w:val="172"/>
        </w:trPr>
        <w:tc>
          <w:tcPr>
            <w:tcW w:w="8280" w:type="dxa"/>
            <w:vAlign w:val="bottom"/>
            <w:gridSpan w:val="7"/>
          </w:tcPr>
          <w:p>
            <w:pPr>
              <w:jc w:val="center"/>
              <w:ind w:left="3065"/>
              <w:spacing w:after="0"/>
              <w:rPr>
                <w:sz w:val="20"/>
                <w:szCs w:val="20"/>
                <w:color w:val="auto"/>
              </w:rPr>
            </w:pPr>
            <w:r>
              <w:rPr>
                <w:rFonts w:ascii="Arial" w:cs="Arial" w:eastAsia="Arial" w:hAnsi="Arial"/>
                <w:sz w:val="14"/>
                <w:szCs w:val="14"/>
                <w:color w:val="auto"/>
              </w:rPr>
              <w:t>(Exact name of Registrant as specified in its charter)</w:t>
            </w:r>
          </w:p>
        </w:tc>
        <w:tc>
          <w:tcPr>
            <w:tcW w:w="2320" w:type="dxa"/>
            <w:vAlign w:val="bottom"/>
          </w:tcPr>
          <w:p>
            <w:pPr>
              <w:spacing w:after="0"/>
              <w:rPr>
                <w:sz w:val="14"/>
                <w:szCs w:val="14"/>
                <w:color w:val="auto"/>
              </w:rPr>
            </w:pPr>
          </w:p>
        </w:tc>
      </w:tr>
      <w:tr>
        <w:trPr>
          <w:trHeight w:val="324"/>
        </w:trPr>
        <w:tc>
          <w:tcPr>
            <w:tcW w:w="6640" w:type="dxa"/>
            <w:vAlign w:val="bottom"/>
            <w:gridSpan w:val="3"/>
          </w:tcPr>
          <w:p>
            <w:pPr>
              <w:jc w:val="center"/>
              <w:ind w:right="1020"/>
              <w:spacing w:after="0"/>
              <w:rPr>
                <w:sz w:val="20"/>
                <w:szCs w:val="20"/>
                <w:color w:val="auto"/>
              </w:rPr>
            </w:pPr>
            <w:r>
              <w:rPr>
                <w:rFonts w:ascii="Arial" w:cs="Arial" w:eastAsia="Arial" w:hAnsi="Arial"/>
                <w:sz w:val="14"/>
                <w:szCs w:val="14"/>
                <w:b w:val="1"/>
                <w:bCs w:val="1"/>
                <w:color w:val="auto"/>
              </w:rPr>
              <w:t>DELAWARE</w:t>
            </w: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320" w:type="dxa"/>
            <w:vAlign w:val="bottom"/>
          </w:tcPr>
          <w:p>
            <w:pPr>
              <w:jc w:val="right"/>
              <w:ind w:right="1408"/>
              <w:spacing w:after="0"/>
              <w:rPr>
                <w:sz w:val="20"/>
                <w:szCs w:val="20"/>
                <w:color w:val="auto"/>
              </w:rPr>
            </w:pPr>
            <w:r>
              <w:rPr>
                <w:rFonts w:ascii="Arial" w:cs="Arial" w:eastAsia="Arial" w:hAnsi="Arial"/>
                <w:sz w:val="14"/>
                <w:szCs w:val="14"/>
                <w:b w:val="1"/>
                <w:bCs w:val="1"/>
                <w:color w:val="auto"/>
              </w:rPr>
              <w:t>06-0918165</w:t>
            </w:r>
          </w:p>
        </w:tc>
      </w:tr>
      <w:tr>
        <w:trPr>
          <w:trHeight w:val="216"/>
        </w:trPr>
        <w:tc>
          <w:tcPr>
            <w:tcW w:w="6640" w:type="dxa"/>
            <w:vAlign w:val="bottom"/>
            <w:gridSpan w:val="3"/>
          </w:tcPr>
          <w:p>
            <w:pPr>
              <w:jc w:val="center"/>
              <w:ind w:right="1020"/>
              <w:spacing w:after="0"/>
              <w:rPr>
                <w:sz w:val="20"/>
                <w:szCs w:val="20"/>
                <w:color w:val="auto"/>
              </w:rPr>
            </w:pPr>
            <w:r>
              <w:rPr>
                <w:rFonts w:ascii="Arial" w:cs="Arial" w:eastAsia="Arial" w:hAnsi="Arial"/>
                <w:sz w:val="14"/>
                <w:szCs w:val="14"/>
                <w:color w:val="auto"/>
              </w:rPr>
              <w:t>(State or other jurisdiction of incorporation or organization)</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60" w:type="dxa"/>
            <w:vAlign w:val="bottom"/>
            <w:gridSpan w:val="2"/>
          </w:tcPr>
          <w:p>
            <w:pPr>
              <w:jc w:val="center"/>
              <w:ind w:right="388"/>
              <w:spacing w:after="0"/>
              <w:rPr>
                <w:sz w:val="20"/>
                <w:szCs w:val="20"/>
                <w:color w:val="auto"/>
              </w:rPr>
            </w:pPr>
            <w:r>
              <w:rPr>
                <w:rFonts w:ascii="Arial" w:cs="Arial" w:eastAsia="Arial" w:hAnsi="Arial"/>
                <w:sz w:val="14"/>
                <w:szCs w:val="14"/>
                <w:color w:val="auto"/>
              </w:rPr>
              <w:t>(I.R.S. Employer Identification Number)</w:t>
            </w:r>
          </w:p>
        </w:tc>
      </w:tr>
      <w:tr>
        <w:trPr>
          <w:trHeight w:val="417"/>
        </w:trPr>
        <w:tc>
          <w:tcPr>
            <w:tcW w:w="6640" w:type="dxa"/>
            <w:vAlign w:val="bottom"/>
            <w:gridSpan w:val="3"/>
          </w:tcPr>
          <w:p>
            <w:pPr>
              <w:jc w:val="center"/>
              <w:ind w:right="1020"/>
              <w:spacing w:after="0"/>
              <w:rPr>
                <w:sz w:val="20"/>
                <w:szCs w:val="20"/>
                <w:color w:val="auto"/>
              </w:rPr>
            </w:pPr>
            <w:r>
              <w:rPr>
                <w:rFonts w:ascii="Arial" w:cs="Arial" w:eastAsia="Arial" w:hAnsi="Arial"/>
                <w:sz w:val="14"/>
                <w:szCs w:val="14"/>
                <w:b w:val="1"/>
                <w:bCs w:val="1"/>
                <w:color w:val="auto"/>
                <w:w w:val="97"/>
              </w:rPr>
              <w:t>6 SYLVAN WAY</w:t>
            </w: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190"/>
        </w:trPr>
        <w:tc>
          <w:tcPr>
            <w:tcW w:w="6640" w:type="dxa"/>
            <w:vAlign w:val="bottom"/>
            <w:gridSpan w:val="3"/>
          </w:tcPr>
          <w:p>
            <w:pPr>
              <w:jc w:val="center"/>
              <w:ind w:right="1020"/>
              <w:spacing w:after="0"/>
              <w:rPr>
                <w:sz w:val="20"/>
                <w:szCs w:val="20"/>
                <w:color w:val="auto"/>
              </w:rPr>
            </w:pPr>
            <w:r>
              <w:rPr>
                <w:rFonts w:ascii="Arial" w:cs="Arial" w:eastAsia="Arial" w:hAnsi="Arial"/>
                <w:sz w:val="14"/>
                <w:szCs w:val="14"/>
                <w:b w:val="1"/>
                <w:bCs w:val="1"/>
                <w:color w:val="auto"/>
              </w:rPr>
              <w:t>PARSIPPANY, NJ</w:t>
            </w: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320" w:type="dxa"/>
            <w:vAlign w:val="bottom"/>
          </w:tcPr>
          <w:p>
            <w:pPr>
              <w:jc w:val="right"/>
              <w:ind w:right="1588"/>
              <w:spacing w:after="0"/>
              <w:rPr>
                <w:sz w:val="20"/>
                <w:szCs w:val="20"/>
                <w:color w:val="auto"/>
              </w:rPr>
            </w:pPr>
            <w:r>
              <w:rPr>
                <w:rFonts w:ascii="Arial" w:cs="Arial" w:eastAsia="Arial" w:hAnsi="Arial"/>
                <w:sz w:val="14"/>
                <w:szCs w:val="14"/>
                <w:b w:val="1"/>
                <w:bCs w:val="1"/>
                <w:color w:val="auto"/>
              </w:rPr>
              <w:t>07054</w:t>
            </w:r>
          </w:p>
        </w:tc>
      </w:tr>
      <w:tr>
        <w:trPr>
          <w:trHeight w:val="216"/>
        </w:trPr>
        <w:tc>
          <w:tcPr>
            <w:tcW w:w="6640" w:type="dxa"/>
            <w:vAlign w:val="bottom"/>
            <w:gridSpan w:val="3"/>
          </w:tcPr>
          <w:p>
            <w:pPr>
              <w:jc w:val="center"/>
              <w:ind w:right="1020"/>
              <w:spacing w:after="0"/>
              <w:rPr>
                <w:sz w:val="20"/>
                <w:szCs w:val="20"/>
                <w:color w:val="auto"/>
              </w:rPr>
            </w:pPr>
            <w:r>
              <w:rPr>
                <w:rFonts w:ascii="Arial" w:cs="Arial" w:eastAsia="Arial" w:hAnsi="Arial"/>
                <w:sz w:val="14"/>
                <w:szCs w:val="14"/>
                <w:color w:val="auto"/>
              </w:rPr>
              <w:t>(Address of principal executive offices)</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320" w:type="dxa"/>
            <w:vAlign w:val="bottom"/>
          </w:tcPr>
          <w:p>
            <w:pPr>
              <w:jc w:val="center"/>
              <w:ind w:right="1328"/>
              <w:spacing w:after="0"/>
              <w:rPr>
                <w:sz w:val="20"/>
                <w:szCs w:val="20"/>
                <w:color w:val="auto"/>
              </w:rPr>
            </w:pPr>
            <w:r>
              <w:rPr>
                <w:rFonts w:ascii="Arial" w:cs="Arial" w:eastAsia="Arial" w:hAnsi="Arial"/>
                <w:sz w:val="14"/>
                <w:szCs w:val="14"/>
                <w:color w:val="auto"/>
              </w:rPr>
              <w:t>(Zip Code)</w:t>
            </w:r>
          </w:p>
        </w:tc>
      </w:tr>
      <w:tr>
        <w:trPr>
          <w:trHeight w:val="260"/>
        </w:trPr>
        <w:tc>
          <w:tcPr>
            <w:tcW w:w="6640" w:type="dxa"/>
            <w:vAlign w:val="bottom"/>
            <w:gridSpan w:val="3"/>
          </w:tcPr>
          <w:p>
            <w:pPr>
              <w:jc w:val="center"/>
              <w:ind w:left="4705"/>
              <w:spacing w:after="0"/>
              <w:rPr>
                <w:sz w:val="20"/>
                <w:szCs w:val="20"/>
                <w:color w:val="auto"/>
              </w:rPr>
            </w:pPr>
            <w:r>
              <w:rPr>
                <w:rFonts w:ascii="Arial" w:cs="Arial" w:eastAsia="Arial" w:hAnsi="Arial"/>
                <w:sz w:val="14"/>
                <w:szCs w:val="14"/>
                <w:b w:val="1"/>
                <w:bCs w:val="1"/>
                <w:color w:val="auto"/>
              </w:rPr>
              <w:t>973-496-4700</w:t>
            </w:r>
          </w:p>
        </w:tc>
        <w:tc>
          <w:tcPr>
            <w:tcW w:w="2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320" w:type="dxa"/>
            <w:vAlign w:val="bottom"/>
          </w:tcPr>
          <w:p>
            <w:pPr>
              <w:spacing w:after="0"/>
              <w:rPr>
                <w:sz w:val="22"/>
                <w:szCs w:val="22"/>
                <w:color w:val="auto"/>
              </w:rPr>
            </w:pPr>
          </w:p>
        </w:tc>
      </w:tr>
      <w:tr>
        <w:trPr>
          <w:trHeight w:val="144"/>
        </w:trPr>
        <w:tc>
          <w:tcPr>
            <w:tcW w:w="8280" w:type="dxa"/>
            <w:vAlign w:val="bottom"/>
            <w:gridSpan w:val="7"/>
          </w:tcPr>
          <w:p>
            <w:pPr>
              <w:jc w:val="center"/>
              <w:ind w:left="3065"/>
              <w:spacing w:after="0" w:line="144" w:lineRule="exact"/>
              <w:rPr>
                <w:sz w:val="20"/>
                <w:szCs w:val="20"/>
                <w:color w:val="auto"/>
              </w:rPr>
            </w:pPr>
            <w:r>
              <w:rPr>
                <w:rFonts w:ascii="Arial" w:cs="Arial" w:eastAsia="Arial" w:hAnsi="Arial"/>
                <w:sz w:val="14"/>
                <w:szCs w:val="14"/>
                <w:color w:val="auto"/>
              </w:rPr>
              <w:t>(Registrant’s telephone number, including area code)</w:t>
            </w:r>
          </w:p>
        </w:tc>
        <w:tc>
          <w:tcPr>
            <w:tcW w:w="2320" w:type="dxa"/>
            <w:vAlign w:val="bottom"/>
          </w:tcPr>
          <w:p>
            <w:pPr>
              <w:spacing w:after="0"/>
              <w:rPr>
                <w:sz w:val="12"/>
                <w:szCs w:val="12"/>
                <w:color w:val="auto"/>
              </w:rPr>
            </w:pPr>
          </w:p>
        </w:tc>
      </w:tr>
      <w:tr>
        <w:trPr>
          <w:trHeight w:val="190"/>
        </w:trPr>
        <w:tc>
          <w:tcPr>
            <w:tcW w:w="8280" w:type="dxa"/>
            <w:vAlign w:val="bottom"/>
            <w:gridSpan w:val="7"/>
          </w:tcPr>
          <w:p>
            <w:pPr>
              <w:jc w:val="center"/>
              <w:ind w:left="3085"/>
              <w:spacing w:after="0"/>
              <w:rPr>
                <w:sz w:val="20"/>
                <w:szCs w:val="20"/>
                <w:color w:val="auto"/>
              </w:rPr>
            </w:pPr>
            <w:r>
              <w:rPr>
                <w:rFonts w:ascii="Arial" w:cs="Arial" w:eastAsia="Arial" w:hAnsi="Arial"/>
                <w:sz w:val="14"/>
                <w:szCs w:val="14"/>
                <w:b w:val="1"/>
                <w:bCs w:val="1"/>
                <w:color w:val="auto"/>
              </w:rPr>
              <w:t>SECURITIES REGISTERED PURSUANT TO SECTION 12(b) OF THE ACT:</w:t>
            </w:r>
          </w:p>
        </w:tc>
        <w:tc>
          <w:tcPr>
            <w:tcW w:w="2320" w:type="dxa"/>
            <w:vAlign w:val="bottom"/>
          </w:tcPr>
          <w:p>
            <w:pPr>
              <w:spacing w:after="0"/>
              <w:rPr>
                <w:sz w:val="16"/>
                <w:szCs w:val="16"/>
                <w:color w:val="auto"/>
              </w:rPr>
            </w:pPr>
          </w:p>
        </w:tc>
      </w:tr>
      <w:tr>
        <w:trPr>
          <w:trHeight w:val="324"/>
        </w:trPr>
        <w:tc>
          <w:tcPr>
            <w:tcW w:w="6640" w:type="dxa"/>
            <w:vAlign w:val="bottom"/>
            <w:gridSpan w:val="3"/>
          </w:tcPr>
          <w:p>
            <w:pPr>
              <w:jc w:val="center"/>
              <w:ind w:right="1020"/>
              <w:spacing w:after="0"/>
              <w:rPr>
                <w:sz w:val="20"/>
                <w:szCs w:val="20"/>
                <w:color w:val="auto"/>
              </w:rPr>
            </w:pPr>
            <w:r>
              <w:rPr>
                <w:rFonts w:ascii="Arial" w:cs="Arial" w:eastAsia="Arial" w:hAnsi="Arial"/>
                <w:sz w:val="14"/>
                <w:szCs w:val="14"/>
                <w:b w:val="1"/>
                <w:bCs w:val="1"/>
                <w:color w:val="auto"/>
              </w:rPr>
              <w:t>TITLE OF EACH CLASS</w:t>
            </w:r>
          </w:p>
        </w:tc>
        <w:tc>
          <w:tcPr>
            <w:tcW w:w="220" w:type="dxa"/>
            <w:vAlign w:val="bottom"/>
          </w:tcPr>
          <w:p>
            <w:pPr>
              <w:spacing w:after="0"/>
              <w:rPr>
                <w:sz w:val="24"/>
                <w:szCs w:val="24"/>
                <w:color w:val="auto"/>
              </w:rPr>
            </w:pPr>
          </w:p>
        </w:tc>
        <w:tc>
          <w:tcPr>
            <w:tcW w:w="3740" w:type="dxa"/>
            <w:vAlign w:val="bottom"/>
            <w:gridSpan w:val="4"/>
          </w:tcPr>
          <w:p>
            <w:pPr>
              <w:jc w:val="center"/>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216"/>
        </w:trPr>
        <w:tc>
          <w:tcPr>
            <w:tcW w:w="6640" w:type="dxa"/>
            <w:vAlign w:val="bottom"/>
            <w:gridSpan w:val="3"/>
          </w:tcPr>
          <w:p>
            <w:pPr>
              <w:jc w:val="center"/>
              <w:ind w:right="1020"/>
              <w:spacing w:after="0"/>
              <w:rPr>
                <w:sz w:val="20"/>
                <w:szCs w:val="20"/>
                <w:color w:val="auto"/>
              </w:rPr>
            </w:pPr>
            <w:r>
              <w:rPr>
                <w:rFonts w:ascii="Arial" w:cs="Arial" w:eastAsia="Arial" w:hAnsi="Arial"/>
                <w:sz w:val="14"/>
                <w:szCs w:val="14"/>
                <w:color w:val="auto"/>
              </w:rPr>
              <w:t>Common Stock, Par Value $.01</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60" w:type="dxa"/>
            <w:vAlign w:val="bottom"/>
            <w:gridSpan w:val="2"/>
          </w:tcPr>
          <w:p>
            <w:pPr>
              <w:jc w:val="center"/>
              <w:ind w:right="388"/>
              <w:spacing w:after="0"/>
              <w:rPr>
                <w:sz w:val="20"/>
                <w:szCs w:val="20"/>
                <w:color w:val="auto"/>
              </w:rPr>
            </w:pPr>
            <w:r>
              <w:rPr>
                <w:rFonts w:ascii="Arial" w:cs="Arial" w:eastAsia="Arial" w:hAnsi="Arial"/>
                <w:sz w:val="14"/>
                <w:szCs w:val="14"/>
                <w:color w:val="auto"/>
              </w:rPr>
              <w:t>The NASDAQ Global Select Market</w:t>
            </w:r>
          </w:p>
        </w:tc>
      </w:tr>
      <w:tr>
        <w:trPr>
          <w:trHeight w:val="216"/>
        </w:trPr>
        <w:tc>
          <w:tcPr>
            <w:tcW w:w="6640" w:type="dxa"/>
            <w:vAlign w:val="bottom"/>
            <w:gridSpan w:val="3"/>
          </w:tcPr>
          <w:p>
            <w:pPr>
              <w:jc w:val="center"/>
              <w:ind w:right="1020"/>
              <w:spacing w:after="0"/>
              <w:rPr>
                <w:sz w:val="20"/>
                <w:szCs w:val="20"/>
                <w:color w:val="auto"/>
              </w:rPr>
            </w:pPr>
            <w:r>
              <w:rPr>
                <w:rFonts w:ascii="Arial" w:cs="Arial" w:eastAsia="Arial" w:hAnsi="Arial"/>
                <w:sz w:val="14"/>
                <w:szCs w:val="14"/>
                <w:color w:val="auto"/>
              </w:rPr>
              <w:t>Preferred Stock Purchase Right</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60" w:type="dxa"/>
            <w:vAlign w:val="bottom"/>
            <w:gridSpan w:val="2"/>
          </w:tcPr>
          <w:p>
            <w:pPr>
              <w:jc w:val="center"/>
              <w:ind w:right="388"/>
              <w:spacing w:after="0"/>
              <w:rPr>
                <w:sz w:val="20"/>
                <w:szCs w:val="20"/>
                <w:color w:val="auto"/>
              </w:rPr>
            </w:pPr>
            <w:r>
              <w:rPr>
                <w:rFonts w:ascii="Arial" w:cs="Arial" w:eastAsia="Arial" w:hAnsi="Arial"/>
                <w:sz w:val="14"/>
                <w:szCs w:val="14"/>
                <w:color w:val="auto"/>
              </w:rPr>
              <w:t>The NASDAQ Global Select Market</w:t>
            </w:r>
          </w:p>
        </w:tc>
      </w:tr>
      <w:tr>
        <w:trPr>
          <w:trHeight w:val="324"/>
        </w:trPr>
        <w:tc>
          <w:tcPr>
            <w:tcW w:w="10600" w:type="dxa"/>
            <w:vAlign w:val="bottom"/>
            <w:gridSpan w:val="8"/>
          </w:tcPr>
          <w:p>
            <w:pPr>
              <w:jc w:val="center"/>
              <w:ind w:left="745"/>
              <w:spacing w:after="0"/>
              <w:rPr>
                <w:sz w:val="20"/>
                <w:szCs w:val="20"/>
                <w:color w:val="auto"/>
              </w:rPr>
            </w:pPr>
            <w:r>
              <w:rPr>
                <w:rFonts w:ascii="Arial" w:cs="Arial" w:eastAsia="Arial" w:hAnsi="Arial"/>
                <w:sz w:val="14"/>
                <w:szCs w:val="14"/>
                <w:b w:val="1"/>
                <w:bCs w:val="1"/>
                <w:color w:val="auto"/>
              </w:rPr>
              <w:t xml:space="preserve">SECURITIES REGISTERED PURSUANT TO SECTION 12(g) OF THE ACT: </w:t>
            </w:r>
            <w:r>
              <w:rPr>
                <w:rFonts w:ascii="Arial" w:cs="Arial" w:eastAsia="Arial" w:hAnsi="Arial"/>
                <w:sz w:val="14"/>
                <w:szCs w:val="14"/>
                <w:color w:val="auto"/>
              </w:rPr>
              <w:t>None</w:t>
            </w:r>
          </w:p>
        </w:tc>
      </w:tr>
      <w:tr>
        <w:trPr>
          <w:trHeight w:val="259"/>
        </w:trPr>
        <w:tc>
          <w:tcPr>
            <w:tcW w:w="8280" w:type="dxa"/>
            <w:vAlign w:val="bottom"/>
            <w:gridSpan w:val="7"/>
          </w:tcPr>
          <w:p>
            <w:pPr>
              <w:spacing w:after="0" w:line="161" w:lineRule="exact"/>
              <w:rPr>
                <w:sz w:val="20"/>
                <w:szCs w:val="20"/>
                <w:color w:val="auto"/>
              </w:rPr>
            </w:pPr>
            <w:r>
              <w:rPr>
                <w:rFonts w:ascii="Arial" w:cs="Arial" w:eastAsia="Arial" w:hAnsi="Arial"/>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w:t>
            </w:r>
          </w:p>
        </w:tc>
        <w:tc>
          <w:tcPr>
            <w:tcW w:w="2320" w:type="dxa"/>
            <w:vAlign w:val="bottom"/>
          </w:tcPr>
          <w:p>
            <w:pPr>
              <w:ind w:left="40"/>
              <w:spacing w:after="0"/>
              <w:rPr>
                <w:sz w:val="20"/>
                <w:szCs w:val="20"/>
                <w:color w:val="auto"/>
              </w:rPr>
            </w:pPr>
            <w:r>
              <w:rPr>
                <w:rFonts w:ascii="Arial" w:cs="Arial" w:eastAsia="Arial" w:hAnsi="Arial"/>
                <w:sz w:val="14"/>
                <w:szCs w:val="14"/>
                <w:color w:val="auto"/>
              </w:rPr>
              <w:t>o</w:t>
            </w:r>
          </w:p>
        </w:tc>
      </w:tr>
      <w:tr>
        <w:trPr>
          <w:trHeight w:val="257"/>
        </w:trPr>
        <w:tc>
          <w:tcPr>
            <w:tcW w:w="8280" w:type="dxa"/>
            <w:vAlign w:val="bottom"/>
            <w:gridSpan w:val="7"/>
          </w:tcPr>
          <w:p>
            <w:pPr>
              <w:spacing w:after="0"/>
              <w:rPr>
                <w:sz w:val="20"/>
                <w:szCs w:val="20"/>
                <w:color w:val="auto"/>
              </w:rPr>
            </w:pPr>
            <w:r>
              <w:rPr>
                <w:rFonts w:ascii="Arial" w:cs="Arial" w:eastAsia="Arial" w:hAnsi="Arial"/>
                <w:sz w:val="14"/>
                <w:szCs w:val="14"/>
                <w:color w:val="auto"/>
              </w:rPr>
              <w:t>Indicate by check mark if the registrant is not required to file reports pursuant to Section 13 or Section 15(d) of the Act. Yes o  No</w:t>
            </w:r>
          </w:p>
        </w:tc>
        <w:tc>
          <w:tcPr>
            <w:tcW w:w="2320" w:type="dxa"/>
            <w:vAlign w:val="bottom"/>
          </w:tcPr>
          <w:p>
            <w:pPr>
              <w:ind w:left="60"/>
              <w:spacing w:after="0" w:line="141" w:lineRule="exact"/>
              <w:rPr>
                <w:sz w:val="20"/>
                <w:szCs w:val="20"/>
                <w:color w:val="auto"/>
              </w:rPr>
            </w:pPr>
            <w:r>
              <w:rPr>
                <w:rFonts w:ascii="MS PGothic" w:cs="MS PGothic" w:eastAsia="MS PGothic" w:hAnsi="MS PGothic"/>
                <w:sz w:val="14"/>
                <w:szCs w:val="14"/>
                <w:color w:val="auto"/>
              </w:rPr>
              <w:t>☑</w:t>
            </w:r>
          </w:p>
        </w:tc>
      </w:tr>
    </w:tbl>
    <w:p>
      <w:pPr>
        <w:spacing w:after="0" w:line="66"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w:t>
      </w:r>
    </w:p>
    <w:p>
      <w:pPr>
        <w:spacing w:after="0" w:line="161" w:lineRule="exact"/>
        <w:rPr>
          <w:sz w:val="20"/>
          <w:szCs w:val="20"/>
          <w:color w:val="auto"/>
        </w:rPr>
      </w:pPr>
      <w:r>
        <w:rPr>
          <w:rFonts w:ascii="Arial" w:cs="Arial" w:eastAsia="Arial" w:hAnsi="Arial"/>
          <w:sz w:val="14"/>
          <w:szCs w:val="14"/>
          <w:color w:val="auto"/>
        </w:rPr>
        <w:t xml:space="preserve">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o</w:t>
      </w:r>
    </w:p>
    <w:p>
      <w:pPr>
        <w:spacing w:after="0" w:line="99" w:lineRule="exact"/>
        <w:rPr>
          <w:sz w:val="24"/>
          <w:szCs w:val="24"/>
          <w:color w:val="auto"/>
        </w:rPr>
      </w:pPr>
    </w:p>
    <w:p>
      <w:pPr>
        <w:ind w:right="20"/>
        <w:spacing w:after="0" w:line="171" w:lineRule="exact"/>
        <w:rPr>
          <w:sz w:val="20"/>
          <w:szCs w:val="20"/>
          <w:color w:val="auto"/>
        </w:rPr>
      </w:pPr>
      <w:r>
        <w:rPr>
          <w:rFonts w:ascii="Arial" w:cs="Arial" w:eastAsia="Arial" w:hAnsi="Arial"/>
          <w:sz w:val="14"/>
          <w:szCs w:val="14"/>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o</w:t>
      </w:r>
    </w:p>
    <w:p>
      <w:pPr>
        <w:spacing w:after="0" w:line="70" w:lineRule="exact"/>
        <w:rPr>
          <w:sz w:val="24"/>
          <w:szCs w:val="24"/>
          <w:color w:val="auto"/>
        </w:rPr>
      </w:pPr>
    </w:p>
    <w:p>
      <w:pPr>
        <w:ind w:right="120"/>
        <w:spacing w:after="0" w:line="258" w:lineRule="auto"/>
        <w:rPr>
          <w:sz w:val="20"/>
          <w:szCs w:val="20"/>
          <w:color w:val="auto"/>
        </w:rPr>
      </w:pPr>
      <w:r>
        <w:rPr>
          <w:rFonts w:ascii="Arial" w:cs="Arial" w:eastAsia="Arial" w:hAnsi="Arial"/>
          <w:sz w:val="14"/>
          <w:szCs w:val="14"/>
          <w:color w:val="auto"/>
        </w:rPr>
        <w:t>Indicate by check mark if disclosure of delinquent filers pursuant to Item 405 of Regulation S-K (§229.405 of this chapter) is not contained herein, and will not be contained, to the best of registrant’s knowledge, in definitive proxy or information statements incorporated by reference in Part III of this Form 10-K or any amendment to this Form 10-K. o</w:t>
      </w:r>
    </w:p>
    <w:p>
      <w:pPr>
        <w:spacing w:after="0" w:line="73" w:lineRule="exact"/>
        <w:rPr>
          <w:sz w:val="24"/>
          <w:szCs w:val="24"/>
          <w:color w:val="auto"/>
        </w:rPr>
      </w:pPr>
    </w:p>
    <w:p>
      <w:pPr>
        <w:ind w:right="260"/>
        <w:spacing w:after="0" w:line="258"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 smaller reporting company. See the definition of “large accelerated filer”, “accelerated filer” and “smaller reporting company” in Rule 12b-2 of the Exchange Act.</w:t>
      </w:r>
    </w:p>
    <w:p>
      <w:pPr>
        <w:spacing w:after="0" w:line="103" w:lineRule="exact"/>
        <w:rPr>
          <w:sz w:val="24"/>
          <w:szCs w:val="24"/>
          <w:color w:val="auto"/>
        </w:rPr>
      </w:pPr>
    </w:p>
    <w:tbl>
      <w:tblPr>
        <w:tblLayout w:type="fixed"/>
        <w:tblInd w:w="1200" w:type="dxa"/>
        <w:tblCellMar>
          <w:top w:w="0" w:type="dxa"/>
          <w:left w:w="0" w:type="dxa"/>
          <w:bottom w:w="0" w:type="dxa"/>
          <w:right w:w="0" w:type="dxa"/>
        </w:tblCellMar>
      </w:tblPr>
      <w:tr>
        <w:trPr>
          <w:trHeight w:val="226"/>
        </w:trPr>
        <w:tc>
          <w:tcPr>
            <w:tcW w:w="2760" w:type="dxa"/>
            <w:vAlign w:val="bottom"/>
          </w:tcPr>
          <w:p>
            <w:pPr>
              <w:jc w:val="center"/>
              <w:ind w:right="868"/>
              <w:spacing w:after="0" w:line="161" w:lineRule="exact"/>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p>
        </w:tc>
        <w:tc>
          <w:tcPr>
            <w:tcW w:w="3720" w:type="dxa"/>
            <w:vAlign w:val="bottom"/>
          </w:tcPr>
          <w:p>
            <w:pPr>
              <w:jc w:val="center"/>
              <w:ind w:right="8"/>
              <w:spacing w:after="0"/>
              <w:rPr>
                <w:sz w:val="20"/>
                <w:szCs w:val="20"/>
                <w:color w:val="auto"/>
              </w:rPr>
            </w:pPr>
            <w:r>
              <w:rPr>
                <w:rFonts w:ascii="Arial" w:cs="Arial" w:eastAsia="Arial" w:hAnsi="Arial"/>
                <w:sz w:val="14"/>
                <w:szCs w:val="14"/>
                <w:color w:val="auto"/>
              </w:rPr>
              <w:t>Accelerated filer o</w:t>
            </w:r>
          </w:p>
        </w:tc>
        <w:tc>
          <w:tcPr>
            <w:tcW w:w="2420" w:type="dxa"/>
            <w:vAlign w:val="bottom"/>
          </w:tcPr>
          <w:p>
            <w:pPr>
              <w:ind w:left="980"/>
              <w:spacing w:after="0"/>
              <w:rPr>
                <w:sz w:val="20"/>
                <w:szCs w:val="20"/>
                <w:color w:val="auto"/>
              </w:rPr>
            </w:pPr>
            <w:r>
              <w:rPr>
                <w:rFonts w:ascii="Arial" w:cs="Arial" w:eastAsia="Arial" w:hAnsi="Arial"/>
                <w:sz w:val="14"/>
                <w:szCs w:val="14"/>
                <w:color w:val="auto"/>
              </w:rPr>
              <w:t>Non-accelerated filer o</w:t>
            </w:r>
          </w:p>
        </w:tc>
      </w:tr>
      <w:tr>
        <w:trPr>
          <w:trHeight w:val="268"/>
        </w:trPr>
        <w:tc>
          <w:tcPr>
            <w:tcW w:w="2760" w:type="dxa"/>
            <w:vAlign w:val="bottom"/>
          </w:tcPr>
          <w:p>
            <w:pPr>
              <w:jc w:val="center"/>
              <w:ind w:right="848"/>
              <w:spacing w:after="0"/>
              <w:rPr>
                <w:sz w:val="20"/>
                <w:szCs w:val="20"/>
                <w:color w:val="auto"/>
              </w:rPr>
            </w:pPr>
            <w:r>
              <w:rPr>
                <w:rFonts w:ascii="Arial" w:cs="Arial" w:eastAsia="Arial" w:hAnsi="Arial"/>
                <w:sz w:val="14"/>
                <w:szCs w:val="14"/>
                <w:color w:val="auto"/>
              </w:rPr>
              <w:t>Smaller reporting company o</w:t>
            </w:r>
          </w:p>
        </w:tc>
        <w:tc>
          <w:tcPr>
            <w:tcW w:w="3720" w:type="dxa"/>
            <w:vAlign w:val="bottom"/>
          </w:tcPr>
          <w:p>
            <w:pPr>
              <w:jc w:val="center"/>
              <w:ind w:right="8"/>
              <w:spacing w:after="0"/>
              <w:rPr>
                <w:sz w:val="20"/>
                <w:szCs w:val="20"/>
                <w:color w:val="auto"/>
              </w:rPr>
            </w:pPr>
            <w:r>
              <w:rPr>
                <w:rFonts w:ascii="Arial" w:cs="Arial" w:eastAsia="Arial" w:hAnsi="Arial"/>
                <w:sz w:val="14"/>
                <w:szCs w:val="14"/>
                <w:color w:val="auto"/>
              </w:rPr>
              <w:t>Emerging growth company o</w:t>
            </w:r>
          </w:p>
        </w:tc>
        <w:tc>
          <w:tcPr>
            <w:tcW w:w="2420" w:type="dxa"/>
            <w:vAlign w:val="bottom"/>
          </w:tcPr>
          <w:p>
            <w:pPr>
              <w:spacing w:after="0"/>
              <w:rPr>
                <w:sz w:val="23"/>
                <w:szCs w:val="23"/>
                <w:color w:val="auto"/>
              </w:rPr>
            </w:pPr>
          </w:p>
        </w:tc>
      </w:tr>
    </w:tbl>
    <w:p>
      <w:pPr>
        <w:spacing w:after="0" w:line="98" w:lineRule="exact"/>
        <w:rPr>
          <w:sz w:val="24"/>
          <w:szCs w:val="24"/>
          <w:color w:val="auto"/>
        </w:rPr>
      </w:pPr>
    </w:p>
    <w:p>
      <w:pPr>
        <w:ind w:right="460"/>
        <w:spacing w:after="0" w:line="258" w:lineRule="auto"/>
        <w:rPr>
          <w:sz w:val="20"/>
          <w:szCs w:val="20"/>
          <w:color w:val="auto"/>
        </w:rPr>
      </w:pPr>
      <w:r>
        <w:rPr>
          <w:rFonts w:ascii="Arial" w:cs="Arial" w:eastAsia="Arial" w:hAnsi="Arial"/>
          <w:sz w:val="14"/>
          <w:szCs w:val="14"/>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35"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Act). Yes o  No </w:t>
      </w:r>
      <w:r>
        <w:rPr>
          <w:rFonts w:ascii="MS PGothic" w:cs="MS PGothic" w:eastAsia="MS PGothic" w:hAnsi="MS PGothic"/>
          <w:sz w:val="14"/>
          <w:szCs w:val="14"/>
          <w:color w:val="auto"/>
        </w:rPr>
        <w:t>☑</w:t>
      </w:r>
    </w:p>
    <w:p>
      <w:pPr>
        <w:spacing w:after="0" w:line="133" w:lineRule="exact"/>
        <w:rPr>
          <w:sz w:val="24"/>
          <w:szCs w:val="24"/>
          <w:color w:val="auto"/>
        </w:rPr>
      </w:pPr>
    </w:p>
    <w:p>
      <w:pPr>
        <w:ind w:right="20"/>
        <w:spacing w:after="0" w:line="250" w:lineRule="auto"/>
        <w:rPr>
          <w:sz w:val="20"/>
          <w:szCs w:val="20"/>
          <w:color w:val="auto"/>
        </w:rPr>
      </w:pPr>
      <w:r>
        <w:rPr>
          <w:rFonts w:ascii="Arial" w:cs="Arial" w:eastAsia="Arial" w:hAnsi="Arial"/>
          <w:sz w:val="14"/>
          <w:szCs w:val="14"/>
          <w:color w:val="auto"/>
        </w:rPr>
        <w:t>As of June 30, 2017, the aggregate market value of the registrant’s common stock held by non-affiliates of the registrant was $2,222,192,349 based on the closing price of its common stock on the NASDAQ Global Select Market. All executive officers and directors of the registrant have been deemed, solely for the purpose of the foregoing calculation, to be “affiliates” of the registrant.</w:t>
      </w:r>
    </w:p>
    <w:p>
      <w:pPr>
        <w:spacing w:after="0" w:line="64" w:lineRule="exact"/>
        <w:rPr>
          <w:sz w:val="24"/>
          <w:szCs w:val="24"/>
          <w:color w:val="auto"/>
        </w:rPr>
      </w:pPr>
    </w:p>
    <w:p>
      <w:pPr>
        <w:spacing w:after="0"/>
        <w:rPr>
          <w:sz w:val="20"/>
          <w:szCs w:val="20"/>
          <w:color w:val="auto"/>
        </w:rPr>
      </w:pPr>
      <w:r>
        <w:rPr>
          <w:rFonts w:ascii="Arial" w:cs="Arial" w:eastAsia="Arial" w:hAnsi="Arial"/>
          <w:sz w:val="14"/>
          <w:szCs w:val="14"/>
          <w:color w:val="auto"/>
        </w:rPr>
        <w:t>As of January 31, 2018, the number of shares outstanding of the registrant’s common stock was 80,952,244.</w:t>
      </w:r>
    </w:p>
    <w:p>
      <w:pPr>
        <w:spacing w:after="0" w:line="145" w:lineRule="exact"/>
        <w:rPr>
          <w:sz w:val="24"/>
          <w:szCs w:val="24"/>
          <w:color w:val="auto"/>
        </w:rPr>
      </w:pPr>
    </w:p>
    <w:p>
      <w:pPr>
        <w:ind w:left="4060"/>
        <w:spacing w:after="0"/>
        <w:rPr>
          <w:sz w:val="20"/>
          <w:szCs w:val="20"/>
          <w:color w:val="auto"/>
        </w:rPr>
      </w:pPr>
      <w:r>
        <w:rPr>
          <w:rFonts w:ascii="Arial" w:cs="Arial" w:eastAsia="Arial" w:hAnsi="Arial"/>
          <w:sz w:val="14"/>
          <w:szCs w:val="14"/>
          <w:b w:val="1"/>
          <w:bCs w:val="1"/>
          <w:color w:val="auto"/>
        </w:rPr>
        <w:t>DOCUMENTS INCORPORATED BY REFERENCE</w:t>
      </w:r>
    </w:p>
    <w:p>
      <w:pPr>
        <w:spacing w:after="0" w:line="73" w:lineRule="exact"/>
        <w:rPr>
          <w:sz w:val="24"/>
          <w:szCs w:val="24"/>
          <w:color w:val="auto"/>
        </w:rPr>
      </w:pPr>
    </w:p>
    <w:p>
      <w:pPr>
        <w:ind w:right="380"/>
        <w:spacing w:after="0" w:line="258" w:lineRule="auto"/>
        <w:rPr>
          <w:sz w:val="20"/>
          <w:szCs w:val="20"/>
          <w:color w:val="auto"/>
        </w:rPr>
      </w:pPr>
      <w:r>
        <w:rPr>
          <w:rFonts w:ascii="Arial" w:cs="Arial" w:eastAsia="Arial" w:hAnsi="Arial"/>
          <w:sz w:val="14"/>
          <w:szCs w:val="14"/>
          <w:color w:val="auto"/>
        </w:rPr>
        <w:t>Portions of the registrant’s definitive proxy statement to be mailed to stockholders in connection with the registrant’s 2018 annual meeting of stockholders are incorporated by reference into Part III hereof.</w:t>
      </w:r>
    </w:p>
    <w:p>
      <w:pPr>
        <w:sectPr>
          <w:pgSz w:w="11900" w:h="16838" w:orient="portrait"/>
          <w:cols w:equalWidth="0" w:num="1">
            <w:col w:w="11400"/>
          </w:cols>
          <w:pgMar w:left="240" w:top="487" w:right="25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9"/>
        </w:trPr>
        <w:tc>
          <w:tcPr>
            <w:tcW w:w="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6200" w:type="dxa"/>
            <w:vAlign w:val="bottom"/>
            <w:gridSpan w:val="8"/>
          </w:tcPr>
          <w:p>
            <w:pPr>
              <w:ind w:left="320"/>
              <w:spacing w:after="0"/>
              <w:rPr>
                <w:sz w:val="20"/>
                <w:szCs w:val="20"/>
                <w:color w:val="auto"/>
              </w:rPr>
            </w:pPr>
            <w:r>
              <w:rPr>
                <w:rFonts w:ascii="Arial" w:cs="Arial" w:eastAsia="Arial" w:hAnsi="Arial"/>
                <w:sz w:val="18"/>
                <w:szCs w:val="18"/>
                <w:b w:val="1"/>
                <w:bCs w:val="1"/>
                <w:color w:val="auto"/>
              </w:rPr>
              <w:t>TABLE OF CONTENTS</w:t>
            </w: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878"/>
        </w:trPr>
        <w:tc>
          <w:tcPr>
            <w:tcW w:w="380" w:type="dxa"/>
            <w:vAlign w:val="bottom"/>
          </w:tcPr>
          <w:p>
            <w:pPr>
              <w:spacing w:after="0"/>
              <w:rPr>
                <w:sz w:val="20"/>
                <w:szCs w:val="20"/>
                <w:color w:val="auto"/>
              </w:rPr>
            </w:pPr>
            <w:r>
              <w:rPr>
                <w:rFonts w:ascii="Arial" w:cs="Arial" w:eastAsia="Arial" w:hAnsi="Arial"/>
                <w:sz w:val="18"/>
                <w:szCs w:val="18"/>
                <w:b w:val="1"/>
                <w:bCs w:val="1"/>
                <w:color w:val="auto"/>
                <w:w w:val="97"/>
              </w:rPr>
              <w:t>Item</w:t>
            </w: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40" w:type="dxa"/>
            <w:vAlign w:val="bottom"/>
            <w:gridSpan w:val="7"/>
          </w:tcPr>
          <w:p>
            <w:pPr>
              <w:spacing w:after="0"/>
              <w:rPr>
                <w:sz w:val="20"/>
                <w:szCs w:val="20"/>
                <w:color w:val="auto"/>
              </w:rPr>
            </w:pPr>
            <w:r>
              <w:rPr>
                <w:rFonts w:ascii="Arial" w:cs="Arial" w:eastAsia="Arial" w:hAnsi="Arial"/>
                <w:sz w:val="18"/>
                <w:szCs w:val="18"/>
                <w:b w:val="1"/>
                <w:bCs w:val="1"/>
                <w:color w:val="auto"/>
              </w:rPr>
              <w:t>Description</w:t>
            </w:r>
          </w:p>
        </w:tc>
        <w:tc>
          <w:tcPr>
            <w:tcW w:w="760" w:type="dxa"/>
            <w:vAlign w:val="bottom"/>
            <w:gridSpan w:val="4"/>
          </w:tcPr>
          <w:p>
            <w:pPr>
              <w:jc w:val="right"/>
              <w:ind w:right="340"/>
              <w:spacing w:after="0"/>
              <w:rPr>
                <w:sz w:val="20"/>
                <w:szCs w:val="20"/>
                <w:color w:val="auto"/>
              </w:rPr>
            </w:pPr>
            <w:r>
              <w:rPr>
                <w:rFonts w:ascii="Arial" w:cs="Arial" w:eastAsia="Arial" w:hAnsi="Arial"/>
                <w:sz w:val="18"/>
                <w:szCs w:val="18"/>
                <w:b w:val="1"/>
                <w:bCs w:val="1"/>
                <w:color w:val="auto"/>
                <w:w w:val="92"/>
              </w:rPr>
              <w:t>Page</w:t>
            </w:r>
          </w:p>
        </w:tc>
      </w:tr>
      <w:tr>
        <w:trPr>
          <w:trHeight w:val="615"/>
        </w:trPr>
        <w:tc>
          <w:tcPr>
            <w:tcW w:w="38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4280" w:type="dxa"/>
            <w:vAlign w:val="bottom"/>
            <w:gridSpan w:val="10"/>
          </w:tcPr>
          <w:p>
            <w:pPr>
              <w:spacing w:after="0"/>
              <w:rPr>
                <w:sz w:val="20"/>
                <w:szCs w:val="20"/>
                <w:color w:val="auto"/>
              </w:rPr>
            </w:pPr>
            <w:r>
              <w:rPr>
                <w:rFonts w:ascii="Arial" w:cs="Arial" w:eastAsia="Arial" w:hAnsi="Arial"/>
                <w:sz w:val="18"/>
                <w:szCs w:val="18"/>
                <w:b w:val="1"/>
                <w:bCs w:val="1"/>
                <w:color w:val="auto"/>
              </w:rPr>
              <w:t>PART I</w:t>
            </w:r>
          </w:p>
        </w:tc>
        <w:tc>
          <w:tcPr>
            <w:tcW w:w="980" w:type="dxa"/>
            <w:vAlign w:val="bottom"/>
            <w:tcBorders>
              <w:top w:val="single" w:sz="8" w:color="auto"/>
            </w:tcBorders>
            <w:gridSpan w:val="3"/>
          </w:tcPr>
          <w:p>
            <w:pPr>
              <w:spacing w:after="0"/>
              <w:rPr>
                <w:sz w:val="24"/>
                <w:szCs w:val="24"/>
                <w:color w:val="auto"/>
              </w:rPr>
            </w:pPr>
          </w:p>
        </w:tc>
        <w:tc>
          <w:tcPr>
            <w:tcW w:w="4660" w:type="dxa"/>
            <w:vAlign w:val="bottom"/>
            <w:gridSpan w:val="4"/>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380" w:type="dxa"/>
            <w:vAlign w:val="bottom"/>
          </w:tcPr>
          <w:p>
            <w:pPr>
              <w:ind w:left="20"/>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8"/>
                <w:szCs w:val="18"/>
                <w:color w:val="auto"/>
              </w:rPr>
            </w:pPr>
          </w:p>
        </w:tc>
        <w:tc>
          <w:tcPr>
            <w:tcW w:w="740" w:type="dxa"/>
            <w:vAlign w:val="bottom"/>
          </w:tcPr>
          <w:p>
            <w:pPr>
              <w:spacing w:after="0"/>
              <w:rPr>
                <w:rFonts w:ascii="Arial" w:cs="Arial" w:eastAsia="Arial" w:hAnsi="Arial"/>
                <w:sz w:val="18"/>
                <w:szCs w:val="18"/>
                <w:color w:val="0000EE"/>
                <w:w w:val="98"/>
              </w:rPr>
            </w:pPr>
            <w:hyperlink w:anchor="page5">
              <w:r>
                <w:rPr>
                  <w:rFonts w:ascii="Arial" w:cs="Arial" w:eastAsia="Arial" w:hAnsi="Arial"/>
                  <w:sz w:val="18"/>
                  <w:szCs w:val="18"/>
                  <w:color w:val="0000EE"/>
                  <w:w w:val="98"/>
                </w:rPr>
                <w:t>Business</w:t>
              </w:r>
            </w:hyperlink>
          </w:p>
        </w:tc>
        <w:tc>
          <w:tcPr>
            <w:tcW w:w="9180" w:type="dxa"/>
            <w:vAlign w:val="bottom"/>
            <w:gridSpan w:val="16"/>
          </w:tcPr>
          <w:p>
            <w:pPr>
              <w:spacing w:after="0"/>
              <w:rPr>
                <w:sz w:val="18"/>
                <w:szCs w:val="18"/>
                <w:color w:val="auto"/>
              </w:rPr>
            </w:pPr>
          </w:p>
        </w:tc>
        <w:tc>
          <w:tcPr>
            <w:tcW w:w="760" w:type="dxa"/>
            <w:vAlign w:val="bottom"/>
            <w:gridSpan w:val="4"/>
          </w:tcPr>
          <w:p>
            <w:pPr>
              <w:jc w:val="right"/>
              <w:spacing w:after="0"/>
              <w:rPr>
                <w:rFonts w:ascii="Arial" w:cs="Arial" w:eastAsia="Arial" w:hAnsi="Arial"/>
                <w:sz w:val="18"/>
                <w:szCs w:val="18"/>
                <w:color w:val="0000EE"/>
              </w:rPr>
            </w:pPr>
            <w:hyperlink w:anchor="page5">
              <w:r>
                <w:rPr>
                  <w:rFonts w:ascii="Arial" w:cs="Arial" w:eastAsia="Arial" w:hAnsi="Arial"/>
                  <w:sz w:val="18"/>
                  <w:szCs w:val="18"/>
                  <w:color w:val="0000EE"/>
                </w:rPr>
                <w:t>3</w:t>
              </w:r>
            </w:hyperlink>
          </w:p>
        </w:tc>
      </w:tr>
      <w:tr>
        <w:trPr>
          <w:trHeight w:val="20"/>
        </w:trPr>
        <w:tc>
          <w:tcPr>
            <w:tcW w:w="560" w:type="dxa"/>
            <w:vAlign w:val="bottom"/>
            <w:gridSpan w:val="2"/>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37"/>
        </w:trPr>
        <w:tc>
          <w:tcPr>
            <w:tcW w:w="560" w:type="dxa"/>
            <w:vAlign w:val="bottom"/>
            <w:gridSpan w:val="2"/>
          </w:tcPr>
          <w:p>
            <w:pPr>
              <w:ind w:left="20"/>
              <w:spacing w:after="0"/>
              <w:rPr>
                <w:sz w:val="20"/>
                <w:szCs w:val="20"/>
                <w:color w:val="auto"/>
              </w:rPr>
            </w:pPr>
            <w:r>
              <w:rPr>
                <w:rFonts w:ascii="Arial" w:cs="Arial" w:eastAsia="Arial" w:hAnsi="Arial"/>
                <w:sz w:val="18"/>
                <w:szCs w:val="18"/>
                <w:color w:val="auto"/>
              </w:rPr>
              <w:t>1A</w:t>
            </w:r>
          </w:p>
        </w:tc>
        <w:tc>
          <w:tcPr>
            <w:tcW w:w="9920" w:type="dxa"/>
            <w:vAlign w:val="bottom"/>
            <w:gridSpan w:val="17"/>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Risk Factors</w:t>
              </w:r>
            </w:hyperlink>
          </w:p>
        </w:tc>
        <w:tc>
          <w:tcPr>
            <w:tcW w:w="760" w:type="dxa"/>
            <w:vAlign w:val="bottom"/>
            <w:gridSpan w:val="4"/>
          </w:tcPr>
          <w:p>
            <w:pPr>
              <w:jc w:val="right"/>
              <w:spacing w:after="0"/>
              <w:rPr>
                <w:rFonts w:ascii="Arial" w:cs="Arial" w:eastAsia="Arial" w:hAnsi="Arial"/>
                <w:sz w:val="18"/>
                <w:szCs w:val="18"/>
                <w:color w:val="0000EE"/>
              </w:rPr>
            </w:pPr>
            <w:hyperlink w:anchor="page27">
              <w:r>
                <w:rPr>
                  <w:rFonts w:ascii="Arial" w:cs="Arial" w:eastAsia="Arial" w:hAnsi="Arial"/>
                  <w:sz w:val="18"/>
                  <w:szCs w:val="18"/>
                  <w:color w:val="0000EE"/>
                </w:rPr>
                <w:t>25</w:t>
              </w:r>
            </w:hyperlink>
          </w:p>
        </w:tc>
      </w:tr>
      <w:tr>
        <w:trPr>
          <w:trHeight w:val="20"/>
        </w:trPr>
        <w:tc>
          <w:tcPr>
            <w:tcW w:w="560" w:type="dxa"/>
            <w:vAlign w:val="bottom"/>
            <w:gridSpan w:val="2"/>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r>
      <w:tr>
        <w:trPr>
          <w:trHeight w:val="237"/>
        </w:trPr>
        <w:tc>
          <w:tcPr>
            <w:tcW w:w="560" w:type="dxa"/>
            <w:vAlign w:val="bottom"/>
            <w:gridSpan w:val="2"/>
          </w:tcPr>
          <w:p>
            <w:pPr>
              <w:ind w:left="20"/>
              <w:spacing w:after="0"/>
              <w:rPr>
                <w:sz w:val="20"/>
                <w:szCs w:val="20"/>
                <w:color w:val="auto"/>
              </w:rPr>
            </w:pPr>
            <w:r>
              <w:rPr>
                <w:rFonts w:ascii="Arial" w:cs="Arial" w:eastAsia="Arial" w:hAnsi="Arial"/>
                <w:sz w:val="18"/>
                <w:szCs w:val="18"/>
                <w:color w:val="auto"/>
              </w:rPr>
              <w:t>1B</w:t>
            </w:r>
          </w:p>
        </w:tc>
        <w:tc>
          <w:tcPr>
            <w:tcW w:w="2260" w:type="dxa"/>
            <w:vAlign w:val="bottom"/>
            <w:gridSpan w:val="8"/>
          </w:tcPr>
          <w:p>
            <w:pPr>
              <w:spacing w:after="0"/>
              <w:rPr>
                <w:rFonts w:ascii="Arial" w:cs="Arial" w:eastAsia="Arial" w:hAnsi="Arial"/>
                <w:sz w:val="18"/>
                <w:szCs w:val="18"/>
                <w:color w:val="0000EE"/>
                <w:w w:val="99"/>
              </w:rPr>
            </w:pPr>
            <w:hyperlink w:anchor="page39">
              <w:r>
                <w:rPr>
                  <w:rFonts w:ascii="Arial" w:cs="Arial" w:eastAsia="Arial" w:hAnsi="Arial"/>
                  <w:sz w:val="18"/>
                  <w:szCs w:val="18"/>
                  <w:color w:val="0000EE"/>
                  <w:w w:val="99"/>
                </w:rPr>
                <w:t>Unresolved Staff Comments</w:t>
              </w:r>
            </w:hyperlink>
          </w:p>
        </w:tc>
        <w:tc>
          <w:tcPr>
            <w:tcW w:w="7660" w:type="dxa"/>
            <w:vAlign w:val="bottom"/>
            <w:gridSpan w:val="9"/>
          </w:tcPr>
          <w:p>
            <w:pPr>
              <w:spacing w:after="0"/>
              <w:rPr>
                <w:sz w:val="20"/>
                <w:szCs w:val="20"/>
                <w:color w:val="auto"/>
              </w:rPr>
            </w:pPr>
          </w:p>
        </w:tc>
        <w:tc>
          <w:tcPr>
            <w:tcW w:w="760" w:type="dxa"/>
            <w:vAlign w:val="bottom"/>
            <w:gridSpan w:val="4"/>
          </w:tcPr>
          <w:p>
            <w:pPr>
              <w:jc w:val="right"/>
              <w:spacing w:after="0"/>
              <w:rPr>
                <w:rFonts w:ascii="Arial" w:cs="Arial" w:eastAsia="Arial" w:hAnsi="Arial"/>
                <w:sz w:val="18"/>
                <w:szCs w:val="18"/>
                <w:color w:val="0000EE"/>
              </w:rPr>
            </w:pPr>
            <w:hyperlink w:anchor="page39">
              <w:r>
                <w:rPr>
                  <w:rFonts w:ascii="Arial" w:cs="Arial" w:eastAsia="Arial" w:hAnsi="Arial"/>
                  <w:sz w:val="18"/>
                  <w:szCs w:val="18"/>
                  <w:color w:val="0000EE"/>
                </w:rPr>
                <w:t>37</w:t>
              </w:r>
            </w:hyperlink>
          </w:p>
        </w:tc>
      </w:tr>
      <w:tr>
        <w:trPr>
          <w:trHeight w:val="20"/>
        </w:trPr>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r>
      <w:tr>
        <w:trPr>
          <w:trHeight w:val="237"/>
        </w:trPr>
        <w:tc>
          <w:tcPr>
            <w:tcW w:w="380" w:type="dxa"/>
            <w:vAlign w:val="bottom"/>
          </w:tcPr>
          <w:p>
            <w:pPr>
              <w:ind w:left="20"/>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20"/>
                <w:szCs w:val="20"/>
                <w:color w:val="auto"/>
              </w:rPr>
            </w:pPr>
          </w:p>
        </w:tc>
        <w:tc>
          <w:tcPr>
            <w:tcW w:w="2260" w:type="dxa"/>
            <w:vAlign w:val="bottom"/>
            <w:gridSpan w:val="8"/>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Properties</w:t>
              </w:r>
            </w:hyperlink>
          </w:p>
        </w:tc>
        <w:tc>
          <w:tcPr>
            <w:tcW w:w="7660" w:type="dxa"/>
            <w:vAlign w:val="bottom"/>
            <w:gridSpan w:val="9"/>
          </w:tcPr>
          <w:p>
            <w:pPr>
              <w:spacing w:after="0"/>
              <w:rPr>
                <w:sz w:val="20"/>
                <w:szCs w:val="20"/>
                <w:color w:val="auto"/>
              </w:rPr>
            </w:pPr>
          </w:p>
        </w:tc>
        <w:tc>
          <w:tcPr>
            <w:tcW w:w="760" w:type="dxa"/>
            <w:vAlign w:val="bottom"/>
            <w:gridSpan w:val="4"/>
          </w:tcPr>
          <w:p>
            <w:pPr>
              <w:jc w:val="right"/>
              <w:spacing w:after="0"/>
              <w:rPr>
                <w:rFonts w:ascii="Arial" w:cs="Arial" w:eastAsia="Arial" w:hAnsi="Arial"/>
                <w:sz w:val="18"/>
                <w:szCs w:val="18"/>
                <w:color w:val="0000EE"/>
              </w:rPr>
            </w:pPr>
            <w:hyperlink w:anchor="page39">
              <w:r>
                <w:rPr>
                  <w:rFonts w:ascii="Arial" w:cs="Arial" w:eastAsia="Arial" w:hAnsi="Arial"/>
                  <w:sz w:val="18"/>
                  <w:szCs w:val="18"/>
                  <w:color w:val="0000EE"/>
                </w:rPr>
                <w:t>37</w:t>
              </w:r>
            </w:hyperlink>
          </w:p>
        </w:tc>
      </w:tr>
      <w:tr>
        <w:trPr>
          <w:trHeight w:val="20"/>
        </w:trPr>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r>
      <w:tr>
        <w:trPr>
          <w:trHeight w:val="237"/>
        </w:trPr>
        <w:tc>
          <w:tcPr>
            <w:tcW w:w="380" w:type="dxa"/>
            <w:vAlign w:val="bottom"/>
          </w:tcPr>
          <w:p>
            <w:pPr>
              <w:ind w:left="20"/>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20"/>
                <w:szCs w:val="20"/>
                <w:color w:val="auto"/>
              </w:rPr>
            </w:pPr>
          </w:p>
        </w:tc>
        <w:tc>
          <w:tcPr>
            <w:tcW w:w="1500" w:type="dxa"/>
            <w:vAlign w:val="bottom"/>
            <w:gridSpan w:val="5"/>
          </w:tcPr>
          <w:p>
            <w:pPr>
              <w:spacing w:after="0"/>
              <w:rPr>
                <w:rFonts w:ascii="Arial" w:cs="Arial" w:eastAsia="Arial" w:hAnsi="Arial"/>
                <w:sz w:val="18"/>
                <w:szCs w:val="18"/>
                <w:color w:val="0000EE"/>
                <w:w w:val="99"/>
              </w:rPr>
            </w:pPr>
            <w:hyperlink w:anchor="page40">
              <w:r>
                <w:rPr>
                  <w:rFonts w:ascii="Arial" w:cs="Arial" w:eastAsia="Arial" w:hAnsi="Arial"/>
                  <w:sz w:val="18"/>
                  <w:szCs w:val="18"/>
                  <w:color w:val="0000EE"/>
                  <w:w w:val="99"/>
                </w:rPr>
                <w:t>Legal Proceedings</w:t>
              </w:r>
            </w:hyperlink>
          </w:p>
        </w:tc>
        <w:tc>
          <w:tcPr>
            <w:tcW w:w="8420" w:type="dxa"/>
            <w:vAlign w:val="bottom"/>
            <w:gridSpan w:val="12"/>
          </w:tcPr>
          <w:p>
            <w:pPr>
              <w:spacing w:after="0"/>
              <w:rPr>
                <w:sz w:val="20"/>
                <w:szCs w:val="20"/>
                <w:color w:val="auto"/>
              </w:rPr>
            </w:pPr>
          </w:p>
        </w:tc>
        <w:tc>
          <w:tcPr>
            <w:tcW w:w="760" w:type="dxa"/>
            <w:vAlign w:val="bottom"/>
            <w:gridSpan w:val="4"/>
          </w:tcPr>
          <w:p>
            <w:pPr>
              <w:jc w:val="right"/>
              <w:spacing w:after="0"/>
              <w:rPr>
                <w:rFonts w:ascii="Arial" w:cs="Arial" w:eastAsia="Arial" w:hAnsi="Arial"/>
                <w:sz w:val="18"/>
                <w:szCs w:val="18"/>
                <w:color w:val="0000EE"/>
              </w:rPr>
            </w:pPr>
            <w:hyperlink w:anchor="page40">
              <w:r>
                <w:rPr>
                  <w:rFonts w:ascii="Arial" w:cs="Arial" w:eastAsia="Arial" w:hAnsi="Arial"/>
                  <w:sz w:val="18"/>
                  <w:szCs w:val="18"/>
                  <w:color w:val="0000EE"/>
                </w:rPr>
                <w:t>38</w:t>
              </w:r>
            </w:hyperlink>
          </w:p>
        </w:tc>
      </w:tr>
      <w:tr>
        <w:trPr>
          <w:trHeight w:val="20"/>
        </w:trPr>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gridSpan w:val="4"/>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r>
      <w:tr>
        <w:trPr>
          <w:trHeight w:val="237"/>
        </w:trPr>
        <w:tc>
          <w:tcPr>
            <w:tcW w:w="380" w:type="dxa"/>
            <w:vAlign w:val="bottom"/>
          </w:tcPr>
          <w:p>
            <w:pPr>
              <w:ind w:left="20"/>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20"/>
                <w:szCs w:val="20"/>
                <w:color w:val="auto"/>
              </w:rPr>
            </w:pPr>
          </w:p>
        </w:tc>
        <w:tc>
          <w:tcPr>
            <w:tcW w:w="2000" w:type="dxa"/>
            <w:vAlign w:val="bottom"/>
            <w:gridSpan w:val="7"/>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Mine Safety Disclosures</w:t>
              </w:r>
            </w:hyperlink>
          </w:p>
        </w:tc>
        <w:tc>
          <w:tcPr>
            <w:tcW w:w="7920" w:type="dxa"/>
            <w:vAlign w:val="bottom"/>
            <w:gridSpan w:val="10"/>
          </w:tcPr>
          <w:p>
            <w:pPr>
              <w:spacing w:after="0"/>
              <w:rPr>
                <w:sz w:val="20"/>
                <w:szCs w:val="20"/>
                <w:color w:val="auto"/>
              </w:rPr>
            </w:pPr>
          </w:p>
        </w:tc>
        <w:tc>
          <w:tcPr>
            <w:tcW w:w="760" w:type="dxa"/>
            <w:vAlign w:val="bottom"/>
            <w:gridSpan w:val="4"/>
          </w:tcPr>
          <w:p>
            <w:pPr>
              <w:jc w:val="right"/>
              <w:spacing w:after="0"/>
              <w:rPr>
                <w:rFonts w:ascii="Arial" w:cs="Arial" w:eastAsia="Arial" w:hAnsi="Arial"/>
                <w:sz w:val="18"/>
                <w:szCs w:val="18"/>
                <w:color w:val="0000EE"/>
              </w:rPr>
            </w:pPr>
            <w:hyperlink w:anchor="page40">
              <w:r>
                <w:rPr>
                  <w:rFonts w:ascii="Arial" w:cs="Arial" w:eastAsia="Arial" w:hAnsi="Arial"/>
                  <w:sz w:val="18"/>
                  <w:szCs w:val="18"/>
                  <w:color w:val="0000EE"/>
                </w:rPr>
                <w:t>38</w:t>
              </w:r>
            </w:hyperlink>
          </w:p>
        </w:tc>
      </w:tr>
      <w:tr>
        <w:trPr>
          <w:trHeight w:val="615"/>
        </w:trPr>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0" w:type="dxa"/>
            <w:vAlign w:val="bottom"/>
            <w:tcBorders>
              <w:top w:val="single" w:sz="8" w:color="0000EE"/>
            </w:tcBorders>
            <w:gridSpan w:val="7"/>
          </w:tcPr>
          <w:p>
            <w:pPr>
              <w:spacing w:after="0"/>
              <w:rPr>
                <w:sz w:val="20"/>
                <w:szCs w:val="20"/>
                <w:color w:val="auto"/>
              </w:rPr>
            </w:pPr>
            <w:r>
              <w:rPr>
                <w:rFonts w:ascii="Arial" w:cs="Arial" w:eastAsia="Arial" w:hAnsi="Arial"/>
                <w:sz w:val="18"/>
                <w:szCs w:val="18"/>
                <w:b w:val="1"/>
                <w:bCs w:val="1"/>
                <w:color w:val="auto"/>
              </w:rPr>
              <w:t>PART II</w:t>
            </w:r>
          </w:p>
        </w:tc>
        <w:tc>
          <w:tcPr>
            <w:tcW w:w="7920" w:type="dxa"/>
            <w:vAlign w:val="bottom"/>
            <w:gridSpan w:val="10"/>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r>
      <w:tr>
        <w:trPr>
          <w:trHeight w:val="216"/>
        </w:trPr>
        <w:tc>
          <w:tcPr>
            <w:tcW w:w="380" w:type="dxa"/>
            <w:vAlign w:val="bottom"/>
          </w:tcPr>
          <w:p>
            <w:pPr>
              <w:ind w:left="20"/>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18"/>
                <w:szCs w:val="18"/>
                <w:color w:val="auto"/>
              </w:rPr>
            </w:pPr>
          </w:p>
        </w:tc>
        <w:tc>
          <w:tcPr>
            <w:tcW w:w="9920" w:type="dxa"/>
            <w:vAlign w:val="bottom"/>
            <w:gridSpan w:val="17"/>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Market for Registrant’s Common Equity, Related Stockholder Matters and Issuer Purchases of Equity Securities</w:t>
              </w:r>
            </w:hyperlink>
          </w:p>
        </w:tc>
        <w:tc>
          <w:tcPr>
            <w:tcW w:w="760" w:type="dxa"/>
            <w:vAlign w:val="bottom"/>
            <w:gridSpan w:val="4"/>
          </w:tcPr>
          <w:p>
            <w:pPr>
              <w:jc w:val="right"/>
              <w:spacing w:after="0"/>
              <w:rPr>
                <w:rFonts w:ascii="Arial" w:cs="Arial" w:eastAsia="Arial" w:hAnsi="Arial"/>
                <w:sz w:val="18"/>
                <w:szCs w:val="18"/>
                <w:color w:val="0000EE"/>
              </w:rPr>
            </w:pPr>
            <w:hyperlink w:anchor="page41">
              <w:r>
                <w:rPr>
                  <w:rFonts w:ascii="Arial" w:cs="Arial" w:eastAsia="Arial" w:hAnsi="Arial"/>
                  <w:sz w:val="18"/>
                  <w:szCs w:val="18"/>
                  <w:color w:val="0000EE"/>
                </w:rPr>
                <w:t>39</w:t>
              </w:r>
            </w:hyperlink>
          </w:p>
        </w:tc>
      </w:tr>
      <w:tr>
        <w:trPr>
          <w:trHeight w:val="20"/>
        </w:trPr>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gridSpan w:val="4"/>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720" w:type="dxa"/>
            <w:vAlign w:val="bottom"/>
            <w:gridSpan w:val="2"/>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3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740" w:type="dxa"/>
            <w:vAlign w:val="bottom"/>
            <w:shd w:val="clear" w:color="auto" w:fill="0000E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r>
      <w:tr>
        <w:trPr>
          <w:trHeight w:val="237"/>
        </w:trPr>
        <w:tc>
          <w:tcPr>
            <w:tcW w:w="380" w:type="dxa"/>
            <w:vAlign w:val="bottom"/>
          </w:tcPr>
          <w:p>
            <w:pPr>
              <w:ind w:left="20"/>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20"/>
                <w:szCs w:val="20"/>
                <w:color w:val="auto"/>
              </w:rPr>
            </w:pPr>
          </w:p>
        </w:tc>
        <w:tc>
          <w:tcPr>
            <w:tcW w:w="8880" w:type="dxa"/>
            <w:vAlign w:val="bottom"/>
            <w:gridSpan w:val="16"/>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Selected Financial Data</w:t>
              </w:r>
            </w:hyperlink>
          </w:p>
        </w:tc>
        <w:tc>
          <w:tcPr>
            <w:tcW w:w="1040" w:type="dxa"/>
            <w:vAlign w:val="bottom"/>
          </w:tcPr>
          <w:p>
            <w:pPr>
              <w:spacing w:after="0"/>
              <w:rPr>
                <w:sz w:val="20"/>
                <w:szCs w:val="20"/>
                <w:color w:val="auto"/>
              </w:rPr>
            </w:pPr>
          </w:p>
        </w:tc>
        <w:tc>
          <w:tcPr>
            <w:tcW w:w="760" w:type="dxa"/>
            <w:vAlign w:val="bottom"/>
            <w:gridSpan w:val="4"/>
          </w:tcPr>
          <w:p>
            <w:pPr>
              <w:jc w:val="right"/>
              <w:spacing w:after="0"/>
              <w:rPr>
                <w:rFonts w:ascii="Arial" w:cs="Arial" w:eastAsia="Arial" w:hAnsi="Arial"/>
                <w:sz w:val="18"/>
                <w:szCs w:val="18"/>
                <w:color w:val="0000EE"/>
              </w:rPr>
            </w:pPr>
            <w:hyperlink w:anchor="page44">
              <w:r>
                <w:rPr>
                  <w:rFonts w:ascii="Arial" w:cs="Arial" w:eastAsia="Arial" w:hAnsi="Arial"/>
                  <w:sz w:val="18"/>
                  <w:szCs w:val="18"/>
                  <w:color w:val="0000EE"/>
                </w:rPr>
                <w:t>42</w:t>
              </w:r>
            </w:hyperlink>
          </w:p>
        </w:tc>
      </w:tr>
      <w:tr>
        <w:trPr>
          <w:trHeight w:val="20"/>
        </w:trPr>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gridSpan w:val="4"/>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78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r>
      <w:tr>
        <w:trPr>
          <w:trHeight w:val="237"/>
        </w:trPr>
        <w:tc>
          <w:tcPr>
            <w:tcW w:w="380" w:type="dxa"/>
            <w:vAlign w:val="bottom"/>
          </w:tcPr>
          <w:p>
            <w:pPr>
              <w:ind w:left="20"/>
              <w:spacing w:after="0"/>
              <w:rPr>
                <w:sz w:val="20"/>
                <w:szCs w:val="20"/>
                <w:color w:val="auto"/>
              </w:rPr>
            </w:pPr>
            <w:r>
              <w:rPr>
                <w:rFonts w:ascii="Arial" w:cs="Arial" w:eastAsia="Arial" w:hAnsi="Arial"/>
                <w:sz w:val="18"/>
                <w:szCs w:val="18"/>
                <w:color w:val="auto"/>
              </w:rPr>
              <w:t>7</w:t>
            </w:r>
          </w:p>
        </w:tc>
        <w:tc>
          <w:tcPr>
            <w:tcW w:w="180" w:type="dxa"/>
            <w:vAlign w:val="bottom"/>
          </w:tcPr>
          <w:p>
            <w:pPr>
              <w:spacing w:after="0"/>
              <w:rPr>
                <w:sz w:val="20"/>
                <w:szCs w:val="20"/>
                <w:color w:val="auto"/>
              </w:rPr>
            </w:pPr>
          </w:p>
        </w:tc>
        <w:tc>
          <w:tcPr>
            <w:tcW w:w="9920" w:type="dxa"/>
            <w:vAlign w:val="bottom"/>
            <w:gridSpan w:val="17"/>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Management’s Discussion and Analysis of Financial Condition and Results of Operations</w:t>
              </w:r>
            </w:hyperlink>
          </w:p>
        </w:tc>
        <w:tc>
          <w:tcPr>
            <w:tcW w:w="760" w:type="dxa"/>
            <w:vAlign w:val="bottom"/>
            <w:gridSpan w:val="4"/>
          </w:tcPr>
          <w:p>
            <w:pPr>
              <w:jc w:val="right"/>
              <w:spacing w:after="0"/>
              <w:rPr>
                <w:rFonts w:ascii="Arial" w:cs="Arial" w:eastAsia="Arial" w:hAnsi="Arial"/>
                <w:sz w:val="18"/>
                <w:szCs w:val="18"/>
                <w:color w:val="0000EE"/>
              </w:rPr>
            </w:pPr>
            <w:hyperlink w:anchor="page46">
              <w:r>
                <w:rPr>
                  <w:rFonts w:ascii="Arial" w:cs="Arial" w:eastAsia="Arial" w:hAnsi="Arial"/>
                  <w:sz w:val="18"/>
                  <w:szCs w:val="18"/>
                  <w:color w:val="0000EE"/>
                </w:rPr>
                <w:t>44</w:t>
              </w:r>
            </w:hyperlink>
          </w:p>
        </w:tc>
      </w:tr>
      <w:tr>
        <w:trPr>
          <w:trHeight w:val="20"/>
        </w:trPr>
        <w:tc>
          <w:tcPr>
            <w:tcW w:w="560" w:type="dxa"/>
            <w:vAlign w:val="bottom"/>
            <w:gridSpan w:val="2"/>
          </w:tcPr>
          <w:p>
            <w:pPr>
              <w:spacing w:after="0" w:line="20" w:lineRule="exact"/>
              <w:rPr>
                <w:sz w:val="1"/>
                <w:szCs w:val="1"/>
                <w:color w:val="auto"/>
              </w:rPr>
            </w:pPr>
          </w:p>
        </w:tc>
        <w:tc>
          <w:tcPr>
            <w:tcW w:w="1400" w:type="dxa"/>
            <w:vAlign w:val="bottom"/>
            <w:gridSpan w:val="4"/>
            <w:shd w:val="clear" w:color="auto" w:fill="0000EE"/>
          </w:tcPr>
          <w:p>
            <w:pPr>
              <w:spacing w:after="0" w:line="20" w:lineRule="exact"/>
              <w:rPr>
                <w:sz w:val="1"/>
                <w:szCs w:val="1"/>
                <w:color w:val="auto"/>
              </w:rPr>
            </w:pPr>
          </w:p>
        </w:tc>
        <w:tc>
          <w:tcPr>
            <w:tcW w:w="600" w:type="dxa"/>
            <w:vAlign w:val="bottom"/>
            <w:tcBorders>
              <w:right w:val="single" w:sz="8" w:color="0000EE"/>
            </w:tcBorders>
            <w:gridSpan w:val="3"/>
            <w:shd w:val="clear" w:color="auto" w:fill="0000EE"/>
          </w:tcPr>
          <w:p>
            <w:pPr>
              <w:spacing w:after="0" w:line="20" w:lineRule="exact"/>
              <w:rPr>
                <w:sz w:val="1"/>
                <w:szCs w:val="1"/>
                <w:color w:val="auto"/>
              </w:rPr>
            </w:pPr>
          </w:p>
        </w:tc>
        <w:tc>
          <w:tcPr>
            <w:tcW w:w="1720" w:type="dxa"/>
            <w:vAlign w:val="bottom"/>
            <w:gridSpan w:val="2"/>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38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78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r>
      <w:tr>
        <w:trPr>
          <w:trHeight w:val="237"/>
        </w:trPr>
        <w:tc>
          <w:tcPr>
            <w:tcW w:w="560" w:type="dxa"/>
            <w:vAlign w:val="bottom"/>
            <w:gridSpan w:val="2"/>
          </w:tcPr>
          <w:p>
            <w:pPr>
              <w:ind w:left="20"/>
              <w:spacing w:after="0"/>
              <w:rPr>
                <w:sz w:val="20"/>
                <w:szCs w:val="20"/>
                <w:color w:val="auto"/>
              </w:rPr>
            </w:pPr>
            <w:r>
              <w:rPr>
                <w:rFonts w:ascii="Arial" w:cs="Arial" w:eastAsia="Arial" w:hAnsi="Arial"/>
                <w:sz w:val="18"/>
                <w:szCs w:val="18"/>
                <w:color w:val="auto"/>
              </w:rPr>
              <w:t>7A</w:t>
            </w:r>
          </w:p>
        </w:tc>
        <w:tc>
          <w:tcPr>
            <w:tcW w:w="4700" w:type="dxa"/>
            <w:vAlign w:val="bottom"/>
            <w:gridSpan w:val="12"/>
          </w:tcPr>
          <w:p>
            <w:pPr>
              <w:spacing w:after="0"/>
              <w:rPr>
                <w:rFonts w:ascii="Arial" w:cs="Arial" w:eastAsia="Arial" w:hAnsi="Arial"/>
                <w:sz w:val="18"/>
                <w:szCs w:val="18"/>
                <w:color w:val="0000EE"/>
                <w:w w:val="99"/>
              </w:rPr>
            </w:pPr>
            <w:hyperlink w:anchor="page59">
              <w:r>
                <w:rPr>
                  <w:rFonts w:ascii="Arial" w:cs="Arial" w:eastAsia="Arial" w:hAnsi="Arial"/>
                  <w:sz w:val="18"/>
                  <w:szCs w:val="18"/>
                  <w:color w:val="0000EE"/>
                  <w:w w:val="99"/>
                </w:rPr>
                <w:t>Quantitative and Qualitative Disclosures about Market Risk</w:t>
              </w:r>
            </w:hyperlink>
          </w:p>
        </w:tc>
        <w:tc>
          <w:tcPr>
            <w:tcW w:w="2380" w:type="dxa"/>
            <w:vAlign w:val="bottom"/>
            <w:gridSpan w:val="2"/>
          </w:tcPr>
          <w:p>
            <w:pPr>
              <w:spacing w:after="0"/>
              <w:rPr>
                <w:sz w:val="20"/>
                <w:szCs w:val="20"/>
                <w:color w:val="auto"/>
              </w:rPr>
            </w:pPr>
          </w:p>
        </w:tc>
        <w:tc>
          <w:tcPr>
            <w:tcW w:w="2840" w:type="dxa"/>
            <w:vAlign w:val="bottom"/>
            <w:gridSpan w:val="3"/>
          </w:tcPr>
          <w:p>
            <w:pPr>
              <w:spacing w:after="0"/>
              <w:rPr>
                <w:sz w:val="20"/>
                <w:szCs w:val="20"/>
                <w:color w:val="auto"/>
              </w:rPr>
            </w:pPr>
          </w:p>
        </w:tc>
        <w:tc>
          <w:tcPr>
            <w:tcW w:w="760" w:type="dxa"/>
            <w:vAlign w:val="bottom"/>
            <w:gridSpan w:val="4"/>
          </w:tcPr>
          <w:p>
            <w:pPr>
              <w:jc w:val="right"/>
              <w:spacing w:after="0"/>
              <w:rPr>
                <w:rFonts w:ascii="Arial" w:cs="Arial" w:eastAsia="Arial" w:hAnsi="Arial"/>
                <w:sz w:val="18"/>
                <w:szCs w:val="18"/>
                <w:color w:val="0000EE"/>
              </w:rPr>
            </w:pPr>
            <w:hyperlink w:anchor="page59">
              <w:r>
                <w:rPr>
                  <w:rFonts w:ascii="Arial" w:cs="Arial" w:eastAsia="Arial" w:hAnsi="Arial"/>
                  <w:sz w:val="18"/>
                  <w:szCs w:val="18"/>
                  <w:color w:val="0000EE"/>
                </w:rPr>
                <w:t>57</w:t>
              </w:r>
            </w:hyperlink>
          </w:p>
        </w:tc>
      </w:tr>
      <w:tr>
        <w:trPr>
          <w:trHeight w:val="20"/>
        </w:trPr>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gridSpan w:val="4"/>
            <w:shd w:val="clear" w:color="auto" w:fill="0000EE"/>
          </w:tcPr>
          <w:p>
            <w:pPr>
              <w:spacing w:after="0" w:line="20" w:lineRule="exact"/>
              <w:rPr>
                <w:sz w:val="1"/>
                <w:szCs w:val="1"/>
                <w:color w:val="auto"/>
              </w:rPr>
            </w:pPr>
          </w:p>
        </w:tc>
        <w:tc>
          <w:tcPr>
            <w:tcW w:w="600" w:type="dxa"/>
            <w:vAlign w:val="bottom"/>
            <w:tcBorders>
              <w:right w:val="single" w:sz="8" w:color="0000EE"/>
            </w:tcBorders>
            <w:gridSpan w:val="3"/>
            <w:shd w:val="clear" w:color="auto" w:fill="0000EE"/>
          </w:tcPr>
          <w:p>
            <w:pPr>
              <w:spacing w:after="0" w:line="20" w:lineRule="exact"/>
              <w:rPr>
                <w:sz w:val="1"/>
                <w:szCs w:val="1"/>
                <w:color w:val="auto"/>
              </w:rPr>
            </w:pPr>
          </w:p>
        </w:tc>
        <w:tc>
          <w:tcPr>
            <w:tcW w:w="1720" w:type="dxa"/>
            <w:vAlign w:val="bottom"/>
            <w:gridSpan w:val="2"/>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440" w:type="dxa"/>
            <w:vAlign w:val="bottom"/>
            <w:gridSpan w:val="3"/>
          </w:tcPr>
          <w:p>
            <w:pPr>
              <w:spacing w:after="0" w:line="20" w:lineRule="exact"/>
              <w:rPr>
                <w:sz w:val="1"/>
                <w:szCs w:val="1"/>
                <w:color w:val="auto"/>
              </w:rPr>
            </w:pPr>
          </w:p>
        </w:tc>
        <w:tc>
          <w:tcPr>
            <w:tcW w:w="278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r>
      <w:tr>
        <w:trPr>
          <w:trHeight w:val="237"/>
        </w:trPr>
        <w:tc>
          <w:tcPr>
            <w:tcW w:w="380" w:type="dxa"/>
            <w:vAlign w:val="bottom"/>
          </w:tcPr>
          <w:p>
            <w:pPr>
              <w:ind w:left="20"/>
              <w:spacing w:after="0"/>
              <w:rPr>
                <w:sz w:val="20"/>
                <w:szCs w:val="20"/>
                <w:color w:val="auto"/>
              </w:rPr>
            </w:pPr>
            <w:r>
              <w:rPr>
                <w:rFonts w:ascii="Arial" w:cs="Arial" w:eastAsia="Arial" w:hAnsi="Arial"/>
                <w:sz w:val="18"/>
                <w:szCs w:val="18"/>
                <w:color w:val="auto"/>
              </w:rPr>
              <w:t>8</w:t>
            </w:r>
          </w:p>
        </w:tc>
        <w:tc>
          <w:tcPr>
            <w:tcW w:w="180" w:type="dxa"/>
            <w:vAlign w:val="bottom"/>
          </w:tcPr>
          <w:p>
            <w:pPr>
              <w:spacing w:after="0"/>
              <w:rPr>
                <w:sz w:val="20"/>
                <w:szCs w:val="20"/>
                <w:color w:val="auto"/>
              </w:rPr>
            </w:pPr>
          </w:p>
        </w:tc>
        <w:tc>
          <w:tcPr>
            <w:tcW w:w="4700" w:type="dxa"/>
            <w:vAlign w:val="bottom"/>
            <w:gridSpan w:val="12"/>
          </w:tcPr>
          <w:p>
            <w:pPr>
              <w:spacing w:after="0"/>
              <w:rPr>
                <w:rFonts w:ascii="Arial" w:cs="Arial" w:eastAsia="Arial" w:hAnsi="Arial"/>
                <w:sz w:val="18"/>
                <w:szCs w:val="18"/>
                <w:color w:val="0000EE"/>
              </w:rPr>
            </w:pPr>
            <w:hyperlink w:anchor="page60">
              <w:r>
                <w:rPr>
                  <w:rFonts w:ascii="Arial" w:cs="Arial" w:eastAsia="Arial" w:hAnsi="Arial"/>
                  <w:sz w:val="18"/>
                  <w:szCs w:val="18"/>
                  <w:color w:val="0000EE"/>
                </w:rPr>
                <w:t>Financial Statements and Supplementary Data</w:t>
              </w:r>
            </w:hyperlink>
          </w:p>
        </w:tc>
        <w:tc>
          <w:tcPr>
            <w:tcW w:w="5220" w:type="dxa"/>
            <w:vAlign w:val="bottom"/>
            <w:gridSpan w:val="5"/>
          </w:tcPr>
          <w:p>
            <w:pPr>
              <w:spacing w:after="0"/>
              <w:rPr>
                <w:sz w:val="20"/>
                <w:szCs w:val="20"/>
                <w:color w:val="auto"/>
              </w:rPr>
            </w:pPr>
          </w:p>
        </w:tc>
        <w:tc>
          <w:tcPr>
            <w:tcW w:w="760" w:type="dxa"/>
            <w:vAlign w:val="bottom"/>
            <w:gridSpan w:val="4"/>
          </w:tcPr>
          <w:p>
            <w:pPr>
              <w:jc w:val="right"/>
              <w:spacing w:after="0"/>
              <w:rPr>
                <w:rFonts w:ascii="Arial" w:cs="Arial" w:eastAsia="Arial" w:hAnsi="Arial"/>
                <w:sz w:val="18"/>
                <w:szCs w:val="18"/>
                <w:color w:val="0000EE"/>
              </w:rPr>
            </w:pPr>
            <w:hyperlink w:anchor="page60">
              <w:r>
                <w:rPr>
                  <w:rFonts w:ascii="Arial" w:cs="Arial" w:eastAsia="Arial" w:hAnsi="Arial"/>
                  <w:sz w:val="18"/>
                  <w:szCs w:val="18"/>
                  <w:color w:val="0000EE"/>
                </w:rPr>
                <w:t>58</w:t>
              </w:r>
            </w:hyperlink>
          </w:p>
        </w:tc>
      </w:tr>
      <w:tr>
        <w:trPr>
          <w:trHeight w:val="20"/>
        </w:trPr>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gridSpan w:val="4"/>
            <w:shd w:val="clear" w:color="auto" w:fill="0000EE"/>
          </w:tcPr>
          <w:p>
            <w:pPr>
              <w:spacing w:after="0" w:line="20" w:lineRule="exact"/>
              <w:rPr>
                <w:sz w:val="1"/>
                <w:szCs w:val="1"/>
                <w:color w:val="auto"/>
              </w:rPr>
            </w:pPr>
          </w:p>
        </w:tc>
        <w:tc>
          <w:tcPr>
            <w:tcW w:w="600" w:type="dxa"/>
            <w:vAlign w:val="bottom"/>
            <w:tcBorders>
              <w:right w:val="single" w:sz="8" w:color="0000EE"/>
            </w:tcBorders>
            <w:gridSpan w:val="3"/>
            <w:shd w:val="clear" w:color="auto" w:fill="0000EE"/>
          </w:tcPr>
          <w:p>
            <w:pPr>
              <w:spacing w:after="0" w:line="20" w:lineRule="exact"/>
              <w:rPr>
                <w:sz w:val="1"/>
                <w:szCs w:val="1"/>
                <w:color w:val="auto"/>
              </w:rPr>
            </w:pPr>
          </w:p>
        </w:tc>
        <w:tc>
          <w:tcPr>
            <w:tcW w:w="1720" w:type="dxa"/>
            <w:vAlign w:val="bottom"/>
            <w:gridSpan w:val="2"/>
            <w:shd w:val="clear" w:color="auto" w:fill="0000EE"/>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640" w:type="dxa"/>
            <w:vAlign w:val="bottom"/>
            <w:gridSpan w:val="4"/>
          </w:tcPr>
          <w:p>
            <w:pPr>
              <w:spacing w:after="0" w:line="20" w:lineRule="exact"/>
              <w:rPr>
                <w:sz w:val="1"/>
                <w:szCs w:val="1"/>
                <w:color w:val="auto"/>
              </w:rPr>
            </w:pPr>
          </w:p>
        </w:tc>
        <w:tc>
          <w:tcPr>
            <w:tcW w:w="278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r>
      <w:tr>
        <w:trPr>
          <w:trHeight w:val="237"/>
        </w:trPr>
        <w:tc>
          <w:tcPr>
            <w:tcW w:w="380" w:type="dxa"/>
            <w:vAlign w:val="bottom"/>
          </w:tcPr>
          <w:p>
            <w:pPr>
              <w:ind w:left="20"/>
              <w:spacing w:after="0"/>
              <w:rPr>
                <w:sz w:val="20"/>
                <w:szCs w:val="20"/>
                <w:color w:val="auto"/>
              </w:rPr>
            </w:pPr>
            <w:r>
              <w:rPr>
                <w:rFonts w:ascii="Arial" w:cs="Arial" w:eastAsia="Arial" w:hAnsi="Arial"/>
                <w:sz w:val="18"/>
                <w:szCs w:val="18"/>
                <w:color w:val="auto"/>
              </w:rPr>
              <w:t>9</w:t>
            </w:r>
          </w:p>
        </w:tc>
        <w:tc>
          <w:tcPr>
            <w:tcW w:w="180" w:type="dxa"/>
            <w:vAlign w:val="bottom"/>
          </w:tcPr>
          <w:p>
            <w:pPr>
              <w:spacing w:after="0"/>
              <w:rPr>
                <w:sz w:val="20"/>
                <w:szCs w:val="20"/>
                <w:color w:val="auto"/>
              </w:rPr>
            </w:pPr>
          </w:p>
        </w:tc>
        <w:tc>
          <w:tcPr>
            <w:tcW w:w="7140" w:type="dxa"/>
            <w:vAlign w:val="bottom"/>
            <w:gridSpan w:val="15"/>
          </w:tcPr>
          <w:p>
            <w:pPr>
              <w:spacing w:after="0"/>
              <w:rPr>
                <w:rFonts w:ascii="Arial" w:cs="Arial" w:eastAsia="Arial" w:hAnsi="Arial"/>
                <w:sz w:val="18"/>
                <w:szCs w:val="18"/>
                <w:color w:val="0000EE"/>
                <w:w w:val="99"/>
              </w:rPr>
            </w:pPr>
            <w:hyperlink w:anchor="page60">
              <w:r>
                <w:rPr>
                  <w:rFonts w:ascii="Arial" w:cs="Arial" w:eastAsia="Arial" w:hAnsi="Arial"/>
                  <w:sz w:val="18"/>
                  <w:szCs w:val="18"/>
                  <w:color w:val="0000EE"/>
                  <w:w w:val="99"/>
                </w:rPr>
                <w:t>Changes in and Disagreements with Accountants on Accounting and Financial Disclosure</w:t>
              </w:r>
            </w:hyperlink>
          </w:p>
        </w:tc>
        <w:tc>
          <w:tcPr>
            <w:tcW w:w="2780" w:type="dxa"/>
            <w:vAlign w:val="bottom"/>
            <w:gridSpan w:val="2"/>
          </w:tcPr>
          <w:p>
            <w:pPr>
              <w:spacing w:after="0"/>
              <w:rPr>
                <w:sz w:val="20"/>
                <w:szCs w:val="20"/>
                <w:color w:val="auto"/>
              </w:rPr>
            </w:pPr>
          </w:p>
        </w:tc>
        <w:tc>
          <w:tcPr>
            <w:tcW w:w="760" w:type="dxa"/>
            <w:vAlign w:val="bottom"/>
            <w:gridSpan w:val="4"/>
          </w:tcPr>
          <w:p>
            <w:pPr>
              <w:jc w:val="right"/>
              <w:spacing w:after="0"/>
              <w:rPr>
                <w:rFonts w:ascii="Arial" w:cs="Arial" w:eastAsia="Arial" w:hAnsi="Arial"/>
                <w:sz w:val="18"/>
                <w:szCs w:val="18"/>
                <w:color w:val="0000EE"/>
              </w:rPr>
            </w:pPr>
            <w:hyperlink w:anchor="page60">
              <w:r>
                <w:rPr>
                  <w:rFonts w:ascii="Arial" w:cs="Arial" w:eastAsia="Arial" w:hAnsi="Arial"/>
                  <w:sz w:val="18"/>
                  <w:szCs w:val="18"/>
                  <w:color w:val="0000EE"/>
                </w:rPr>
                <w:t>58</w:t>
              </w:r>
            </w:hyperlink>
          </w:p>
        </w:tc>
      </w:tr>
      <w:tr>
        <w:trPr>
          <w:trHeight w:val="20"/>
        </w:trPr>
        <w:tc>
          <w:tcPr>
            <w:tcW w:w="560" w:type="dxa"/>
            <w:vAlign w:val="bottom"/>
            <w:gridSpan w:val="2"/>
          </w:tcPr>
          <w:p>
            <w:pPr>
              <w:spacing w:after="0" w:line="20" w:lineRule="exact"/>
              <w:rPr>
                <w:sz w:val="1"/>
                <w:szCs w:val="1"/>
                <w:color w:val="auto"/>
              </w:rPr>
            </w:pPr>
          </w:p>
        </w:tc>
        <w:tc>
          <w:tcPr>
            <w:tcW w:w="1400" w:type="dxa"/>
            <w:vAlign w:val="bottom"/>
            <w:gridSpan w:val="4"/>
            <w:shd w:val="clear" w:color="auto" w:fill="0000EE"/>
          </w:tcPr>
          <w:p>
            <w:pPr>
              <w:spacing w:after="0" w:line="20" w:lineRule="exact"/>
              <w:rPr>
                <w:sz w:val="1"/>
                <w:szCs w:val="1"/>
                <w:color w:val="auto"/>
              </w:rPr>
            </w:pPr>
          </w:p>
        </w:tc>
        <w:tc>
          <w:tcPr>
            <w:tcW w:w="600" w:type="dxa"/>
            <w:vAlign w:val="bottom"/>
            <w:tcBorders>
              <w:right w:val="single" w:sz="8" w:color="0000EE"/>
            </w:tcBorders>
            <w:gridSpan w:val="3"/>
            <w:shd w:val="clear" w:color="auto" w:fill="0000EE"/>
          </w:tcPr>
          <w:p>
            <w:pPr>
              <w:spacing w:after="0" w:line="20" w:lineRule="exact"/>
              <w:rPr>
                <w:sz w:val="1"/>
                <w:szCs w:val="1"/>
                <w:color w:val="auto"/>
              </w:rPr>
            </w:pPr>
          </w:p>
        </w:tc>
        <w:tc>
          <w:tcPr>
            <w:tcW w:w="2500" w:type="dxa"/>
            <w:vAlign w:val="bottom"/>
            <w:gridSpan w:val="4"/>
            <w:shd w:val="clear" w:color="auto" w:fill="0000EE"/>
          </w:tcPr>
          <w:p>
            <w:pPr>
              <w:spacing w:after="0" w:line="20" w:lineRule="exact"/>
              <w:rPr>
                <w:sz w:val="1"/>
                <w:szCs w:val="1"/>
                <w:color w:val="auto"/>
              </w:rPr>
            </w:pPr>
          </w:p>
        </w:tc>
        <w:tc>
          <w:tcPr>
            <w:tcW w:w="2640" w:type="dxa"/>
            <w:vAlign w:val="bottom"/>
            <w:gridSpan w:val="4"/>
            <w:shd w:val="clear" w:color="auto" w:fill="0000EE"/>
          </w:tcPr>
          <w:p>
            <w:pPr>
              <w:spacing w:after="0" w:line="20" w:lineRule="exact"/>
              <w:rPr>
                <w:sz w:val="1"/>
                <w:szCs w:val="1"/>
                <w:color w:val="auto"/>
              </w:rPr>
            </w:pPr>
          </w:p>
        </w:tc>
        <w:tc>
          <w:tcPr>
            <w:tcW w:w="278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r>
      <w:tr>
        <w:trPr>
          <w:trHeight w:val="237"/>
        </w:trPr>
        <w:tc>
          <w:tcPr>
            <w:tcW w:w="560" w:type="dxa"/>
            <w:vAlign w:val="bottom"/>
            <w:gridSpan w:val="2"/>
          </w:tcPr>
          <w:p>
            <w:pPr>
              <w:ind w:left="20"/>
              <w:spacing w:after="0"/>
              <w:rPr>
                <w:sz w:val="20"/>
                <w:szCs w:val="20"/>
                <w:color w:val="auto"/>
              </w:rPr>
            </w:pPr>
            <w:r>
              <w:rPr>
                <w:rFonts w:ascii="Arial" w:cs="Arial" w:eastAsia="Arial" w:hAnsi="Arial"/>
                <w:sz w:val="18"/>
                <w:szCs w:val="18"/>
                <w:color w:val="auto"/>
              </w:rPr>
              <w:t>9A</w:t>
            </w:r>
          </w:p>
        </w:tc>
        <w:tc>
          <w:tcPr>
            <w:tcW w:w="2000" w:type="dxa"/>
            <w:vAlign w:val="bottom"/>
            <w:gridSpan w:val="7"/>
          </w:tcPr>
          <w:p>
            <w:pPr>
              <w:spacing w:after="0"/>
              <w:rPr>
                <w:rFonts w:ascii="Arial" w:cs="Arial" w:eastAsia="Arial" w:hAnsi="Arial"/>
                <w:sz w:val="18"/>
                <w:szCs w:val="18"/>
                <w:color w:val="0000EE"/>
                <w:w w:val="98"/>
              </w:rPr>
            </w:pPr>
            <w:hyperlink w:anchor="page60">
              <w:r>
                <w:rPr>
                  <w:rFonts w:ascii="Arial" w:cs="Arial" w:eastAsia="Arial" w:hAnsi="Arial"/>
                  <w:sz w:val="18"/>
                  <w:szCs w:val="18"/>
                  <w:color w:val="0000EE"/>
                  <w:w w:val="98"/>
                </w:rPr>
                <w:t>Controls and Procedures</w:t>
              </w:r>
            </w:hyperlink>
          </w:p>
        </w:tc>
        <w:tc>
          <w:tcPr>
            <w:tcW w:w="5140" w:type="dxa"/>
            <w:vAlign w:val="bottom"/>
            <w:gridSpan w:val="8"/>
          </w:tcPr>
          <w:p>
            <w:pPr>
              <w:spacing w:after="0"/>
              <w:rPr>
                <w:sz w:val="20"/>
                <w:szCs w:val="20"/>
                <w:color w:val="auto"/>
              </w:rPr>
            </w:pPr>
          </w:p>
        </w:tc>
        <w:tc>
          <w:tcPr>
            <w:tcW w:w="2780" w:type="dxa"/>
            <w:vAlign w:val="bottom"/>
            <w:gridSpan w:val="2"/>
          </w:tcPr>
          <w:p>
            <w:pPr>
              <w:spacing w:after="0"/>
              <w:rPr>
                <w:sz w:val="20"/>
                <w:szCs w:val="20"/>
                <w:color w:val="auto"/>
              </w:rPr>
            </w:pPr>
          </w:p>
        </w:tc>
        <w:tc>
          <w:tcPr>
            <w:tcW w:w="760" w:type="dxa"/>
            <w:vAlign w:val="bottom"/>
            <w:gridSpan w:val="4"/>
          </w:tcPr>
          <w:p>
            <w:pPr>
              <w:jc w:val="right"/>
              <w:spacing w:after="0"/>
              <w:rPr>
                <w:rFonts w:ascii="Arial" w:cs="Arial" w:eastAsia="Arial" w:hAnsi="Arial"/>
                <w:sz w:val="18"/>
                <w:szCs w:val="18"/>
                <w:color w:val="0000EE"/>
              </w:rPr>
            </w:pPr>
            <w:hyperlink w:anchor="page60">
              <w:r>
                <w:rPr>
                  <w:rFonts w:ascii="Arial" w:cs="Arial" w:eastAsia="Arial" w:hAnsi="Arial"/>
                  <w:sz w:val="18"/>
                  <w:szCs w:val="18"/>
                  <w:color w:val="0000EE"/>
                </w:rPr>
                <w:t>58</w:t>
              </w:r>
            </w:hyperlink>
          </w:p>
        </w:tc>
      </w:tr>
      <w:tr>
        <w:trPr>
          <w:trHeight w:val="20"/>
        </w:trPr>
        <w:tc>
          <w:tcPr>
            <w:tcW w:w="560" w:type="dxa"/>
            <w:vAlign w:val="bottom"/>
            <w:gridSpan w:val="2"/>
          </w:tcPr>
          <w:p>
            <w:pPr>
              <w:spacing w:after="0" w:line="20" w:lineRule="exact"/>
              <w:rPr>
                <w:sz w:val="1"/>
                <w:szCs w:val="1"/>
                <w:color w:val="auto"/>
              </w:rPr>
            </w:pPr>
          </w:p>
        </w:tc>
        <w:tc>
          <w:tcPr>
            <w:tcW w:w="1400" w:type="dxa"/>
            <w:vAlign w:val="bottom"/>
            <w:gridSpan w:val="4"/>
            <w:shd w:val="clear" w:color="auto" w:fill="0000EE"/>
          </w:tcPr>
          <w:p>
            <w:pPr>
              <w:spacing w:after="0" w:line="20" w:lineRule="exact"/>
              <w:rPr>
                <w:sz w:val="1"/>
                <w:szCs w:val="1"/>
                <w:color w:val="auto"/>
              </w:rPr>
            </w:pPr>
          </w:p>
        </w:tc>
        <w:tc>
          <w:tcPr>
            <w:tcW w:w="600" w:type="dxa"/>
            <w:vAlign w:val="bottom"/>
            <w:tcBorders>
              <w:right w:val="single" w:sz="8" w:color="0000EE"/>
            </w:tcBorders>
            <w:gridSpan w:val="3"/>
            <w:shd w:val="clear" w:color="auto" w:fill="0000EE"/>
          </w:tcPr>
          <w:p>
            <w:pPr>
              <w:spacing w:after="0" w:line="20" w:lineRule="exact"/>
              <w:rPr>
                <w:sz w:val="1"/>
                <w:szCs w:val="1"/>
                <w:color w:val="auto"/>
              </w:rPr>
            </w:pPr>
          </w:p>
        </w:tc>
        <w:tc>
          <w:tcPr>
            <w:tcW w:w="2500" w:type="dxa"/>
            <w:vAlign w:val="bottom"/>
            <w:gridSpan w:val="4"/>
          </w:tcPr>
          <w:p>
            <w:pPr>
              <w:spacing w:after="0" w:line="20" w:lineRule="exact"/>
              <w:rPr>
                <w:sz w:val="1"/>
                <w:szCs w:val="1"/>
                <w:color w:val="auto"/>
              </w:rPr>
            </w:pPr>
          </w:p>
        </w:tc>
        <w:tc>
          <w:tcPr>
            <w:tcW w:w="5420" w:type="dxa"/>
            <w:vAlign w:val="bottom"/>
            <w:gridSpan w:val="6"/>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r>
      <w:tr>
        <w:trPr>
          <w:trHeight w:val="237"/>
        </w:trPr>
        <w:tc>
          <w:tcPr>
            <w:tcW w:w="560" w:type="dxa"/>
            <w:vAlign w:val="bottom"/>
            <w:gridSpan w:val="2"/>
          </w:tcPr>
          <w:p>
            <w:pPr>
              <w:ind w:left="20"/>
              <w:spacing w:after="0"/>
              <w:rPr>
                <w:sz w:val="20"/>
                <w:szCs w:val="20"/>
                <w:color w:val="auto"/>
              </w:rPr>
            </w:pPr>
            <w:r>
              <w:rPr>
                <w:rFonts w:ascii="Arial" w:cs="Arial" w:eastAsia="Arial" w:hAnsi="Arial"/>
                <w:sz w:val="18"/>
                <w:szCs w:val="18"/>
                <w:color w:val="auto"/>
              </w:rPr>
              <w:t>9B</w:t>
            </w:r>
          </w:p>
        </w:tc>
        <w:tc>
          <w:tcPr>
            <w:tcW w:w="2000" w:type="dxa"/>
            <w:vAlign w:val="bottom"/>
            <w:gridSpan w:val="7"/>
          </w:tcPr>
          <w:p>
            <w:pPr>
              <w:spacing w:after="0"/>
              <w:rPr>
                <w:rFonts w:ascii="Arial" w:cs="Arial" w:eastAsia="Arial" w:hAnsi="Arial"/>
                <w:sz w:val="18"/>
                <w:szCs w:val="18"/>
                <w:color w:val="0000EE"/>
              </w:rPr>
            </w:pPr>
            <w:hyperlink w:anchor="page62">
              <w:r>
                <w:rPr>
                  <w:rFonts w:ascii="Arial" w:cs="Arial" w:eastAsia="Arial" w:hAnsi="Arial"/>
                  <w:sz w:val="18"/>
                  <w:szCs w:val="18"/>
                  <w:color w:val="0000EE"/>
                </w:rPr>
                <w:t>Other Information</w:t>
              </w:r>
            </w:hyperlink>
          </w:p>
        </w:tc>
        <w:tc>
          <w:tcPr>
            <w:tcW w:w="7920" w:type="dxa"/>
            <w:vAlign w:val="bottom"/>
            <w:gridSpan w:val="10"/>
          </w:tcPr>
          <w:p>
            <w:pPr>
              <w:spacing w:after="0"/>
              <w:rPr>
                <w:sz w:val="20"/>
                <w:szCs w:val="20"/>
                <w:color w:val="auto"/>
              </w:rPr>
            </w:pPr>
          </w:p>
        </w:tc>
        <w:tc>
          <w:tcPr>
            <w:tcW w:w="760" w:type="dxa"/>
            <w:vAlign w:val="bottom"/>
            <w:gridSpan w:val="4"/>
          </w:tcPr>
          <w:p>
            <w:pPr>
              <w:jc w:val="right"/>
              <w:spacing w:after="0"/>
              <w:rPr>
                <w:rFonts w:ascii="Arial" w:cs="Arial" w:eastAsia="Arial" w:hAnsi="Arial"/>
                <w:sz w:val="18"/>
                <w:szCs w:val="18"/>
                <w:color w:val="0000EE"/>
              </w:rPr>
            </w:pPr>
            <w:hyperlink w:anchor="page62">
              <w:r>
                <w:rPr>
                  <w:rFonts w:ascii="Arial" w:cs="Arial" w:eastAsia="Arial" w:hAnsi="Arial"/>
                  <w:sz w:val="18"/>
                  <w:szCs w:val="18"/>
                  <w:color w:val="0000EE"/>
                </w:rPr>
                <w:t>60</w:t>
              </w:r>
            </w:hyperlink>
          </w:p>
        </w:tc>
      </w:tr>
      <w:tr>
        <w:trPr>
          <w:trHeight w:val="615"/>
        </w:trPr>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Borders>
              <w:top w:val="single" w:sz="8" w:color="0000EE"/>
            </w:tcBorders>
            <w:gridSpan w:val="4"/>
          </w:tcPr>
          <w:p>
            <w:pPr>
              <w:spacing w:after="0"/>
              <w:rPr>
                <w:sz w:val="20"/>
                <w:szCs w:val="20"/>
                <w:color w:val="auto"/>
              </w:rPr>
            </w:pPr>
            <w:r>
              <w:rPr>
                <w:rFonts w:ascii="Arial" w:cs="Arial" w:eastAsia="Arial" w:hAnsi="Arial"/>
                <w:sz w:val="18"/>
                <w:szCs w:val="18"/>
                <w:b w:val="1"/>
                <w:bCs w:val="1"/>
                <w:color w:val="auto"/>
              </w:rPr>
              <w:t>PART III</w:t>
            </w:r>
          </w:p>
        </w:tc>
        <w:tc>
          <w:tcPr>
            <w:tcW w:w="8520" w:type="dxa"/>
            <w:vAlign w:val="bottom"/>
            <w:gridSpan w:val="13"/>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r>
      <w:tr>
        <w:trPr>
          <w:trHeight w:val="216"/>
        </w:trPr>
        <w:tc>
          <w:tcPr>
            <w:tcW w:w="380" w:type="dxa"/>
            <w:vAlign w:val="bottom"/>
          </w:tcPr>
          <w:p>
            <w:pPr>
              <w:ind w:left="20"/>
              <w:spacing w:after="0"/>
              <w:rPr>
                <w:sz w:val="20"/>
                <w:szCs w:val="20"/>
                <w:color w:val="auto"/>
              </w:rPr>
            </w:pPr>
            <w:r>
              <w:rPr>
                <w:rFonts w:ascii="Arial" w:cs="Arial" w:eastAsia="Arial" w:hAnsi="Arial"/>
                <w:sz w:val="18"/>
                <w:szCs w:val="18"/>
                <w:color w:val="auto"/>
              </w:rPr>
              <w:t>10</w:t>
            </w:r>
          </w:p>
        </w:tc>
        <w:tc>
          <w:tcPr>
            <w:tcW w:w="180" w:type="dxa"/>
            <w:vAlign w:val="bottom"/>
          </w:tcPr>
          <w:p>
            <w:pPr>
              <w:spacing w:after="0"/>
              <w:rPr>
                <w:sz w:val="18"/>
                <w:szCs w:val="18"/>
                <w:color w:val="auto"/>
              </w:rPr>
            </w:pPr>
          </w:p>
        </w:tc>
        <w:tc>
          <w:tcPr>
            <w:tcW w:w="9920" w:type="dxa"/>
            <w:vAlign w:val="bottom"/>
            <w:gridSpan w:val="17"/>
          </w:tcPr>
          <w:p>
            <w:pPr>
              <w:spacing w:after="0"/>
              <w:rPr>
                <w:rFonts w:ascii="Arial" w:cs="Arial" w:eastAsia="Arial" w:hAnsi="Arial"/>
                <w:sz w:val="18"/>
                <w:szCs w:val="18"/>
                <w:color w:val="0000EE"/>
              </w:rPr>
            </w:pPr>
            <w:hyperlink w:anchor="page63">
              <w:r>
                <w:rPr>
                  <w:rFonts w:ascii="Arial" w:cs="Arial" w:eastAsia="Arial" w:hAnsi="Arial"/>
                  <w:sz w:val="18"/>
                  <w:szCs w:val="18"/>
                  <w:color w:val="0000EE"/>
                </w:rPr>
                <w:t>Directors, Executive Officers and Corporate Governance</w:t>
              </w:r>
            </w:hyperlink>
          </w:p>
        </w:tc>
        <w:tc>
          <w:tcPr>
            <w:tcW w:w="760" w:type="dxa"/>
            <w:vAlign w:val="bottom"/>
            <w:gridSpan w:val="4"/>
          </w:tcPr>
          <w:p>
            <w:pPr>
              <w:jc w:val="right"/>
              <w:spacing w:after="0"/>
              <w:rPr>
                <w:rFonts w:ascii="Arial" w:cs="Arial" w:eastAsia="Arial" w:hAnsi="Arial"/>
                <w:sz w:val="18"/>
                <w:szCs w:val="18"/>
                <w:color w:val="0000EE"/>
              </w:rPr>
            </w:pPr>
            <w:hyperlink w:anchor="page63">
              <w:r>
                <w:rPr>
                  <w:rFonts w:ascii="Arial" w:cs="Arial" w:eastAsia="Arial" w:hAnsi="Arial"/>
                  <w:sz w:val="18"/>
                  <w:szCs w:val="18"/>
                  <w:color w:val="0000EE"/>
                </w:rPr>
                <w:t>61</w:t>
              </w:r>
            </w:hyperlink>
          </w:p>
        </w:tc>
      </w:tr>
      <w:tr>
        <w:trPr>
          <w:trHeight w:val="20"/>
        </w:trPr>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0" w:type="dxa"/>
            <w:vAlign w:val="bottom"/>
            <w:tcBorders>
              <w:right w:val="single" w:sz="8" w:color="0000EE"/>
            </w:tcBorders>
            <w:gridSpan w:val="7"/>
            <w:shd w:val="clear" w:color="auto" w:fill="0000EE"/>
          </w:tcPr>
          <w:p>
            <w:pPr>
              <w:spacing w:after="0" w:line="20" w:lineRule="exact"/>
              <w:rPr>
                <w:sz w:val="1"/>
                <w:szCs w:val="1"/>
                <w:color w:val="auto"/>
              </w:rPr>
            </w:pPr>
          </w:p>
        </w:tc>
        <w:tc>
          <w:tcPr>
            <w:tcW w:w="2500" w:type="dxa"/>
            <w:vAlign w:val="bottom"/>
            <w:gridSpan w:val="4"/>
            <w:shd w:val="clear" w:color="auto" w:fill="0000EE"/>
          </w:tcPr>
          <w:p>
            <w:pPr>
              <w:spacing w:after="0" w:line="20" w:lineRule="exact"/>
              <w:rPr>
                <w:sz w:val="1"/>
                <w:szCs w:val="1"/>
                <w:color w:val="auto"/>
              </w:rPr>
            </w:pPr>
          </w:p>
        </w:tc>
        <w:tc>
          <w:tcPr>
            <w:tcW w:w="5420" w:type="dxa"/>
            <w:vAlign w:val="bottom"/>
            <w:gridSpan w:val="6"/>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r>
      <w:tr>
        <w:trPr>
          <w:trHeight w:val="237"/>
        </w:trPr>
        <w:tc>
          <w:tcPr>
            <w:tcW w:w="380" w:type="dxa"/>
            <w:vAlign w:val="bottom"/>
          </w:tcPr>
          <w:p>
            <w:pPr>
              <w:ind w:left="20"/>
              <w:spacing w:after="0"/>
              <w:rPr>
                <w:sz w:val="20"/>
                <w:szCs w:val="20"/>
                <w:color w:val="auto"/>
              </w:rPr>
            </w:pPr>
            <w:r>
              <w:rPr>
                <w:rFonts w:ascii="Arial" w:cs="Arial" w:eastAsia="Arial" w:hAnsi="Arial"/>
                <w:sz w:val="18"/>
                <w:szCs w:val="18"/>
                <w:color w:val="auto"/>
              </w:rPr>
              <w:t>11</w:t>
            </w:r>
          </w:p>
        </w:tc>
        <w:tc>
          <w:tcPr>
            <w:tcW w:w="180" w:type="dxa"/>
            <w:vAlign w:val="bottom"/>
          </w:tcPr>
          <w:p>
            <w:pPr>
              <w:spacing w:after="0"/>
              <w:rPr>
                <w:sz w:val="20"/>
                <w:szCs w:val="20"/>
                <w:color w:val="auto"/>
              </w:rPr>
            </w:pPr>
          </w:p>
        </w:tc>
        <w:tc>
          <w:tcPr>
            <w:tcW w:w="2000" w:type="dxa"/>
            <w:vAlign w:val="bottom"/>
            <w:gridSpan w:val="7"/>
          </w:tcPr>
          <w:p>
            <w:pPr>
              <w:spacing w:after="0"/>
              <w:rPr>
                <w:rFonts w:ascii="Arial" w:cs="Arial" w:eastAsia="Arial" w:hAnsi="Arial"/>
                <w:sz w:val="18"/>
                <w:szCs w:val="18"/>
                <w:color w:val="0000EE"/>
                <w:w w:val="98"/>
              </w:rPr>
            </w:pPr>
            <w:hyperlink w:anchor="page63">
              <w:r>
                <w:rPr>
                  <w:rFonts w:ascii="Arial" w:cs="Arial" w:eastAsia="Arial" w:hAnsi="Arial"/>
                  <w:sz w:val="18"/>
                  <w:szCs w:val="18"/>
                  <w:color w:val="0000EE"/>
                  <w:w w:val="98"/>
                </w:rPr>
                <w:t>Executive Compensation</w:t>
              </w:r>
            </w:hyperlink>
          </w:p>
        </w:tc>
        <w:tc>
          <w:tcPr>
            <w:tcW w:w="2500" w:type="dxa"/>
            <w:vAlign w:val="bottom"/>
            <w:gridSpan w:val="4"/>
          </w:tcPr>
          <w:p>
            <w:pPr>
              <w:spacing w:after="0"/>
              <w:rPr>
                <w:sz w:val="20"/>
                <w:szCs w:val="20"/>
                <w:color w:val="auto"/>
              </w:rPr>
            </w:pPr>
          </w:p>
        </w:tc>
        <w:tc>
          <w:tcPr>
            <w:tcW w:w="5420" w:type="dxa"/>
            <w:vAlign w:val="bottom"/>
            <w:gridSpan w:val="6"/>
          </w:tcPr>
          <w:p>
            <w:pPr>
              <w:spacing w:after="0"/>
              <w:rPr>
                <w:sz w:val="20"/>
                <w:szCs w:val="20"/>
                <w:color w:val="auto"/>
              </w:rPr>
            </w:pPr>
          </w:p>
        </w:tc>
        <w:tc>
          <w:tcPr>
            <w:tcW w:w="760" w:type="dxa"/>
            <w:vAlign w:val="bottom"/>
            <w:gridSpan w:val="4"/>
          </w:tcPr>
          <w:p>
            <w:pPr>
              <w:jc w:val="right"/>
              <w:spacing w:after="0"/>
              <w:rPr>
                <w:rFonts w:ascii="Arial" w:cs="Arial" w:eastAsia="Arial" w:hAnsi="Arial"/>
                <w:sz w:val="18"/>
                <w:szCs w:val="18"/>
                <w:color w:val="0000EE"/>
              </w:rPr>
            </w:pPr>
            <w:hyperlink w:anchor="page63">
              <w:r>
                <w:rPr>
                  <w:rFonts w:ascii="Arial" w:cs="Arial" w:eastAsia="Arial" w:hAnsi="Arial"/>
                  <w:sz w:val="18"/>
                  <w:szCs w:val="18"/>
                  <w:color w:val="0000EE"/>
                </w:rPr>
                <w:t>61</w:t>
              </w:r>
            </w:hyperlink>
          </w:p>
        </w:tc>
      </w:tr>
      <w:tr>
        <w:trPr>
          <w:trHeight w:val="20"/>
        </w:trPr>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bl>
    <w:p>
      <w:pPr>
        <w:spacing w:after="0" w:line="36" w:lineRule="exact"/>
        <w:rPr>
          <w:sz w:val="20"/>
          <w:szCs w:val="20"/>
          <w:color w:val="auto"/>
        </w:rPr>
      </w:pPr>
    </w:p>
    <w:p>
      <w:pPr>
        <w:ind w:left="560" w:hanging="550"/>
        <w:spacing w:after="0"/>
        <w:tabs>
          <w:tab w:leader="none" w:pos="560" w:val="left"/>
        </w:tabs>
        <w:numPr>
          <w:ilvl w:val="0"/>
          <w:numId w:val="1"/>
        </w:numPr>
        <w:rPr>
          <w:rFonts w:ascii="Arial" w:cs="Arial" w:eastAsia="Arial" w:hAnsi="Arial"/>
          <w:sz w:val="18"/>
          <w:szCs w:val="18"/>
          <w:color w:val="0000EE"/>
        </w:rPr>
      </w:pPr>
      <w:hyperlink w:anchor="page63">
        <w:r>
          <w:rPr>
            <w:rFonts w:ascii="Arial" w:cs="Arial" w:eastAsia="Arial" w:hAnsi="Arial"/>
            <w:sz w:val="18"/>
            <w:szCs w:val="18"/>
            <w:color w:val="0000EE"/>
          </w:rPr>
          <w:t>Security Ownership of Certain Beneficial Owners and Management and</w:t>
        </w:r>
      </w:hyperlink>
    </w:p>
    <w:tbl>
      <w:tblPr>
        <w:tblLayout w:type="fixed"/>
        <w:tblInd w:w="20" w:type="dxa"/>
        <w:tblCellMar>
          <w:top w:w="0" w:type="dxa"/>
          <w:left w:w="0" w:type="dxa"/>
          <w:bottom w:w="0" w:type="dxa"/>
          <w:right w:w="0" w:type="dxa"/>
        </w:tblCellMar>
      </w:tblPr>
      <w:tr>
        <w:trPr>
          <w:trHeight w:val="183"/>
        </w:trPr>
        <w:tc>
          <w:tcPr>
            <w:tcW w:w="540" w:type="dxa"/>
            <w:vAlign w:val="bottom"/>
          </w:tcPr>
          <w:p>
            <w:pPr>
              <w:spacing w:after="0"/>
              <w:rPr>
                <w:sz w:val="15"/>
                <w:szCs w:val="15"/>
                <w:color w:val="auto"/>
              </w:rPr>
            </w:pPr>
          </w:p>
        </w:tc>
        <w:tc>
          <w:tcPr>
            <w:tcW w:w="2280" w:type="dxa"/>
            <w:vAlign w:val="bottom"/>
            <w:tcBorders>
              <w:top w:val="single" w:sz="8" w:color="0000EE"/>
              <w:bottom w:val="single" w:sz="8" w:color="0000EE"/>
            </w:tcBorders>
            <w:gridSpan w:val="2"/>
          </w:tcPr>
          <w:p>
            <w:pPr>
              <w:spacing w:after="0" w:line="182" w:lineRule="exact"/>
              <w:rPr>
                <w:rFonts w:ascii="Arial" w:cs="Arial" w:eastAsia="Arial" w:hAnsi="Arial"/>
                <w:sz w:val="18"/>
                <w:szCs w:val="18"/>
                <w:color w:val="0000EE"/>
                <w:w w:val="99"/>
              </w:rPr>
            </w:pPr>
            <w:hyperlink w:anchor="page63">
              <w:r>
                <w:rPr>
                  <w:rFonts w:ascii="Arial" w:cs="Arial" w:eastAsia="Arial" w:hAnsi="Arial"/>
                  <w:sz w:val="18"/>
                  <w:szCs w:val="18"/>
                  <w:color w:val="0000EE"/>
                  <w:w w:val="99"/>
                </w:rPr>
                <w:t>Related Stockholder Matters</w:t>
              </w:r>
            </w:hyperlink>
          </w:p>
        </w:tc>
        <w:tc>
          <w:tcPr>
            <w:tcW w:w="3420" w:type="dxa"/>
            <w:vAlign w:val="bottom"/>
            <w:tcBorders>
              <w:top w:val="single" w:sz="8" w:color="0000EE"/>
            </w:tcBorders>
            <w:gridSpan w:val="3"/>
          </w:tcPr>
          <w:p>
            <w:pPr>
              <w:spacing w:after="0"/>
              <w:rPr>
                <w:sz w:val="15"/>
                <w:szCs w:val="15"/>
                <w:color w:val="auto"/>
              </w:rPr>
            </w:pPr>
          </w:p>
        </w:tc>
        <w:tc>
          <w:tcPr>
            <w:tcW w:w="4780" w:type="dxa"/>
            <w:vAlign w:val="bottom"/>
            <w:gridSpan w:val="2"/>
          </w:tcPr>
          <w:p>
            <w:pPr>
              <w:spacing w:after="0"/>
              <w:rPr>
                <w:sz w:val="15"/>
                <w:szCs w:val="15"/>
                <w:color w:val="auto"/>
              </w:rPr>
            </w:pPr>
          </w:p>
        </w:tc>
        <w:tc>
          <w:tcPr>
            <w:tcW w:w="200" w:type="dxa"/>
            <w:vAlign w:val="bottom"/>
            <w:tcBorders>
              <w:bottom w:val="single" w:sz="8" w:color="0000EE"/>
            </w:tcBorders>
          </w:tcPr>
          <w:p>
            <w:pPr>
              <w:jc w:val="right"/>
              <w:spacing w:after="0" w:line="182" w:lineRule="exact"/>
              <w:rPr>
                <w:rFonts w:ascii="Arial" w:cs="Arial" w:eastAsia="Arial" w:hAnsi="Arial"/>
                <w:sz w:val="18"/>
                <w:szCs w:val="18"/>
                <w:color w:val="0000EE"/>
                <w:w w:val="89"/>
              </w:rPr>
            </w:pPr>
            <w:hyperlink w:anchor="page63">
              <w:r>
                <w:rPr>
                  <w:rFonts w:ascii="Arial" w:cs="Arial" w:eastAsia="Arial" w:hAnsi="Arial"/>
                  <w:sz w:val="18"/>
                  <w:szCs w:val="18"/>
                  <w:color w:val="0000EE"/>
                  <w:w w:val="89"/>
                </w:rPr>
                <w:t>61</w:t>
              </w:r>
            </w:hyperlink>
          </w:p>
        </w:tc>
      </w:tr>
      <w:tr>
        <w:trPr>
          <w:trHeight w:val="237"/>
        </w:trPr>
        <w:tc>
          <w:tcPr>
            <w:tcW w:w="540" w:type="dxa"/>
            <w:vAlign w:val="bottom"/>
          </w:tcPr>
          <w:p>
            <w:pPr>
              <w:jc w:val="right"/>
              <w:ind w:right="250"/>
              <w:spacing w:after="0"/>
              <w:rPr>
                <w:sz w:val="20"/>
                <w:szCs w:val="20"/>
                <w:color w:val="auto"/>
              </w:rPr>
            </w:pPr>
            <w:r>
              <w:rPr>
                <w:rFonts w:ascii="Arial" w:cs="Arial" w:eastAsia="Arial" w:hAnsi="Arial"/>
                <w:sz w:val="18"/>
                <w:szCs w:val="18"/>
                <w:color w:val="auto"/>
                <w:w w:val="89"/>
              </w:rPr>
              <w:t>13</w:t>
            </w:r>
          </w:p>
        </w:tc>
        <w:tc>
          <w:tcPr>
            <w:tcW w:w="10480" w:type="dxa"/>
            <w:vAlign w:val="bottom"/>
            <w:gridSpan w:val="7"/>
          </w:tcPr>
          <w:p>
            <w:pPr>
              <w:spacing w:after="0"/>
              <w:rPr>
                <w:rFonts w:ascii="Arial" w:cs="Arial" w:eastAsia="Arial" w:hAnsi="Arial"/>
                <w:sz w:val="18"/>
                <w:szCs w:val="18"/>
                <w:color w:val="0000EE"/>
              </w:rPr>
            </w:pPr>
            <w:hyperlink w:anchor="page63">
              <w:r>
                <w:rPr>
                  <w:rFonts w:ascii="Arial" w:cs="Arial" w:eastAsia="Arial" w:hAnsi="Arial"/>
                  <w:sz w:val="18"/>
                  <w:szCs w:val="18"/>
                  <w:color w:val="0000EE"/>
                </w:rPr>
                <w:t>Certain Relationships and Related Transactions, and Director Independence</w:t>
              </w:r>
            </w:hyperlink>
          </w:p>
        </w:tc>
        <w:tc>
          <w:tcPr>
            <w:tcW w:w="200" w:type="dxa"/>
            <w:vAlign w:val="bottom"/>
          </w:tcPr>
          <w:p>
            <w:pPr>
              <w:jc w:val="right"/>
              <w:spacing w:after="0"/>
              <w:rPr>
                <w:rFonts w:ascii="Arial" w:cs="Arial" w:eastAsia="Arial" w:hAnsi="Arial"/>
                <w:sz w:val="18"/>
                <w:szCs w:val="18"/>
                <w:color w:val="0000EE"/>
                <w:w w:val="89"/>
              </w:rPr>
            </w:pPr>
            <w:hyperlink w:anchor="page63">
              <w:r>
                <w:rPr>
                  <w:rFonts w:ascii="Arial" w:cs="Arial" w:eastAsia="Arial" w:hAnsi="Arial"/>
                  <w:sz w:val="18"/>
                  <w:szCs w:val="18"/>
                  <w:color w:val="0000EE"/>
                  <w:w w:val="89"/>
                </w:rPr>
                <w:t>61</w:t>
              </w:r>
            </w:hyperlink>
          </w:p>
        </w:tc>
      </w:tr>
      <w:tr>
        <w:trPr>
          <w:trHeight w:val="237"/>
        </w:trPr>
        <w:tc>
          <w:tcPr>
            <w:tcW w:w="540" w:type="dxa"/>
            <w:vAlign w:val="bottom"/>
          </w:tcPr>
          <w:p>
            <w:pPr>
              <w:jc w:val="right"/>
              <w:ind w:right="250"/>
              <w:spacing w:after="0"/>
              <w:rPr>
                <w:sz w:val="20"/>
                <w:szCs w:val="20"/>
                <w:color w:val="auto"/>
              </w:rPr>
            </w:pPr>
            <w:r>
              <w:rPr>
                <w:rFonts w:ascii="Arial" w:cs="Arial" w:eastAsia="Arial" w:hAnsi="Arial"/>
                <w:sz w:val="18"/>
                <w:szCs w:val="18"/>
                <w:color w:val="auto"/>
                <w:w w:val="89"/>
              </w:rPr>
              <w:t>14</w:t>
            </w:r>
          </w:p>
        </w:tc>
        <w:tc>
          <w:tcPr>
            <w:tcW w:w="6080" w:type="dxa"/>
            <w:vAlign w:val="bottom"/>
            <w:tcBorders>
              <w:top w:val="single" w:sz="8" w:color="0000EE"/>
            </w:tcBorders>
            <w:gridSpan w:val="6"/>
          </w:tcPr>
          <w:p>
            <w:pPr>
              <w:spacing w:after="0"/>
              <w:rPr>
                <w:rFonts w:ascii="Arial" w:cs="Arial" w:eastAsia="Arial" w:hAnsi="Arial"/>
                <w:sz w:val="18"/>
                <w:szCs w:val="18"/>
                <w:color w:val="0000EE"/>
              </w:rPr>
            </w:pPr>
            <w:hyperlink w:anchor="page63">
              <w:r>
                <w:rPr>
                  <w:rFonts w:ascii="Arial" w:cs="Arial" w:eastAsia="Arial" w:hAnsi="Arial"/>
                  <w:sz w:val="18"/>
                  <w:szCs w:val="18"/>
                  <w:color w:val="0000EE"/>
                </w:rPr>
                <w:t>Principal Accountant Fees and Services</w:t>
              </w:r>
            </w:hyperlink>
          </w:p>
        </w:tc>
        <w:tc>
          <w:tcPr>
            <w:tcW w:w="4400" w:type="dxa"/>
            <w:vAlign w:val="bottom"/>
          </w:tcPr>
          <w:p>
            <w:pPr>
              <w:spacing w:after="0"/>
              <w:rPr>
                <w:sz w:val="20"/>
                <w:szCs w:val="20"/>
                <w:color w:val="auto"/>
              </w:rPr>
            </w:pPr>
          </w:p>
        </w:tc>
        <w:tc>
          <w:tcPr>
            <w:tcW w:w="200" w:type="dxa"/>
            <w:vAlign w:val="bottom"/>
            <w:tcBorders>
              <w:top w:val="single" w:sz="8" w:color="0000EE"/>
            </w:tcBorders>
          </w:tcPr>
          <w:p>
            <w:pPr>
              <w:jc w:val="right"/>
              <w:spacing w:after="0"/>
              <w:rPr>
                <w:rFonts w:ascii="Arial" w:cs="Arial" w:eastAsia="Arial" w:hAnsi="Arial"/>
                <w:sz w:val="18"/>
                <w:szCs w:val="18"/>
                <w:color w:val="0000EE"/>
                <w:w w:val="89"/>
              </w:rPr>
            </w:pPr>
            <w:hyperlink w:anchor="page63">
              <w:r>
                <w:rPr>
                  <w:rFonts w:ascii="Arial" w:cs="Arial" w:eastAsia="Arial" w:hAnsi="Arial"/>
                  <w:sz w:val="18"/>
                  <w:szCs w:val="18"/>
                  <w:color w:val="0000EE"/>
                  <w:w w:val="89"/>
                </w:rPr>
                <w:t>61</w:t>
              </w:r>
            </w:hyperlink>
          </w:p>
        </w:tc>
      </w:tr>
      <w:tr>
        <w:trPr>
          <w:trHeight w:val="615"/>
        </w:trPr>
        <w:tc>
          <w:tcPr>
            <w:tcW w:w="540" w:type="dxa"/>
            <w:vAlign w:val="bottom"/>
          </w:tcPr>
          <w:p>
            <w:pPr>
              <w:spacing w:after="0"/>
              <w:rPr>
                <w:sz w:val="24"/>
                <w:szCs w:val="24"/>
                <w:color w:val="auto"/>
              </w:rPr>
            </w:pPr>
          </w:p>
        </w:tc>
        <w:tc>
          <w:tcPr>
            <w:tcW w:w="3180" w:type="dxa"/>
            <w:vAlign w:val="bottom"/>
            <w:tcBorders>
              <w:top w:val="single" w:sz="8" w:color="0000EE"/>
            </w:tcBorders>
            <w:gridSpan w:val="3"/>
          </w:tcPr>
          <w:p>
            <w:pPr>
              <w:spacing w:after="0"/>
              <w:rPr>
                <w:sz w:val="20"/>
                <w:szCs w:val="20"/>
                <w:color w:val="auto"/>
              </w:rPr>
            </w:pPr>
            <w:r>
              <w:rPr>
                <w:rFonts w:ascii="Arial" w:cs="Arial" w:eastAsia="Arial" w:hAnsi="Arial"/>
                <w:sz w:val="18"/>
                <w:szCs w:val="18"/>
                <w:b w:val="1"/>
                <w:bCs w:val="1"/>
                <w:color w:val="auto"/>
              </w:rPr>
              <w:t>PART IV</w:t>
            </w:r>
          </w:p>
        </w:tc>
        <w:tc>
          <w:tcPr>
            <w:tcW w:w="7300" w:type="dxa"/>
            <w:vAlign w:val="bottom"/>
            <w:gridSpan w:val="4"/>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r>
      <w:tr>
        <w:trPr>
          <w:trHeight w:val="216"/>
        </w:trPr>
        <w:tc>
          <w:tcPr>
            <w:tcW w:w="540" w:type="dxa"/>
            <w:vAlign w:val="bottom"/>
          </w:tcPr>
          <w:p>
            <w:pPr>
              <w:jc w:val="right"/>
              <w:ind w:right="250"/>
              <w:spacing w:after="0"/>
              <w:rPr>
                <w:sz w:val="20"/>
                <w:szCs w:val="20"/>
                <w:color w:val="auto"/>
              </w:rPr>
            </w:pPr>
            <w:r>
              <w:rPr>
                <w:rFonts w:ascii="Arial" w:cs="Arial" w:eastAsia="Arial" w:hAnsi="Arial"/>
                <w:sz w:val="18"/>
                <w:szCs w:val="18"/>
                <w:color w:val="auto"/>
                <w:w w:val="89"/>
              </w:rPr>
              <w:t>15</w:t>
            </w:r>
          </w:p>
        </w:tc>
        <w:tc>
          <w:tcPr>
            <w:tcW w:w="3520" w:type="dxa"/>
            <w:vAlign w:val="bottom"/>
            <w:tcBorders>
              <w:bottom w:val="single" w:sz="8" w:color="0000EE"/>
            </w:tcBorders>
            <w:gridSpan w:val="4"/>
          </w:tcPr>
          <w:p>
            <w:pPr>
              <w:spacing w:after="0"/>
              <w:rPr>
                <w:rFonts w:ascii="Arial" w:cs="Arial" w:eastAsia="Arial" w:hAnsi="Arial"/>
                <w:sz w:val="18"/>
                <w:szCs w:val="18"/>
                <w:color w:val="0000EE"/>
                <w:w w:val="99"/>
              </w:rPr>
            </w:pPr>
            <w:hyperlink w:anchor="page64">
              <w:r>
                <w:rPr>
                  <w:rFonts w:ascii="Arial" w:cs="Arial" w:eastAsia="Arial" w:hAnsi="Arial"/>
                  <w:sz w:val="18"/>
                  <w:szCs w:val="18"/>
                  <w:color w:val="0000EE"/>
                  <w:w w:val="99"/>
                </w:rPr>
                <w:t>Exhibits and Financial Statement Schedules</w:t>
              </w:r>
            </w:hyperlink>
          </w:p>
        </w:tc>
        <w:tc>
          <w:tcPr>
            <w:tcW w:w="6960" w:type="dxa"/>
            <w:vAlign w:val="bottom"/>
            <w:gridSpan w:val="3"/>
          </w:tcPr>
          <w:p>
            <w:pPr>
              <w:spacing w:after="0"/>
              <w:rPr>
                <w:sz w:val="18"/>
                <w:szCs w:val="18"/>
                <w:color w:val="auto"/>
              </w:rPr>
            </w:pPr>
          </w:p>
        </w:tc>
        <w:tc>
          <w:tcPr>
            <w:tcW w:w="200" w:type="dxa"/>
            <w:vAlign w:val="bottom"/>
            <w:tcBorders>
              <w:bottom w:val="single" w:sz="8" w:color="0000EE"/>
            </w:tcBorders>
          </w:tcPr>
          <w:p>
            <w:pPr>
              <w:jc w:val="right"/>
              <w:spacing w:after="0"/>
              <w:rPr>
                <w:rFonts w:ascii="Arial" w:cs="Arial" w:eastAsia="Arial" w:hAnsi="Arial"/>
                <w:sz w:val="18"/>
                <w:szCs w:val="18"/>
                <w:color w:val="0000EE"/>
                <w:w w:val="89"/>
              </w:rPr>
            </w:pPr>
            <w:hyperlink w:anchor="page64">
              <w:r>
                <w:rPr>
                  <w:rFonts w:ascii="Arial" w:cs="Arial" w:eastAsia="Arial" w:hAnsi="Arial"/>
                  <w:sz w:val="18"/>
                  <w:szCs w:val="18"/>
                  <w:color w:val="0000EE"/>
                  <w:w w:val="89"/>
                </w:rPr>
                <w:t>62</w:t>
              </w:r>
            </w:hyperlink>
          </w:p>
        </w:tc>
      </w:tr>
      <w:tr>
        <w:trPr>
          <w:trHeight w:val="250"/>
        </w:trPr>
        <w:tc>
          <w:tcPr>
            <w:tcW w:w="540" w:type="dxa"/>
            <w:vAlign w:val="bottom"/>
          </w:tcPr>
          <w:p>
            <w:pPr>
              <w:spacing w:after="0"/>
              <w:rPr>
                <w:sz w:val="21"/>
                <w:szCs w:val="21"/>
                <w:color w:val="auto"/>
              </w:rPr>
            </w:pPr>
          </w:p>
        </w:tc>
        <w:tc>
          <w:tcPr>
            <w:tcW w:w="10480" w:type="dxa"/>
            <w:vAlign w:val="bottom"/>
            <w:gridSpan w:val="7"/>
          </w:tcPr>
          <w:p>
            <w:pPr>
              <w:spacing w:after="0"/>
              <w:rPr>
                <w:rFonts w:ascii="Arial" w:cs="Arial" w:eastAsia="Arial" w:hAnsi="Arial"/>
                <w:sz w:val="18"/>
                <w:szCs w:val="18"/>
                <w:color w:val="0000EE"/>
              </w:rPr>
            </w:pPr>
            <w:hyperlink w:anchor="page65">
              <w:r>
                <w:rPr>
                  <w:rFonts w:ascii="Arial" w:cs="Arial" w:eastAsia="Arial" w:hAnsi="Arial"/>
                  <w:sz w:val="18"/>
                  <w:szCs w:val="18"/>
                  <w:color w:val="0000EE"/>
                </w:rPr>
                <w:t>Signatures</w:t>
              </w:r>
            </w:hyperlink>
          </w:p>
        </w:tc>
        <w:tc>
          <w:tcPr>
            <w:tcW w:w="200" w:type="dxa"/>
            <w:vAlign w:val="bottom"/>
          </w:tcPr>
          <w:p>
            <w:pPr>
              <w:jc w:val="right"/>
              <w:spacing w:after="0"/>
              <w:rPr>
                <w:rFonts w:ascii="Arial" w:cs="Arial" w:eastAsia="Arial" w:hAnsi="Arial"/>
                <w:sz w:val="18"/>
                <w:szCs w:val="18"/>
                <w:color w:val="0000EE"/>
                <w:w w:val="89"/>
              </w:rPr>
            </w:pPr>
            <w:hyperlink w:anchor="page65">
              <w:r>
                <w:rPr>
                  <w:rFonts w:ascii="Arial" w:cs="Arial" w:eastAsia="Arial" w:hAnsi="Arial"/>
                  <w:sz w:val="18"/>
                  <w:szCs w:val="18"/>
                  <w:color w:val="0000EE"/>
                  <w:w w:val="89"/>
                </w:rPr>
                <w:t>63</w:t>
              </w:r>
            </w:hyperlink>
          </w:p>
        </w:tc>
      </w:tr>
      <w:tr>
        <w:trPr>
          <w:trHeight w:val="20"/>
        </w:trPr>
        <w:tc>
          <w:tcPr>
            <w:tcW w:w="54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r>
    </w:tbl>
    <w:p>
      <w:pPr>
        <w:sectPr>
          <w:pgSz w:w="11900" w:h="16838" w:orient="portrait"/>
          <w:cols w:equalWidth="0" w:num="1">
            <w:col w:w="11240"/>
          </w:cols>
          <w:pgMar w:left="400" w:top="360" w:right="25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247"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Certain statements contained in this Annual Report on Form 10-K may be considered “forward-looking statements” as that term is defined in the Private Securities Litigation Reform Act of 1995. The forward-looking statements contained herein are subject to known and unknown risks, uncertainties, assumptions and other factors that may cause our actual results, performance or achievements to be materially different from those expressed or implied by any such forward-looking statements. Forward-looking statements include information concerning our future financial performance, business strategy, projected plans and objectives. These statements may be identified by the fact that they do not relate to historical or current facts and may use words such as “believes,” “expects,” “anticipates,” “will,” “should,” “could,” “may,” “would,” “intends,” “projects,” “estimates,” “plans,” and similar words, expressions or phrases. The following important factors and assumptions could affect our future results and could cause actual results to differ materially from those expressed in such forward-looking statements:</w:t>
      </w:r>
    </w:p>
    <w:p>
      <w:pPr>
        <w:spacing w:after="0" w:line="206"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high level of competition in the vehicle rental industry and the impact such competition may have on pricing and rental volume;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 change in travel demand, including changes or disruptions in airline passenger traffic;</w:t>
      </w:r>
    </w:p>
    <w:p>
      <w:pPr>
        <w:spacing w:after="0" w:line="225" w:lineRule="exact"/>
        <w:rPr>
          <w:rFonts w:ascii="Arial" w:cs="Arial" w:eastAsia="Arial" w:hAnsi="Arial"/>
          <w:sz w:val="18"/>
          <w:szCs w:val="18"/>
          <w:color w:val="auto"/>
        </w:rPr>
      </w:pPr>
    </w:p>
    <w:p>
      <w:pPr>
        <w:ind w:left="660" w:right="260" w:hanging="328"/>
        <w:spacing w:after="0" w:line="256"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 change in our fleet costs as a result of a change in the cost of new vehicles, manufacturer recalls, disruption in the supply of new vehicles, and/or a change in the price at which we dispose of used vehicles either in the used vehicle market or under repurchase or guaranteed depreciation programs;</w:t>
      </w:r>
    </w:p>
    <w:p>
      <w:pPr>
        <w:spacing w:after="0" w:line="201" w:lineRule="exact"/>
        <w:rPr>
          <w:rFonts w:ascii="Arial" w:cs="Arial" w:eastAsia="Arial" w:hAnsi="Arial"/>
          <w:sz w:val="18"/>
          <w:szCs w:val="18"/>
          <w:color w:val="auto"/>
        </w:rPr>
      </w:pPr>
    </w:p>
    <w:p>
      <w:pPr>
        <w:ind w:left="660" w:hanging="328"/>
        <w:spacing w:after="0" w:line="256"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results of operations or financial condition of the manufacturers of our cars, which could impact their ability to perform their payment obligations under our agreements with them, including repurchase and/or guaranteed depreciation arrangements, and/or their willingness or ability to make cars available to us or the rental car industry as a whole on commercially reasonable terms or at all;</w:t>
      </w:r>
    </w:p>
    <w:p>
      <w:pPr>
        <w:spacing w:after="0" w:line="201"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any change in economic conditions generally, particularly during our peak season or in key market segments;</w:t>
      </w:r>
    </w:p>
    <w:p>
      <w:pPr>
        <w:spacing w:after="0" w:line="225" w:lineRule="exact"/>
        <w:rPr>
          <w:rFonts w:ascii="Arial" w:cs="Arial" w:eastAsia="Arial" w:hAnsi="Arial"/>
          <w:sz w:val="18"/>
          <w:szCs w:val="18"/>
          <w:color w:val="auto"/>
        </w:rPr>
      </w:pPr>
    </w:p>
    <w:p>
      <w:pPr>
        <w:ind w:left="660" w:right="100" w:hanging="328"/>
        <w:spacing w:after="0" w:line="262"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continue to successfully implement our business strategies, achieve and maintain cost savings and adapt our business to changes in mobility;</w:t>
      </w:r>
    </w:p>
    <w:p>
      <w:pPr>
        <w:spacing w:after="0" w:line="196" w:lineRule="exact"/>
        <w:rPr>
          <w:rFonts w:ascii="Arial" w:cs="Arial" w:eastAsia="Arial" w:hAnsi="Arial"/>
          <w:sz w:val="18"/>
          <w:szCs w:val="18"/>
          <w:color w:val="auto"/>
        </w:rPr>
      </w:pPr>
    </w:p>
    <w:p>
      <w:pPr>
        <w:ind w:left="660" w:right="180" w:hanging="328"/>
        <w:spacing w:after="0" w:line="262"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obtain financing for our global operations, including the funding of our vehicle fleet through the issuance of asset-backed securities and use of the global lending markets;</w:t>
      </w:r>
    </w:p>
    <w:p>
      <w:pPr>
        <w:spacing w:after="0" w:line="196" w:lineRule="exact"/>
        <w:rPr>
          <w:rFonts w:ascii="Arial" w:cs="Arial" w:eastAsia="Arial" w:hAnsi="Arial"/>
          <w:sz w:val="18"/>
          <w:szCs w:val="18"/>
          <w:color w:val="auto"/>
        </w:rPr>
      </w:pPr>
    </w:p>
    <w:p>
      <w:pPr>
        <w:ind w:left="660" w:right="600" w:hanging="328"/>
        <w:spacing w:after="0" w:line="262"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 occurrence or threat of terrorism, pandemic disease, natural disasters, military conflict, civil unrest or political instability in the locations in which we operate;</w:t>
      </w:r>
    </w:p>
    <w:p>
      <w:pPr>
        <w:spacing w:after="0" w:line="196"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conform to multiple and conflicting laws or regulations in the countries in which we operate;</w:t>
      </w:r>
    </w:p>
    <w:p>
      <w:pPr>
        <w:spacing w:after="0" w:line="225" w:lineRule="exact"/>
        <w:rPr>
          <w:rFonts w:ascii="Arial" w:cs="Arial" w:eastAsia="Arial" w:hAnsi="Arial"/>
          <w:sz w:val="18"/>
          <w:szCs w:val="18"/>
          <w:color w:val="auto"/>
        </w:rPr>
      </w:pPr>
    </w:p>
    <w:p>
      <w:pPr>
        <w:ind w:left="660" w:right="240" w:hanging="328"/>
        <w:spacing w:after="0" w:line="262"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dependence on third-party distribution channels, third-party suppliers of other services and co-marketing arrangements with third parties;</w:t>
      </w:r>
    </w:p>
    <w:p>
      <w:pPr>
        <w:spacing w:after="0" w:line="196"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dependence on the performance and retention of our senior management and key employees;</w:t>
      </w:r>
    </w:p>
    <w:p>
      <w:pPr>
        <w:spacing w:after="0" w:line="225" w:lineRule="exact"/>
        <w:rPr>
          <w:rFonts w:ascii="Arial" w:cs="Arial" w:eastAsia="Arial" w:hAnsi="Arial"/>
          <w:sz w:val="18"/>
          <w:szCs w:val="18"/>
          <w:color w:val="auto"/>
        </w:rPr>
      </w:pPr>
    </w:p>
    <w:p>
      <w:pPr>
        <w:ind w:left="660" w:right="180" w:hanging="328"/>
        <w:spacing w:after="0" w:line="262"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utilize derivative instruments, and the impact of derivative instruments we utilize, which can be affected by fluctuations in interest rates, gasoline prices and exchange rates, changes in government regulations and other factors;</w:t>
      </w:r>
    </w:p>
    <w:p>
      <w:pPr>
        <w:spacing w:after="0" w:line="196"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accurately estimate our future results;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any major disruptions in our communication networks or information systems;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exposure to uninsured or unpaid claims in excess of historical levels;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40" w:right="2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left="660" w:right="360" w:hanging="328"/>
        <w:spacing w:after="0" w:line="256"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associated with litigation, governmental or regulatory inquiries, or any failure or inability to comply with laws, regulations or contractual obligations or any changes in laws, regulations or contractual obligations, including with respect to personal identifiable information and consumer privacy, labor and employment, and tax;</w:t>
      </w:r>
    </w:p>
    <w:p>
      <w:pPr>
        <w:spacing w:after="0" w:line="20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any impact on us from the actions of our licensees, dealers, third party vendors and independent contractors;</w:t>
      </w:r>
    </w:p>
    <w:p>
      <w:pPr>
        <w:spacing w:after="0" w:line="225"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any substantial changes in the cost or supply of fuel, vehicle parts, energy, labor or other resources on which we depend to operate our business;</w:t>
      </w:r>
    </w:p>
    <w:p>
      <w:pPr>
        <w:spacing w:after="0" w:line="196"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related to our indebtedness, including our substantial outstanding debt obligations and our ability to incur substantially more debt;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meet the financial and other covenants contained in the agreements governing our indebtedness;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related to tax obligations and the effect of future changes in tax laws and accounting standards;</w:t>
      </w:r>
    </w:p>
    <w:p>
      <w:pPr>
        <w:spacing w:after="0" w:line="225" w:lineRule="exact"/>
        <w:rPr>
          <w:rFonts w:ascii="Arial" w:cs="Arial" w:eastAsia="Arial" w:hAnsi="Arial"/>
          <w:sz w:val="18"/>
          <w:szCs w:val="18"/>
          <w:color w:val="auto"/>
        </w:rPr>
      </w:pPr>
    </w:p>
    <w:p>
      <w:pPr>
        <w:ind w:left="660" w:right="140" w:hanging="328"/>
        <w:spacing w:after="0" w:line="256"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related to completed or future acquisitions or investments that we may pursue, including the incurrence of incremental indebtedness to help fund such transactions and our ability to promptly and effectively integrate any acquired businesses or capitalize on joint ventures, partnerships and other investments;</w:t>
      </w:r>
    </w:p>
    <w:p>
      <w:pPr>
        <w:spacing w:after="0" w:line="201" w:lineRule="exact"/>
        <w:rPr>
          <w:rFonts w:ascii="Arial" w:cs="Arial" w:eastAsia="Arial" w:hAnsi="Arial"/>
          <w:sz w:val="18"/>
          <w:szCs w:val="18"/>
          <w:color w:val="auto"/>
        </w:rPr>
      </w:pPr>
    </w:p>
    <w:p>
      <w:pPr>
        <w:ind w:left="660" w:right="440" w:hanging="328"/>
        <w:spacing w:after="0" w:line="262"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related to a proxy contest for the election of directors at our annual meeting, which could negatively impact our operations or cause volatility in our stock price;</w:t>
      </w:r>
    </w:p>
    <w:p>
      <w:pPr>
        <w:spacing w:after="0" w:line="196" w:lineRule="exact"/>
        <w:rPr>
          <w:rFonts w:ascii="Arial" w:cs="Arial" w:eastAsia="Arial" w:hAnsi="Arial"/>
          <w:sz w:val="18"/>
          <w:szCs w:val="18"/>
          <w:color w:val="auto"/>
        </w:rPr>
      </w:pPr>
    </w:p>
    <w:p>
      <w:pPr>
        <w:jc w:val="both"/>
        <w:ind w:left="660" w:right="220" w:hanging="328"/>
        <w:spacing w:after="0" w:line="256"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related to protecting the integrity of, and preventing unauthorized access to, our information technology systems or those of our third party vendors, and protecting the confidential information of our employees and customers against security breaches, including physical or cyber-security breaches, attacks, or other disruptions; and</w:t>
      </w:r>
    </w:p>
    <w:p>
      <w:pPr>
        <w:spacing w:after="0" w:line="201" w:lineRule="exact"/>
        <w:rPr>
          <w:rFonts w:ascii="Arial" w:cs="Arial" w:eastAsia="Arial" w:hAnsi="Arial"/>
          <w:sz w:val="18"/>
          <w:szCs w:val="18"/>
          <w:color w:val="auto"/>
        </w:rPr>
      </w:pPr>
    </w:p>
    <w:p>
      <w:pPr>
        <w:ind w:left="660" w:right="240" w:hanging="328"/>
        <w:spacing w:after="0" w:line="262"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other business, economic, competitive, governmental, regulatory, political or technological factors affecting our operations, pricing or services.</w:t>
      </w:r>
    </w:p>
    <w:p>
      <w:pPr>
        <w:spacing w:after="0" w:line="196"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We operate in a continuously changing business environment and new risk factors emerge from time to time. New risk factors, factors beyond our control, or changes in the impact of identified risk factors may cause actual results to differ materially from those set forth in any forward-looking statements. Accordingly, forward-looking statements should not be relied upon as a prediction of actual results. Moreover, we do not assume responsibility for the accuracy and completeness of those statements. Other factors and assumptions not identified above, including those discussed in “Management’s Discussion and Analysis of Financial Condition and Results of Operations” set forth in Item 7, in “Risk Factors” set forth in Item 1A and in other portions of this Annual Report on Form 10-K, may contain forward-looking statements and involve uncertainties that could cause actual results to differ materially from those projected in such statements.</w:t>
      </w:r>
    </w:p>
    <w:p>
      <w:pPr>
        <w:spacing w:after="0" w:line="207"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Although we believe that our assumptions are reasonable, any or all of our forward-looking statements may prove to be inaccurate and we can make no guarantees about our future performance. Should unknown risks or uncertainties materialize or underlying assumptions prove inaccurate, actual results could differ materially from past results and/or those anticipated, estimated or projected. Except to the extent of our obligations under the federal securities laws, we undertake no obligation to release any revisions to any forward-looking statements, to report events or to report the occurrence of unanticipated events. For any forward-looking statements contained in any document, we claim the protection of the safe harbor for forward-looking statements contained in the Private Securities Litigation Reform Act of 1995.</w:t>
      </w: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140" w:right="25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254875" cy="1803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4875" cy="180340"/>
                    </a:xfrm>
                    <a:prstGeom prst="rect">
                      <a:avLst/>
                    </a:prstGeom>
                    <a:noFill/>
                  </pic:spPr>
                </pic:pic>
              </a:graphicData>
            </a:graphic>
          </wp:anchor>
        </w:drawing>
      </w:r>
    </w:p>
    <w:p>
      <w:pPr>
        <w:spacing w:after="0" w:line="165"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ITEM 1. BUSINESS</w:t>
      </w:r>
    </w:p>
    <w:p>
      <w:pPr>
        <w:spacing w:after="0" w:line="256"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i w:val="1"/>
          <w:iCs w:val="1"/>
          <w:color w:val="auto"/>
        </w:rPr>
        <w:t>Except as expressly indicated or unless the context otherwise requires, the “Company,” “Avis Budget,” “we,” “our” or “us” means Avis Budget Group, Inc. and its subsidiaries. “Avis,” “Budget,” “Budget Truck,” “Zipcar,” “Payless,” “Apex,” “Maggiore” and “FranceCars” refer to our Avis Rent A Car System, LLC, Budget Rent A Car System, Inc., Budget Truck Rental, LLC, Zipcar, Inc., Payless Car Rental, Inc., Apex Car Rentals, Maggiore Rent S.p.A. and AAA France Cars SAS operations, respectively, and, unless the context otherwise requires, do not include the operations of our licensees, as further discussed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254875" cy="1803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4875" cy="180340"/>
                    </a:xfrm>
                    <a:prstGeom prst="rect">
                      <a:avLst/>
                    </a:prstGeom>
                    <a:noFill/>
                  </pic:spPr>
                </pic:pic>
              </a:graphicData>
            </a:graphic>
          </wp:anchor>
        </w:drawing>
      </w:r>
    </w:p>
    <w:p>
      <w:pPr>
        <w:spacing w:after="0" w:line="227"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OVERVIEW</w:t>
      </w:r>
    </w:p>
    <w:p>
      <w:pPr>
        <w:spacing w:after="0" w:line="274" w:lineRule="exact"/>
        <w:rPr>
          <w:sz w:val="20"/>
          <w:szCs w:val="20"/>
          <w:color w:val="auto"/>
        </w:rPr>
      </w:pPr>
    </w:p>
    <w:p>
      <w:pPr>
        <w:ind w:right="400"/>
        <w:spacing w:after="0" w:line="253" w:lineRule="auto"/>
        <w:rPr>
          <w:sz w:val="20"/>
          <w:szCs w:val="20"/>
          <w:color w:val="auto"/>
        </w:rPr>
      </w:pPr>
      <w:r>
        <w:rPr>
          <w:rFonts w:ascii="Arial" w:cs="Arial" w:eastAsia="Arial" w:hAnsi="Arial"/>
          <w:sz w:val="18"/>
          <w:szCs w:val="18"/>
          <w:color w:val="auto"/>
        </w:rPr>
        <w:t>We are a leading global provider of vehicle rental and other mobility solutions, through our three most recognized brands Avis, Budget and Zipcar together with several brands well recognized in their respective markets, including Payless in the U.S. and certain other regions, Maggiore in Italy, FranceCars in France and Apex in both Australia and New Zealand. We and our licensees operate the Avis and Budget brands in approximately 180 countries throughout the world. We generally maintain a leading share of airport car rental revenue in North America, Europe and Australasia, and we operate one of the leading truck rental businesses in the U.S.</w:t>
      </w:r>
    </w:p>
    <w:p>
      <w:pPr>
        <w:spacing w:after="0" w:line="206"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Our brands are differentiated to help us meet a wide range of customer mobility needs throughout the world. Avis is a leading rental vehicle brand positioned to serve the premium commercial and leisure segments of the travel industry, and Budget is a leading rental vehicle brand focused primarily on more value-conscious segments of the industry. Our Zipcar brand is the world’s leading car sharing business offering an alternative to traditional vehicle rental and ownership.</w:t>
      </w:r>
    </w:p>
    <w:p>
      <w:pPr>
        <w:spacing w:after="0" w:line="20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On average, our rental fleet totaled more than 620,000 vehicles and we completed more than 39 million vehicle rental transactions worldwide in 2017. We generate approximately 70% of our time and mileage (“T&amp;M”) revenue from on-airport locations and approximately 30% of our T&amp;M revenue from off-airport locations. We also license the use of the Avis, Budget and Zipcar trademarks to licensees in areas in which we do not operate directly. Our brands have an extended global reach with more than 11,000 car and truck rental locations throughout the world, including approximately 4,750 car rental locations operated by our licensees. We believe that Avis, Budget and Zipcar enjoy complementary demand patterns with mid-week commercial demand balanced by weekend leisure demand.</w:t>
      </w:r>
    </w:p>
    <w:p>
      <w:pPr>
        <w:spacing w:after="0" w:line="209"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We operate Budget Truck, one of the leading truck rental businesses in the U.S., through a network of approximately 925 dealer-operated and 450 Company-operated locations throughout the continental U.S. We also own Payless, a car rental brand that operates in the deep-value segment of the industry in the U.S. and other regions; Apex, which is a leading deep-value car rental brand in New Zealand and Australia; Maggiore, a leading vehicle rental brand in Italy; and FranceCars, which operates one of the largest light commercial vehicle fleets in France. We also have investments in certain of our Avis and Budget licensees outside of the U.S., including joint ventures in India and China.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254875" cy="1803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4875" cy="180340"/>
                    </a:xfrm>
                    <a:prstGeom prst="rect">
                      <a:avLst/>
                    </a:prstGeom>
                    <a:noFill/>
                  </pic:spPr>
                </pic:pic>
              </a:graphicData>
            </a:graphic>
          </wp:anchor>
        </w:drawing>
      </w:r>
    </w:p>
    <w:p>
      <w:pPr>
        <w:spacing w:after="0" w:line="23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COMPANY HISTORY</w:t>
      </w:r>
    </w:p>
    <w:p>
      <w:pPr>
        <w:spacing w:after="0" w:line="27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 xml:space="preserve">Founded in 1946, Avis is believed to be the first company to rent cars from airport locations. Avis expanded its geographic reach throughout the U.S. through growth in licensed and Company-operated locations in the 1950s and 1960s. In 1963, Avis introduced its award winning </w:t>
      </w:r>
      <w:r>
        <w:rPr>
          <w:rFonts w:ascii="Arial" w:cs="Arial" w:eastAsia="Arial" w:hAnsi="Arial"/>
          <w:sz w:val="18"/>
          <w:szCs w:val="18"/>
          <w:i w:val="1"/>
          <w:iCs w:val="1"/>
          <w:color w:val="auto"/>
        </w:rPr>
        <w:t>“We try</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harder®” </w:t>
      </w:r>
      <w:r>
        <w:rPr>
          <w:rFonts w:ascii="Arial" w:cs="Arial" w:eastAsia="Arial" w:hAnsi="Arial"/>
          <w:sz w:val="18"/>
          <w:szCs w:val="18"/>
          <w:color w:val="auto"/>
        </w:rPr>
        <w:t>advertising campaign, which was recognized as one of the top ten advertising campaigns of the 20th century by Advertising Age</w:t>
      </w:r>
      <w:r>
        <w:rPr>
          <w:rFonts w:ascii="Arial" w:cs="Arial" w:eastAsia="Arial" w:hAnsi="Arial"/>
          <w:sz w:val="18"/>
          <w:szCs w:val="18"/>
          <w:i w:val="1"/>
          <w:iCs w:val="1"/>
          <w:color w:val="auto"/>
        </w:rPr>
        <w:t xml:space="preserve"> </w:t>
      </w:r>
      <w:r>
        <w:rPr>
          <w:rFonts w:ascii="Arial" w:cs="Arial" w:eastAsia="Arial" w:hAnsi="Arial"/>
          <w:sz w:val="18"/>
          <w:szCs w:val="18"/>
          <w:color w:val="auto"/>
        </w:rPr>
        <w:t>magazine.</w:t>
      </w:r>
    </w:p>
    <w:p>
      <w:pPr>
        <w:spacing w:after="0" w:line="204"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HFS Incorporated acquired Avis in 1996 and merged with our predecessor company in 1997, with the combined entity being renamed Cendant Corporation. The Company is a Delaware corporation headquartered in Parsippany, New Jersey.</w:t>
      </w:r>
    </w:p>
    <w:p>
      <w:pPr>
        <w:spacing w:after="0" w:line="196"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In 2002, Cendant acquired the Budget brand and Budget vehicle rental operations in North America, Australia and New Zealand. Budget was founded in 1958 as a car rental company for the value-conscious vehicle rental</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140" w:right="25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right="760"/>
        <w:spacing w:after="0" w:line="262" w:lineRule="auto"/>
        <w:rPr>
          <w:sz w:val="20"/>
          <w:szCs w:val="20"/>
          <w:color w:val="auto"/>
        </w:rPr>
      </w:pPr>
      <w:r>
        <w:rPr>
          <w:rFonts w:ascii="Arial" w:cs="Arial" w:eastAsia="Arial" w:hAnsi="Arial"/>
          <w:sz w:val="18"/>
          <w:szCs w:val="18"/>
          <w:color w:val="auto"/>
        </w:rPr>
        <w:t>customer and grew its business rapidly during the 1960s, expanding its rental car offerings throughout North America and significantly expanding its Budget truck rental business in the 1990s.</w:t>
      </w:r>
    </w:p>
    <w:p>
      <w:pPr>
        <w:spacing w:after="0" w:line="196"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In 2006, Cendant completed the sales and spin-offs of several significant subsidiaries and changed its name to Avis Budget Group, Inc. In 2011, we expanded our international operations with the acquisition of Avis Europe, which was previously an independently-owned licensee operating the Avis and Budget brands in Europe, the Middle East and Africa, and the Avis brand in Asia. Upon the completion of the acquisition of Avis Europe, the Avis and Budget brands were globally reunited under a single company, making Avis Budget Group one of the largest vehicle rental companies in the world.</w:t>
      </w:r>
    </w:p>
    <w:p>
      <w:pPr>
        <w:spacing w:after="0" w:line="206"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In 2013, we acquired Zipcar, the world’s leading car sharing network, to further increase our growth potential and our ability to better serve a greater variety of our customers’ mobility needs. In 2012 and 2013, we acquired our Apex and Payless brands, respectively, which allowed us to expand our presence in the deep-value segment of the car rental industry. In 2015, we acquired Maggiore, a leading provider of vehicle rental services in Italy. In 2016, we acquired FranceCars, a privately held vehicle rental company based in France, and significantly expanded our presence in the French market. In 2017, we acquired the operation of our Budget licensee in Poland complementing the acquisition of our Avis Poland licensee in 2015. These acquisitions have allowed us to further expand our global footprint of Company-operated locations and brand presence.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As a Company, we have a long history of innovation in our industry, including:</w:t>
      </w:r>
    </w:p>
    <w:p>
      <w:pPr>
        <w:spacing w:after="0" w:line="225" w:lineRule="exact"/>
        <w:rPr>
          <w:sz w:val="20"/>
          <w:szCs w:val="20"/>
          <w:color w:val="auto"/>
        </w:rPr>
      </w:pPr>
    </w:p>
    <w:p>
      <w:pPr>
        <w:ind w:left="660" w:right="160" w:hanging="328"/>
        <w:spacing w:after="0" w:line="262"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1973, we launched our proprietary Wizard system, a constantly updated information-technology system that is the backbone of our operations;</w:t>
      </w:r>
    </w:p>
    <w:p>
      <w:pPr>
        <w:spacing w:after="0" w:line="196" w:lineRule="exact"/>
        <w:rPr>
          <w:rFonts w:ascii="Arial" w:cs="Arial" w:eastAsia="Arial" w:hAnsi="Arial"/>
          <w:sz w:val="18"/>
          <w:szCs w:val="18"/>
          <w:color w:val="auto"/>
        </w:rPr>
      </w:pPr>
    </w:p>
    <w:p>
      <w:pPr>
        <w:ind w:left="660" w:right="240" w:hanging="328"/>
        <w:spacing w:after="0" w:line="262"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1987, we introduced our Roving Rapid Return program, powered by a handheld computer device that allows customers to bypass the car return counter;</w:t>
      </w:r>
    </w:p>
    <w:p>
      <w:pPr>
        <w:spacing w:after="0" w:line="196"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1996, we became one of the first car rental companies to accept online reservations;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2000, we introduced Avis Interactive, the first Internet-based reporting system in the car rental industry;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2009, we launched what we believe to be the first car rental iPhone application in the U.S.;</w:t>
      </w:r>
    </w:p>
    <w:p>
      <w:pPr>
        <w:spacing w:after="0" w:line="225" w:lineRule="exact"/>
        <w:rPr>
          <w:rFonts w:ascii="Arial" w:cs="Arial" w:eastAsia="Arial" w:hAnsi="Arial"/>
          <w:sz w:val="18"/>
          <w:szCs w:val="18"/>
          <w:color w:val="auto"/>
        </w:rPr>
      </w:pPr>
    </w:p>
    <w:p>
      <w:pPr>
        <w:ind w:left="660" w:right="320" w:hanging="328"/>
        <w:spacing w:after="0" w:line="262"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2012, we believe that our Avis brand became the first in the industry to offer mobile applications to customers on all major mobile platforms;</w:t>
      </w:r>
    </w:p>
    <w:p>
      <w:pPr>
        <w:spacing w:after="0" w:line="196" w:lineRule="exact"/>
        <w:rPr>
          <w:rFonts w:ascii="Arial" w:cs="Arial" w:eastAsia="Arial" w:hAnsi="Arial"/>
          <w:sz w:val="18"/>
          <w:szCs w:val="18"/>
          <w:color w:val="auto"/>
        </w:rPr>
      </w:pPr>
    </w:p>
    <w:p>
      <w:pPr>
        <w:ind w:left="660" w:hanging="328"/>
        <w:spacing w:after="0" w:line="254"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2013, we acquired Zipcar, a constantly innovating pioneer in using advanced vehicle technologies as the first car sharing company in the U.S. to develop a self-service solution which allows the management of the complex interactions of real-time, location-based activities inherent in a large-scale car sharing operation, including new member application, reservations and keyless vehicle access, fleet management and member management;</w:t>
      </w:r>
    </w:p>
    <w:p>
      <w:pPr>
        <w:spacing w:after="0" w:line="204" w:lineRule="exact"/>
        <w:rPr>
          <w:rFonts w:ascii="Arial" w:cs="Arial" w:eastAsia="Arial" w:hAnsi="Arial"/>
          <w:sz w:val="18"/>
          <w:szCs w:val="18"/>
          <w:color w:val="auto"/>
        </w:rPr>
      </w:pPr>
    </w:p>
    <w:p>
      <w:pPr>
        <w:ind w:left="660" w:right="180" w:hanging="328"/>
        <w:spacing w:after="0" w:line="254"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2015, our Avis brand was the first in the industry to offer an Android application that allows customers to use voice-activated technology to make, confirm or cancel their car rental reservations and the first U.S. car rental company to offer an application for the Apple Watch, which enables our customers to email themselves a car rental receipt and view current, upcoming and past car rental reservations from their device;</w:t>
      </w:r>
    </w:p>
    <w:p>
      <w:pPr>
        <w:spacing w:after="0" w:line="204" w:lineRule="exact"/>
        <w:rPr>
          <w:rFonts w:ascii="Arial" w:cs="Arial" w:eastAsia="Arial" w:hAnsi="Arial"/>
          <w:sz w:val="18"/>
          <w:szCs w:val="18"/>
          <w:color w:val="auto"/>
        </w:rPr>
      </w:pPr>
    </w:p>
    <w:p>
      <w:pPr>
        <w:ind w:left="660" w:right="340" w:hanging="328"/>
        <w:spacing w:after="0" w:line="262"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since 2015, we have continued to expand our use of yield management systems, which the Company designed to help optimize its decision-making with respect to pricing and fleet management;</w:t>
      </w:r>
    </w:p>
    <w:p>
      <w:pPr>
        <w:spacing w:after="0" w:line="196" w:lineRule="exact"/>
        <w:rPr>
          <w:rFonts w:ascii="Arial" w:cs="Arial" w:eastAsia="Arial" w:hAnsi="Arial"/>
          <w:sz w:val="18"/>
          <w:szCs w:val="18"/>
          <w:color w:val="auto"/>
        </w:rPr>
      </w:pPr>
    </w:p>
    <w:p>
      <w:pPr>
        <w:ind w:left="660" w:right="300" w:hanging="328"/>
        <w:spacing w:after="0" w:line="256"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2016, we significantly upgraded the Avis mobile application, which provides our Avis customers with greater control of their rental experience and enabled several mobile features new to the industry, including an ability for customers to open and close rentals, exchange vehicles and extend rentals on their smartphone or tablet device.</w:t>
      </w:r>
    </w:p>
    <w:p>
      <w:pPr>
        <w:spacing w:after="0" w:line="202"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In 2017, our pace of innovation and advancement accelerated significantly with the announcement of several key initiatives that we believe will further support our position as a leader in mobility, including:</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140" w:right="25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7" w:lineRule="exact"/>
        <w:rPr>
          <w:sz w:val="20"/>
          <w:szCs w:val="20"/>
          <w:color w:val="auto"/>
        </w:rPr>
      </w:pPr>
    </w:p>
    <w:p>
      <w:pPr>
        <w:ind w:left="660" w:right="280" w:hanging="328"/>
        <w:spacing w:after="0" w:line="262"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launch of our first-ever Mobility Lab located in the Kansas City, Missouri area, which utilizes connected car technology to deliver both customer benefits and operational efficiencies;</w:t>
      </w:r>
    </w:p>
    <w:p>
      <w:pPr>
        <w:spacing w:after="0" w:line="196" w:lineRule="exact"/>
        <w:rPr>
          <w:rFonts w:ascii="Arial" w:cs="Arial" w:eastAsia="Arial" w:hAnsi="Arial"/>
          <w:sz w:val="18"/>
          <w:szCs w:val="18"/>
          <w:color w:val="auto"/>
        </w:rPr>
      </w:pPr>
    </w:p>
    <w:p>
      <w:pPr>
        <w:ind w:left="660" w:right="200" w:hanging="328"/>
        <w:spacing w:after="0" w:line="262"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plan to double the number of connected vehicles in our U.S. Avis fleet to more than 100,000 cars by the end of 2018, as the next step toward our goal of having a 100% global connected fleet by the end of 2020;</w:t>
      </w:r>
    </w:p>
    <w:p>
      <w:pPr>
        <w:spacing w:after="0" w:line="196" w:lineRule="exact"/>
        <w:rPr>
          <w:rFonts w:ascii="Arial" w:cs="Arial" w:eastAsia="Arial" w:hAnsi="Arial"/>
          <w:sz w:val="18"/>
          <w:szCs w:val="18"/>
          <w:color w:val="auto"/>
        </w:rPr>
      </w:pPr>
    </w:p>
    <w:p>
      <w:pPr>
        <w:ind w:left="660" w:right="80" w:hanging="328"/>
        <w:spacing w:after="0" w:line="256"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partnership with Waymo, the Alphabet-owned global provider of autonomous vehicle technology, to provide fleet management services and solutions for their current and future markets, providing a unique opportunity to manage and operate self-driving vehicles for both our business and for current and future partners’ fleets and services;</w:t>
      </w:r>
    </w:p>
    <w:p>
      <w:pPr>
        <w:spacing w:after="0" w:line="201"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integration with Amazon Alexa, which allows our customers the ability to book and manage their car rental reservations through the popular voice platform on Amazon Echo devices;</w:t>
      </w:r>
    </w:p>
    <w:p>
      <w:pPr>
        <w:spacing w:after="0" w:line="196" w:lineRule="exact"/>
        <w:rPr>
          <w:rFonts w:ascii="Arial" w:cs="Arial" w:eastAsia="Arial" w:hAnsi="Arial"/>
          <w:sz w:val="18"/>
          <w:szCs w:val="18"/>
          <w:color w:val="auto"/>
        </w:rPr>
      </w:pPr>
    </w:p>
    <w:p>
      <w:pPr>
        <w:ind w:left="660" w:right="140" w:hanging="328"/>
        <w:spacing w:after="0" w:line="262"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use of artificial intelligence to enhance our customers’ rental experiences through the launch of a Google Assistant action to book their reservations using voice-controlled access through Google Home;</w:t>
      </w:r>
    </w:p>
    <w:p>
      <w:pPr>
        <w:spacing w:after="0" w:line="196" w:lineRule="exact"/>
        <w:rPr>
          <w:rFonts w:ascii="Arial" w:cs="Arial" w:eastAsia="Arial" w:hAnsi="Arial"/>
          <w:sz w:val="18"/>
          <w:szCs w:val="18"/>
          <w:color w:val="auto"/>
        </w:rPr>
      </w:pPr>
    </w:p>
    <w:p>
      <w:pPr>
        <w:ind w:left="660" w:right="260" w:hanging="328"/>
        <w:spacing w:after="0" w:line="256"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partnership with RocketSpace, a leading technology accelerator for start-ups and corporate innovators, in which we are working with a number of diverse global businesses across the mobility landscape to identify market opportunities and encourage cross-industry innovation;</w:t>
      </w:r>
    </w:p>
    <w:p>
      <w:pPr>
        <w:spacing w:after="0" w:line="201" w:lineRule="exact"/>
        <w:rPr>
          <w:rFonts w:ascii="Arial" w:cs="Arial" w:eastAsia="Arial" w:hAnsi="Arial"/>
          <w:sz w:val="18"/>
          <w:szCs w:val="18"/>
          <w:color w:val="auto"/>
        </w:rPr>
      </w:pPr>
    </w:p>
    <w:p>
      <w:pPr>
        <w:ind w:left="660" w:right="40" w:hanging="328"/>
        <w:spacing w:after="0" w:line="262"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launch of a new mobility option for Zipcar members who depend on a vehicle during the week to commute to and from work, which provides members unlimited, sole access to a vehicle and a dedicated parking spot; and</w:t>
      </w:r>
    </w:p>
    <w:p>
      <w:pPr>
        <w:spacing w:after="0" w:line="196"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introduction of Zipcar one-way rentals through our new “Flex” product in London.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254875" cy="1803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4875" cy="180340"/>
                    </a:xfrm>
                    <a:prstGeom prst="rect">
                      <a:avLst/>
                    </a:prstGeom>
                    <a:noFill/>
                  </pic:spPr>
                </pic:pic>
              </a:graphicData>
            </a:graphic>
          </wp:anchor>
        </w:drawing>
      </w:r>
    </w:p>
    <w:p>
      <w:pPr>
        <w:spacing w:after="0" w:line="359"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SEGMENT INFORMATION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We categorize our operations into two reportable business segments:</w:t>
      </w:r>
    </w:p>
    <w:p>
      <w:pPr>
        <w:spacing w:after="0" w:line="207" w:lineRule="exact"/>
        <w:rPr>
          <w:sz w:val="20"/>
          <w:szCs w:val="20"/>
          <w:color w:val="auto"/>
        </w:rPr>
      </w:pPr>
    </w:p>
    <w:p>
      <w:pPr>
        <w:ind w:left="660" w:right="80" w:hanging="328"/>
        <w:spacing w:after="0" w:line="266"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Americas</w:t>
      </w:r>
      <w:r>
        <w:rPr>
          <w:rFonts w:ascii="Arial" w:cs="Arial" w:eastAsia="Arial" w:hAnsi="Arial"/>
          <w:sz w:val="18"/>
          <w:szCs w:val="18"/>
          <w:color w:val="auto"/>
        </w:rPr>
        <w:t>, which provides and licenses the Company’s brands to third parties for vehicle rentals and ancillary products and services in</w:t>
      </w:r>
      <w:r>
        <w:rPr>
          <w:rFonts w:ascii="Arial" w:cs="Arial" w:eastAsia="Arial" w:hAnsi="Arial"/>
          <w:sz w:val="18"/>
          <w:szCs w:val="18"/>
          <w:i w:val="1"/>
          <w:iCs w:val="1"/>
          <w:color w:val="auto"/>
        </w:rPr>
        <w:t xml:space="preserve"> </w:t>
      </w:r>
      <w:r>
        <w:rPr>
          <w:rFonts w:ascii="Arial" w:cs="Arial" w:eastAsia="Arial" w:hAnsi="Arial"/>
          <w:sz w:val="18"/>
          <w:szCs w:val="18"/>
          <w:color w:val="auto"/>
        </w:rPr>
        <w:t>North America, South America, Central America and the Caribbean, and operates the Company’s car sharing business in certain of these markets; and</w:t>
      </w:r>
    </w:p>
    <w:p>
      <w:pPr>
        <w:spacing w:after="0" w:line="176" w:lineRule="exact"/>
        <w:rPr>
          <w:rFonts w:ascii="Arial" w:cs="Arial" w:eastAsia="Arial" w:hAnsi="Arial"/>
          <w:sz w:val="18"/>
          <w:szCs w:val="18"/>
          <w:color w:val="auto"/>
        </w:rPr>
      </w:pPr>
    </w:p>
    <w:p>
      <w:pPr>
        <w:jc w:val="both"/>
        <w:ind w:left="660" w:hanging="328"/>
        <w:spacing w:after="0" w:line="313"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i w:val="1"/>
          <w:iCs w:val="1"/>
          <w:color w:val="auto"/>
        </w:rPr>
        <w:t>International</w:t>
      </w:r>
      <w:r>
        <w:rPr>
          <w:rFonts w:ascii="Arial" w:cs="Arial" w:eastAsia="Arial" w:hAnsi="Arial"/>
          <w:sz w:val="17"/>
          <w:szCs w:val="17"/>
          <w:color w:val="auto"/>
        </w:rPr>
        <w:t>, which provides and licenses the Company’s brands to third parties for vehicle rentals and ancillary products and services</w:t>
      </w:r>
      <w:r>
        <w:rPr>
          <w:rFonts w:ascii="Arial" w:cs="Arial" w:eastAsia="Arial" w:hAnsi="Arial"/>
          <w:sz w:val="17"/>
          <w:szCs w:val="17"/>
          <w:i w:val="1"/>
          <w:iCs w:val="1"/>
          <w:color w:val="auto"/>
        </w:rPr>
        <w:t xml:space="preserve"> </w:t>
      </w:r>
      <w:r>
        <w:rPr>
          <w:rFonts w:ascii="Arial" w:cs="Arial" w:eastAsia="Arial" w:hAnsi="Arial"/>
          <w:sz w:val="17"/>
          <w:szCs w:val="17"/>
          <w:color w:val="auto"/>
        </w:rPr>
        <w:t>in Europe, the Middle East, Africa, Asia and Australasia, and operates the Company’s car sharing business in certain of these markets.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key operating metrics in 2017 for each of our two reportable business segments: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5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3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9"/>
              </w:rPr>
              <w:t>Average T&amp;M</w:t>
            </w:r>
          </w:p>
        </w:tc>
        <w:tc>
          <w:tcPr>
            <w:tcW w:w="2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6"/>
        </w:trPr>
        <w:tc>
          <w:tcPr>
            <w:tcW w:w="3580" w:type="dxa"/>
            <w:vAlign w:val="bottom"/>
            <w:tcBorders>
              <w:bottom w:val="single" w:sz="8" w:color="D2EAF1"/>
            </w:tcBorders>
          </w:tcPr>
          <w:p>
            <w:pPr>
              <w:spacing w:after="0"/>
              <w:rPr>
                <w:sz w:val="21"/>
                <w:szCs w:val="21"/>
                <w:color w:val="auto"/>
              </w:rPr>
            </w:pPr>
          </w:p>
        </w:tc>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Average Rental Fleet</w:t>
            </w:r>
          </w:p>
        </w:tc>
        <w:tc>
          <w:tcPr>
            <w:tcW w:w="400" w:type="dxa"/>
            <w:vAlign w:val="bottom"/>
            <w:tcBorders>
              <w:bottom w:val="single" w:sz="8" w:color="D2EAF1"/>
            </w:tcBorders>
          </w:tcPr>
          <w:p>
            <w:pPr>
              <w:spacing w:after="0"/>
              <w:rPr>
                <w:sz w:val="21"/>
                <w:szCs w:val="21"/>
                <w:color w:val="auto"/>
              </w:rPr>
            </w:pPr>
          </w:p>
        </w:tc>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Revenue per Day</w:t>
            </w:r>
          </w:p>
        </w:tc>
        <w:tc>
          <w:tcPr>
            <w:tcW w:w="420" w:type="dxa"/>
            <w:vAlign w:val="bottom"/>
            <w:tcBorders>
              <w:bottom w:val="single" w:sz="8" w:color="D2EAF1"/>
            </w:tcBorders>
          </w:tcPr>
          <w:p>
            <w:pPr>
              <w:spacing w:after="0"/>
              <w:rPr>
                <w:sz w:val="21"/>
                <w:szCs w:val="21"/>
                <w:color w:val="auto"/>
              </w:rPr>
            </w:pPr>
          </w:p>
        </w:tc>
        <w:tc>
          <w:tcPr>
            <w:tcW w:w="288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Total Rental Days</w:t>
            </w:r>
          </w:p>
        </w:tc>
        <w:tc>
          <w:tcPr>
            <w:tcW w:w="0" w:type="dxa"/>
            <w:vAlign w:val="bottom"/>
          </w:tcPr>
          <w:p>
            <w:pPr>
              <w:spacing w:after="0"/>
              <w:rPr>
                <w:sz w:val="1"/>
                <w:szCs w:val="1"/>
                <w:color w:val="auto"/>
              </w:rPr>
            </w:pPr>
          </w:p>
        </w:tc>
      </w:tr>
      <w:tr>
        <w:trPr>
          <w:trHeight w:val="257"/>
        </w:trPr>
        <w:tc>
          <w:tcPr>
            <w:tcW w:w="3580" w:type="dxa"/>
            <w:vAlign w:val="bottom"/>
            <w:shd w:val="clear" w:color="auto" w:fill="D2EAF1"/>
          </w:tcPr>
          <w:p>
            <w:pPr>
              <w:ind w:left="40"/>
              <w:spacing w:after="0"/>
              <w:rPr>
                <w:sz w:val="20"/>
                <w:szCs w:val="20"/>
                <w:color w:val="auto"/>
              </w:rPr>
            </w:pPr>
            <w:r>
              <w:rPr>
                <w:rFonts w:ascii="Arial" w:cs="Arial" w:eastAsia="Arial" w:hAnsi="Arial"/>
                <w:sz w:val="18"/>
                <w:szCs w:val="18"/>
                <w:b w:val="1"/>
                <w:bCs w:val="1"/>
                <w:color w:val="auto"/>
              </w:rPr>
              <w:t>Americas</w:t>
            </w:r>
          </w:p>
        </w:tc>
        <w:tc>
          <w:tcPr>
            <w:tcW w:w="1960" w:type="dxa"/>
            <w:vAlign w:val="bottom"/>
            <w:shd w:val="clear" w:color="auto" w:fill="D2EAF1"/>
          </w:tcPr>
          <w:p>
            <w:pPr>
              <w:jc w:val="center"/>
              <w:spacing w:after="0"/>
              <w:rPr>
                <w:sz w:val="20"/>
                <w:szCs w:val="20"/>
                <w:color w:val="auto"/>
              </w:rPr>
            </w:pPr>
            <w:r>
              <w:rPr>
                <w:rFonts w:ascii="Arial" w:cs="Arial" w:eastAsia="Arial" w:hAnsi="Arial"/>
                <w:sz w:val="18"/>
                <w:szCs w:val="18"/>
                <w:color w:val="auto"/>
              </w:rPr>
              <w:t>391,966</w:t>
            </w:r>
          </w:p>
        </w:tc>
        <w:tc>
          <w:tcPr>
            <w:tcW w:w="2360" w:type="dxa"/>
            <w:vAlign w:val="bottom"/>
            <w:gridSpan w:val="2"/>
            <w:shd w:val="clear" w:color="auto" w:fill="D2EAF1"/>
          </w:tcPr>
          <w:p>
            <w:pPr>
              <w:jc w:val="center"/>
              <w:ind w:left="310"/>
              <w:spacing w:after="0"/>
              <w:rPr>
                <w:sz w:val="20"/>
                <w:szCs w:val="20"/>
                <w:color w:val="auto"/>
              </w:rPr>
            </w:pPr>
            <w:r>
              <w:rPr>
                <w:rFonts w:ascii="Arial" w:cs="Arial" w:eastAsia="Arial" w:hAnsi="Arial"/>
                <w:sz w:val="18"/>
                <w:szCs w:val="18"/>
                <w:color w:val="auto"/>
              </w:rPr>
              <w:t>$40.03</w:t>
            </w:r>
          </w:p>
        </w:tc>
        <w:tc>
          <w:tcPr>
            <w:tcW w:w="420" w:type="dxa"/>
            <w:vAlign w:val="bottom"/>
            <w:shd w:val="clear" w:color="auto" w:fill="D2EAF1"/>
          </w:tcPr>
          <w:p>
            <w:pPr>
              <w:spacing w:after="0"/>
              <w:rPr>
                <w:sz w:val="22"/>
                <w:szCs w:val="22"/>
                <w:color w:val="auto"/>
              </w:rPr>
            </w:pPr>
          </w:p>
        </w:tc>
        <w:tc>
          <w:tcPr>
            <w:tcW w:w="2880" w:type="dxa"/>
            <w:vAlign w:val="bottom"/>
            <w:shd w:val="clear" w:color="auto" w:fill="D2EAF1"/>
          </w:tcPr>
          <w:p>
            <w:pPr>
              <w:jc w:val="right"/>
              <w:ind w:right="390"/>
              <w:spacing w:after="0"/>
              <w:rPr>
                <w:sz w:val="20"/>
                <w:szCs w:val="20"/>
                <w:color w:val="auto"/>
              </w:rPr>
            </w:pPr>
            <w:r>
              <w:rPr>
                <w:rFonts w:ascii="Arial" w:cs="Arial" w:eastAsia="Arial" w:hAnsi="Arial"/>
                <w:sz w:val="18"/>
                <w:szCs w:val="18"/>
                <w:color w:val="auto"/>
              </w:rPr>
              <w:t>102 million</w:t>
            </w:r>
          </w:p>
        </w:tc>
        <w:tc>
          <w:tcPr>
            <w:tcW w:w="0" w:type="dxa"/>
            <w:vAlign w:val="bottom"/>
          </w:tcPr>
          <w:p>
            <w:pPr>
              <w:spacing w:after="0"/>
              <w:rPr>
                <w:sz w:val="1"/>
                <w:szCs w:val="1"/>
                <w:color w:val="auto"/>
              </w:rPr>
            </w:pPr>
          </w:p>
        </w:tc>
      </w:tr>
      <w:tr>
        <w:trPr>
          <w:trHeight w:val="264"/>
        </w:trPr>
        <w:tc>
          <w:tcPr>
            <w:tcW w:w="3580" w:type="dxa"/>
            <w:vAlign w:val="bottom"/>
            <w:tcBorders>
              <w:bottom w:val="single" w:sz="8" w:color="D2EAF1"/>
            </w:tcBorders>
          </w:tcPr>
          <w:p>
            <w:pPr>
              <w:ind w:left="40"/>
              <w:spacing w:after="0"/>
              <w:rPr>
                <w:sz w:val="20"/>
                <w:szCs w:val="20"/>
                <w:color w:val="auto"/>
              </w:rPr>
            </w:pPr>
            <w:r>
              <w:rPr>
                <w:rFonts w:ascii="Arial" w:cs="Arial" w:eastAsia="Arial" w:hAnsi="Arial"/>
                <w:sz w:val="18"/>
                <w:szCs w:val="18"/>
                <w:b w:val="1"/>
                <w:bCs w:val="1"/>
                <w:color w:val="auto"/>
              </w:rPr>
              <w:t>International</w:t>
            </w:r>
          </w:p>
        </w:tc>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198,511</w:t>
            </w:r>
          </w:p>
        </w:tc>
        <w:tc>
          <w:tcPr>
            <w:tcW w:w="400" w:type="dxa"/>
            <w:vAlign w:val="bottom"/>
            <w:tcBorders>
              <w:bottom w:val="single" w:sz="8" w:color="D2EAF1"/>
            </w:tcBorders>
          </w:tcPr>
          <w:p>
            <w:pPr>
              <w:spacing w:after="0"/>
              <w:rPr>
                <w:sz w:val="22"/>
                <w:szCs w:val="22"/>
                <w:color w:val="auto"/>
              </w:rPr>
            </w:pPr>
          </w:p>
        </w:tc>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$31.52</w:t>
            </w:r>
          </w:p>
        </w:tc>
        <w:tc>
          <w:tcPr>
            <w:tcW w:w="420" w:type="dxa"/>
            <w:vAlign w:val="bottom"/>
            <w:tcBorders>
              <w:bottom w:val="single" w:sz="8" w:color="D2EAF1"/>
            </w:tcBorders>
          </w:tcPr>
          <w:p>
            <w:pPr>
              <w:spacing w:after="0"/>
              <w:rPr>
                <w:sz w:val="22"/>
                <w:szCs w:val="22"/>
                <w:color w:val="auto"/>
              </w:rPr>
            </w:pPr>
          </w:p>
        </w:tc>
        <w:tc>
          <w:tcPr>
            <w:tcW w:w="28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52 million</w:t>
            </w:r>
          </w:p>
        </w:tc>
        <w:tc>
          <w:tcPr>
            <w:tcW w:w="0" w:type="dxa"/>
            <w:vAlign w:val="bottom"/>
          </w:tcPr>
          <w:p>
            <w:pPr>
              <w:spacing w:after="0"/>
              <w:rPr>
                <w:sz w:val="1"/>
                <w:szCs w:val="1"/>
                <w:color w:val="auto"/>
              </w:rPr>
            </w:pPr>
          </w:p>
        </w:tc>
      </w:tr>
      <w:tr>
        <w:trPr>
          <w:trHeight w:val="257"/>
        </w:trPr>
        <w:tc>
          <w:tcPr>
            <w:tcW w:w="3580" w:type="dxa"/>
            <w:vAlign w:val="bottom"/>
            <w:tcBorders>
              <w:bottom w:val="single" w:sz="8" w:color="D2EAF1"/>
            </w:tcBorders>
            <w:shd w:val="clear" w:color="auto" w:fill="D2EAF1"/>
          </w:tcPr>
          <w:p>
            <w:pPr>
              <w:ind w:left="40"/>
              <w:spacing w:after="0"/>
              <w:rPr>
                <w:sz w:val="20"/>
                <w:szCs w:val="20"/>
                <w:color w:val="auto"/>
              </w:rPr>
            </w:pPr>
            <w:r>
              <w:rPr>
                <w:rFonts w:ascii="Arial" w:cs="Arial" w:eastAsia="Arial" w:hAnsi="Arial"/>
                <w:sz w:val="18"/>
                <w:szCs w:val="18"/>
                <w:b w:val="1"/>
                <w:bCs w:val="1"/>
                <w:color w:val="auto"/>
              </w:rPr>
              <w:t>Total</w:t>
            </w:r>
          </w:p>
        </w:tc>
        <w:tc>
          <w:tcPr>
            <w:tcW w:w="1960" w:type="dxa"/>
            <w:vAlign w:val="bottom"/>
            <w:tcBorders>
              <w:bottom w:val="single" w:sz="8" w:color="auto"/>
            </w:tcBorders>
            <w:shd w:val="clear" w:color="auto" w:fill="D2EAF1"/>
          </w:tcPr>
          <w:p>
            <w:pPr>
              <w:jc w:val="center"/>
              <w:spacing w:after="0"/>
              <w:rPr>
                <w:sz w:val="20"/>
                <w:szCs w:val="20"/>
                <w:color w:val="auto"/>
              </w:rPr>
            </w:pPr>
            <w:r>
              <w:rPr>
                <w:rFonts w:ascii="Arial" w:cs="Arial" w:eastAsia="Arial" w:hAnsi="Arial"/>
                <w:sz w:val="18"/>
                <w:szCs w:val="18"/>
                <w:color w:val="auto"/>
              </w:rPr>
              <w:t>590,477</w:t>
            </w:r>
          </w:p>
        </w:tc>
        <w:tc>
          <w:tcPr>
            <w:tcW w:w="2360" w:type="dxa"/>
            <w:vAlign w:val="bottom"/>
            <w:tcBorders>
              <w:bottom w:val="single" w:sz="8" w:color="D2EAF1"/>
            </w:tcBorders>
            <w:gridSpan w:val="2"/>
            <w:shd w:val="clear" w:color="auto" w:fill="D2EAF1"/>
          </w:tcPr>
          <w:p>
            <w:pPr>
              <w:jc w:val="center"/>
              <w:ind w:left="310"/>
              <w:spacing w:after="0"/>
              <w:rPr>
                <w:sz w:val="20"/>
                <w:szCs w:val="20"/>
                <w:color w:val="auto"/>
              </w:rPr>
            </w:pPr>
            <w:r>
              <w:rPr>
                <w:rFonts w:ascii="Arial" w:cs="Arial" w:eastAsia="Arial" w:hAnsi="Arial"/>
                <w:sz w:val="18"/>
                <w:szCs w:val="18"/>
                <w:color w:val="auto"/>
              </w:rPr>
              <w:t>$37.18</w:t>
            </w:r>
          </w:p>
        </w:tc>
        <w:tc>
          <w:tcPr>
            <w:tcW w:w="420" w:type="dxa"/>
            <w:vAlign w:val="bottom"/>
            <w:tcBorders>
              <w:bottom w:val="single" w:sz="8" w:color="D2EAF1"/>
            </w:tcBorders>
            <w:shd w:val="clear" w:color="auto" w:fill="D2EAF1"/>
          </w:tcPr>
          <w:p>
            <w:pPr>
              <w:spacing w:after="0"/>
              <w:rPr>
                <w:sz w:val="22"/>
                <w:szCs w:val="22"/>
                <w:color w:val="auto"/>
              </w:rPr>
            </w:pPr>
          </w:p>
        </w:tc>
        <w:tc>
          <w:tcPr>
            <w:tcW w:w="2880" w:type="dxa"/>
            <w:vAlign w:val="bottom"/>
            <w:tcBorders>
              <w:bottom w:val="single" w:sz="8" w:color="auto"/>
            </w:tcBorders>
            <w:shd w:val="clear" w:color="auto" w:fill="D2EAF1"/>
          </w:tcPr>
          <w:p>
            <w:pPr>
              <w:jc w:val="right"/>
              <w:ind w:right="390"/>
              <w:spacing w:after="0"/>
              <w:rPr>
                <w:sz w:val="20"/>
                <w:szCs w:val="20"/>
                <w:color w:val="auto"/>
              </w:rPr>
            </w:pPr>
            <w:r>
              <w:rPr>
                <w:rFonts w:ascii="Arial" w:cs="Arial" w:eastAsia="Arial" w:hAnsi="Arial"/>
                <w:sz w:val="18"/>
                <w:szCs w:val="18"/>
                <w:color w:val="auto"/>
              </w:rPr>
              <w:t>154 million</w:t>
            </w:r>
          </w:p>
        </w:tc>
        <w:tc>
          <w:tcPr>
            <w:tcW w:w="0" w:type="dxa"/>
            <w:vAlign w:val="bottom"/>
          </w:tcPr>
          <w:p>
            <w:pPr>
              <w:spacing w:after="0"/>
              <w:rPr>
                <w:sz w:val="1"/>
                <w:szCs w:val="1"/>
                <w:color w:val="auto"/>
              </w:rPr>
            </w:pPr>
          </w:p>
        </w:tc>
      </w:tr>
      <w:tr>
        <w:trPr>
          <w:trHeight w:val="20"/>
        </w:trPr>
        <w:tc>
          <w:tcPr>
            <w:tcW w:w="3580" w:type="dxa"/>
            <w:vAlign w:val="bottom"/>
            <w:vMerge w:val="restart"/>
          </w:tcPr>
          <w:p>
            <w:pPr>
              <w:jc w:val="right"/>
              <w:ind w:right="2772"/>
              <w:spacing w:after="0"/>
              <w:rPr>
                <w:sz w:val="20"/>
                <w:szCs w:val="20"/>
                <w:color w:val="auto"/>
              </w:rPr>
            </w:pPr>
            <w:r>
              <w:rPr>
                <w:rFonts w:ascii="Arial" w:cs="Arial" w:eastAsia="Arial" w:hAnsi="Arial"/>
                <w:sz w:val="16"/>
                <w:szCs w:val="16"/>
                <w:color w:val="auto"/>
                <w:w w:val="98"/>
              </w:rPr>
              <w:t>________</w:t>
            </w:r>
          </w:p>
        </w:tc>
        <w:tc>
          <w:tcPr>
            <w:tcW w:w="19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3580" w:type="dxa"/>
            <w:vAlign w:val="bottom"/>
            <w:vMerge w:val="continue"/>
          </w:tcPr>
          <w:p>
            <w:pPr>
              <w:spacing w:after="0"/>
              <w:rPr>
                <w:sz w:val="14"/>
                <w:szCs w:val="14"/>
                <w:color w:val="auto"/>
              </w:rPr>
            </w:pPr>
          </w:p>
        </w:tc>
        <w:tc>
          <w:tcPr>
            <w:tcW w:w="1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6"/>
          <w:szCs w:val="16"/>
          <w:color w:val="auto"/>
        </w:rPr>
        <w:t>Note: Operating metrics exclude Zipcar and U.S. truck rental operations.</w:t>
      </w:r>
    </w:p>
    <w:p>
      <w:pPr>
        <w:spacing w:after="0" w:line="218"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The following graphs below present the approximate composition of our net revenue by brand and segment and our T&amp;M revenue by customer and market (excluding Zipcar and U.S. truck rental operations) in 2017.</w:t>
      </w:r>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140" w:right="27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160020</wp:posOffset>
            </wp:positionV>
            <wp:extent cx="5651500" cy="17151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1500" cy="17151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4"/>
          <w:szCs w:val="14"/>
          <w:color w:val="auto"/>
        </w:rPr>
        <w:t>* Other includes Zipcar, Payless, Apex, Maggiore and FranceCars.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203200</wp:posOffset>
            </wp:positionV>
            <wp:extent cx="5651500" cy="17151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1500" cy="17151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color w:val="auto"/>
        </w:rPr>
        <w:t>Financial data for our segments and geographic areas is reported in Note 19 to our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54875" cy="1803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4875" cy="180340"/>
                    </a:xfrm>
                    <a:prstGeom prst="rect">
                      <a:avLst/>
                    </a:prstGeom>
                    <a:noFill/>
                  </pic:spPr>
                </pic:pic>
              </a:graphicData>
            </a:graphic>
          </wp:anchor>
        </w:drawing>
      </w:r>
    </w:p>
    <w:p>
      <w:pPr>
        <w:spacing w:after="0" w:line="25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OUR STRATEGY</w:t>
      </w:r>
    </w:p>
    <w:p>
      <w:pPr>
        <w:spacing w:after="0" w:line="382" w:lineRule="exact"/>
        <w:rPr>
          <w:sz w:val="20"/>
          <w:szCs w:val="20"/>
          <w:color w:val="auto"/>
        </w:rPr>
      </w:pPr>
    </w:p>
    <w:p>
      <w:pPr>
        <w:jc w:val="both"/>
        <w:ind w:right="200"/>
        <w:spacing w:after="0" w:line="256" w:lineRule="auto"/>
        <w:rPr>
          <w:sz w:val="20"/>
          <w:szCs w:val="20"/>
          <w:color w:val="auto"/>
        </w:rPr>
      </w:pPr>
      <w:r>
        <w:rPr>
          <w:rFonts w:ascii="Arial" w:cs="Arial" w:eastAsia="Arial" w:hAnsi="Arial"/>
          <w:sz w:val="18"/>
          <w:szCs w:val="18"/>
          <w:color w:val="auto"/>
        </w:rPr>
        <w:t>Our objective is to drive sustainable, profitable growth for our Company by delivering strategic initiatives aimed at winning customers through differentiated brands and products, increasing our margins via revenue growth and operational efficiency and enhancing our leadership in the evolving mobility landscape.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Supporting and Strengthening Our Brands</w:t>
      </w:r>
    </w:p>
    <w:p>
      <w:pPr>
        <w:spacing w:after="0" w:line="135"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In executing our strategy, we will continue to position our distinct and well-recognized global brands to focus on different segments of customer demand, complemented by our other brands in their respective regional markets. With Avis as a premium brand preferred more by corporate and upscale leisure travelers, Budget as a mid-tier brand targeting value-conscious travelers, Payless as a deep-value brand, Maggiore, FranceCars and Apex as well-recognized regional brands and Zipcar offering its members an urban alternative to car ownership, we believe we are able to satisfy a broad range of mobility demands. While our brands address different use-cases and target customers, we achieve efficiencies by sharing the same operational and administrative infrastructure while providing differentiated value propositions tailored to the brand.</w:t>
      </w:r>
    </w:p>
    <w:p>
      <w:pPr>
        <w:spacing w:after="0" w:line="99" w:lineRule="exact"/>
        <w:rPr>
          <w:sz w:val="20"/>
          <w:szCs w:val="20"/>
          <w:color w:val="auto"/>
        </w:rPr>
      </w:pPr>
    </w:p>
    <w:p>
      <w:pPr>
        <w:jc w:val="both"/>
        <w:ind w:right="180"/>
        <w:spacing w:after="0" w:line="256" w:lineRule="auto"/>
        <w:rPr>
          <w:sz w:val="20"/>
          <w:szCs w:val="20"/>
          <w:color w:val="auto"/>
        </w:rPr>
      </w:pPr>
      <w:r>
        <w:rPr>
          <w:rFonts w:ascii="Arial" w:cs="Arial" w:eastAsia="Arial" w:hAnsi="Arial"/>
          <w:sz w:val="18"/>
          <w:szCs w:val="18"/>
          <w:color w:val="auto"/>
        </w:rPr>
        <w:t>While we currently operate our brands, either directly or through independent operators and licensees, in approximately 180 countries around the world, we will continue to strengthen and further expand our global footprint through organic growth and, potentially, through acquisitions, joint ventures, licensing agreements or other relationships:</w:t>
      </w:r>
    </w:p>
    <w:p>
      <w:pPr>
        <w:spacing w:after="0" w:line="202" w:lineRule="exact"/>
        <w:rPr>
          <w:sz w:val="20"/>
          <w:szCs w:val="20"/>
          <w:color w:val="auto"/>
        </w:rPr>
      </w:pPr>
    </w:p>
    <w:p>
      <w:pPr>
        <w:ind w:left="660" w:right="60" w:hanging="328"/>
        <w:spacing w:after="0" w:line="256"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countries where we have Company-operated locations, we will continue to identify opportunities to add new rental locations, to grant licenses to independent third parties for areas where we do not currently operate and/or do not wish to operate directly, to strengthen the presence of our brands and to re-acquire previously granted license rights in certain cases.</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40"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7" w:lineRule="exact"/>
        <w:rPr>
          <w:sz w:val="20"/>
          <w:szCs w:val="20"/>
          <w:color w:val="auto"/>
        </w:rPr>
      </w:pPr>
    </w:p>
    <w:p>
      <w:pPr>
        <w:ind w:left="660" w:hanging="328"/>
        <w:spacing w:after="0" w:line="256"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countries operated by licensees or partners, including our joint ventures in India and China, we will seek to ensure that our licensees are well positioned to realize the growth potential of our brands in those countries and are growing their presence in those markets, and we expect to consider the re-acquisition of previously granted license rights in certain cases.</w:t>
      </w:r>
    </w:p>
    <w:p>
      <w:pPr>
        <w:spacing w:after="0" w:line="201" w:lineRule="exact"/>
        <w:rPr>
          <w:rFonts w:ascii="Arial" w:cs="Arial" w:eastAsia="Arial" w:hAnsi="Arial"/>
          <w:sz w:val="18"/>
          <w:szCs w:val="18"/>
          <w:color w:val="auto"/>
        </w:rPr>
      </w:pPr>
    </w:p>
    <w:p>
      <w:pPr>
        <w:ind w:left="660" w:right="520" w:hanging="328"/>
        <w:spacing w:after="0" w:line="262"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countries where we have either Company-operated or licensee-operated locations, we will continue to identify opportunities to leverage our Zipcar brand and its car sharing model, which allows us to fulfill the expanding urban mobility needs of customers.</w:t>
      </w:r>
    </w:p>
    <w:p>
      <w:pPr>
        <w:spacing w:after="0" w:line="304" w:lineRule="exact"/>
        <w:rPr>
          <w:sz w:val="20"/>
          <w:szCs w:val="20"/>
          <w:color w:val="auto"/>
        </w:rPr>
      </w:pPr>
    </w:p>
    <w:p>
      <w:pPr>
        <w:ind w:right="200"/>
        <w:spacing w:after="0" w:line="274" w:lineRule="auto"/>
        <w:rPr>
          <w:sz w:val="20"/>
          <w:szCs w:val="20"/>
          <w:color w:val="auto"/>
        </w:rPr>
      </w:pPr>
      <w:r>
        <w:rPr>
          <w:rFonts w:ascii="Arial" w:cs="Arial" w:eastAsia="Arial" w:hAnsi="Arial"/>
          <w:sz w:val="17"/>
          <w:szCs w:val="17"/>
          <w:color w:val="auto"/>
        </w:rPr>
        <w:t>Since our Avis brand represents approximately 58% of our revenue and is recognized as a global leader in vehicle rental, we are particularly focused on maintaining and building its reputation as a reliably high-quality service provider. Our Avis Preferred loyalty program, which offers our customers the ability to bypass the rental counter and also earn reward points, coupled with our continued investment in technology, including the Avis mobile application and new Avis websites, is a key part of our efforts to enhance the Avis experience for our customers.</w:t>
      </w:r>
    </w:p>
    <w:p>
      <w:pPr>
        <w:spacing w:after="0" w:line="80"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We aim to provide a range of vehicles, products and services at competitive prices, to leverage various marketing channels and to maintain marketing affiliations and corporate account contracts that complement each brand’s positioning. We continue to invest in our brands through a variety of efforts, including both on-line and off-line marketing. We see particular growth opportunities for our Budget and other local brands in Europe, as the share of airport car rentals for Budget is significantly smaller in Europe than in certain other parts of the world, and for Zipcar internationally, where the brand’s proven car sharing model can be expanded into numerous geographic markets.</w:t>
      </w:r>
    </w:p>
    <w:p>
      <w:pPr>
        <w:spacing w:after="0" w:line="97"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To further support and strengthen our brands, we are focused and committed to serving our customers and enhancing their rental experience, including through our Customer Led, Service Driven™ initiative, which aims to optimize our customers’ rental experience with our brands, our systems and our employees. We frequently solicit feedback from and survey our customers to better understand their needs and we have implemented actions that further enhance the services we provide our customers, including the following:</w:t>
      </w:r>
    </w:p>
    <w:p>
      <w:pPr>
        <w:spacing w:after="0" w:line="96" w:lineRule="exact"/>
        <w:rPr>
          <w:sz w:val="20"/>
          <w:szCs w:val="20"/>
          <w:color w:val="auto"/>
        </w:rPr>
      </w:pPr>
    </w:p>
    <w:p>
      <w:pPr>
        <w:ind w:left="660" w:right="40" w:hanging="328"/>
        <w:spacing w:after="0" w:line="252"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created our Avis mobile application with significant input from our customers to provide a higher quality end-to-end user experience, building upon direct feedback to re-design the rental experience to meet customers’ needs. In conjunction with our connected-car fleet, our Avis mobile application provides customers a new and innovative way to control many elements of their rental experience via their smartphone or tablet device without the need to visit the rental counter. Through the Avis mobile application, our customers are able to view which cars are available in real-time; exchange or upgrade a car when near or on the rental lot; confirm, cancel or extend a rental; add ancillary products; return a car without assistance; view their rental agreement; confirm their fuel level at beginning and end of rental as well as miles driven; obtain assistance on demand; and seamlessly return and check-in their vehicle at the end of their journey.</w:t>
      </w:r>
    </w:p>
    <w:p>
      <w:pPr>
        <w:spacing w:after="0" w:line="206" w:lineRule="exact"/>
        <w:rPr>
          <w:rFonts w:ascii="Arial" w:cs="Arial" w:eastAsia="Arial" w:hAnsi="Arial"/>
          <w:sz w:val="18"/>
          <w:szCs w:val="18"/>
          <w:color w:val="auto"/>
        </w:rPr>
      </w:pPr>
    </w:p>
    <w:p>
      <w:pPr>
        <w:ind w:left="660" w:hanging="328"/>
        <w:spacing w:after="0" w:line="253"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continue to upgrade our technology and the ways that can further serve our customers, to make the reservation, pick-up and return process more convenient and user-friendly, with a particular emphasis on enabling and simplifying our customers’ online interactions with us. We have partnered with other technology and product companies to continuously improve the user experience that serves our customers’ needs through various mobile and technology capabilities. These include applications that allow for voice-controlled access to our services through Amazon Alexa and Google Assistant enabled devices.</w:t>
      </w:r>
    </w:p>
    <w:p>
      <w:pPr>
        <w:spacing w:after="0" w:line="206"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We expect to continue to invest in these efforts, with a particular emphasis on technologies, services and products that we believe will allow us to serve customers more effectively and efficiently.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Margins and Operational Efficiency</w:t>
      </w:r>
    </w:p>
    <w:p>
      <w:pPr>
        <w:spacing w:after="0" w:line="24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executing our strategy, we are focused on identifying and implementing actions that will increase our margins over the next several years. We see significant potential in the areas of optimizing our pricing and customer mix, increasing sales of ancillary products and services through new product developments; optimizing our procurement, deployment and disposition of vehicles, including increased use of non-auction channels for selling</w:t>
      </w:r>
    </w:p>
    <w:p>
      <w:pPr>
        <w:spacing w:after="0" w:line="3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140" w:right="27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our cars; continuing to drive operational efficiency in our business; and applying connected-car/in-vehicle systems and other emerging mobility technologies in our operations.</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We have pursued and will continue to pursue opportunities intended to drive our margins and increase our revenues and profitability, including:</w:t>
      </w:r>
    </w:p>
    <w:p>
      <w:pPr>
        <w:spacing w:after="0" w:line="117" w:lineRule="exact"/>
        <w:rPr>
          <w:sz w:val="20"/>
          <w:szCs w:val="20"/>
          <w:color w:val="auto"/>
        </w:rPr>
      </w:pPr>
    </w:p>
    <w:p>
      <w:pPr>
        <w:ind w:left="660" w:right="140" w:hanging="328"/>
        <w:spacing w:after="0" w:line="254"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Informing and offering our customers useful ancillary products and services; promoting car class upgrades, adjusting our mix of vehicles to match customer demand, restructuring our sales strategy to focus on the most profitable segments, increasing the number of rentals that customers book directly through our websites and mobile applications and increasing the proportion of transactions in which customers prepay for rental.</w:t>
      </w:r>
    </w:p>
    <w:p>
      <w:pPr>
        <w:spacing w:after="0" w:line="96" w:lineRule="exact"/>
        <w:rPr>
          <w:rFonts w:ascii="Arial" w:cs="Arial" w:eastAsia="Arial" w:hAnsi="Arial"/>
          <w:sz w:val="18"/>
          <w:szCs w:val="18"/>
          <w:color w:val="auto"/>
        </w:rPr>
      </w:pPr>
    </w:p>
    <w:p>
      <w:pPr>
        <w:ind w:left="660" w:right="180" w:hanging="328"/>
        <w:spacing w:after="0" w:line="254"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Investing in yield management and pricing analytics tools to increase the margins we earn per rental day. We have implemented, and plan to continue deploying, new technology systems that strengthen our yield management decisions and enable us to tailor our product, service and price offerings to meet our customers’ needs and react quickly to shifting market conditions. We will continue to adjust our pricing to improve profitability and manage our fleet to match changes in demand.</w:t>
      </w:r>
    </w:p>
    <w:p>
      <w:pPr>
        <w:spacing w:after="0" w:line="96" w:lineRule="exact"/>
        <w:rPr>
          <w:rFonts w:ascii="Arial" w:cs="Arial" w:eastAsia="Arial" w:hAnsi="Arial"/>
          <w:sz w:val="18"/>
          <w:szCs w:val="18"/>
          <w:color w:val="auto"/>
        </w:rPr>
      </w:pPr>
    </w:p>
    <w:p>
      <w:pPr>
        <w:jc w:val="both"/>
        <w:ind w:left="660" w:right="180" w:hanging="328"/>
        <w:spacing w:after="0" w:line="256"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Aggressively managing and improving our fleet to better drive the purchase, deployment, and disposition of our fleet, grow our direct-to-dealer and consumer sales performance, reduce maintenance and repair expenses, better optimize our salvage costs, and reduce the risk of damage to our vehicles, which we believe will create significant financial benefits.</w:t>
      </w:r>
    </w:p>
    <w:p>
      <w:pPr>
        <w:spacing w:after="0" w:line="93" w:lineRule="exact"/>
        <w:rPr>
          <w:rFonts w:ascii="Arial" w:cs="Arial" w:eastAsia="Arial" w:hAnsi="Arial"/>
          <w:sz w:val="18"/>
          <w:szCs w:val="18"/>
          <w:color w:val="auto"/>
        </w:rPr>
      </w:pPr>
    </w:p>
    <w:p>
      <w:pPr>
        <w:ind w:left="660" w:right="40" w:hanging="328"/>
        <w:spacing w:after="0" w:line="256"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Continue seeking opportunities where our investments will generate strong returns, including by expanding our current rental locations, acquiring and integrating existing licensees in key markets, participating in joint ventures and acquiring leading brands in markets that will contribute to our profitability.</w:t>
      </w:r>
    </w:p>
    <w:p>
      <w:pPr>
        <w:spacing w:after="0" w:line="93" w:lineRule="exact"/>
        <w:rPr>
          <w:rFonts w:ascii="Arial" w:cs="Arial" w:eastAsia="Arial" w:hAnsi="Arial"/>
          <w:sz w:val="18"/>
          <w:szCs w:val="18"/>
          <w:color w:val="auto"/>
        </w:rPr>
      </w:pPr>
    </w:p>
    <w:p>
      <w:pPr>
        <w:ind w:left="660" w:right="520" w:hanging="328"/>
        <w:spacing w:after="0" w:line="262"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Leveraging Zipcar to increase our membership base within its existing markets, as well as expanding the brand into new markets where our existing car rental presence will help enable the introduction of Zipcar’s car sharing services.</w:t>
      </w:r>
    </w:p>
    <w:p>
      <w:pPr>
        <w:spacing w:after="0" w:line="88" w:lineRule="exact"/>
        <w:rPr>
          <w:rFonts w:ascii="Arial" w:cs="Arial" w:eastAsia="Arial" w:hAnsi="Arial"/>
          <w:sz w:val="18"/>
          <w:szCs w:val="18"/>
          <w:color w:val="auto"/>
        </w:rPr>
      </w:pPr>
    </w:p>
    <w:p>
      <w:pPr>
        <w:ind w:left="660" w:right="360" w:hanging="328"/>
        <w:spacing w:after="0" w:line="262"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Addressing demand in the deep-value segment of the vehicle rental industry with both our Payless and Apex brands and looking to increase the contribution from this growth segment of the market.</w:t>
      </w:r>
    </w:p>
    <w:p>
      <w:pPr>
        <w:spacing w:after="0" w:line="88"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We continued to focus our efforts on rigorously controlling our costs, aggressively reducing expenses and increasing efficiencies throughout our organization by:</w:t>
      </w:r>
    </w:p>
    <w:p>
      <w:pPr>
        <w:spacing w:after="0" w:line="88" w:lineRule="exact"/>
        <w:rPr>
          <w:sz w:val="20"/>
          <w:szCs w:val="20"/>
          <w:color w:val="auto"/>
        </w:rPr>
      </w:pPr>
    </w:p>
    <w:p>
      <w:pPr>
        <w:ind w:left="660" w:right="160" w:hanging="328"/>
        <w:spacing w:after="0" w:line="262"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Continuing to implement process improvements impacting virtually all areas of our business to increase efficiencies, reduce operating costs and create sustainable cost savings using LEAN, Six Sigma and other similar tools.</w:t>
      </w:r>
    </w:p>
    <w:p>
      <w:pPr>
        <w:spacing w:after="0" w:line="88" w:lineRule="exact"/>
        <w:rPr>
          <w:rFonts w:ascii="Arial" w:cs="Arial" w:eastAsia="Arial" w:hAnsi="Arial"/>
          <w:sz w:val="18"/>
          <w:szCs w:val="18"/>
          <w:color w:val="auto"/>
        </w:rPr>
      </w:pPr>
    </w:p>
    <w:p>
      <w:pPr>
        <w:ind w:left="660" w:right="60" w:hanging="328"/>
        <w:spacing w:after="0" w:line="262"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Achieving reductions in underlying direct operating and selling, general and administrative expenses, including significant reductions in staff.</w:t>
      </w:r>
    </w:p>
    <w:p>
      <w:pPr>
        <w:spacing w:after="0" w:line="88" w:lineRule="exact"/>
        <w:rPr>
          <w:rFonts w:ascii="Arial" w:cs="Arial" w:eastAsia="Arial" w:hAnsi="Arial"/>
          <w:sz w:val="18"/>
          <w:szCs w:val="18"/>
          <w:color w:val="auto"/>
        </w:rPr>
      </w:pPr>
    </w:p>
    <w:p>
      <w:pPr>
        <w:ind w:left="660" w:right="20" w:hanging="328"/>
        <w:spacing w:after="0" w:line="262"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Taking significant actions to further streamline our main administrative offices and shared-services infrastructure through a restructuring program.</w:t>
      </w:r>
    </w:p>
    <w:p>
      <w:pPr>
        <w:spacing w:after="0" w:line="88" w:lineRule="exact"/>
        <w:rPr>
          <w:rFonts w:ascii="Arial" w:cs="Arial" w:eastAsia="Arial" w:hAnsi="Arial"/>
          <w:sz w:val="18"/>
          <w:szCs w:val="18"/>
          <w:color w:val="auto"/>
        </w:rPr>
      </w:pPr>
    </w:p>
    <w:p>
      <w:pPr>
        <w:ind w:left="660" w:right="520" w:hanging="328"/>
        <w:spacing w:after="0" w:line="262"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Assessing location, segment and customer profitability to address less-profitable aspects of our business and focus on the more-profitable accounts that will help drive increased revenue.</w:t>
      </w:r>
    </w:p>
    <w:p>
      <w:pPr>
        <w:spacing w:after="0" w:line="88"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Deploying changes to our sales, marketing and affinity programs to improve profitability.</w:t>
      </w:r>
    </w:p>
    <w:p>
      <w:pPr>
        <w:spacing w:after="0" w:line="117" w:lineRule="exact"/>
        <w:rPr>
          <w:rFonts w:ascii="Arial" w:cs="Arial" w:eastAsia="Arial" w:hAnsi="Arial"/>
          <w:sz w:val="18"/>
          <w:szCs w:val="18"/>
          <w:color w:val="auto"/>
        </w:rPr>
      </w:pPr>
    </w:p>
    <w:p>
      <w:pPr>
        <w:ind w:left="660" w:right="660" w:hanging="328"/>
        <w:spacing w:after="0" w:line="262"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Implementing initiatives to integrate our acquired businesses, to realize cost efficiencies from combined maintenance, systems, technology and administrative infrastructure.</w:t>
      </w:r>
    </w:p>
    <w:p>
      <w:pPr>
        <w:spacing w:after="0" w:line="88" w:lineRule="exact"/>
        <w:rPr>
          <w:rFonts w:ascii="Arial" w:cs="Arial" w:eastAsia="Arial" w:hAnsi="Arial"/>
          <w:sz w:val="18"/>
          <w:szCs w:val="18"/>
          <w:color w:val="auto"/>
        </w:rPr>
      </w:pPr>
    </w:p>
    <w:p>
      <w:pPr>
        <w:ind w:left="660" w:right="60" w:hanging="328"/>
        <w:spacing w:after="0" w:line="256"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Seeking to better optimize our acquisition, deployment and disposition of fleet to lower costs and better meet customer demand, as well as continued fleet utilization benefits and savings by combining our car rental and car sharing fleets at times to reduce the number of unutilized vehicles.</w:t>
      </w:r>
    </w:p>
    <w:p>
      <w:pPr>
        <w:spacing w:after="0" w:line="93" w:lineRule="exact"/>
        <w:rPr>
          <w:rFonts w:ascii="Arial" w:cs="Arial" w:eastAsia="Arial" w:hAnsi="Arial"/>
          <w:sz w:val="18"/>
          <w:szCs w:val="18"/>
          <w:color w:val="auto"/>
        </w:rPr>
      </w:pPr>
    </w:p>
    <w:p>
      <w:pPr>
        <w:ind w:left="660" w:right="40" w:hanging="328"/>
        <w:spacing w:after="0" w:line="262"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Continuing to implement innovative technological solutions, including self-service voice reservation technology, mobile communications with customers and fleet optimization technologies to reduce costs.</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We believe such operational improvements will continue to assist our financial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40"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Our Evolving Mobility Platform</w:t>
      </w:r>
    </w:p>
    <w:p>
      <w:pPr>
        <w:spacing w:after="0" w:line="135"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Our Company is well-positioned to remain a global leader in the evolving mobility marketplace. We are focused on seizing opportunities that will allow us to increase our overall value through strategies that support our vehicle rental and other mobility solutions in driving improved profitability through our brands, broadening our partnerships and participation with other innovators and finding opportunities to provide new services and offerings for new and evolving mobility market segments. The mobility landscape has significantly expanded over the past few years, with an increasing number of companies launching their own mobility initiatives in support of fleet and supply chain management, electric and autonomous vehicles, financial and insurance services, digital commerce support and integrated transportation services. We have been and will continue to be actively engaged in partnerships that will help us develop and support mobility solutions for our current business models, and also allow us to test and launch new business models that may allow us to further expand our service offerings.</w:t>
      </w:r>
    </w:p>
    <w:p>
      <w:pPr>
        <w:spacing w:after="0" w:line="98"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As the mobility landscape continues to evolve, we are strategically positioned to grow our business and engage in partnerships in the following areas:</w:t>
      </w:r>
    </w:p>
    <w:p>
      <w:pPr>
        <w:spacing w:after="0" w:line="88"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Traditional vehicle rental and car sharing services;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Autonomous vehicles, electric vehicles and connected-car technologies that support our vehicle rental and car-sharing operations;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New mobility providers and consumer service platforms;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Partnerships with other transportation providers;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Ancillary products and services for our customers;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Digital commerce services, including data collection and other telematics;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Fleet management and supply chain services.</w:t>
      </w:r>
    </w:p>
    <w:p>
      <w:pPr>
        <w:spacing w:after="0" w:line="117"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We believe that new technologies and evolving customer preferences that favor the rental or sharing of, or other new approaches to using vehicles rather than traditional car ownership represent important opportunities for us to meet new and growing consumer and commercial mobility demand by leveraging our existing assets and expertise. We intend to expand our Zipcar brand into new markets and provide new mobility solutions, such as multi-modal trips to both help shape and satisfy our customers’ needs. In addition, we believe there are substantial opportunities for our Avis and Budget brands to benefit and grow as mobility solutions and vehicle-related technologies evolve. We have taken significant steps to enhance our Avis brand offering with our continued investment in the Avis mobile application and see opportunities to drive increased profitability as additional products and services are utilized by more of our customers.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In 2017, we undertook several initiatives and entered into partnerships in support of our strategy, including:</w:t>
      </w:r>
    </w:p>
    <w:p>
      <w:pPr>
        <w:spacing w:after="0" w:line="117" w:lineRule="exact"/>
        <w:rPr>
          <w:sz w:val="20"/>
          <w:szCs w:val="20"/>
          <w:color w:val="auto"/>
        </w:rPr>
      </w:pPr>
    </w:p>
    <w:p>
      <w:pPr>
        <w:ind w:left="660" w:right="60" w:hanging="328"/>
        <w:spacing w:after="0" w:line="256"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launch of our first-ever Mobility Lab in the Kansas City, Missouri area, utilizing fully connected vehicles that allows the Company to leverage its capabilities to deliver operational efficiencies through real-time inventory counts, mileage management and automated maintenance notifications that enhance and optimize the Company’s fleet management capabilities;</w:t>
      </w:r>
    </w:p>
    <w:p>
      <w:pPr>
        <w:spacing w:after="0" w:line="93" w:lineRule="exact"/>
        <w:rPr>
          <w:rFonts w:ascii="Arial" w:cs="Arial" w:eastAsia="Arial" w:hAnsi="Arial"/>
          <w:sz w:val="18"/>
          <w:szCs w:val="18"/>
          <w:color w:val="auto"/>
        </w:rPr>
      </w:pPr>
    </w:p>
    <w:p>
      <w:pPr>
        <w:ind w:left="660" w:right="440" w:hanging="328"/>
        <w:spacing w:after="0" w:line="262"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integration with Amazon Alexa and Google Assistant, which allows travelers to book and manage their car rental reservations through the popular voice platforms on Amazon Echo and Google Home devices;</w:t>
      </w:r>
    </w:p>
    <w:p>
      <w:pPr>
        <w:spacing w:after="0" w:line="88"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partnership with Waymo, an Alphabet Inc. company, through which we are offering fleet support and maintenance services for their growing fleet of autonomous vehicles beginning with the initial market of Phoenix, Arizona;</w:t>
      </w:r>
    </w:p>
    <w:p>
      <w:pPr>
        <w:spacing w:after="0" w:line="88" w:lineRule="exact"/>
        <w:rPr>
          <w:rFonts w:ascii="Arial" w:cs="Arial" w:eastAsia="Arial" w:hAnsi="Arial"/>
          <w:sz w:val="18"/>
          <w:szCs w:val="18"/>
          <w:color w:val="auto"/>
        </w:rPr>
      </w:pPr>
    </w:p>
    <w:p>
      <w:pPr>
        <w:ind w:left="660" w:right="80" w:hanging="328"/>
        <w:spacing w:after="0" w:line="254"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focus on emerging technologies through our collaboration with RocketSpace, a leading technology accelerator for promising start-ups and corporate innovators, to help us identify market opportunities and fuel cross-industry innovation in areas such as autonomous vehicles, electronic vehicles, data analytics and artificial intelligence, next-generation fleet management, automated driver assisted systems and connected car solutions; and</w:t>
      </w:r>
    </w:p>
    <w:p>
      <w:pPr>
        <w:spacing w:after="0" w:line="96" w:lineRule="exact"/>
        <w:rPr>
          <w:rFonts w:ascii="Arial" w:cs="Arial" w:eastAsia="Arial" w:hAnsi="Arial"/>
          <w:sz w:val="18"/>
          <w:szCs w:val="18"/>
          <w:color w:val="auto"/>
        </w:rPr>
      </w:pPr>
    </w:p>
    <w:p>
      <w:pPr>
        <w:ind w:left="660" w:right="180" w:hanging="328"/>
        <w:spacing w:after="0" w:line="262"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support to the ride-hailing market as we seek to partner with both ride-hailing companies and auto manufacturers to provide fleet and fleet management and maintenance services that allow us to identify new markets and profitability opportunities.</w:t>
      </w: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140" w:right="25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We are committed to finding new and innovative ways to leverage our global presence and capabilities for leadership in the evolving mobility market. Our brands, customer relationships, locations, assets and infrastructure are all important strategic advantages that we believe enhance and will enable us to grow our position in the industry.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254875" cy="1803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4875" cy="180340"/>
                    </a:xfrm>
                    <a:prstGeom prst="rect">
                      <a:avLst/>
                    </a:prstGeom>
                    <a:noFill/>
                  </pic:spPr>
                </pic:pic>
              </a:graphicData>
            </a:graphic>
          </wp:anchor>
        </w:drawing>
      </w:r>
    </w:p>
    <w:p>
      <w:pPr>
        <w:spacing w:after="0" w:line="22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OUR BRANDS AND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OUR BRANDS</w:t>
      </w:r>
    </w:p>
    <w:p>
      <w:pPr>
        <w:spacing w:after="0" w:line="247"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Our Avis, Budget and Zipcar brands are three of the most recognized brands in our industry. We believe that we enjoy significant benefits from operating our Avis and Budget brands to target different customers but sharing the same maintenance facilities, fleet management systems, technology and administrative infrastructure. In addition, we are able to recognize significant benefits and savings by combining our car rental and car sharing maintenance activities and fleets at times to reduce the number of unutilized cars and to meet demand peaks. We believe that Avis, Budget and Zipcar all enjoy complementary demand patterns with mid-week commercial demand balanced by weekend leisure demand. We also operate the Apex and Payless brands, which operate in the deep-value segment of the car rental industry, and augment our Avis, Budget and Zipcar brands. We also operate the Maggiore brand in Italy and the FranceCars brand in France, which further extends the range of vehicle use occasions we are able to serve.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Avis</w:t>
      </w:r>
    </w:p>
    <w:p>
      <w:pPr>
        <w:spacing w:after="0" w:line="24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Avis brand provides high-quality vehicle rental and other mobility solutions at price points generally above non-branded and value-branded vehicle rental companies to serve the premium commercial and leisure segments of the travel industry. We operate or license the Avis vehicle rental system (the “Avis System”), one of the largest global vehicle rental systems, comprised of approximately 5,450 locations worldwide, including in virtually all of the largest commercial airports and cities in the world.</w:t>
      </w:r>
    </w:p>
    <w:p>
      <w:pPr>
        <w:spacing w:after="0" w:line="204"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The Avis System is comprised of an approximately equal number of company-owned and licensee vehicle rental locations worldwide, in both the on-airport and off-airport, or local, rental markets. The table below presents the approximate number of locations that comprise the Avis System as of December 31, 2017.</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6060" w:type="dxa"/>
            <w:vAlign w:val="bottom"/>
          </w:tcPr>
          <w:p>
            <w:pPr>
              <w:spacing w:after="0"/>
              <w:rPr>
                <w:sz w:val="21"/>
                <w:szCs w:val="21"/>
                <w:color w:val="auto"/>
              </w:rPr>
            </w:pPr>
          </w:p>
        </w:tc>
        <w:tc>
          <w:tcPr>
            <w:tcW w:w="1660" w:type="dxa"/>
            <w:vAlign w:val="bottom"/>
            <w:tcBorders>
              <w:bottom w:val="single" w:sz="8" w:color="auto"/>
            </w:tcBorders>
          </w:tcPr>
          <w:p>
            <w:pPr>
              <w:spacing w:after="0"/>
              <w:rPr>
                <w:sz w:val="21"/>
                <w:szCs w:val="21"/>
                <w:color w:val="auto"/>
              </w:rPr>
            </w:pPr>
          </w:p>
        </w:tc>
        <w:tc>
          <w:tcPr>
            <w:tcW w:w="2320" w:type="dxa"/>
            <w:vAlign w:val="bottom"/>
            <w:tcBorders>
              <w:bottom w:val="single" w:sz="8" w:color="auto"/>
            </w:tcBorders>
            <w:gridSpan w:val="5"/>
          </w:tcPr>
          <w:p>
            <w:pPr>
              <w:ind w:left="60"/>
              <w:spacing w:after="0"/>
              <w:rPr>
                <w:sz w:val="20"/>
                <w:szCs w:val="20"/>
                <w:color w:val="auto"/>
              </w:rPr>
            </w:pPr>
            <w:r>
              <w:rPr>
                <w:rFonts w:ascii="Arial" w:cs="Arial" w:eastAsia="Arial" w:hAnsi="Arial"/>
                <w:sz w:val="18"/>
                <w:szCs w:val="18"/>
                <w:b w:val="1"/>
                <w:bCs w:val="1"/>
                <w:color w:val="auto"/>
              </w:rPr>
              <w:t>Avis System Locations</w:t>
            </w:r>
          </w:p>
        </w:tc>
        <w:tc>
          <w:tcPr>
            <w:tcW w:w="1380" w:type="dxa"/>
            <w:vAlign w:val="bottom"/>
            <w:tcBorders>
              <w:bottom w:val="single" w:sz="8" w:color="auto"/>
            </w:tcBorders>
          </w:tcPr>
          <w:p>
            <w:pPr>
              <w:spacing w:after="0"/>
              <w:rPr>
                <w:sz w:val="21"/>
                <w:szCs w:val="21"/>
                <w:color w:val="auto"/>
              </w:rPr>
            </w:pPr>
          </w:p>
        </w:tc>
      </w:tr>
      <w:tr>
        <w:trPr>
          <w:trHeight w:val="264"/>
        </w:trPr>
        <w:tc>
          <w:tcPr>
            <w:tcW w:w="6060" w:type="dxa"/>
            <w:vAlign w:val="bottom"/>
            <w:tcBorders>
              <w:bottom w:val="single" w:sz="8" w:color="C6D9F1"/>
            </w:tcBorders>
          </w:tcPr>
          <w:p>
            <w:pPr>
              <w:spacing w:after="0"/>
              <w:rPr>
                <w:sz w:val="22"/>
                <w:szCs w:val="22"/>
                <w:color w:val="auto"/>
              </w:rPr>
            </w:pPr>
          </w:p>
        </w:tc>
        <w:tc>
          <w:tcPr>
            <w:tcW w:w="16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Americas</w:t>
            </w:r>
          </w:p>
        </w:tc>
        <w:tc>
          <w:tcPr>
            <w:tcW w:w="60" w:type="dxa"/>
            <w:vAlign w:val="bottom"/>
            <w:tcBorders>
              <w:bottom w:val="single" w:sz="8" w:color="auto"/>
            </w:tcBorders>
          </w:tcPr>
          <w:p>
            <w:pPr>
              <w:spacing w:after="0"/>
              <w:rPr>
                <w:sz w:val="22"/>
                <w:szCs w:val="22"/>
                <w:color w:val="auto"/>
              </w:rPr>
            </w:pPr>
          </w:p>
        </w:tc>
        <w:tc>
          <w:tcPr>
            <w:tcW w:w="120" w:type="dxa"/>
            <w:vAlign w:val="bottom"/>
            <w:tcBorders>
              <w:bottom w:val="single" w:sz="8" w:color="C6D9F1"/>
            </w:tcBorders>
          </w:tcPr>
          <w:p>
            <w:pPr>
              <w:spacing w:after="0"/>
              <w:rPr>
                <w:sz w:val="22"/>
                <w:szCs w:val="22"/>
                <w:color w:val="auto"/>
              </w:rPr>
            </w:pPr>
          </w:p>
        </w:tc>
        <w:tc>
          <w:tcPr>
            <w:tcW w:w="17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International</w:t>
            </w:r>
          </w:p>
        </w:tc>
        <w:tc>
          <w:tcPr>
            <w:tcW w:w="100" w:type="dxa"/>
            <w:vAlign w:val="bottom"/>
            <w:tcBorders>
              <w:bottom w:val="single" w:sz="8" w:color="C6D9F1"/>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Total</w:t>
            </w:r>
          </w:p>
        </w:tc>
      </w:tr>
      <w:tr>
        <w:trPr>
          <w:trHeight w:val="257"/>
        </w:trPr>
        <w:tc>
          <w:tcPr>
            <w:tcW w:w="6060" w:type="dxa"/>
            <w:vAlign w:val="bottom"/>
            <w:shd w:val="clear" w:color="auto" w:fill="C6D9F1"/>
          </w:tcPr>
          <w:p>
            <w:pPr>
              <w:ind w:left="40"/>
              <w:spacing w:after="0"/>
              <w:rPr>
                <w:sz w:val="20"/>
                <w:szCs w:val="20"/>
                <w:color w:val="auto"/>
              </w:rPr>
            </w:pPr>
            <w:r>
              <w:rPr>
                <w:rFonts w:ascii="Arial" w:cs="Arial" w:eastAsia="Arial" w:hAnsi="Arial"/>
                <w:sz w:val="18"/>
                <w:szCs w:val="18"/>
                <w:color w:val="auto"/>
              </w:rPr>
              <w:t>Company-operated locations</w:t>
            </w:r>
          </w:p>
        </w:tc>
        <w:tc>
          <w:tcPr>
            <w:tcW w:w="1660" w:type="dxa"/>
            <w:vAlign w:val="bottom"/>
            <w:shd w:val="clear" w:color="auto" w:fill="C6D9F1"/>
          </w:tcPr>
          <w:p>
            <w:pPr>
              <w:jc w:val="right"/>
              <w:spacing w:after="0"/>
              <w:rPr>
                <w:sz w:val="20"/>
                <w:szCs w:val="20"/>
                <w:color w:val="auto"/>
              </w:rPr>
            </w:pPr>
            <w:r>
              <w:rPr>
                <w:rFonts w:ascii="Arial" w:cs="Arial" w:eastAsia="Arial" w:hAnsi="Arial"/>
                <w:sz w:val="18"/>
                <w:szCs w:val="18"/>
                <w:color w:val="auto"/>
              </w:rPr>
              <w:t>1,525</w:t>
            </w:r>
          </w:p>
        </w:tc>
        <w:tc>
          <w:tcPr>
            <w:tcW w:w="1900" w:type="dxa"/>
            <w:vAlign w:val="bottom"/>
            <w:gridSpan w:val="3"/>
            <w:shd w:val="clear" w:color="auto" w:fill="C6D9F1"/>
          </w:tcPr>
          <w:p>
            <w:pPr>
              <w:jc w:val="right"/>
              <w:ind w:right="30"/>
              <w:spacing w:after="0"/>
              <w:rPr>
                <w:sz w:val="20"/>
                <w:szCs w:val="20"/>
                <w:color w:val="auto"/>
              </w:rPr>
            </w:pPr>
            <w:r>
              <w:rPr>
                <w:rFonts w:ascii="Arial" w:cs="Arial" w:eastAsia="Arial" w:hAnsi="Arial"/>
                <w:sz w:val="18"/>
                <w:szCs w:val="18"/>
                <w:color w:val="auto"/>
              </w:rPr>
              <w:t>1,150</w:t>
            </w:r>
          </w:p>
        </w:tc>
        <w:tc>
          <w:tcPr>
            <w:tcW w:w="100" w:type="dxa"/>
            <w:vAlign w:val="bottom"/>
            <w:shd w:val="clear" w:color="auto" w:fill="C6D9F1"/>
          </w:tcPr>
          <w:p>
            <w:pPr>
              <w:spacing w:after="0"/>
              <w:rPr>
                <w:sz w:val="22"/>
                <w:szCs w:val="22"/>
                <w:color w:val="auto"/>
              </w:rPr>
            </w:pPr>
          </w:p>
        </w:tc>
        <w:tc>
          <w:tcPr>
            <w:tcW w:w="320" w:type="dxa"/>
            <w:vAlign w:val="bottom"/>
            <w:shd w:val="clear" w:color="auto" w:fill="C6D9F1"/>
          </w:tcPr>
          <w:p>
            <w:pPr>
              <w:spacing w:after="0"/>
              <w:rPr>
                <w:sz w:val="22"/>
                <w:szCs w:val="22"/>
                <w:color w:val="auto"/>
              </w:rPr>
            </w:pPr>
          </w:p>
        </w:tc>
        <w:tc>
          <w:tcPr>
            <w:tcW w:w="1380" w:type="dxa"/>
            <w:vAlign w:val="bottom"/>
            <w:shd w:val="clear" w:color="auto" w:fill="C6D9F1"/>
          </w:tcPr>
          <w:p>
            <w:pPr>
              <w:jc w:val="right"/>
              <w:ind w:right="10"/>
              <w:spacing w:after="0"/>
              <w:rPr>
                <w:sz w:val="20"/>
                <w:szCs w:val="20"/>
                <w:color w:val="auto"/>
              </w:rPr>
            </w:pPr>
            <w:r>
              <w:rPr>
                <w:rFonts w:ascii="Arial" w:cs="Arial" w:eastAsia="Arial" w:hAnsi="Arial"/>
                <w:sz w:val="18"/>
                <w:szCs w:val="18"/>
                <w:color w:val="auto"/>
              </w:rPr>
              <w:t>2,675</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Licensee locations</w:t>
            </w:r>
          </w:p>
        </w:tc>
        <w:tc>
          <w:tcPr>
            <w:tcW w:w="1660" w:type="dxa"/>
            <w:vAlign w:val="bottom"/>
          </w:tcPr>
          <w:p>
            <w:pPr>
              <w:jc w:val="right"/>
              <w:spacing w:after="0"/>
              <w:rPr>
                <w:sz w:val="20"/>
                <w:szCs w:val="20"/>
                <w:color w:val="auto"/>
              </w:rPr>
            </w:pPr>
            <w:r>
              <w:rPr>
                <w:rFonts w:ascii="Arial" w:cs="Arial" w:eastAsia="Arial" w:hAnsi="Arial"/>
                <w:sz w:val="18"/>
                <w:szCs w:val="18"/>
                <w:color w:val="auto"/>
              </w:rPr>
              <w:t>725</w:t>
            </w:r>
          </w:p>
        </w:tc>
        <w:tc>
          <w:tcPr>
            <w:tcW w:w="1900" w:type="dxa"/>
            <w:vAlign w:val="bottom"/>
            <w:gridSpan w:val="3"/>
          </w:tcPr>
          <w:p>
            <w:pPr>
              <w:jc w:val="right"/>
              <w:ind w:right="30"/>
              <w:spacing w:after="0"/>
              <w:rPr>
                <w:sz w:val="20"/>
                <w:szCs w:val="20"/>
                <w:color w:val="auto"/>
              </w:rPr>
            </w:pPr>
            <w:r>
              <w:rPr>
                <w:rFonts w:ascii="Arial" w:cs="Arial" w:eastAsia="Arial" w:hAnsi="Arial"/>
                <w:sz w:val="18"/>
                <w:szCs w:val="18"/>
                <w:color w:val="auto"/>
              </w:rPr>
              <w:t>2,050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2,775</w:t>
            </w:r>
          </w:p>
        </w:tc>
      </w:tr>
      <w:tr>
        <w:trPr>
          <w:trHeight w:val="27"/>
        </w:trPr>
        <w:tc>
          <w:tcPr>
            <w:tcW w:w="6060" w:type="dxa"/>
            <w:vAlign w:val="bottom"/>
            <w:tcBorders>
              <w:bottom w:val="single" w:sz="8" w:color="C6D9F1"/>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6D9F1"/>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6D9F1"/>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6060" w:type="dxa"/>
            <w:vAlign w:val="bottom"/>
            <w:shd w:val="clear" w:color="auto" w:fill="C6D9F1"/>
          </w:tcPr>
          <w:p>
            <w:pPr>
              <w:ind w:left="40"/>
              <w:spacing w:after="0"/>
              <w:rPr>
                <w:sz w:val="20"/>
                <w:szCs w:val="20"/>
                <w:color w:val="auto"/>
              </w:rPr>
            </w:pPr>
            <w:r>
              <w:rPr>
                <w:rFonts w:ascii="Arial" w:cs="Arial" w:eastAsia="Arial" w:hAnsi="Arial"/>
                <w:sz w:val="18"/>
                <w:szCs w:val="18"/>
                <w:b w:val="1"/>
                <w:bCs w:val="1"/>
                <w:color w:val="auto"/>
              </w:rPr>
              <w:t>Total Avis System Locations</w:t>
            </w:r>
          </w:p>
        </w:tc>
        <w:tc>
          <w:tcPr>
            <w:tcW w:w="1660" w:type="dxa"/>
            <w:vAlign w:val="bottom"/>
            <w:shd w:val="clear" w:color="auto" w:fill="C6D9F1"/>
          </w:tcPr>
          <w:p>
            <w:pPr>
              <w:jc w:val="right"/>
              <w:spacing w:after="0"/>
              <w:rPr>
                <w:sz w:val="20"/>
                <w:szCs w:val="20"/>
                <w:color w:val="auto"/>
              </w:rPr>
            </w:pPr>
            <w:r>
              <w:rPr>
                <w:rFonts w:ascii="Arial" w:cs="Arial" w:eastAsia="Arial" w:hAnsi="Arial"/>
                <w:sz w:val="18"/>
                <w:szCs w:val="18"/>
                <w:color w:val="auto"/>
              </w:rPr>
              <w:t>2,250</w:t>
            </w:r>
          </w:p>
        </w:tc>
        <w:tc>
          <w:tcPr>
            <w:tcW w:w="1900" w:type="dxa"/>
            <w:vAlign w:val="bottom"/>
            <w:gridSpan w:val="3"/>
            <w:shd w:val="clear" w:color="auto" w:fill="C6D9F1"/>
          </w:tcPr>
          <w:p>
            <w:pPr>
              <w:jc w:val="right"/>
              <w:ind w:right="30"/>
              <w:spacing w:after="0"/>
              <w:rPr>
                <w:sz w:val="20"/>
                <w:szCs w:val="20"/>
                <w:color w:val="auto"/>
              </w:rPr>
            </w:pPr>
            <w:r>
              <w:rPr>
                <w:rFonts w:ascii="Arial" w:cs="Arial" w:eastAsia="Arial" w:hAnsi="Arial"/>
                <w:sz w:val="18"/>
                <w:szCs w:val="18"/>
                <w:color w:val="auto"/>
              </w:rPr>
              <w:t>3,200</w:t>
            </w:r>
          </w:p>
        </w:tc>
        <w:tc>
          <w:tcPr>
            <w:tcW w:w="100" w:type="dxa"/>
            <w:vAlign w:val="bottom"/>
            <w:shd w:val="clear" w:color="auto" w:fill="C6D9F1"/>
          </w:tcPr>
          <w:p>
            <w:pPr>
              <w:spacing w:after="0"/>
              <w:rPr>
                <w:sz w:val="21"/>
                <w:szCs w:val="21"/>
                <w:color w:val="auto"/>
              </w:rPr>
            </w:pPr>
          </w:p>
        </w:tc>
        <w:tc>
          <w:tcPr>
            <w:tcW w:w="320" w:type="dxa"/>
            <w:vAlign w:val="bottom"/>
            <w:shd w:val="clear" w:color="auto" w:fill="C6D9F1"/>
          </w:tcPr>
          <w:p>
            <w:pPr>
              <w:spacing w:after="0"/>
              <w:rPr>
                <w:sz w:val="21"/>
                <w:szCs w:val="21"/>
                <w:color w:val="auto"/>
              </w:rPr>
            </w:pPr>
          </w:p>
        </w:tc>
        <w:tc>
          <w:tcPr>
            <w:tcW w:w="1380" w:type="dxa"/>
            <w:vAlign w:val="bottom"/>
            <w:shd w:val="clear" w:color="auto" w:fill="C6D9F1"/>
          </w:tcPr>
          <w:p>
            <w:pPr>
              <w:jc w:val="right"/>
              <w:ind w:right="10"/>
              <w:spacing w:after="0"/>
              <w:rPr>
                <w:sz w:val="20"/>
                <w:szCs w:val="20"/>
                <w:color w:val="auto"/>
              </w:rPr>
            </w:pPr>
            <w:r>
              <w:rPr>
                <w:rFonts w:ascii="Arial" w:cs="Arial" w:eastAsia="Arial" w:hAnsi="Arial"/>
                <w:sz w:val="18"/>
                <w:szCs w:val="18"/>
                <w:color w:val="auto"/>
              </w:rPr>
              <w:t>5,450</w:t>
            </w:r>
          </w:p>
        </w:tc>
      </w:tr>
      <w:tr>
        <w:trPr>
          <w:trHeight w:val="20"/>
        </w:trPr>
        <w:tc>
          <w:tcPr>
            <w:tcW w:w="6060" w:type="dxa"/>
            <w:vAlign w:val="bottom"/>
            <w:tcBorders>
              <w:top w:val="single" w:sz="8" w:color="C6D9F1"/>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6D9F1"/>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6D9F1"/>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In 2017, our company-operated Avis locations generated total world-wide revenue of approximately $5.2 billion, 62% of which was derived in the Americas. In 2017, approximately $1.8 billion (or 49%) of our Avis T&amp;M revenue was derived from commercial customers and approximately $2.5 billion (or 70%) was derived from customers renting at airports. The following graphs present the approximate composition of our Avis revenue by segment and our Avis T&amp;M revenue by customer and market in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5711190" cy="14833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11190" cy="1483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40"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We also license the Avis System to independent commercial owners who operate approximately half of our locations worldwide and generally pay royalty fees to us based on a percentage of applicable revenue. In 2017, approximately 30% of the global Avis System revenue was generated by our licensees. The graphs below present the approximate composition of the Avis System revenue in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5711190" cy="14833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11190" cy="1483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color w:val="auto"/>
        </w:rPr>
        <w:t>We offer Avis customers a variety of premium services, including:</w:t>
      </w:r>
    </w:p>
    <w:p>
      <w:pPr>
        <w:spacing w:after="0" w:line="225" w:lineRule="exact"/>
        <w:rPr>
          <w:sz w:val="20"/>
          <w:szCs w:val="20"/>
          <w:color w:val="auto"/>
        </w:rPr>
      </w:pPr>
    </w:p>
    <w:p>
      <w:pPr>
        <w:ind w:left="660" w:right="100" w:hanging="328"/>
        <w:spacing w:after="0" w:line="254"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Avis mobile application, which allows customers to reserve, confirm, choose or upgrade their vehicle, add ancillary products, open, close or extend rentals, and, in the case of certain connected vehicles, lock and unlock the vehicle, using their smartphone or tablet device while by-passing the rental counter. The application also allows customers to track courtesy buses to rental locations and help “find my car”;</w:t>
      </w:r>
    </w:p>
    <w:p>
      <w:pPr>
        <w:spacing w:after="0" w:line="186" w:lineRule="exact"/>
        <w:rPr>
          <w:rFonts w:ascii="Arial" w:cs="Arial" w:eastAsia="Arial" w:hAnsi="Arial"/>
          <w:sz w:val="18"/>
          <w:szCs w:val="18"/>
          <w:color w:val="auto"/>
        </w:rPr>
      </w:pPr>
    </w:p>
    <w:p>
      <w:pPr>
        <w:ind w:left="660" w:right="420" w:hanging="328"/>
        <w:spacing w:after="0" w:line="282"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Avis Preferred</w:t>
      </w:r>
      <w:r>
        <w:rPr>
          <w:rFonts w:ascii="Arial" w:cs="Arial" w:eastAsia="Arial" w:hAnsi="Arial"/>
          <w:sz w:val="18"/>
          <w:szCs w:val="18"/>
          <w:color w:val="auto"/>
        </w:rPr>
        <w:t>, a frequent renter rewards program that offers counter bypass at major airport locations and reward points for every</w:t>
      </w:r>
      <w:r>
        <w:rPr>
          <w:rFonts w:ascii="Arial" w:cs="Arial" w:eastAsia="Arial" w:hAnsi="Arial"/>
          <w:sz w:val="18"/>
          <w:szCs w:val="18"/>
          <w:i w:val="1"/>
          <w:iCs w:val="1"/>
          <w:color w:val="auto"/>
        </w:rPr>
        <w:t xml:space="preserve"> </w:t>
      </w:r>
      <w:r>
        <w:rPr>
          <w:rFonts w:ascii="Arial" w:cs="Arial" w:eastAsia="Arial" w:hAnsi="Arial"/>
          <w:sz w:val="18"/>
          <w:szCs w:val="18"/>
          <w:color w:val="auto"/>
        </w:rPr>
        <w:t>dollar spent on vehicle rentals and related products;</w:t>
      </w:r>
    </w:p>
    <w:p>
      <w:pPr>
        <w:spacing w:after="0" w:line="17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Avis Select Series, a selection of luxury vehicles including BMWs, Corvettes, Mercedes, Jaguars and others;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rental of portable navigation units, tablets and in-dash satellite radio service;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availability of premium, sport and performance vehicles as well as eco-friendly vehicles, including gasoline/electric hybrids;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roadside assistance;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fuel service options;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e-receipts;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100% smoke-free vehicle rental fleet in North America;</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electronic toll collection services that allow customers to pay highway tolls without waiting in toll booth lines;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amenities such as Avis Access, a full range of special products and services for drivers and passengers with disabilities;</w:t>
      </w:r>
    </w:p>
    <w:p>
      <w:pPr>
        <w:spacing w:after="0" w:line="225" w:lineRule="exact"/>
        <w:rPr>
          <w:rFonts w:ascii="Arial" w:cs="Arial" w:eastAsia="Arial" w:hAnsi="Arial"/>
          <w:sz w:val="18"/>
          <w:szCs w:val="18"/>
          <w:color w:val="auto"/>
        </w:rPr>
      </w:pPr>
    </w:p>
    <w:p>
      <w:pPr>
        <w:ind w:left="660" w:hanging="328"/>
        <w:spacing w:after="0" w:line="256"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Avis Interactive, a proprietary management tool that allows corporate clients to easily view and analyze their rental activity via the Internet, permitting these clients to better manage their travel budgets and monitor employee compliance with applicable travel policies; and</w:t>
      </w:r>
    </w:p>
    <w:p>
      <w:pPr>
        <w:spacing w:after="0" w:line="201" w:lineRule="exact"/>
        <w:rPr>
          <w:rFonts w:ascii="Arial" w:cs="Arial" w:eastAsia="Arial" w:hAnsi="Arial"/>
          <w:sz w:val="18"/>
          <w:szCs w:val="18"/>
          <w:color w:val="auto"/>
        </w:rPr>
      </w:pPr>
    </w:p>
    <w:p>
      <w:pPr>
        <w:ind w:left="660" w:right="400" w:hanging="328"/>
        <w:spacing w:after="0" w:line="262" w:lineRule="auto"/>
        <w:tabs>
          <w:tab w:leader="none" w:pos="660" w:val="left"/>
        </w:tabs>
        <w:numPr>
          <w:ilvl w:val="0"/>
          <w:numId w:val="14"/>
        </w:numPr>
        <w:rPr>
          <w:rFonts w:ascii="Arial" w:cs="Arial" w:eastAsia="Arial" w:hAnsi="Arial"/>
          <w:sz w:val="18"/>
          <w:szCs w:val="18"/>
          <w:i w:val="1"/>
          <w:iCs w:val="1"/>
          <w:color w:val="auto"/>
        </w:rPr>
      </w:pPr>
      <w:r>
        <w:rPr>
          <w:rFonts w:ascii="Arial" w:cs="Arial" w:eastAsia="Arial" w:hAnsi="Arial"/>
          <w:sz w:val="18"/>
          <w:szCs w:val="18"/>
          <w:color w:val="auto"/>
        </w:rPr>
        <w:t>Connected car technology that will involve nearly 100,000 vehicles by late 2018 that provide our customers with increased mobility solutions as they seek more control and convenience over their rental experience.</w:t>
      </w: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40"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left="660" w:right="720" w:hanging="328"/>
        <w:spacing w:after="0" w:line="262"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Applications that serve our customers through various mobile and technology platforms, including Apple Watch devices, voice-controlled access through Amazon Alexa enabled devices, and Google Assistant enabled devices.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Budget</w:t>
      </w:r>
    </w:p>
    <w:p>
      <w:pPr>
        <w:spacing w:after="0" w:line="247" w:lineRule="exact"/>
        <w:rPr>
          <w:sz w:val="20"/>
          <w:szCs w:val="20"/>
          <w:color w:val="auto"/>
        </w:rPr>
      </w:pPr>
    </w:p>
    <w:p>
      <w:pPr>
        <w:jc w:val="both"/>
        <w:ind w:right="300"/>
        <w:spacing w:after="0" w:line="256" w:lineRule="auto"/>
        <w:rPr>
          <w:sz w:val="20"/>
          <w:szCs w:val="20"/>
          <w:color w:val="auto"/>
        </w:rPr>
      </w:pPr>
      <w:r>
        <w:rPr>
          <w:rFonts w:ascii="Arial" w:cs="Arial" w:eastAsia="Arial" w:hAnsi="Arial"/>
          <w:sz w:val="18"/>
          <w:szCs w:val="18"/>
          <w:color w:val="auto"/>
        </w:rPr>
        <w:t>The Budget brand is a leading supplier of vehicle rental and other mobility solutions focused primarily on more value-conscious segments of the industry. We operate or license the Budget vehicle rental system (the “Budget System”), which is comprised of vehicle rental locations at most of the largest airports and cities in the world.</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the approximate number of locations that comprise the Budget System as of December 31, 2017.</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6060" w:type="dxa"/>
            <w:vAlign w:val="bottom"/>
          </w:tcPr>
          <w:p>
            <w:pPr>
              <w:spacing w:after="0"/>
              <w:rPr>
                <w:sz w:val="21"/>
                <w:szCs w:val="21"/>
                <w:color w:val="auto"/>
              </w:rPr>
            </w:pPr>
          </w:p>
        </w:tc>
        <w:tc>
          <w:tcPr>
            <w:tcW w:w="4040" w:type="dxa"/>
            <w:vAlign w:val="bottom"/>
            <w:tcBorders>
              <w:bottom w:val="single" w:sz="8" w:color="auto"/>
            </w:tcBorders>
            <w:gridSpan w:val="5"/>
          </w:tcPr>
          <w:p>
            <w:pPr>
              <w:jc w:val="center"/>
              <w:ind w:left="1250"/>
              <w:spacing w:after="0"/>
              <w:rPr>
                <w:sz w:val="20"/>
                <w:szCs w:val="20"/>
                <w:color w:val="auto"/>
              </w:rPr>
            </w:pPr>
            <w:r>
              <w:rPr>
                <w:rFonts w:ascii="Arial" w:cs="Arial" w:eastAsia="Arial" w:hAnsi="Arial"/>
                <w:sz w:val="18"/>
                <w:szCs w:val="18"/>
                <w:b w:val="1"/>
                <w:bCs w:val="1"/>
                <w:color w:val="auto"/>
              </w:rPr>
              <w:t>Budget System Locations</w:t>
            </w:r>
          </w:p>
        </w:tc>
        <w:tc>
          <w:tcPr>
            <w:tcW w:w="1320" w:type="dxa"/>
            <w:vAlign w:val="bottom"/>
            <w:tcBorders>
              <w:bottom w:val="single" w:sz="8" w:color="auto"/>
            </w:tcBorders>
          </w:tcPr>
          <w:p>
            <w:pPr>
              <w:spacing w:after="0"/>
              <w:rPr>
                <w:sz w:val="21"/>
                <w:szCs w:val="21"/>
                <w:color w:val="auto"/>
              </w:rPr>
            </w:pPr>
          </w:p>
        </w:tc>
      </w:tr>
      <w:tr>
        <w:trPr>
          <w:trHeight w:val="264"/>
        </w:trPr>
        <w:tc>
          <w:tcPr>
            <w:tcW w:w="6060" w:type="dxa"/>
            <w:vAlign w:val="bottom"/>
          </w:tcPr>
          <w:p>
            <w:pPr>
              <w:spacing w:after="0"/>
              <w:rPr>
                <w:sz w:val="22"/>
                <w:szCs w:val="22"/>
                <w:color w:val="auto"/>
              </w:rPr>
            </w:pPr>
          </w:p>
        </w:tc>
        <w:tc>
          <w:tcPr>
            <w:tcW w:w="1840" w:type="dxa"/>
            <w:vAlign w:val="bottom"/>
            <w:gridSpan w:val="2"/>
          </w:tcPr>
          <w:p>
            <w:pPr>
              <w:ind w:left="460"/>
              <w:spacing w:after="0"/>
              <w:rPr>
                <w:sz w:val="20"/>
                <w:szCs w:val="20"/>
                <w:color w:val="auto"/>
              </w:rPr>
            </w:pPr>
            <w:r>
              <w:rPr>
                <w:rFonts w:ascii="Arial" w:cs="Arial" w:eastAsia="Arial" w:hAnsi="Arial"/>
                <w:sz w:val="18"/>
                <w:szCs w:val="18"/>
                <w:b w:val="1"/>
                <w:bCs w:val="1"/>
                <w:color w:val="auto"/>
              </w:rPr>
              <w:t>Americas</w:t>
            </w:r>
          </w:p>
        </w:tc>
        <w:tc>
          <w:tcPr>
            <w:tcW w:w="2200" w:type="dxa"/>
            <w:vAlign w:val="bottom"/>
            <w:gridSpan w:val="3"/>
          </w:tcPr>
          <w:p>
            <w:pPr>
              <w:jc w:val="center"/>
              <w:ind w:right="480"/>
              <w:spacing w:after="0"/>
              <w:rPr>
                <w:sz w:val="20"/>
                <w:szCs w:val="20"/>
                <w:color w:val="auto"/>
              </w:rPr>
            </w:pPr>
            <w:r>
              <w:rPr>
                <w:rFonts w:ascii="Arial" w:cs="Arial" w:eastAsia="Arial" w:hAnsi="Arial"/>
                <w:sz w:val="18"/>
                <w:szCs w:val="18"/>
                <w:b w:val="1"/>
                <w:bCs w:val="1"/>
                <w:color w:val="auto"/>
                <w:w w:val="99"/>
              </w:rPr>
              <w:t>International</w:t>
            </w:r>
          </w:p>
        </w:tc>
        <w:tc>
          <w:tcPr>
            <w:tcW w:w="1320" w:type="dxa"/>
            <w:vAlign w:val="bottom"/>
          </w:tcPr>
          <w:p>
            <w:pPr>
              <w:jc w:val="right"/>
              <w:ind w:right="550"/>
              <w:spacing w:after="0"/>
              <w:rPr>
                <w:sz w:val="20"/>
                <w:szCs w:val="20"/>
                <w:color w:val="auto"/>
              </w:rPr>
            </w:pPr>
            <w:r>
              <w:rPr>
                <w:rFonts w:ascii="Arial" w:cs="Arial" w:eastAsia="Arial" w:hAnsi="Arial"/>
                <w:sz w:val="18"/>
                <w:szCs w:val="18"/>
                <w:b w:val="1"/>
                <w:bCs w:val="1"/>
                <w:color w:val="auto"/>
              </w:rPr>
              <w:t>Total</w:t>
            </w:r>
          </w:p>
        </w:tc>
      </w:tr>
      <w:tr>
        <w:trPr>
          <w:trHeight w:val="257"/>
        </w:trPr>
        <w:tc>
          <w:tcPr>
            <w:tcW w:w="6060" w:type="dxa"/>
            <w:vAlign w:val="bottom"/>
            <w:tcBorders>
              <w:top w:val="single" w:sz="8" w:color="C6D9F1"/>
            </w:tcBorders>
            <w:shd w:val="clear" w:color="auto" w:fill="C6D9F1"/>
          </w:tcPr>
          <w:p>
            <w:pPr>
              <w:ind w:left="40"/>
              <w:spacing w:after="0"/>
              <w:rPr>
                <w:sz w:val="20"/>
                <w:szCs w:val="20"/>
                <w:color w:val="auto"/>
              </w:rPr>
            </w:pPr>
            <w:r>
              <w:rPr>
                <w:rFonts w:ascii="Arial" w:cs="Arial" w:eastAsia="Arial" w:hAnsi="Arial"/>
                <w:sz w:val="18"/>
                <w:szCs w:val="18"/>
                <w:color w:val="auto"/>
              </w:rPr>
              <w:t>Company-operated locations</w:t>
            </w:r>
          </w:p>
        </w:tc>
        <w:tc>
          <w:tcPr>
            <w:tcW w:w="1720" w:type="dxa"/>
            <w:vAlign w:val="bottom"/>
            <w:tcBorders>
              <w:top w:val="single" w:sz="8" w:color="auto"/>
            </w:tcBorders>
            <w:shd w:val="clear" w:color="auto" w:fill="C6D9F1"/>
          </w:tcPr>
          <w:p>
            <w:pPr>
              <w:jc w:val="right"/>
              <w:ind w:right="30"/>
              <w:spacing w:after="0"/>
              <w:rPr>
                <w:sz w:val="20"/>
                <w:szCs w:val="20"/>
                <w:color w:val="auto"/>
              </w:rPr>
            </w:pPr>
            <w:r>
              <w:rPr>
                <w:rFonts w:ascii="Arial" w:cs="Arial" w:eastAsia="Arial" w:hAnsi="Arial"/>
                <w:sz w:val="18"/>
                <w:szCs w:val="18"/>
                <w:color w:val="auto"/>
              </w:rPr>
              <w:t>1,375</w:t>
            </w:r>
          </w:p>
        </w:tc>
        <w:tc>
          <w:tcPr>
            <w:tcW w:w="120" w:type="dxa"/>
            <w:vAlign w:val="bottom"/>
            <w:tcBorders>
              <w:top w:val="single" w:sz="8" w:color="C6D9F1"/>
            </w:tcBorders>
            <w:shd w:val="clear" w:color="auto" w:fill="C6D9F1"/>
          </w:tcPr>
          <w:p>
            <w:pPr>
              <w:spacing w:after="0"/>
              <w:rPr>
                <w:sz w:val="22"/>
                <w:szCs w:val="22"/>
                <w:color w:val="auto"/>
              </w:rPr>
            </w:pPr>
          </w:p>
        </w:tc>
        <w:tc>
          <w:tcPr>
            <w:tcW w:w="1720" w:type="dxa"/>
            <w:vAlign w:val="bottom"/>
            <w:tcBorders>
              <w:top w:val="single" w:sz="8" w:color="auto"/>
            </w:tcBorders>
            <w:shd w:val="clear" w:color="auto" w:fill="C6D9F1"/>
          </w:tcPr>
          <w:p>
            <w:pPr>
              <w:jc w:val="right"/>
              <w:ind w:right="30"/>
              <w:spacing w:after="0"/>
              <w:rPr>
                <w:sz w:val="20"/>
                <w:szCs w:val="20"/>
                <w:color w:val="auto"/>
              </w:rPr>
            </w:pPr>
            <w:r>
              <w:rPr>
                <w:rFonts w:ascii="Arial" w:cs="Arial" w:eastAsia="Arial" w:hAnsi="Arial"/>
                <w:sz w:val="18"/>
                <w:szCs w:val="18"/>
                <w:color w:val="auto"/>
              </w:rPr>
              <w:t>750</w:t>
            </w:r>
          </w:p>
        </w:tc>
        <w:tc>
          <w:tcPr>
            <w:tcW w:w="100" w:type="dxa"/>
            <w:vAlign w:val="bottom"/>
            <w:tcBorders>
              <w:top w:val="single" w:sz="8" w:color="C6D9F1"/>
            </w:tcBorders>
            <w:shd w:val="clear" w:color="auto" w:fill="C6D9F1"/>
          </w:tcPr>
          <w:p>
            <w:pPr>
              <w:spacing w:after="0"/>
              <w:rPr>
                <w:sz w:val="22"/>
                <w:szCs w:val="22"/>
                <w:color w:val="auto"/>
              </w:rPr>
            </w:pPr>
          </w:p>
        </w:tc>
        <w:tc>
          <w:tcPr>
            <w:tcW w:w="380" w:type="dxa"/>
            <w:vAlign w:val="bottom"/>
            <w:tcBorders>
              <w:top w:val="single" w:sz="8" w:color="auto"/>
            </w:tcBorders>
            <w:shd w:val="clear" w:color="auto" w:fill="C6D9F1"/>
          </w:tcPr>
          <w:p>
            <w:pPr>
              <w:spacing w:after="0"/>
              <w:rPr>
                <w:sz w:val="22"/>
                <w:szCs w:val="22"/>
                <w:color w:val="auto"/>
              </w:rPr>
            </w:pPr>
          </w:p>
        </w:tc>
        <w:tc>
          <w:tcPr>
            <w:tcW w:w="1320" w:type="dxa"/>
            <w:vAlign w:val="bottom"/>
            <w:tcBorders>
              <w:top w:val="single" w:sz="8" w:color="auto"/>
            </w:tcBorders>
            <w:shd w:val="clear" w:color="auto" w:fill="C6D9F1"/>
          </w:tcPr>
          <w:p>
            <w:pPr>
              <w:jc w:val="right"/>
              <w:ind w:right="10"/>
              <w:spacing w:after="0"/>
              <w:rPr>
                <w:sz w:val="20"/>
                <w:szCs w:val="20"/>
                <w:color w:val="auto"/>
              </w:rPr>
            </w:pPr>
            <w:r>
              <w:rPr>
                <w:rFonts w:ascii="Arial" w:cs="Arial" w:eastAsia="Arial" w:hAnsi="Arial"/>
                <w:sz w:val="18"/>
                <w:szCs w:val="18"/>
                <w:color w:val="auto"/>
              </w:rPr>
              <w:t>2,125</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Licensee locations</w:t>
            </w:r>
          </w:p>
        </w:tc>
        <w:tc>
          <w:tcPr>
            <w:tcW w:w="1720" w:type="dxa"/>
            <w:vAlign w:val="bottom"/>
          </w:tcPr>
          <w:p>
            <w:pPr>
              <w:jc w:val="right"/>
              <w:ind w:right="30"/>
              <w:spacing w:after="0"/>
              <w:rPr>
                <w:sz w:val="20"/>
                <w:szCs w:val="20"/>
                <w:color w:val="auto"/>
              </w:rPr>
            </w:pPr>
            <w:r>
              <w:rPr>
                <w:rFonts w:ascii="Arial" w:cs="Arial" w:eastAsia="Arial" w:hAnsi="Arial"/>
                <w:sz w:val="18"/>
                <w:szCs w:val="18"/>
                <w:color w:val="auto"/>
              </w:rPr>
              <w:t>650</w:t>
            </w:r>
          </w:p>
        </w:tc>
        <w:tc>
          <w:tcPr>
            <w:tcW w:w="120" w:type="dxa"/>
            <w:vAlign w:val="bottom"/>
          </w:tcPr>
          <w:p>
            <w:pPr>
              <w:spacing w:after="0"/>
              <w:rPr>
                <w:sz w:val="21"/>
                <w:szCs w:val="21"/>
                <w:color w:val="auto"/>
              </w:rPr>
            </w:pPr>
          </w:p>
        </w:tc>
        <w:tc>
          <w:tcPr>
            <w:tcW w:w="1720" w:type="dxa"/>
            <w:vAlign w:val="bottom"/>
          </w:tcPr>
          <w:p>
            <w:pPr>
              <w:jc w:val="right"/>
              <w:ind w:right="30"/>
              <w:spacing w:after="0"/>
              <w:rPr>
                <w:sz w:val="20"/>
                <w:szCs w:val="20"/>
                <w:color w:val="auto"/>
              </w:rPr>
            </w:pPr>
            <w:r>
              <w:rPr>
                <w:rFonts w:ascii="Arial" w:cs="Arial" w:eastAsia="Arial" w:hAnsi="Arial"/>
                <w:sz w:val="18"/>
                <w:szCs w:val="18"/>
                <w:color w:val="auto"/>
              </w:rPr>
              <w:t>1,150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1,800</w:t>
            </w:r>
          </w:p>
        </w:tc>
      </w:tr>
      <w:tr>
        <w:trPr>
          <w:trHeight w:val="27"/>
        </w:trPr>
        <w:tc>
          <w:tcPr>
            <w:tcW w:w="6060" w:type="dxa"/>
            <w:vAlign w:val="bottom"/>
            <w:tcBorders>
              <w:bottom w:val="single" w:sz="8" w:color="C6D9F1"/>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Borders>
              <w:bottom w:val="single" w:sz="8" w:color="C6D9F1"/>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6D9F1"/>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6D9F1"/>
            </w:tcBorders>
            <w:shd w:val="clear" w:color="auto" w:fill="C6D9F1"/>
          </w:tcPr>
          <w:p>
            <w:pPr>
              <w:ind w:left="40"/>
              <w:spacing w:after="0"/>
              <w:rPr>
                <w:sz w:val="20"/>
                <w:szCs w:val="20"/>
                <w:color w:val="auto"/>
              </w:rPr>
            </w:pPr>
            <w:r>
              <w:rPr>
                <w:rFonts w:ascii="Arial" w:cs="Arial" w:eastAsia="Arial" w:hAnsi="Arial"/>
                <w:sz w:val="18"/>
                <w:szCs w:val="18"/>
                <w:b w:val="1"/>
                <w:bCs w:val="1"/>
                <w:color w:val="auto"/>
              </w:rPr>
              <w:t>Total Budget System Locations</w:t>
            </w:r>
          </w:p>
        </w:tc>
        <w:tc>
          <w:tcPr>
            <w:tcW w:w="1720" w:type="dxa"/>
            <w:vAlign w:val="bottom"/>
            <w:tcBorders>
              <w:bottom w:val="single" w:sz="8" w:color="auto"/>
            </w:tcBorders>
            <w:shd w:val="clear" w:color="auto" w:fill="C6D9F1"/>
          </w:tcPr>
          <w:p>
            <w:pPr>
              <w:jc w:val="right"/>
              <w:ind w:right="30"/>
              <w:spacing w:after="0"/>
              <w:rPr>
                <w:sz w:val="20"/>
                <w:szCs w:val="20"/>
                <w:color w:val="auto"/>
              </w:rPr>
            </w:pPr>
            <w:r>
              <w:rPr>
                <w:rFonts w:ascii="Arial" w:cs="Arial" w:eastAsia="Arial" w:hAnsi="Arial"/>
                <w:sz w:val="18"/>
                <w:szCs w:val="18"/>
                <w:color w:val="auto"/>
              </w:rPr>
              <w:t>2,025</w:t>
            </w:r>
          </w:p>
        </w:tc>
        <w:tc>
          <w:tcPr>
            <w:tcW w:w="120" w:type="dxa"/>
            <w:vAlign w:val="bottom"/>
            <w:tcBorders>
              <w:bottom w:val="single" w:sz="8" w:color="C6D9F1"/>
            </w:tcBorders>
            <w:shd w:val="clear" w:color="auto" w:fill="C6D9F1"/>
          </w:tcPr>
          <w:p>
            <w:pPr>
              <w:spacing w:after="0"/>
              <w:rPr>
                <w:sz w:val="21"/>
                <w:szCs w:val="21"/>
                <w:color w:val="auto"/>
              </w:rPr>
            </w:pPr>
          </w:p>
        </w:tc>
        <w:tc>
          <w:tcPr>
            <w:tcW w:w="1720" w:type="dxa"/>
            <w:vAlign w:val="bottom"/>
            <w:tcBorders>
              <w:bottom w:val="single" w:sz="8" w:color="auto"/>
            </w:tcBorders>
            <w:shd w:val="clear" w:color="auto" w:fill="C6D9F1"/>
          </w:tcPr>
          <w:p>
            <w:pPr>
              <w:jc w:val="right"/>
              <w:ind w:right="30"/>
              <w:spacing w:after="0"/>
              <w:rPr>
                <w:sz w:val="20"/>
                <w:szCs w:val="20"/>
                <w:color w:val="auto"/>
              </w:rPr>
            </w:pPr>
            <w:r>
              <w:rPr>
                <w:rFonts w:ascii="Arial" w:cs="Arial" w:eastAsia="Arial" w:hAnsi="Arial"/>
                <w:sz w:val="18"/>
                <w:szCs w:val="18"/>
                <w:color w:val="auto"/>
              </w:rPr>
              <w:t>1,900</w:t>
            </w:r>
          </w:p>
        </w:tc>
        <w:tc>
          <w:tcPr>
            <w:tcW w:w="100" w:type="dxa"/>
            <w:vAlign w:val="bottom"/>
            <w:tcBorders>
              <w:bottom w:val="single" w:sz="8" w:color="C6D9F1"/>
            </w:tcBorders>
            <w:shd w:val="clear" w:color="auto" w:fill="C6D9F1"/>
          </w:tcPr>
          <w:p>
            <w:pPr>
              <w:spacing w:after="0"/>
              <w:rPr>
                <w:sz w:val="21"/>
                <w:szCs w:val="21"/>
                <w:color w:val="auto"/>
              </w:rPr>
            </w:pPr>
          </w:p>
        </w:tc>
        <w:tc>
          <w:tcPr>
            <w:tcW w:w="380" w:type="dxa"/>
            <w:vAlign w:val="bottom"/>
            <w:tcBorders>
              <w:bottom w:val="single" w:sz="8" w:color="auto"/>
            </w:tcBorders>
            <w:shd w:val="clear" w:color="auto" w:fill="C6D9F1"/>
          </w:tcPr>
          <w:p>
            <w:pPr>
              <w:spacing w:after="0"/>
              <w:rPr>
                <w:sz w:val="21"/>
                <w:szCs w:val="21"/>
                <w:color w:val="auto"/>
              </w:rPr>
            </w:pPr>
          </w:p>
        </w:tc>
        <w:tc>
          <w:tcPr>
            <w:tcW w:w="1320" w:type="dxa"/>
            <w:vAlign w:val="bottom"/>
            <w:tcBorders>
              <w:bottom w:val="single" w:sz="8" w:color="auto"/>
            </w:tcBorders>
            <w:shd w:val="clear" w:color="auto" w:fill="C6D9F1"/>
          </w:tcPr>
          <w:p>
            <w:pPr>
              <w:jc w:val="right"/>
              <w:ind w:right="10"/>
              <w:spacing w:after="0"/>
              <w:rPr>
                <w:sz w:val="20"/>
                <w:szCs w:val="20"/>
                <w:color w:val="auto"/>
              </w:rPr>
            </w:pPr>
            <w:r>
              <w:rPr>
                <w:rFonts w:ascii="Arial" w:cs="Arial" w:eastAsia="Arial" w:hAnsi="Arial"/>
                <w:sz w:val="18"/>
                <w:szCs w:val="18"/>
                <w:color w:val="auto"/>
              </w:rPr>
              <w:t>3,925</w:t>
            </w:r>
          </w:p>
        </w:tc>
      </w:tr>
      <w:tr>
        <w:trPr>
          <w:trHeight w:val="20"/>
        </w:trPr>
        <w:tc>
          <w:tcPr>
            <w:tcW w:w="606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In 2017, our company-operated Budget vehicle rental operations generated total revenue of approximately $2.6 billion, of which 82% was derived from operations in the Americas. In 2017, approximately $1.4 billion (or 77%) of our Budget T&amp;M revenue was derived from leisure customers and $1.4 billion (or 76%) was derived from customers renting at airports. The following graphs present the approximate composition of our Budget revenue by segment and our Budget T&amp;M revenue by customer and market in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5711190" cy="14833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11190" cy="1483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right="480"/>
        <w:spacing w:after="0" w:line="256" w:lineRule="auto"/>
        <w:rPr>
          <w:sz w:val="20"/>
          <w:szCs w:val="20"/>
          <w:color w:val="auto"/>
        </w:rPr>
      </w:pPr>
      <w:r>
        <w:rPr>
          <w:rFonts w:ascii="Arial" w:cs="Arial" w:eastAsia="Arial" w:hAnsi="Arial"/>
          <w:sz w:val="18"/>
          <w:szCs w:val="18"/>
          <w:color w:val="auto"/>
        </w:rPr>
        <w:t>We also license the Budget System to independent commercial owners who operate approximately half of our locations worldwide and generally pay royalty fees to us based on a percentage of applicable revenue. In 2017, approximately 28% of the global Budget System revenue was generated by our licensees. The graphs below present the approximate composition of the Budget System revenue in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5711190" cy="14833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11190" cy="1483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right="280"/>
        <w:spacing w:after="0" w:line="254" w:lineRule="auto"/>
        <w:rPr>
          <w:sz w:val="20"/>
          <w:szCs w:val="20"/>
          <w:color w:val="auto"/>
        </w:rPr>
      </w:pPr>
      <w:r>
        <w:rPr>
          <w:rFonts w:ascii="Arial" w:cs="Arial" w:eastAsia="Arial" w:hAnsi="Arial"/>
          <w:sz w:val="18"/>
          <w:szCs w:val="18"/>
          <w:color w:val="auto"/>
        </w:rPr>
        <w:t>Budget offers its customers several products and services similar to Avis, such as refueling options, roadside assistance, electronic toll collection and other supplemental rental products, emailed receipts and special rental rates for frequent renters. In addition, Budget’s mobile application allows customers to reserve, modify and cancel reservations on their smartphone, and its Fastbreak service, expedites rental service for frequent travelers.</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40"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Zipcar</w:t>
      </w:r>
    </w:p>
    <w:p>
      <w:pPr>
        <w:spacing w:after="0" w:line="24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Zipcar operates the world’s leading membership-based car sharing network and provides the freedom of “wheels when you want them” to members in over 500 cities and towns and on more than 600 college campuses across the U.S., Canada, Europe and Central America. Zipcar provides self-service vehicles in reserved parking spaces located in neighborhoods, business districts, office complexes, college campuses and airports. Members can reserve vehicles online, on a mobile device or over the phone, by the hour or by the day, at rates that include gasoline, insurance and other costs associated with vehicle ownership. In 2017, we widened Zipcar’s global network by launching operations in Taiwan, Costa Rica and Iceland.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Budget Truck</w:t>
      </w:r>
    </w:p>
    <w:p>
      <w:pPr>
        <w:spacing w:after="0" w:line="247" w:lineRule="exact"/>
        <w:rPr>
          <w:sz w:val="20"/>
          <w:szCs w:val="20"/>
          <w:color w:val="auto"/>
        </w:rPr>
      </w:pPr>
    </w:p>
    <w:p>
      <w:pPr>
        <w:ind w:right="120"/>
        <w:spacing w:after="0" w:line="251" w:lineRule="auto"/>
        <w:rPr>
          <w:sz w:val="20"/>
          <w:szCs w:val="20"/>
          <w:color w:val="auto"/>
        </w:rPr>
      </w:pPr>
      <w:r>
        <w:rPr>
          <w:rFonts w:ascii="Arial" w:cs="Arial" w:eastAsia="Arial" w:hAnsi="Arial"/>
          <w:sz w:val="18"/>
          <w:szCs w:val="18"/>
          <w:color w:val="auto"/>
        </w:rPr>
        <w:t>Our Budget Truck rental business is one of the largest local and one-way truck rental businesses in the U.S. As of December 31, 2017, our Budget Truck fleet is comprised of approximately 19,000 vehicles that are rented through a network of approximately 925 dealer-operated and 450 Company-operated locations throughout the continental U.S. These dealers are independently-owned businesses that generally operate other retail service businesses. In addition to their principal businesses, the dealers rent our light- and medium-duty trucks to customers and are responsible for collecting payments on our behalf. The dealers receive a commission on all truck and ancillary equipment rentals. The Budget Truck rental business serves both the consumer and light commercial sectors. The consumer sector consists primarily of individuals who rent trucks to move household goods on either a one-way or local basis. The light commercial sector consists of a wide range of businesses that rent light- to medium-duty trucks, which we define as trucks having a gross vehicle weight of less than 26,000 pounds, for a variety of commercial applications.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Other Brands</w:t>
      </w:r>
    </w:p>
    <w:p>
      <w:pPr>
        <w:spacing w:after="0" w:line="247"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Our Payless brand is a leading rental car supplier positioned to serve the deep-value segment of the industry. We operate or license the Payless brand, which is comprised of approximately 280 locations worldwide, including approximately 100 Company-operated locations and more than 180 locations operated by licensees. Company-operated Payless locations are primarily located in North America, the majority of which are at or near major airports. Payless’ base T&amp;M fees are often lower than those of larger, more established brands, but Payless has historically achieved a greater penetration of ancillary products and services with its customers. The Payless business model allows the Company to extend the life cycle of a portion of our fleet, as we “cascade” certain vehicles that exceed certain Avis and Budget age or mileage thresholds to be used by Payless.</w:t>
      </w:r>
    </w:p>
    <w:p>
      <w:pPr>
        <w:spacing w:after="0" w:line="207"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Our Apex brand operates primarily in the deep-value segment of the vehicle rental industry in New Zealand and Australia, where we have approximately 25 rental locations. Apex operates its own rental fleet, separate from Avis and Budget vehicles with generally older and less expensive than vehicles offered by Avis and Budget. Apex generates substantially all of its reservations through its proprietary websites and contact center and typically has a greater-than-average length of rental. The substantial majority of Apex locations are at, or near, major airport locations.</w:t>
      </w:r>
    </w:p>
    <w:p>
      <w:pPr>
        <w:spacing w:after="0" w:line="206"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Our Maggiore brand is a leading vehicle rental brand in Italy, where we operate or license approximately 140 rental locations under the Maggiore name. Our Maggiore brand has a strong domestic reputation and benefits from a strong presence at airport, off-airport and railway locations. We have integrated numerous elements of Maggiore’s operations and fleet management into our existing processes.</w:t>
      </w:r>
    </w:p>
    <w:p>
      <w:pPr>
        <w:spacing w:after="0" w:line="202" w:lineRule="exact"/>
        <w:rPr>
          <w:sz w:val="20"/>
          <w:szCs w:val="20"/>
          <w:color w:val="auto"/>
        </w:rPr>
      </w:pPr>
    </w:p>
    <w:p>
      <w:pPr>
        <w:ind w:right="600"/>
        <w:spacing w:after="0" w:line="262" w:lineRule="auto"/>
        <w:rPr>
          <w:sz w:val="20"/>
          <w:szCs w:val="20"/>
          <w:color w:val="auto"/>
        </w:rPr>
      </w:pPr>
      <w:r>
        <w:rPr>
          <w:rFonts w:ascii="Arial" w:cs="Arial" w:eastAsia="Arial" w:hAnsi="Arial"/>
          <w:sz w:val="18"/>
          <w:szCs w:val="18"/>
          <w:color w:val="auto"/>
        </w:rPr>
        <w:t>Our FranceCars brand operates one of the largest light commercial vehicle fleets in France from more than 70 rental locations. We have integrated a number of elements of FranceCar’s operations and fleet management into our existing processes.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RESERVATIONS, MARKETING AND SALES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Reservations</w:t>
      </w:r>
    </w:p>
    <w:p>
      <w:pPr>
        <w:spacing w:after="0" w:line="247" w:lineRule="exact"/>
        <w:rPr>
          <w:sz w:val="20"/>
          <w:szCs w:val="20"/>
          <w:color w:val="auto"/>
        </w:rPr>
      </w:pPr>
    </w:p>
    <w:p>
      <w:pPr>
        <w:ind w:right="520"/>
        <w:spacing w:after="0" w:line="262" w:lineRule="auto"/>
        <w:rPr>
          <w:sz w:val="20"/>
          <w:szCs w:val="20"/>
          <w:color w:val="auto"/>
        </w:rPr>
      </w:pPr>
      <w:r>
        <w:rPr>
          <w:rFonts w:ascii="Arial" w:cs="Arial" w:eastAsia="Arial" w:hAnsi="Arial"/>
          <w:sz w:val="18"/>
          <w:szCs w:val="18"/>
          <w:color w:val="auto"/>
        </w:rPr>
        <w:t>Our customers can make vehicle rental reservations through our brand-specific websites and through our toll-free reservation centers, by calling a specific location directly, through brand-specific mobile applications, through</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40"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online travel agencies, through travel agents or through selected partners, including many major airlines, associations and retailers. Travel agents can access our reservation systems through all major global distribution systems (“GDSs”), which provide information with respect to rental locations, vehicle availability and applicable rate structures.</w:t>
      </w:r>
    </w:p>
    <w:p>
      <w:pPr>
        <w:spacing w:after="0" w:line="202"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Our Zipcar members may reserve cars by the hour or by the day through Zipcar’s reservation system, which is accessible through the Zipcar website, through the Zipcar application on their smartphone or by phone. We also provide two-way SMS texting, enabling us to proactively reach out to members during their reservation via their mobile device to manage their reservation, including instant reservation extension.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Marketing and Sales</w:t>
      </w:r>
    </w:p>
    <w:p>
      <w:pPr>
        <w:spacing w:after="0" w:line="247"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We support our brands through a range of marketing channels and campaigns, including traditional off-line media, such as television and print advertising, as well as Internet and email marketing, social media and wireless mobile device applications. We market through sponsorships of major sports entities such as the PGA Tour and the New York Yankees and sponsorships of charitable organizations such as Make-A-Wish. We also utilize a customer relationship management system that enables us to deliver more targeted and relevant offers to customers across online and offline channels and allows our customers to benefit through better and more relevant marketing, improved service delivery and loyalty programs that reward frequent renters with free rental days and car class upgrades.</w:t>
      </w:r>
    </w:p>
    <w:p>
      <w:pPr>
        <w:spacing w:after="0" w:line="209"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In 2017, we continued to maintain, expand or enter into marketing alliances with key marketing partners that provide brand exposure and cross-marketing opportunities. For example, in 2017, we became the exclusive car rental partner of Hawaiian Airlines. We also extended or renewed our relationships with International Airlines Group (which includes British Airways, Iberia and Iberia Express and Aer Lingus), Choice Hotels International, and Travelport. Additionally, as the “Official Rental Car of the PGA TOUR,” Avis promoted its products and services to millions of golf enthusiasts worldwide through prominent advertising placements in PGA TOUR television broadcasts, scoreboards at tournaments, online media channels and additional official partner channels.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We continue to maintain strong links to the travel industry including marketing alliances with numerous marketing partners in 2017:</w:t>
      </w:r>
    </w:p>
    <w:p>
      <w:pPr>
        <w:spacing w:after="0" w:line="225" w:lineRule="exact"/>
        <w:rPr>
          <w:sz w:val="20"/>
          <w:szCs w:val="20"/>
          <w:color w:val="auto"/>
        </w:rPr>
      </w:pPr>
    </w:p>
    <w:p>
      <w:pPr>
        <w:ind w:left="660" w:right="240" w:hanging="328"/>
        <w:spacing w:after="0" w:line="256"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maintain marketing partnerships with many major airlines, including Air Canada, Air France, Air New Zealand, American Airlines, British Airways, Frontier Airlines, Hawaiian Airlines, Iberia Airlines, Japan Airlines, JetBlue Airways, KLM, Lufthansa, Qantas, SAS, Southwest Airlines and Virgin America;</w:t>
      </w:r>
    </w:p>
    <w:p>
      <w:pPr>
        <w:spacing w:after="0" w:line="228" w:lineRule="exact"/>
        <w:rPr>
          <w:rFonts w:ascii="Arial" w:cs="Arial" w:eastAsia="Arial" w:hAnsi="Arial"/>
          <w:sz w:val="18"/>
          <w:szCs w:val="18"/>
          <w:color w:val="auto"/>
        </w:rPr>
      </w:pPr>
    </w:p>
    <w:p>
      <w:pPr>
        <w:ind w:left="660" w:right="220" w:hanging="328"/>
        <w:spacing w:after="0" w:line="257" w:lineRule="auto"/>
        <w:tabs>
          <w:tab w:leader="none" w:pos="660" w:val="left"/>
        </w:tabs>
        <w:numPr>
          <w:ilvl w:val="0"/>
          <w:numId w:val="16"/>
        </w:numPr>
        <w:rPr>
          <w:rFonts w:ascii="Arial" w:cs="Arial" w:eastAsia="Arial" w:hAnsi="Arial"/>
          <w:sz w:val="20"/>
          <w:szCs w:val="20"/>
          <w:color w:val="auto"/>
        </w:rPr>
      </w:pPr>
      <w:r>
        <w:rPr>
          <w:rFonts w:ascii="Arial" w:cs="Arial" w:eastAsia="Arial" w:hAnsi="Arial"/>
          <w:sz w:val="18"/>
          <w:szCs w:val="18"/>
          <w:color w:val="auto"/>
        </w:rPr>
        <w:t>We also maintain marketing partnerships with many major hotel companies, including Best Western International, Inc., Hilton Hotels Corporation, Hyatt Corporation, MGM Resorts International, Radisson Hotels and Resorts, Universal Parks &amp; Resorts and Wyndham Worldwide;</w:t>
      </w:r>
    </w:p>
    <w:p>
      <w:pPr>
        <w:spacing w:after="0" w:line="201" w:lineRule="exact"/>
        <w:rPr>
          <w:rFonts w:ascii="Arial" w:cs="Arial" w:eastAsia="Arial" w:hAnsi="Arial"/>
          <w:sz w:val="20"/>
          <w:szCs w:val="20"/>
          <w:color w:val="auto"/>
        </w:rPr>
      </w:pPr>
    </w:p>
    <w:p>
      <w:pPr>
        <w:ind w:left="660" w:right="100" w:hanging="328"/>
        <w:spacing w:after="0" w:line="262"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offer customers the ability to earn frequent traveler points with many major airlines’ and hotels’ frequent traveler programs, and we are the exclusive rental partner of the Wyndham Rewards program; and</w:t>
      </w:r>
    </w:p>
    <w:p>
      <w:pPr>
        <w:spacing w:after="0" w:line="196" w:lineRule="exact"/>
        <w:rPr>
          <w:rFonts w:ascii="Arial" w:cs="Arial" w:eastAsia="Arial" w:hAnsi="Arial"/>
          <w:sz w:val="18"/>
          <w:szCs w:val="18"/>
          <w:color w:val="auto"/>
        </w:rPr>
      </w:pPr>
    </w:p>
    <w:p>
      <w:pPr>
        <w:ind w:left="660" w:right="580" w:hanging="328"/>
        <w:spacing w:after="0" w:line="262"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have marketing relationships with numerous non-travel entities, such as affinity groups, membership organizations, retailers, financial institutions and credit card companies.</w:t>
      </w:r>
    </w:p>
    <w:p>
      <w:pPr>
        <w:spacing w:after="0" w:line="196"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In 2017, approximately 60% of vehicle rental transactions from our Company-operated Avis locations were generated by travelers who rented from Avis under contracts between Avis and the travelers’ employers or through membership in an organization with which Avis has a contractual affiliation (such as AARP and Costco Wholesale). Avis maintains marketing relationships with other organizations such as American Express, MasterCard International and other organizations, through which we are able to provide their customers with incentives to rent from Avis. Avis licensees also generally have the option to participate in these affiliations.</w:t>
      </w:r>
    </w:p>
    <w:p>
      <w:pPr>
        <w:spacing w:after="0" w:line="203" w:lineRule="exact"/>
        <w:rPr>
          <w:sz w:val="20"/>
          <w:szCs w:val="20"/>
          <w:color w:val="auto"/>
        </w:rPr>
      </w:pPr>
    </w:p>
    <w:p>
      <w:pPr>
        <w:ind w:right="280"/>
        <w:spacing w:after="0" w:line="233" w:lineRule="auto"/>
        <w:rPr>
          <w:sz w:val="20"/>
          <w:szCs w:val="20"/>
          <w:color w:val="auto"/>
        </w:rPr>
      </w:pPr>
      <w:r>
        <w:rPr>
          <w:rFonts w:ascii="Arial" w:cs="Arial" w:eastAsia="Arial" w:hAnsi="Arial"/>
          <w:sz w:val="18"/>
          <w:szCs w:val="18"/>
          <w:color w:val="auto"/>
        </w:rPr>
        <w:t>Additionally, we offer “Unlimited Rewards</w:t>
      </w:r>
      <w:r>
        <w:rPr>
          <w:rFonts w:ascii="Arial" w:cs="Arial" w:eastAsia="Arial" w:hAnsi="Arial"/>
          <w:sz w:val="21"/>
          <w:szCs w:val="21"/>
          <w:color w:val="auto"/>
          <w:vertAlign w:val="superscript"/>
        </w:rPr>
        <w:t>®</w:t>
      </w:r>
      <w:r>
        <w:rPr>
          <w:rFonts w:ascii="Arial" w:cs="Arial" w:eastAsia="Arial" w:hAnsi="Arial"/>
          <w:sz w:val="18"/>
          <w:szCs w:val="18"/>
          <w:color w:val="auto"/>
        </w:rPr>
        <w:t>,” an award -winning loyalty incentive program for travel agents, and Avis and Budget programs for small businesses that offers discounted rates, central billing options and rental</w:t>
      </w: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40"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right="320"/>
        <w:spacing w:after="0" w:line="262" w:lineRule="auto"/>
        <w:rPr>
          <w:sz w:val="20"/>
          <w:szCs w:val="20"/>
          <w:color w:val="auto"/>
        </w:rPr>
      </w:pPr>
      <w:r>
        <w:rPr>
          <w:rFonts w:ascii="Arial" w:cs="Arial" w:eastAsia="Arial" w:hAnsi="Arial"/>
          <w:sz w:val="18"/>
          <w:szCs w:val="18"/>
          <w:color w:val="auto"/>
        </w:rPr>
        <w:t>credits to members. Budget has contractual arrangements with American Express, MasterCard International and other organizations, which offer members incentives to rent from Budget.</w:t>
      </w:r>
    </w:p>
    <w:p>
      <w:pPr>
        <w:spacing w:after="0" w:line="196"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In 2017, Budget Truck signed an agreement with Costco offering Budget Truck rental services to the Costco membership community. Budget Truck also continued to maintain certain truck-rental-specific marketing and/or co-location relationships, such as with Simply Self Storage. We also have an exclusive agreement to advertise Budget Truck rental services in the Mover’s Guide, on the U.S. Postal Service change of address website.</w:t>
      </w:r>
    </w:p>
    <w:p>
      <w:pPr>
        <w:spacing w:after="0" w:line="20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Our Zipcar brand also partners with other active lifestyle brands that appeal to our Zipcar members and organizes, sponsors and participates in charitable and community events with organizations that are important to Zipcar members. Zipcar maintains close relationships with universities that allow us to market to the “next generation consumer” who, upon graduation, may migrate to the major metropolitan areas that we serve, continue their relationship with us and advocate for broad sponsorship of Zipcar membership at their places of work. Through our Zipcar for Business program, we also offer reduced weekday driving rates to employees of companies, federal agencies and local governments that sponsor the use of Zipcars.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LICENSING</w:t>
      </w:r>
    </w:p>
    <w:p>
      <w:pPr>
        <w:spacing w:after="0" w:line="247" w:lineRule="exact"/>
        <w:rPr>
          <w:sz w:val="20"/>
          <w:szCs w:val="20"/>
          <w:color w:val="auto"/>
        </w:rPr>
      </w:pPr>
    </w:p>
    <w:p>
      <w:pPr>
        <w:ind w:right="100"/>
        <w:spacing w:after="0" w:line="251" w:lineRule="auto"/>
        <w:rPr>
          <w:sz w:val="20"/>
          <w:szCs w:val="20"/>
          <w:color w:val="auto"/>
        </w:rPr>
      </w:pPr>
      <w:r>
        <w:rPr>
          <w:rFonts w:ascii="Arial" w:cs="Arial" w:eastAsia="Arial" w:hAnsi="Arial"/>
          <w:sz w:val="18"/>
          <w:szCs w:val="18"/>
          <w:color w:val="auto"/>
        </w:rPr>
        <w:t>We have licensees in approximately 175 countries throughout the world. Royalty fee revenue derived from our vehicle rental licensees in 2017 totaled $136 million, with approximately $97 million in our International segment and $39 million in our Americas segment. Licensed locations are independently operated by our licensees and range from large operations at major airport locations and territories encompassing entire countries to relatively small operations in suburban or rural locations. Our licensees generally maintain separate independently owned and operated fleets. Royalties generated from licensing provide us with a source of high-margin revenue because there are relatively limited additional costs associated with fees paid by licensees to us. Locations operated by licensees represented approximately 50% of our Avis and Budget vehicle rental locations worldwide and approximately 29% of total revenue generated by the Avis and Budget Systems in 2017. We facilitate one-way vehicle rentals between Company-operated and licensed locations, which enables us to offer an integrated network of locations to our customers.</w:t>
      </w:r>
    </w:p>
    <w:p>
      <w:pPr>
        <w:spacing w:after="0" w:line="213"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We generally enjoy good relationships with our licensees and meet regularly with them at regional, national and international meetings. Our relationships with our licensees are governed by license agreements that grant the licensee the right to operate independently operated vehicle rental businesses in certain territories. Our license agreements generally provide our licensees with the exclusive right to operate in their assigned territory. These agreements impose obligations on the licensee regarding its operations, and most agreements restrict the licensee’s ability to sell, transfer or assign its license agreement and capital stock.</w:t>
      </w:r>
    </w:p>
    <w:p>
      <w:pPr>
        <w:spacing w:after="0" w:line="206"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The terms of our license agreements, including duration, royalty fees and termination provisions, vary based upon brand, territory, and original signing date. Royalty fees are generally structured to be a percentage of the licensee’s gross rental income. We maintain the right to monitor the operations of licensees and, when applicable, can declare a licensee to be in default under its license agreement. We perform audits as part of our program to assure licensee compliance with brand quality standards and contract provisions. Generally, we can terminate license agreements for certain defaults, including failure to pay royalties or adhere to our operational standards. Upon termination of a license agreement, the licensee is prohibited from using our brand names and related marks in any business. In the U.S., these license relationships constitute “franchises” under most federal and state laws regulating the offer and sale of franchises and the relationship of the parties to a franchise agreement.</w:t>
      </w:r>
    </w:p>
    <w:p>
      <w:pPr>
        <w:spacing w:after="0" w:line="206" w:lineRule="exact"/>
        <w:rPr>
          <w:sz w:val="20"/>
          <w:szCs w:val="20"/>
          <w:color w:val="auto"/>
        </w:rPr>
      </w:pPr>
    </w:p>
    <w:p>
      <w:pPr>
        <w:jc w:val="both"/>
        <w:ind w:right="100"/>
        <w:spacing w:after="0" w:line="256" w:lineRule="auto"/>
        <w:rPr>
          <w:sz w:val="20"/>
          <w:szCs w:val="20"/>
          <w:color w:val="auto"/>
        </w:rPr>
      </w:pPr>
      <w:r>
        <w:rPr>
          <w:rFonts w:ascii="Arial" w:cs="Arial" w:eastAsia="Arial" w:hAnsi="Arial"/>
          <w:sz w:val="18"/>
          <w:szCs w:val="18"/>
          <w:color w:val="auto"/>
        </w:rPr>
        <w:t>We continue to optimize the Avis and Budget Systems by issuing new license agreements and evaluating strategic acquisitions of licensees to grow our revenues and expand our global presence. Our acquisitions of licensees over the last three years include locations in Brazil, Norway, Sweden, Denmark and Poland as well as in local markets in Canada and the United States.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 REVENUE</w:t>
      </w:r>
    </w:p>
    <w:p>
      <w:pPr>
        <w:spacing w:after="0" w:line="247"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In addition to revenue from our vehicle rentals and licensee royalties, we generate revenue from our customers through the sale and/or rental of optional ancillary products and services. We offer products to customers that will enhance their rental experience, including:</w:t>
      </w: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40"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left="660" w:right="640" w:hanging="328"/>
        <w:spacing w:after="0" w:line="262"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collision and loss damage waivers, under which we agree to relieve a customer from financial responsibility arising from vehicle damage incurred during the rental such as additional/supplemental liability insurance or personal accident/effects insurance;</w:t>
      </w:r>
    </w:p>
    <w:p>
      <w:pPr>
        <w:spacing w:after="0" w:line="196" w:lineRule="exact"/>
        <w:rPr>
          <w:rFonts w:ascii="Arial" w:cs="Arial" w:eastAsia="Arial" w:hAnsi="Arial"/>
          <w:sz w:val="18"/>
          <w:szCs w:val="18"/>
          <w:color w:val="auto"/>
        </w:rPr>
      </w:pPr>
    </w:p>
    <w:p>
      <w:pPr>
        <w:ind w:left="660" w:right="360" w:hanging="328"/>
        <w:spacing w:after="0" w:line="262"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products for driving convenience such as fuel service options, chauffeur drive services, roadside assistance services, electronic toll collection, tablet rentals, access to satellite radio, portable navigation units and child safety seat rentals; and</w:t>
      </w:r>
    </w:p>
    <w:p>
      <w:pPr>
        <w:spacing w:after="0" w:line="196" w:lineRule="exact"/>
        <w:rPr>
          <w:rFonts w:ascii="Arial" w:cs="Arial" w:eastAsia="Arial" w:hAnsi="Arial"/>
          <w:sz w:val="18"/>
          <w:szCs w:val="18"/>
          <w:color w:val="auto"/>
        </w:rPr>
      </w:pPr>
    </w:p>
    <w:p>
      <w:pPr>
        <w:ind w:left="660" w:right="500" w:hanging="328"/>
        <w:spacing w:after="0" w:line="262"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products that supplement truck rental including automobile towing equipment and other moving accessories such as hand trucks, furniture pads and moving supplies.</w:t>
      </w:r>
    </w:p>
    <w:p>
      <w:pPr>
        <w:spacing w:after="0" w:line="196"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We also receive payment from our customers for certain operating expenses that we incur, including vehicle licensing fees, as well as airport concession fees that we pay in exchange for the right to operate at airports and other locations. In addition, we collect membership fees in connection with our car sharing business.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OUR TECHNOLOGIES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Vehicle Rental</w:t>
      </w:r>
    </w:p>
    <w:p>
      <w:pPr>
        <w:spacing w:after="0" w:line="247"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We use a broad range of technologies in our vehicle rental operations, substantially all of which are linked to what we call our Wizard system, which is a worldwide reservation, rental, fleet control, data processing and information management system. The Wizard system enables us to process millions of incoming customer inquiries each day, providing our customers with accurate and timely information about our locations, rental rates and vehicle availability, as well as the ability to place or modify reservations. Additionally, the Wizard system is linked to all major travel distribution networks worldwide and provides real-time processing for travel agents, travel industry partners (such as airlines and online travel sites), corporate travel departments and individual consumers through our websites or contact centers. The Wizard system also provides personal profile information to our reservation and rental agents to help us better serve our customers.</w:t>
      </w:r>
    </w:p>
    <w:p>
      <w:pPr>
        <w:spacing w:after="0" w:line="207"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We also use data supplied from the Wizard system and other third-party reservation and information management systems to maintain centralized control of major business processes such as fleet acquisition and logistics, sales to corporate accounts and determination of rental rates. The principal components of the systems we employ include:</w:t>
      </w:r>
    </w:p>
    <w:p>
      <w:pPr>
        <w:spacing w:after="0" w:line="184" w:lineRule="exact"/>
        <w:rPr>
          <w:sz w:val="20"/>
          <w:szCs w:val="20"/>
          <w:color w:val="auto"/>
        </w:rPr>
      </w:pPr>
    </w:p>
    <w:p>
      <w:pPr>
        <w:ind w:left="660" w:hanging="328"/>
        <w:spacing w:after="0" w:line="258"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Fleet planning model</w:t>
      </w:r>
      <w:r>
        <w:rPr>
          <w:rFonts w:ascii="Arial" w:cs="Arial" w:eastAsia="Arial" w:hAnsi="Arial"/>
          <w:sz w:val="18"/>
          <w:szCs w:val="18"/>
          <w:color w:val="auto"/>
        </w:rPr>
        <w:t>. We have a comprehensive decision tool to develop fleet plans and schedules for the acquisition and disposition</w:t>
      </w:r>
      <w:r>
        <w:rPr>
          <w:rFonts w:ascii="Arial" w:cs="Arial" w:eastAsia="Arial" w:hAnsi="Arial"/>
          <w:sz w:val="18"/>
          <w:szCs w:val="18"/>
          <w:i w:val="1"/>
          <w:iCs w:val="1"/>
          <w:color w:val="auto"/>
        </w:rPr>
        <w:t xml:space="preserve"> </w:t>
      </w:r>
      <w:r>
        <w:rPr>
          <w:rFonts w:ascii="Arial" w:cs="Arial" w:eastAsia="Arial" w:hAnsi="Arial"/>
          <w:sz w:val="18"/>
          <w:szCs w:val="18"/>
          <w:color w:val="auto"/>
        </w:rPr>
        <w:t>of our fleet, along with fleet age, mix, mileage and cost reports based upon these plans and schedules. This tool allows management to monitor and change fleet deployment on a daily basis and to optimize our fleet plan based on estimated business levels and available repurchase and guaranteed depreciation programs. We also use third-party software to further optimize our fleet acquisition, deployment and disposition activities.</w:t>
      </w:r>
    </w:p>
    <w:p>
      <w:pPr>
        <w:spacing w:after="0" w:line="183" w:lineRule="exact"/>
        <w:rPr>
          <w:rFonts w:ascii="Arial" w:cs="Arial" w:eastAsia="Arial" w:hAnsi="Arial"/>
          <w:sz w:val="18"/>
          <w:szCs w:val="18"/>
          <w:color w:val="auto"/>
        </w:rPr>
      </w:pPr>
    </w:p>
    <w:p>
      <w:pPr>
        <w:ind w:left="660" w:right="120" w:hanging="328"/>
        <w:spacing w:after="0" w:line="25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Yield management system</w:t>
      </w:r>
      <w:r>
        <w:rPr>
          <w:rFonts w:ascii="Arial" w:cs="Arial" w:eastAsia="Arial" w:hAnsi="Arial"/>
          <w:sz w:val="18"/>
          <w:szCs w:val="18"/>
          <w:color w:val="auto"/>
        </w:rPr>
        <w:t>. We have a yield management system which is designed to enhance profits by providing greater control of</w:t>
      </w:r>
      <w:r>
        <w:rPr>
          <w:rFonts w:ascii="Arial" w:cs="Arial" w:eastAsia="Arial" w:hAnsi="Arial"/>
          <w:sz w:val="18"/>
          <w:szCs w:val="18"/>
          <w:i w:val="1"/>
          <w:iCs w:val="1"/>
          <w:color w:val="auto"/>
        </w:rPr>
        <w:t xml:space="preserve"> </w:t>
      </w:r>
      <w:r>
        <w:rPr>
          <w:rFonts w:ascii="Arial" w:cs="Arial" w:eastAsia="Arial" w:hAnsi="Arial"/>
          <w:sz w:val="18"/>
          <w:szCs w:val="18"/>
          <w:color w:val="auto"/>
        </w:rPr>
        <w:t>vehicle availability and rate availability changes at our rental locations. Our system monitors and forecasts both supply and demand to support our efforts to optimize volume and rate at each location. Integrated into this yield management system is a fleet distribution module that takes into consideration the costs as well as the potential benefits associated with distributing vehicles to various rental locations within a geographic area to accommodate rental demand at these locations. The fleet distribution module makes specific recommendations for movement of vehicles between locations.</w:t>
      </w:r>
    </w:p>
    <w:p>
      <w:pPr>
        <w:spacing w:after="0" w:line="182" w:lineRule="exact"/>
        <w:rPr>
          <w:rFonts w:ascii="Arial" w:cs="Arial" w:eastAsia="Arial" w:hAnsi="Arial"/>
          <w:sz w:val="18"/>
          <w:szCs w:val="18"/>
          <w:color w:val="auto"/>
        </w:rPr>
      </w:pPr>
    </w:p>
    <w:p>
      <w:pPr>
        <w:ind w:left="660" w:right="20" w:hanging="328"/>
        <w:spacing w:after="0" w:line="255"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Pricing decision support systems</w:t>
      </w:r>
      <w:r>
        <w:rPr>
          <w:rFonts w:ascii="Arial" w:cs="Arial" w:eastAsia="Arial" w:hAnsi="Arial"/>
          <w:sz w:val="18"/>
          <w:szCs w:val="18"/>
          <w:color w:val="auto"/>
        </w:rPr>
        <w:t>. Pricing in our industry is highly competitive and complex. To improve our ability to respond to rental</w:t>
      </w:r>
      <w:r>
        <w:rPr>
          <w:rFonts w:ascii="Arial" w:cs="Arial" w:eastAsia="Arial" w:hAnsi="Arial"/>
          <w:sz w:val="18"/>
          <w:szCs w:val="18"/>
          <w:i w:val="1"/>
          <w:iCs w:val="1"/>
          <w:color w:val="auto"/>
        </w:rPr>
        <w:t xml:space="preserve"> </w:t>
      </w:r>
      <w:r>
        <w:rPr>
          <w:rFonts w:ascii="Arial" w:cs="Arial" w:eastAsia="Arial" w:hAnsi="Arial"/>
          <w:sz w:val="18"/>
          <w:szCs w:val="18"/>
          <w:color w:val="auto"/>
        </w:rPr>
        <w:t>rate changes in the marketplace, we have utilized sophisticated systems to gather and report competitive industry rental rate changes every day. Our systems, using data from third-party reservation systems as its source of information, automatically scan rate movements and report significant changes to our staff of pricing analysts for evaluation. These systems greatly enhance our ability to gather and respond to rate changes in the marketplace. In 2017, we continued to implement an integrated pricing and fleet optimization tool that has allowed us to test and implement improved pricing strategies and optimization algorithms, as well as automate the implementation of certain price changes.</w:t>
      </w: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40"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3" w:lineRule="exact"/>
        <w:rPr>
          <w:sz w:val="20"/>
          <w:szCs w:val="20"/>
          <w:color w:val="auto"/>
        </w:rPr>
      </w:pPr>
    </w:p>
    <w:p>
      <w:pPr>
        <w:ind w:left="660" w:right="40" w:hanging="328"/>
        <w:spacing w:after="0" w:line="261"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Websites and Mobile Applications</w:t>
      </w:r>
      <w:r>
        <w:rPr>
          <w:rFonts w:ascii="Arial" w:cs="Arial" w:eastAsia="Arial" w:hAnsi="Arial"/>
          <w:sz w:val="18"/>
          <w:szCs w:val="18"/>
          <w:color w:val="auto"/>
        </w:rPr>
        <w:t>. We have developed brand-specific websites and mobile applications that leverage our technology</w:t>
      </w:r>
      <w:r>
        <w:rPr>
          <w:rFonts w:ascii="Arial" w:cs="Arial" w:eastAsia="Arial" w:hAnsi="Arial"/>
          <w:sz w:val="18"/>
          <w:szCs w:val="18"/>
          <w:i w:val="1"/>
          <w:iCs w:val="1"/>
          <w:color w:val="auto"/>
        </w:rPr>
        <w:t xml:space="preserve"> </w:t>
      </w:r>
      <w:r>
        <w:rPr>
          <w:rFonts w:ascii="Arial" w:cs="Arial" w:eastAsia="Arial" w:hAnsi="Arial"/>
          <w:sz w:val="18"/>
          <w:szCs w:val="18"/>
          <w:color w:val="auto"/>
        </w:rPr>
        <w:t>across brands and provide the flexibility and ease of transacting that our customers demand for their interactions with us. Our websites and apps are optimized for various devices and provide a simple interface for each mode of communication such as computer, smartphone, tablets and other electronic devices.</w:t>
      </w:r>
    </w:p>
    <w:p>
      <w:pPr>
        <w:spacing w:after="0" w:line="180" w:lineRule="exact"/>
        <w:rPr>
          <w:rFonts w:ascii="Arial" w:cs="Arial" w:eastAsia="Arial" w:hAnsi="Arial"/>
          <w:sz w:val="18"/>
          <w:szCs w:val="18"/>
          <w:color w:val="auto"/>
        </w:rPr>
      </w:pPr>
    </w:p>
    <w:p>
      <w:pPr>
        <w:ind w:left="660" w:right="120" w:hanging="328"/>
        <w:spacing w:after="0" w:line="261"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 xml:space="preserve">Customer service applications. </w:t>
      </w:r>
      <w:r>
        <w:rPr>
          <w:rFonts w:ascii="Arial" w:cs="Arial" w:eastAsia="Arial" w:hAnsi="Arial"/>
          <w:sz w:val="18"/>
          <w:szCs w:val="18"/>
          <w:color w:val="auto"/>
        </w:rPr>
        <w:t>Our customer service applications are comprehensive case management systems that our customer</w:t>
      </w:r>
      <w:r>
        <w:rPr>
          <w:rFonts w:ascii="Arial" w:cs="Arial" w:eastAsia="Arial" w:hAnsi="Arial"/>
          <w:sz w:val="18"/>
          <w:szCs w:val="18"/>
          <w:i w:val="1"/>
          <w:iCs w:val="1"/>
          <w:color w:val="auto"/>
        </w:rPr>
        <w:t xml:space="preserve"> </w:t>
      </w:r>
      <w:r>
        <w:rPr>
          <w:rFonts w:ascii="Arial" w:cs="Arial" w:eastAsia="Arial" w:hAnsi="Arial"/>
          <w:sz w:val="18"/>
          <w:szCs w:val="18"/>
          <w:color w:val="auto"/>
        </w:rPr>
        <w:t>care agents use to handle a variety of issues and questions from our customers. Our multi-branded systems interface with our Wizard system and give our agents current and historical information about a caller so that they are better equipped to provide informed and expedited assistance, while at the same time allowing us to be consistent in our case handling and responses.</w:t>
      </w:r>
    </w:p>
    <w:p>
      <w:pPr>
        <w:spacing w:after="0" w:line="180" w:lineRule="exact"/>
        <w:rPr>
          <w:rFonts w:ascii="Arial" w:cs="Arial" w:eastAsia="Arial" w:hAnsi="Arial"/>
          <w:sz w:val="18"/>
          <w:szCs w:val="18"/>
          <w:color w:val="auto"/>
        </w:rPr>
      </w:pPr>
    </w:p>
    <w:p>
      <w:pPr>
        <w:ind w:left="660" w:hanging="328"/>
        <w:spacing w:after="0" w:line="266"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Enterprise data warehouse</w:t>
      </w:r>
      <w:r>
        <w:rPr>
          <w:rFonts w:ascii="Arial" w:cs="Arial" w:eastAsia="Arial" w:hAnsi="Arial"/>
          <w:sz w:val="18"/>
          <w:szCs w:val="18"/>
          <w:color w:val="auto"/>
        </w:rPr>
        <w:t>. We have developed a sophisticated and comprehensive electronic data storage and retrieval system which</w:t>
      </w:r>
      <w:r>
        <w:rPr>
          <w:rFonts w:ascii="Arial" w:cs="Arial" w:eastAsia="Arial" w:hAnsi="Arial"/>
          <w:sz w:val="18"/>
          <w:szCs w:val="18"/>
          <w:i w:val="1"/>
          <w:iCs w:val="1"/>
          <w:color w:val="auto"/>
        </w:rPr>
        <w:t xml:space="preserve"> </w:t>
      </w:r>
      <w:r>
        <w:rPr>
          <w:rFonts w:ascii="Arial" w:cs="Arial" w:eastAsia="Arial" w:hAnsi="Arial"/>
          <w:sz w:val="18"/>
          <w:szCs w:val="18"/>
          <w:color w:val="auto"/>
        </w:rPr>
        <w:t>retains information related to various aspects of our business. This data warehouse allows us to take advantage of comprehensive management reports and provides easy access to data for strategic decision making for our brands.</w:t>
      </w:r>
    </w:p>
    <w:p>
      <w:pPr>
        <w:spacing w:after="0" w:line="176" w:lineRule="exact"/>
        <w:rPr>
          <w:rFonts w:ascii="Arial" w:cs="Arial" w:eastAsia="Arial" w:hAnsi="Arial"/>
          <w:sz w:val="18"/>
          <w:szCs w:val="18"/>
          <w:color w:val="auto"/>
        </w:rPr>
      </w:pPr>
    </w:p>
    <w:p>
      <w:pPr>
        <w:ind w:left="660" w:right="60" w:hanging="328"/>
        <w:spacing w:after="0" w:line="261"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Sales and marketing system</w:t>
      </w:r>
      <w:r>
        <w:rPr>
          <w:rFonts w:ascii="Arial" w:cs="Arial" w:eastAsia="Arial" w:hAnsi="Arial"/>
          <w:sz w:val="18"/>
          <w:szCs w:val="18"/>
          <w:color w:val="auto"/>
        </w:rPr>
        <w:t>. We have developed a sophisticated system of online data tracking which enables our sales force to</w:t>
      </w:r>
      <w:r>
        <w:rPr>
          <w:rFonts w:ascii="Arial" w:cs="Arial" w:eastAsia="Arial" w:hAnsi="Arial"/>
          <w:sz w:val="18"/>
          <w:szCs w:val="18"/>
          <w:i w:val="1"/>
          <w:iCs w:val="1"/>
          <w:color w:val="auto"/>
        </w:rPr>
        <w:t xml:space="preserve"> </w:t>
      </w:r>
      <w:r>
        <w:rPr>
          <w:rFonts w:ascii="Arial" w:cs="Arial" w:eastAsia="Arial" w:hAnsi="Arial"/>
          <w:sz w:val="18"/>
          <w:szCs w:val="18"/>
          <w:color w:val="auto"/>
        </w:rPr>
        <w:t>analyze key account information of our corporate customers including historical and current rental activity, revenue and booking sources, top renting locations, rate usage categories and customer satisfaction data. We use this information, which is updated weekly and captured on a country-by-country basis, to assess opportunities for revenue growth, profitability and improvement.</w:t>
      </w:r>
    </w:p>
    <w:p>
      <w:pPr>
        <w:spacing w:after="0" w:line="180" w:lineRule="exact"/>
        <w:rPr>
          <w:rFonts w:ascii="Arial" w:cs="Arial" w:eastAsia="Arial" w:hAnsi="Arial"/>
          <w:sz w:val="18"/>
          <w:szCs w:val="18"/>
          <w:color w:val="auto"/>
        </w:rPr>
      </w:pPr>
    </w:p>
    <w:p>
      <w:pPr>
        <w:ind w:left="660" w:right="440" w:hanging="328"/>
        <w:spacing w:after="0" w:line="282"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Campaign management</w:t>
      </w:r>
      <w:r>
        <w:rPr>
          <w:rFonts w:ascii="Arial" w:cs="Arial" w:eastAsia="Arial" w:hAnsi="Arial"/>
          <w:sz w:val="18"/>
          <w:szCs w:val="18"/>
          <w:color w:val="auto"/>
        </w:rPr>
        <w:t>. We have deployed tools that enable us to recognize customer segments and value, and to automatically</w:t>
      </w:r>
      <w:r>
        <w:rPr>
          <w:rFonts w:ascii="Arial" w:cs="Arial" w:eastAsia="Arial" w:hAnsi="Arial"/>
          <w:sz w:val="18"/>
          <w:szCs w:val="18"/>
          <w:i w:val="1"/>
          <w:iCs w:val="1"/>
          <w:color w:val="auto"/>
        </w:rPr>
        <w:t xml:space="preserve"> </w:t>
      </w:r>
      <w:r>
        <w:rPr>
          <w:rFonts w:ascii="Arial" w:cs="Arial" w:eastAsia="Arial" w:hAnsi="Arial"/>
          <w:sz w:val="18"/>
          <w:szCs w:val="18"/>
          <w:color w:val="auto"/>
        </w:rPr>
        <w:t>present appropriate offers on our websites.</w:t>
      </w:r>
    </w:p>
    <w:p>
      <w:pPr>
        <w:spacing w:after="0" w:line="161" w:lineRule="exact"/>
        <w:rPr>
          <w:rFonts w:ascii="Arial" w:cs="Arial" w:eastAsia="Arial" w:hAnsi="Arial"/>
          <w:sz w:val="18"/>
          <w:szCs w:val="18"/>
          <w:color w:val="auto"/>
        </w:rPr>
      </w:pPr>
    </w:p>
    <w:p>
      <w:pPr>
        <w:jc w:val="both"/>
        <w:ind w:left="660" w:right="220" w:hanging="328"/>
        <w:spacing w:after="0" w:line="266"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Interactive adjustments</w:t>
      </w:r>
      <w:r>
        <w:rPr>
          <w:rFonts w:ascii="Arial" w:cs="Arial" w:eastAsia="Arial" w:hAnsi="Arial"/>
          <w:sz w:val="18"/>
          <w:szCs w:val="18"/>
          <w:color w:val="auto"/>
        </w:rPr>
        <w:t>. We have developed a customer data system that allows us to easily retrieve pertinent customer information</w:t>
      </w:r>
      <w:r>
        <w:rPr>
          <w:rFonts w:ascii="Arial" w:cs="Arial" w:eastAsia="Arial" w:hAnsi="Arial"/>
          <w:sz w:val="18"/>
          <w:szCs w:val="18"/>
          <w:i w:val="1"/>
          <w:iCs w:val="1"/>
          <w:color w:val="auto"/>
        </w:rPr>
        <w:t xml:space="preserve"> </w:t>
      </w:r>
      <w:r>
        <w:rPr>
          <w:rFonts w:ascii="Arial" w:cs="Arial" w:eastAsia="Arial" w:hAnsi="Arial"/>
          <w:sz w:val="18"/>
          <w:szCs w:val="18"/>
          <w:color w:val="auto"/>
        </w:rPr>
        <w:t>and make needed adjustments to completed rental transactions online for superior customer service. This data system links with our other accounting systems to handle any charge card transaction automatically.</w:t>
      </w:r>
    </w:p>
    <w:p>
      <w:pPr>
        <w:spacing w:after="0" w:line="176" w:lineRule="exact"/>
        <w:rPr>
          <w:rFonts w:ascii="Arial" w:cs="Arial" w:eastAsia="Arial" w:hAnsi="Arial"/>
          <w:sz w:val="18"/>
          <w:szCs w:val="18"/>
          <w:color w:val="auto"/>
        </w:rPr>
      </w:pPr>
    </w:p>
    <w:p>
      <w:pPr>
        <w:ind w:left="660" w:right="160" w:hanging="328"/>
        <w:spacing w:after="0" w:line="266"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Interactive voice response system</w:t>
      </w:r>
      <w:r>
        <w:rPr>
          <w:rFonts w:ascii="Arial" w:cs="Arial" w:eastAsia="Arial" w:hAnsi="Arial"/>
          <w:sz w:val="18"/>
          <w:szCs w:val="18"/>
          <w:color w:val="auto"/>
        </w:rPr>
        <w:t>. We have developed an automated voice response system that enables the automated processing</w:t>
      </w:r>
      <w:r>
        <w:rPr>
          <w:rFonts w:ascii="Arial" w:cs="Arial" w:eastAsia="Arial" w:hAnsi="Arial"/>
          <w:sz w:val="18"/>
          <w:szCs w:val="18"/>
          <w:i w:val="1"/>
          <w:iCs w:val="1"/>
          <w:color w:val="auto"/>
        </w:rPr>
        <w:t xml:space="preserve"> </w:t>
      </w:r>
      <w:r>
        <w:rPr>
          <w:rFonts w:ascii="Arial" w:cs="Arial" w:eastAsia="Arial" w:hAnsi="Arial"/>
          <w:sz w:val="18"/>
          <w:szCs w:val="18"/>
          <w:color w:val="auto"/>
        </w:rPr>
        <w:t>of customer reservation confirmations, cancellations, identification of rental locations, extension of existing rentals and requests for copies of rental receipts over the phone using speech recognition software.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Car Sharing</w:t>
      </w:r>
    </w:p>
    <w:p>
      <w:pPr>
        <w:spacing w:after="0" w:line="247"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Our Zipcar car sharing technology was specifically designed and built for our car sharing business and has been continually refined and upgraded. Our fully-integrated platform centralizes the management of our Zipcar reservations, member services, fleet operations and financial systems to optimize the member experience, minimize costs and leverage efficiencies. Through this platform, we:</w:t>
      </w:r>
    </w:p>
    <w:p>
      <w:pPr>
        <w:spacing w:after="0" w:line="229"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process new member applications;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provide the mobile and website applications used by members to make and manage reservations and maintain account information;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manage reservations and provide keyless vehicle access;</w:t>
      </w:r>
    </w:p>
    <w:p>
      <w:pPr>
        <w:spacing w:after="0" w:line="225" w:lineRule="exact"/>
        <w:rPr>
          <w:rFonts w:ascii="Arial" w:cs="Arial" w:eastAsia="Arial" w:hAnsi="Arial"/>
          <w:sz w:val="18"/>
          <w:szCs w:val="18"/>
          <w:color w:val="auto"/>
        </w:rPr>
      </w:pPr>
    </w:p>
    <w:p>
      <w:pPr>
        <w:ind w:left="660" w:right="180" w:hanging="328"/>
        <w:spacing w:after="0" w:line="262"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manage and monitor member interactions and communications, including through interactive voice response systems, email and text messaging;</w:t>
      </w:r>
    </w:p>
    <w:p>
      <w:pPr>
        <w:spacing w:after="0" w:line="196"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integrate with third parties that provide additional services such as gas cards and mapping;</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manage billing and payment processing across multiple currencies;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140" w:right="25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manage our car sharing fleet, including scheduled service and cleanings and vehicle issue tracking and resolution;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manage vehicle locations and location information, including parking agreements;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monitor and analyze key metrics of each Zipcar such as utilization rate, mileage and maintenance requirements.</w:t>
      </w:r>
    </w:p>
    <w:p>
      <w:pPr>
        <w:spacing w:after="0" w:line="225" w:lineRule="exact"/>
        <w:rPr>
          <w:sz w:val="20"/>
          <w:szCs w:val="20"/>
          <w:color w:val="auto"/>
        </w:rPr>
      </w:pPr>
    </w:p>
    <w:p>
      <w:pPr>
        <w:ind w:right="260"/>
        <w:spacing w:after="0" w:line="253" w:lineRule="auto"/>
        <w:rPr>
          <w:sz w:val="20"/>
          <w:szCs w:val="20"/>
          <w:color w:val="auto"/>
        </w:rPr>
      </w:pPr>
      <w:r>
        <w:rPr>
          <w:rFonts w:ascii="Arial" w:cs="Arial" w:eastAsia="Arial" w:hAnsi="Arial"/>
          <w:sz w:val="18"/>
          <w:szCs w:val="18"/>
          <w:color w:val="auto"/>
        </w:rPr>
        <w:t>Each Zipcar is typically equipped with a combination of telematics modules, including a control unit with mobile data service, radio frequency identification card readers, wireless antennae, wiring harness, vehicle interface modules and transponders for toll systems. This hardware, together with internally developed embedded firmware, vehicle communication protocols and datacenter software, allows us to authorize secure access to our Zipcars from our data centers and provides us with a comprehensive set of fleet management data that is stored in our centralized database.</w:t>
      </w:r>
    </w:p>
    <w:p>
      <w:pPr>
        <w:spacing w:after="0" w:line="206"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Interactions between members and our Zipcars are captured in our system, across all communication channels, providing us with knowledge we use to improve our members’ experiences and optimize our business processes. We have built and continue to innovate upon our technology platform in order to provide scale to support growth, drive operational efficiency and improve the member experience.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OUR FLEET</w:t>
      </w:r>
    </w:p>
    <w:p>
      <w:pPr>
        <w:spacing w:after="0" w:line="24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offer a wide variety of vehicles in our rental fleet, including luxury cars and specialty-use vehicles. Our fleet consists primarily of vehicles from the current and immediately preceding model year. We maintain a single fleet of vehicles for Avis and Budget in countries where we operate both brands. The substantial majority of Zipcar’s fleet is dedicated to use by Zipcar, but we have developed processes to share vehicles between the Avis/Budget fleet and Zipcar’s fleet, primarily to help meet Zipcar’s demand peaks. We maintain a diverse rental fleet, in which no vehicle manufacturer represented more than 15% of our 2017 fleet purchases, and we regularly adjust our fleet levels to be consistent with demand. We participate in a variety of vehicle purchase programs with major vehicle manufacturers. In 2017, we purchased vehicles from Citroen, Fiat Chrysler, Ford, General Motors, Hyundai, Kia, Mercedes, Nissan, Opel, Peugeot, Renault, Seat, Toyota, and Volkswagen, among others. During 2017, approximately 15%, 14% and 10% of the vehicles acquired for our rental fleet were manufactured by Ford, Fiat Chrysler, and General Motors, respectively.</w:t>
      </w:r>
    </w:p>
    <w:p>
      <w:pPr>
        <w:spacing w:after="0" w:line="213"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Fleet costs represented approximately 26% of our aggregate expenses in 2017. Fleet costs can vary from year to year based on the prices at which we are able to purchase and dispose of rental vehicles.</w:t>
      </w:r>
    </w:p>
    <w:p>
      <w:pPr>
        <w:spacing w:after="0" w:line="196"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In 2017, on average, approximately 37% of our rental car fleet was comprised of vehicles subject to agreements requiring automobile manufacturers to repurchase vehicles at a specified price during a specified time period or guarantee our rate of depreciation on the vehicles during a specified period of time, or were vehicles subject to operating leases, which are subject to a fixed lease period and interest rate. We refer to cars subject to these agreements as “program” cars and cars not subject to these agreements as “risk” cars because we retain the risk associated with such cars’ residual values at the time of their disposition. The following graphs present the approximate percentage of program cars in both our average rental car fleet and fleet purchases within each of our reporting segments in the last three years.</w:t>
      </w: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40"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3641090</wp:posOffset>
            </wp:positionH>
            <wp:positionV relativeFrom="paragraph">
              <wp:posOffset>160020</wp:posOffset>
            </wp:positionV>
            <wp:extent cx="2744470" cy="3310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744470" cy="3310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Our agreements with automobile manufacturers typically require that we pay more for program cars and maintain them in our fleet for a minimum number of months and impose certain return conditions, including car condition and mileage requirements. When we return program cars to the manufacturer, we receive the price guaranteed at the time of purchase and are thus protected from fluctuations in the prices of previously-owned vehicles in the wholesale market. In 2017, approximately 57% of the vehicles we disposed of were sold pursuant to repurchase or guaranteed depreciation programs. The future percentages of program and risk cars in our fleet will depend on several factors, including our expectations for future used car prices, our seasonal needs and the availability and attractiveness of manufacturers’ repurchase and guaranteed depreciation programs. The Company has agreed to purchase approximately $8.1 billion of program vehicles from manufacturers in 2018.</w:t>
      </w:r>
    </w:p>
    <w:p>
      <w:pPr>
        <w:spacing w:after="0" w:line="206"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We dispose of our risk cars largely through automobile auctions, including auctions that enable dealers to purchase vehicles online more quickly than through traditional auctions and direct-to-dealer sales. In 2017, we continued to expand the number of states that can participate in our Ultimate Test Drive consumer car sales program, which offers customers the ability to purchase our rental vehicles. Alternative disposition channels such as Ultimate Test Drive, online auctions, retail lots and direct to dealer sales represented approximately 50% of our risk vehicle dispositions in the Americas in 2017 and provide us with per-vehicle cost savings compared to selling cars at auctions.</w:t>
      </w:r>
    </w:p>
    <w:p>
      <w:pPr>
        <w:spacing w:after="0" w:line="206"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For 2017, our average monthly vehicle rental fleet size ranged from a low of approximately 534,000 vehicles in January to a high of approximately 721,000 vehicles in July. Our average monthly car rental fleet size typically peaks in the summer months. Average fleet utilization for 2017, which is based on the number of rental days (or portion thereof) that vehicles are rented compared to the total amount of time that vehicles are available for rent, ranged from 64% in January to 76% in August. Our calculation of utilization may not be comparable to other companies’ calculation of similarly titled statistics.</w:t>
      </w:r>
    </w:p>
    <w:p>
      <w:pPr>
        <w:spacing w:after="0" w:line="206"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We place a strong emphasis on vehicle maintenance for customer safety and customer satisfaction reasons, and because quick and proper repairs are critical to fleet utilization. To accomplish this task we have developed specialized training programs for our technicians. Our Maintenance and Damage Planning Department prepares technical service bulletins that can be retrieved electronically at our repair locations. In addition, we have implemented policies and procedures to promptly address manufacturer recalls as part of our ongoing maintenance and repair efforts.</w:t>
      </w: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140" w:right="25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CUSTOMER SERVICE</w:t>
      </w:r>
    </w:p>
    <w:p>
      <w:pPr>
        <w:spacing w:after="0" w:line="247" w:lineRule="exact"/>
        <w:rPr>
          <w:sz w:val="20"/>
          <w:szCs w:val="20"/>
          <w:color w:val="auto"/>
        </w:rPr>
      </w:pPr>
    </w:p>
    <w:p>
      <w:pPr>
        <w:jc w:val="both"/>
        <w:ind w:right="460"/>
        <w:spacing w:after="0" w:line="274" w:lineRule="auto"/>
        <w:rPr>
          <w:sz w:val="20"/>
          <w:szCs w:val="20"/>
          <w:color w:val="auto"/>
        </w:rPr>
      </w:pPr>
      <w:r>
        <w:rPr>
          <w:rFonts w:ascii="Arial" w:cs="Arial" w:eastAsia="Arial" w:hAnsi="Arial"/>
          <w:sz w:val="17"/>
          <w:szCs w:val="17"/>
          <w:color w:val="auto"/>
        </w:rPr>
        <w:t xml:space="preserve">We believe our commitment to delivering a consistently high level of customer service across all of our brands is a critical element of our success and strategy. Our </w:t>
      </w:r>
      <w:r>
        <w:rPr>
          <w:rFonts w:ascii="Arial" w:cs="Arial" w:eastAsia="Arial" w:hAnsi="Arial"/>
          <w:sz w:val="17"/>
          <w:szCs w:val="17"/>
          <w:i w:val="1"/>
          <w:iCs w:val="1"/>
          <w:color w:val="auto"/>
        </w:rPr>
        <w:t>Customer Led, Service Driven</w:t>
      </w:r>
      <w:r>
        <w:rPr>
          <w:rFonts w:ascii="Arial" w:cs="Arial" w:eastAsia="Arial" w:hAnsi="Arial"/>
          <w:sz w:val="17"/>
          <w:szCs w:val="17"/>
          <w:color w:val="auto"/>
        </w:rPr>
        <w:t>™ program focuses on improving the overall customer experience based on our research of customer service practices, improved customer insights, executing our customer relationship management strategy, delivering customer-centric employee training and leverage our mobile app technology and the enriched experience it provides our customers.</w:t>
      </w:r>
    </w:p>
    <w:p>
      <w:pPr>
        <w:spacing w:after="0" w:line="188"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Our associates and managers at our Company-operated locations are trained and empowered to resolve most customer issues at the location level. We also continuously track customer-satisfaction levels by sending location-specific surveys to recent customers and utilize detailed reports and tracking to assess and identify ways that we can improve our customer service delivery and the overall customer experience. In 2017, we received feedback from more than 2 million customers globally. Our location-specific surveys ask customers to evaluate their overall satisfaction with their rental experience and the likelihood that they will recommend our brands, as well as key elements of the rental experience. Results are analyzed in aggregate and by location to help further enhance our service levels to our customers.</w:t>
      </w:r>
    </w:p>
    <w:p>
      <w:pPr>
        <w:spacing w:after="0" w:line="209"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We place a high emphasis on valuing our customers’ time through providing complete control with self-service capabilities. While our moble apps provide a fast customer experience, our customers know a company representative is always available to meet their needs. In 2017, we expanded our survey platform to integrate app-specific questions to learn more about individual preferences and find innovative ways to better serve and anticipate our customers’ needs.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EMPLOYEES</w:t>
      </w:r>
    </w:p>
    <w:p>
      <w:pPr>
        <w:spacing w:after="0" w:line="247" w:lineRule="exact"/>
        <w:rPr>
          <w:sz w:val="20"/>
          <w:szCs w:val="20"/>
          <w:color w:val="auto"/>
        </w:rPr>
      </w:pPr>
    </w:p>
    <w:p>
      <w:pPr>
        <w:jc w:val="both"/>
        <w:ind w:right="80"/>
        <w:spacing w:after="0" w:line="256" w:lineRule="auto"/>
        <w:rPr>
          <w:sz w:val="20"/>
          <w:szCs w:val="20"/>
          <w:color w:val="auto"/>
        </w:rPr>
      </w:pPr>
      <w:r>
        <w:rPr>
          <w:rFonts w:ascii="Arial" w:cs="Arial" w:eastAsia="Arial" w:hAnsi="Arial"/>
          <w:sz w:val="18"/>
          <w:szCs w:val="18"/>
          <w:color w:val="auto"/>
        </w:rPr>
        <w:t>As of December 31, 2017, we employed approximately 31,000 people worldwide, of whom approximately 9,400 were employed on a part-time basis. Of our approximately 31,000 employees, approximately 20,000 were employed in our Americas segment and 11,000 in our International segment.</w:t>
      </w:r>
    </w:p>
    <w:p>
      <w:pPr>
        <w:spacing w:after="0" w:line="202"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In our Americas segment, the majority of our employees are at-will employees and, therefore, not subject to any type of employment contract or agreement. Certain of our executive officers may be employed under employment contracts that specify a term of employment and specify pay and other benefits. In our International segment, we enter into employment contracts and agreements in those countries in which such relationships are mandatory or customary. The provisions of these agreements correspond in each case with the required or customary terms in the subject jurisdiction. Many of our employees are covered by a wide variety of union contracts and governmental regulations affecting, among other things, compensation, job retention rights and pensions.</w:t>
      </w:r>
    </w:p>
    <w:p>
      <w:pPr>
        <w:spacing w:after="0" w:line="209"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As of December 31, 2017, approximately 32% of our employees were covered by collective bargaining or similar agreements with various labor unions. We believe our employee relations are satisfactory. We have never experienced a large-scale work stoppage.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AIRPORT CONCESSION AGREEMENTS</w:t>
      </w:r>
    </w:p>
    <w:p>
      <w:pPr>
        <w:spacing w:after="0" w:line="247"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We generally operate our vehicle rental and car sharing services at airports under concession agreements with airport authorities, pursuant to which we typically make airport concession payments and/or lease payments. In general, concession fees for on-airport locations are based on a percentage of total commissionable revenue (as defined by each airport authority), often subject to minimum annual guaranteed amounts. Concessions are typically awarded by airport authorities every three to ten years based upon competitive bids. Our concession agreements with the various airport authorities generally impose certain minimum operating requirements, provide for relocation in the event of future construction and provide for abatement of the minimum annual guarantee in the event of extended low passenger volume.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149860</wp:posOffset>
            </wp:positionV>
            <wp:extent cx="7254875" cy="1803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4875" cy="180340"/>
                    </a:xfrm>
                    <a:prstGeom prst="rect">
                      <a:avLst/>
                    </a:prstGeom>
                    <a:noFill/>
                  </pic:spPr>
                </pic:pic>
              </a:graphicData>
            </a:graphic>
          </wp:anchor>
        </w:drawing>
      </w:r>
    </w:p>
    <w:p>
      <w:pPr>
        <w:spacing w:after="0" w:line="23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OTHER BUSINESS CONSIDERATIONS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SEASONALITY</w:t>
      </w:r>
    </w:p>
    <w:p>
      <w:pPr>
        <w:spacing w:after="0" w:line="247" w:lineRule="exact"/>
        <w:rPr>
          <w:sz w:val="20"/>
          <w:szCs w:val="20"/>
          <w:color w:val="auto"/>
        </w:rPr>
      </w:pPr>
    </w:p>
    <w:p>
      <w:pPr>
        <w:ind w:right="600"/>
        <w:spacing w:after="0" w:line="262" w:lineRule="auto"/>
        <w:rPr>
          <w:sz w:val="20"/>
          <w:szCs w:val="20"/>
          <w:color w:val="auto"/>
        </w:rPr>
      </w:pPr>
      <w:r>
        <w:rPr>
          <w:rFonts w:ascii="Arial" w:cs="Arial" w:eastAsia="Arial" w:hAnsi="Arial"/>
          <w:sz w:val="18"/>
          <w:szCs w:val="18"/>
          <w:color w:val="auto"/>
        </w:rPr>
        <w:t>Our vehicle rental business is subject to seasonal variations in customer demand patterns, with the spring and summer vacation periods representing our peak seasons for the majority of the countries in which we operate. We</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40"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vary our fleet size over the course of the year to help manage any seasonal variations in demand, as well as localized changes in demand. The following chart presents our quarterly revenues for the years ended December 31, 2015, 2016 and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777240</wp:posOffset>
            </wp:positionH>
            <wp:positionV relativeFrom="paragraph">
              <wp:posOffset>125095</wp:posOffset>
            </wp:positionV>
            <wp:extent cx="5711190" cy="24784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11190" cy="2478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COMPETITION</w:t>
      </w:r>
    </w:p>
    <w:p>
      <w:pPr>
        <w:spacing w:after="0" w:line="24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competitive environment for our industry is generally characterized by intense price and service competition among global, local and regional competitors. Competition in our vehicle rental operations is based primarily upon price, customer service quality, including usability of booking systems and ease of rental and return, vehicle availability, reliability, rental locations, product innovation and national or international distribution. In addition, competition is also influenced strongly by advertising, marketing, loyalty programs and brand reputation. We believe the prominence and service reputation of our brands, extensive worldwide ownership of mobility solutions and commitment to innovating will provide us with a competitive advantage.</w:t>
      </w:r>
    </w:p>
    <w:p>
      <w:pPr>
        <w:spacing w:after="0" w:line="209" w:lineRule="exact"/>
        <w:rPr>
          <w:sz w:val="20"/>
          <w:szCs w:val="20"/>
          <w:color w:val="auto"/>
        </w:rPr>
      </w:pPr>
    </w:p>
    <w:p>
      <w:pPr>
        <w:jc w:val="both"/>
        <w:ind w:right="180"/>
        <w:spacing w:after="0" w:line="256" w:lineRule="auto"/>
        <w:rPr>
          <w:sz w:val="20"/>
          <w:szCs w:val="20"/>
          <w:color w:val="auto"/>
        </w:rPr>
      </w:pPr>
      <w:r>
        <w:rPr>
          <w:rFonts w:ascii="Arial" w:cs="Arial" w:eastAsia="Arial" w:hAnsi="Arial"/>
          <w:sz w:val="18"/>
          <w:szCs w:val="18"/>
          <w:color w:val="auto"/>
        </w:rPr>
        <w:t>The use of technology has increased pricing transparency among vehicle rental companies and other mobility solutions providers by enabling cost-conscious customers to more easily compare on the Internet and their mobile devices the rates available for the mobility solutions that fit their needs. This transparency has further increased the prevalence and intensity of price competition in the industry.</w:t>
      </w:r>
    </w:p>
    <w:p>
      <w:pPr>
        <w:spacing w:after="0" w:line="202" w:lineRule="exact"/>
        <w:rPr>
          <w:sz w:val="20"/>
          <w:szCs w:val="20"/>
          <w:color w:val="auto"/>
        </w:rPr>
      </w:pPr>
    </w:p>
    <w:p>
      <w:pPr>
        <w:ind w:right="300"/>
        <w:spacing w:after="0" w:line="252" w:lineRule="auto"/>
        <w:rPr>
          <w:sz w:val="20"/>
          <w:szCs w:val="20"/>
          <w:color w:val="auto"/>
        </w:rPr>
      </w:pPr>
      <w:r>
        <w:rPr>
          <w:rFonts w:ascii="Arial" w:cs="Arial" w:eastAsia="Arial" w:hAnsi="Arial"/>
          <w:sz w:val="18"/>
          <w:szCs w:val="18"/>
          <w:color w:val="auto"/>
        </w:rPr>
        <w:t>Our vehicle rental operations compete primarily with Enterprise Holdings, Inc., which operates the Enterprise, National and Alamo car rental brands; Hertz Global Holdings, Inc., which operates the Hertz, Dollar and Thrifty brands; Europcar Group; and Sixt AG. In addition there are smaller local and regional vehicle rental companies and ride-hailing companies that we compete with largely for short length trips in urban areas. Our Zipcar brand also competes with various local and regional mobility companies, including mobility services sponsored by several auto manufacturers, ride-hailing and car sharing companies and other technology players in the mobility landscape. Our Budget Truck operations in the U.S. competes with several other local, regional and nationwide truck rental companies such as U-Haul International, Inc., Penske Truck Leasing Corporation, Ryder Systems, Inc. and Enterprise.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INSURANCE AND RISK MANAGEMENT</w:t>
      </w:r>
    </w:p>
    <w:p>
      <w:pPr>
        <w:spacing w:after="0" w:line="24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Our vehicle rental and corporate operations expose us to various types of claims for bodily injury, death and property damage related to the use of our vehicles and/or properties, as well as general employment-related matters stemming from our operations. We generally assume the risk of liability to third parties arising from vehicle rental and car sharing services in the United States, Canada, Puerto Rico and the U.S. Virgin Islands, in accordance with the minimum financial responsibility requirements (“MFRs”) and primacy of coverage laws of the relevant jurisdiction. In certain cases, we assume liability above applicable MFRs, but to no more than $1 million per occurrence, other than in cases involving a negligent act on the part of the Company, for which we purchase insurance coverage for exposures beyond retained amounts from a combination of unaffiliated excess insurers.</w:t>
      </w: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40"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In Europe, we insure the risk of liability to third parties arising from vehicle rental and car sharing services in accordance with local regulatory requirements through a combination of insurance policies provided by unaffiliated insurers and through reinsurance. We may retain a portion of the insured risk of liability, including reinsuring certain risks through our captive insurance subsidiary AEGIS Motor Insurance Limited. We limit our retained risk of liability through the unaffiliated insurers. We insure the risk of liability to third parties in Argentina, Australasia and Brazil through a combination of unaffiliated insurers and one of our affiliates. These insurers provide insurance coverage supplemental to minimum local requirements.</w:t>
      </w:r>
    </w:p>
    <w:p>
      <w:pPr>
        <w:spacing w:after="0" w:line="209"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We offer our U.S. customers a range of optional insurance products and coverages such as supplemental liability insurance, personal accident insurance, personal effects protection, emergency sickness protection, automobile towing protection and cargo insurance, which create additional risk exposure for us. When a customer elects to purchase supplemental liability insurance or other optional insurance related products, we typically retain economic exposure to loss, since the insurance is provided by an unaffiliated insurer that is reinsuring its exposure through our captive insurance subsidiary, Constellation Reinsurance Co., Ltd. Additional personal accident insurance offered to our customers in Europe is provided by a third-party insurer, and reinsured by our Avis Budget Europe International Reinsurance Limited subsidiary. We also maintain excess insurance coverage through unaffiliated carriers to help mitigate our potential exposure to large liability losses. We otherwise bear these and other risks, except to the extent that the risks are transferred through insurance or contractual arrangements.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OUR INTELLECTUAL PROPERTY</w:t>
      </w:r>
    </w:p>
    <w:p>
      <w:pPr>
        <w:spacing w:after="0" w:line="24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rely primarily on a combination of trademark, trade secret and copyright laws, as well as contractual provisions with employees and third parties, to establish and protect our intellectual property rights. The service marks “Avis,” “Budget,” and “Zipcar” and related marks or designs incorporating such terms and related logos and marks such as “We try harder,” and “wheels when you want them” are material to our vehicle rental and car sharing businesses. Our subsidiaries and licensees actively use these marks. All of the material marks used by Avis, Budget and Zipcar are registered (or have applications pending for registration) with the United States Patent and Trademark Office as well as in foreign jurisdictions. Our subsidiaries own the marks and other intellectual property, including the Wizard system, used in our business. We also own trademarks and logos related to the “Apex Car Rentals” brand in Australia and New Zealand, the “Payless Car Rental” brand in the United States and several other countries, the “Maggiore” brand in Italy and the “FranceCars” brand in France.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CORPORATE SOCIAL RESPONSIBILITY</w:t>
      </w:r>
    </w:p>
    <w:p>
      <w:pPr>
        <w:spacing w:after="0" w:line="247" w:lineRule="exact"/>
        <w:rPr>
          <w:sz w:val="20"/>
          <w:szCs w:val="20"/>
          <w:color w:val="auto"/>
        </w:rPr>
      </w:pPr>
    </w:p>
    <w:p>
      <w:pPr>
        <w:jc w:val="both"/>
        <w:ind w:right="620"/>
        <w:spacing w:after="0" w:line="256" w:lineRule="auto"/>
        <w:rPr>
          <w:sz w:val="20"/>
          <w:szCs w:val="20"/>
          <w:color w:val="auto"/>
        </w:rPr>
      </w:pPr>
      <w:r>
        <w:rPr>
          <w:rFonts w:ascii="Arial" w:cs="Arial" w:eastAsia="Arial" w:hAnsi="Arial"/>
          <w:sz w:val="18"/>
          <w:szCs w:val="18"/>
          <w:color w:val="auto"/>
        </w:rPr>
        <w:t>At Avis Budget Group, we take our responsibilities as a corporate citizen seriously. We remain aware of how our actions can benefit the community and are sensitive to the needs of the environment, our customers and our employees. We recognize that being a successful organization means our progress is measured not only in economic terms, but also in the many ways we impact the world around us.</w:t>
      </w:r>
    </w:p>
    <w:p>
      <w:pPr>
        <w:spacing w:after="0" w:line="202"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We believe in being responsible global corporate citizens and strive to establish and maintain best practices in corporate social responsibility through a focus on:</w:t>
      </w:r>
    </w:p>
    <w:p>
      <w:pPr>
        <w:spacing w:after="0" w:line="178" w:lineRule="exact"/>
        <w:rPr>
          <w:sz w:val="20"/>
          <w:szCs w:val="20"/>
          <w:color w:val="auto"/>
        </w:rPr>
      </w:pPr>
    </w:p>
    <w:p>
      <w:pPr>
        <w:ind w:left="660" w:right="340" w:hanging="328"/>
        <w:spacing w:after="0" w:line="282" w:lineRule="auto"/>
        <w:tabs>
          <w:tab w:leader="none" w:pos="660" w:val="left"/>
        </w:tabs>
        <w:numPr>
          <w:ilvl w:val="0"/>
          <w:numId w:val="22"/>
        </w:numPr>
        <w:rPr>
          <w:rFonts w:ascii="Arial" w:cs="Arial" w:eastAsia="Arial" w:hAnsi="Arial"/>
          <w:sz w:val="18"/>
          <w:szCs w:val="18"/>
          <w:i w:val="1"/>
          <w:iCs w:val="1"/>
          <w:color w:val="auto"/>
        </w:rPr>
      </w:pPr>
      <w:r>
        <w:rPr>
          <w:rFonts w:ascii="Arial" w:cs="Arial" w:eastAsia="Arial" w:hAnsi="Arial"/>
          <w:sz w:val="18"/>
          <w:szCs w:val="18"/>
          <w:i w:val="1"/>
          <w:iCs w:val="1"/>
          <w:color w:val="auto"/>
        </w:rPr>
        <w:t>The Environment</w:t>
      </w:r>
      <w:r>
        <w:rPr>
          <w:rFonts w:ascii="Arial" w:cs="Arial" w:eastAsia="Arial" w:hAnsi="Arial"/>
          <w:sz w:val="18"/>
          <w:szCs w:val="18"/>
          <w:color w:val="auto"/>
        </w:rPr>
        <w:t>: As a responsible corporate citizen, we are committed to monitoring, measuring and managing our environmental</w:t>
      </w:r>
      <w:r>
        <w:rPr>
          <w:rFonts w:ascii="Arial" w:cs="Arial" w:eastAsia="Arial" w:hAnsi="Arial"/>
          <w:sz w:val="18"/>
          <w:szCs w:val="18"/>
          <w:i w:val="1"/>
          <w:iCs w:val="1"/>
          <w:color w:val="auto"/>
        </w:rPr>
        <w:t xml:space="preserve"> </w:t>
      </w:r>
      <w:r>
        <w:rPr>
          <w:rFonts w:ascii="Arial" w:cs="Arial" w:eastAsia="Arial" w:hAnsi="Arial"/>
          <w:sz w:val="18"/>
          <w:szCs w:val="18"/>
          <w:color w:val="auto"/>
        </w:rPr>
        <w:t>impact, and working to reduce it where practicable on an ongoing basis. The following illustrate those commitments:</w:t>
      </w:r>
    </w:p>
    <w:p>
      <w:pPr>
        <w:spacing w:after="0" w:line="180" w:lineRule="exact"/>
        <w:rPr>
          <w:sz w:val="20"/>
          <w:szCs w:val="20"/>
          <w:color w:val="auto"/>
        </w:rPr>
      </w:pPr>
    </w:p>
    <w:p>
      <w:pPr>
        <w:ind w:left="1300" w:right="260"/>
        <w:spacing w:after="0" w:line="262" w:lineRule="auto"/>
        <w:rPr>
          <w:sz w:val="20"/>
          <w:szCs w:val="20"/>
          <w:color w:val="auto"/>
        </w:rPr>
      </w:pPr>
      <w:r>
        <w:rPr>
          <w:rFonts w:ascii="Arial" w:cs="Arial" w:eastAsia="Arial" w:hAnsi="Arial"/>
          <w:sz w:val="18"/>
          <w:szCs w:val="18"/>
          <w:color w:val="auto"/>
        </w:rPr>
        <w:t>Car Sharing: Through our Zipcar brand, operating the world’s leading car-sharing network, considered to be one of the most environmentally-friendly transportation alternatives available;</w:t>
      </w:r>
    </w:p>
    <w:p>
      <w:pPr>
        <w:spacing w:after="0" w:line="196" w:lineRule="exact"/>
        <w:rPr>
          <w:sz w:val="20"/>
          <w:szCs w:val="20"/>
          <w:color w:val="auto"/>
        </w:rPr>
      </w:pPr>
    </w:p>
    <w:p>
      <w:pPr>
        <w:ind w:left="1300" w:right="500"/>
        <w:spacing w:after="0" w:line="262" w:lineRule="auto"/>
        <w:rPr>
          <w:sz w:val="20"/>
          <w:szCs w:val="20"/>
          <w:color w:val="auto"/>
        </w:rPr>
      </w:pPr>
      <w:r>
        <w:rPr>
          <w:rFonts w:ascii="Arial" w:cs="Arial" w:eastAsia="Arial" w:hAnsi="Arial"/>
          <w:sz w:val="18"/>
          <w:szCs w:val="18"/>
          <w:color w:val="auto"/>
        </w:rPr>
        <w:t>Fleet: Offering our customers a wide variety of vehicles that are environmentally friendly, including as defined by the U.S. Environmental Protection Agency’s SmartWay Certification Program;</w:t>
      </w:r>
    </w:p>
    <w:p>
      <w:pPr>
        <w:spacing w:after="0" w:line="196" w:lineRule="exact"/>
        <w:rPr>
          <w:sz w:val="20"/>
          <w:szCs w:val="20"/>
          <w:color w:val="auto"/>
        </w:rPr>
      </w:pPr>
    </w:p>
    <w:p>
      <w:pPr>
        <w:ind w:left="1300" w:right="220"/>
        <w:spacing w:after="0" w:line="256" w:lineRule="auto"/>
        <w:rPr>
          <w:sz w:val="20"/>
          <w:szCs w:val="20"/>
          <w:color w:val="auto"/>
        </w:rPr>
      </w:pPr>
      <w:r>
        <w:rPr>
          <w:rFonts w:ascii="Arial" w:cs="Arial" w:eastAsia="Arial" w:hAnsi="Arial"/>
          <w:sz w:val="18"/>
          <w:szCs w:val="18"/>
          <w:color w:val="auto"/>
        </w:rPr>
        <w:t>Outreach: Partnering with our corporate customers to help them measure and manage the environmental impact of Avis and Budget rental vehicles used by their employees and, where applicable, partnering to help them achieve their sustainability goals;</w:t>
      </w:r>
    </w:p>
    <w:p>
      <w:pPr>
        <w:spacing w:after="0" w:line="200" w:lineRule="exact"/>
        <w:rPr>
          <w:sz w:val="20"/>
          <w:szCs w:val="20"/>
          <w:color w:val="auto"/>
        </w:rPr>
      </w:pPr>
    </w:p>
    <w:p>
      <w:pPr>
        <w:spacing w:after="0" w:line="24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140" w:right="25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left="1300" w:right="140"/>
        <w:spacing w:after="0" w:line="262" w:lineRule="auto"/>
        <w:rPr>
          <w:sz w:val="20"/>
          <w:szCs w:val="20"/>
          <w:color w:val="auto"/>
        </w:rPr>
      </w:pPr>
      <w:r>
        <w:rPr>
          <w:rFonts w:ascii="Arial" w:cs="Arial" w:eastAsia="Arial" w:hAnsi="Arial"/>
          <w:sz w:val="18"/>
          <w:szCs w:val="18"/>
          <w:color w:val="auto"/>
        </w:rPr>
        <w:t>Compliance: Meeting or voluntarily exceeding the requirements of all federal, state and local health, safety and environmental protection laws; and</w:t>
      </w:r>
    </w:p>
    <w:p>
      <w:pPr>
        <w:spacing w:after="0" w:line="196" w:lineRule="exact"/>
        <w:rPr>
          <w:sz w:val="20"/>
          <w:szCs w:val="20"/>
          <w:color w:val="auto"/>
        </w:rPr>
      </w:pPr>
    </w:p>
    <w:p>
      <w:pPr>
        <w:ind w:left="1300" w:right="160"/>
        <w:spacing w:after="0" w:line="262" w:lineRule="auto"/>
        <w:rPr>
          <w:sz w:val="20"/>
          <w:szCs w:val="20"/>
          <w:color w:val="auto"/>
        </w:rPr>
      </w:pPr>
      <w:r>
        <w:rPr>
          <w:rFonts w:ascii="Arial" w:cs="Arial" w:eastAsia="Arial" w:hAnsi="Arial"/>
          <w:sz w:val="18"/>
          <w:szCs w:val="18"/>
          <w:color w:val="auto"/>
        </w:rPr>
        <w:t>Reduction: Limiting our use of natural resources and recycling where practicable, whether water, oil, tire rubber, paper, plastic or other materials.</w:t>
      </w:r>
    </w:p>
    <w:p>
      <w:pPr>
        <w:spacing w:after="0" w:line="178" w:lineRule="exact"/>
        <w:rPr>
          <w:sz w:val="20"/>
          <w:szCs w:val="20"/>
          <w:color w:val="auto"/>
        </w:rPr>
      </w:pPr>
    </w:p>
    <w:p>
      <w:pPr>
        <w:ind w:left="660" w:right="100" w:hanging="328"/>
        <w:spacing w:after="0" w:line="257" w:lineRule="auto"/>
        <w:tabs>
          <w:tab w:leader="none" w:pos="660" w:val="left"/>
        </w:tabs>
        <w:numPr>
          <w:ilvl w:val="0"/>
          <w:numId w:val="23"/>
        </w:numPr>
        <w:rPr>
          <w:rFonts w:ascii="Arial" w:cs="Arial" w:eastAsia="Arial" w:hAnsi="Arial"/>
          <w:sz w:val="18"/>
          <w:szCs w:val="18"/>
          <w:i w:val="1"/>
          <w:iCs w:val="1"/>
          <w:color w:val="auto"/>
        </w:rPr>
      </w:pPr>
      <w:r>
        <w:rPr>
          <w:rFonts w:ascii="Arial" w:cs="Arial" w:eastAsia="Arial" w:hAnsi="Arial"/>
          <w:sz w:val="18"/>
          <w:szCs w:val="18"/>
          <w:i w:val="1"/>
          <w:iCs w:val="1"/>
          <w:color w:val="auto"/>
        </w:rPr>
        <w:t>Our People and our Customers</w:t>
      </w:r>
      <w:r>
        <w:rPr>
          <w:rFonts w:ascii="Arial" w:cs="Arial" w:eastAsia="Arial" w:hAnsi="Arial"/>
          <w:sz w:val="18"/>
          <w:szCs w:val="18"/>
          <w:color w:val="auto"/>
        </w:rPr>
        <w:t>: We believe that our success has its foundation in how we treat our employees. Avis Budget Group is</w:t>
      </w:r>
      <w:r>
        <w:rPr>
          <w:rFonts w:ascii="Arial" w:cs="Arial" w:eastAsia="Arial" w:hAnsi="Arial"/>
          <w:sz w:val="18"/>
          <w:szCs w:val="18"/>
          <w:i w:val="1"/>
          <w:iCs w:val="1"/>
          <w:color w:val="auto"/>
        </w:rPr>
        <w:t xml:space="preserve"> </w:t>
      </w:r>
      <w:r>
        <w:rPr>
          <w:rFonts w:ascii="Arial" w:cs="Arial" w:eastAsia="Arial" w:hAnsi="Arial"/>
          <w:sz w:val="18"/>
          <w:szCs w:val="18"/>
          <w:color w:val="auto"/>
        </w:rPr>
        <w:t>committed to maintaining a professional and supportive workplace built on trust between employees and management. In concert with our core values, we seek to foster an environment where communication among our employees is open, honest, and respectful; performance is recognized; growth is encouraged; and accomplishments – individual and collective – are celebrated. We also seek to support the well-being and development of the people we employ and the communities in which they work. The following initiatives reflect our commitment to achieving these goals:</w:t>
      </w:r>
    </w:p>
    <w:p>
      <w:pPr>
        <w:spacing w:after="0" w:line="201" w:lineRule="exact"/>
        <w:rPr>
          <w:sz w:val="20"/>
          <w:szCs w:val="20"/>
          <w:color w:val="auto"/>
        </w:rPr>
      </w:pPr>
    </w:p>
    <w:p>
      <w:pPr>
        <w:ind w:left="1300" w:right="60"/>
        <w:spacing w:after="0" w:line="253" w:lineRule="auto"/>
        <w:rPr>
          <w:sz w:val="20"/>
          <w:szCs w:val="20"/>
          <w:color w:val="auto"/>
        </w:rPr>
      </w:pPr>
      <w:r>
        <w:rPr>
          <w:rFonts w:ascii="Arial" w:cs="Arial" w:eastAsia="Arial" w:hAnsi="Arial"/>
          <w:sz w:val="18"/>
          <w:szCs w:val="18"/>
          <w:color w:val="auto"/>
        </w:rPr>
        <w:t>Employee Satisfaction: We periodically measure the success of our workplace initiatives in a Company-wide employee survey. Conducted by an independent third party to ensure impartiality and confidentiality, the survey is part of a long tradition of listening to what employees have to say about the Company, about the job they do, and about what they expect. On average, over 90% of all employees respond, which we feel is best in class participation and engagement. The findings from each survey are presented by managers to employees and plans to address areas for improvement are established;</w:t>
      </w:r>
    </w:p>
    <w:p>
      <w:pPr>
        <w:spacing w:after="0" w:line="206" w:lineRule="exact"/>
        <w:rPr>
          <w:sz w:val="20"/>
          <w:szCs w:val="20"/>
          <w:color w:val="auto"/>
        </w:rPr>
      </w:pPr>
    </w:p>
    <w:p>
      <w:pPr>
        <w:ind w:left="1300"/>
        <w:spacing w:after="0" w:line="253" w:lineRule="auto"/>
        <w:rPr>
          <w:sz w:val="20"/>
          <w:szCs w:val="20"/>
          <w:color w:val="auto"/>
        </w:rPr>
      </w:pPr>
      <w:r>
        <w:rPr>
          <w:rFonts w:ascii="Arial" w:cs="Arial" w:eastAsia="Arial" w:hAnsi="Arial"/>
          <w:sz w:val="18"/>
          <w:szCs w:val="18"/>
          <w:color w:val="auto"/>
        </w:rPr>
        <w:t>Employee Benefits Programs: Our employees are critical to our success. To ensure their well-being and professional growth, we generally offer a competitive salary, plus incentive compensation potential and comprehensive benefits. In addition, we offer health and welfare benefits that may include a range of training, employee assistance and personal development programs to help employees and their families prosper. Our employee benefit programs are all offered and administered in compliance with applicable local law;</w:t>
      </w:r>
    </w:p>
    <w:p>
      <w:pPr>
        <w:spacing w:after="0" w:line="206" w:lineRule="exact"/>
        <w:rPr>
          <w:sz w:val="20"/>
          <w:szCs w:val="20"/>
          <w:color w:val="auto"/>
        </w:rPr>
      </w:pPr>
    </w:p>
    <w:p>
      <w:pPr>
        <w:ind w:left="1300" w:right="360"/>
        <w:spacing w:after="0" w:line="256" w:lineRule="auto"/>
        <w:rPr>
          <w:sz w:val="20"/>
          <w:szCs w:val="20"/>
          <w:color w:val="auto"/>
        </w:rPr>
      </w:pPr>
      <w:r>
        <w:rPr>
          <w:rFonts w:ascii="Arial" w:cs="Arial" w:eastAsia="Arial" w:hAnsi="Arial"/>
          <w:sz w:val="18"/>
          <w:szCs w:val="18"/>
          <w:color w:val="auto"/>
        </w:rPr>
        <w:t>Live Well – Healthy Living: We maintain a comprehensive program of initiatives designed to encourage our employees and their families to be mindful of their health and to enhance their ability to care for themselves and manage their health care expenses;</w:t>
      </w:r>
    </w:p>
    <w:p>
      <w:pPr>
        <w:spacing w:after="0" w:line="202" w:lineRule="exact"/>
        <w:rPr>
          <w:sz w:val="20"/>
          <w:szCs w:val="20"/>
          <w:color w:val="auto"/>
        </w:rPr>
      </w:pPr>
    </w:p>
    <w:p>
      <w:pPr>
        <w:ind w:left="1300" w:right="20"/>
        <w:spacing w:after="0" w:line="252" w:lineRule="auto"/>
        <w:rPr>
          <w:sz w:val="20"/>
          <w:szCs w:val="20"/>
          <w:color w:val="auto"/>
        </w:rPr>
      </w:pPr>
      <w:r>
        <w:rPr>
          <w:rFonts w:ascii="Arial" w:cs="Arial" w:eastAsia="Arial" w:hAnsi="Arial"/>
          <w:sz w:val="18"/>
          <w:szCs w:val="18"/>
          <w:color w:val="auto"/>
        </w:rPr>
        <w:t>Equal Opportunity Employment: We are committed to providing equal employment opportunity to all applicants and employees without regard to race, religion, color, sex, sexual orientation, gender, gender identity, age, national origin, ancestry, citizenship, protected veteran or disability status or any factor prohibited by law, and as such we affirm in policy and practice to support and promote the concept of equal employee opportunity and affirmative action, in accordance with all applicable federal, state, provincial and municipal laws. In addition, the Company will reasonably accommodate known disabilities and religious beliefs of employees and qualified applicants; and</w:t>
      </w:r>
    </w:p>
    <w:p>
      <w:pPr>
        <w:spacing w:after="0" w:line="209" w:lineRule="exact"/>
        <w:rPr>
          <w:sz w:val="20"/>
          <w:szCs w:val="20"/>
          <w:color w:val="auto"/>
        </w:rPr>
      </w:pPr>
    </w:p>
    <w:p>
      <w:pPr>
        <w:ind w:left="1300" w:right="160"/>
        <w:spacing w:after="0" w:line="256" w:lineRule="auto"/>
        <w:rPr>
          <w:sz w:val="20"/>
          <w:szCs w:val="20"/>
          <w:color w:val="auto"/>
        </w:rPr>
      </w:pPr>
      <w:r>
        <w:rPr>
          <w:rFonts w:ascii="Arial" w:cs="Arial" w:eastAsia="Arial" w:hAnsi="Arial"/>
          <w:sz w:val="18"/>
          <w:szCs w:val="18"/>
          <w:color w:val="auto"/>
        </w:rPr>
        <w:t>Diversity: As a growing global organization, the Company is proud of the diversity of its workforce. We strive to attract and retain talented and diverse people throughout our organization by engaging in several initiatives to support diversity, including programs specifically designed to develop female leaders and to assist current and former military personnel.</w:t>
      </w:r>
    </w:p>
    <w:p>
      <w:pPr>
        <w:spacing w:after="0" w:line="184" w:lineRule="exact"/>
        <w:rPr>
          <w:sz w:val="20"/>
          <w:szCs w:val="20"/>
          <w:color w:val="auto"/>
        </w:rPr>
      </w:pPr>
    </w:p>
    <w:p>
      <w:pPr>
        <w:ind w:left="660" w:right="520" w:hanging="328"/>
        <w:spacing w:after="0" w:line="261" w:lineRule="auto"/>
        <w:tabs>
          <w:tab w:leader="none" w:pos="660" w:val="left"/>
        </w:tabs>
        <w:numPr>
          <w:ilvl w:val="0"/>
          <w:numId w:val="24"/>
        </w:numPr>
        <w:rPr>
          <w:rFonts w:ascii="Arial" w:cs="Arial" w:eastAsia="Arial" w:hAnsi="Arial"/>
          <w:sz w:val="18"/>
          <w:szCs w:val="18"/>
          <w:i w:val="1"/>
          <w:iCs w:val="1"/>
          <w:color w:val="auto"/>
        </w:rPr>
      </w:pPr>
      <w:r>
        <w:rPr>
          <w:rFonts w:ascii="Arial" w:cs="Arial" w:eastAsia="Arial" w:hAnsi="Arial"/>
          <w:sz w:val="18"/>
          <w:szCs w:val="18"/>
          <w:i w:val="1"/>
          <w:iCs w:val="1"/>
          <w:color w:val="auto"/>
        </w:rPr>
        <w:t>Our Communities</w:t>
      </w:r>
      <w:r>
        <w:rPr>
          <w:rFonts w:ascii="Arial" w:cs="Arial" w:eastAsia="Arial" w:hAnsi="Arial"/>
          <w:sz w:val="18"/>
          <w:szCs w:val="18"/>
          <w:color w:val="auto"/>
        </w:rPr>
        <w:t>: The Company is committed to supporting the communities in which it operates by working with nonprofit</w:t>
      </w:r>
      <w:r>
        <w:rPr>
          <w:rFonts w:ascii="Arial" w:cs="Arial" w:eastAsia="Arial" w:hAnsi="Arial"/>
          <w:sz w:val="18"/>
          <w:szCs w:val="18"/>
          <w:i w:val="1"/>
          <w:iCs w:val="1"/>
          <w:color w:val="auto"/>
        </w:rPr>
        <w:t xml:space="preserve"> </w:t>
      </w:r>
      <w:r>
        <w:rPr>
          <w:rFonts w:ascii="Arial" w:cs="Arial" w:eastAsia="Arial" w:hAnsi="Arial"/>
          <w:sz w:val="18"/>
          <w:szCs w:val="18"/>
          <w:color w:val="auto"/>
        </w:rPr>
        <w:t>organizations focused on assisting those in need such as Make-A-Wish. Through relationships with widely-recognized charitable groups and outreach through the Avis Budget Group Charitable Foundation and employee volunteer teams, the Company and its employees contribute to many worthwhile organizations and deserving causes that help improve our communities.</w:t>
      </w:r>
    </w:p>
    <w:p>
      <w:pPr>
        <w:spacing w:after="0" w:line="180" w:lineRule="exact"/>
        <w:rPr>
          <w:rFonts w:ascii="Arial" w:cs="Arial" w:eastAsia="Arial" w:hAnsi="Arial"/>
          <w:sz w:val="18"/>
          <w:szCs w:val="18"/>
          <w:i w:val="1"/>
          <w:iCs w:val="1"/>
          <w:color w:val="auto"/>
        </w:rPr>
      </w:pPr>
    </w:p>
    <w:p>
      <w:pPr>
        <w:ind w:left="660" w:right="680" w:hanging="328"/>
        <w:spacing w:after="0" w:line="282" w:lineRule="auto"/>
        <w:tabs>
          <w:tab w:leader="none" w:pos="660" w:val="left"/>
        </w:tabs>
        <w:numPr>
          <w:ilvl w:val="0"/>
          <w:numId w:val="24"/>
        </w:numPr>
        <w:rPr>
          <w:rFonts w:ascii="Arial" w:cs="Arial" w:eastAsia="Arial" w:hAnsi="Arial"/>
          <w:sz w:val="18"/>
          <w:szCs w:val="18"/>
          <w:i w:val="1"/>
          <w:iCs w:val="1"/>
          <w:color w:val="auto"/>
        </w:rPr>
      </w:pPr>
      <w:r>
        <w:rPr>
          <w:rFonts w:ascii="Arial" w:cs="Arial" w:eastAsia="Arial" w:hAnsi="Arial"/>
          <w:sz w:val="18"/>
          <w:szCs w:val="18"/>
          <w:i w:val="1"/>
          <w:iCs w:val="1"/>
          <w:color w:val="auto"/>
        </w:rPr>
        <w:t>Our Business</w:t>
      </w:r>
      <w:r>
        <w:rPr>
          <w:rFonts w:ascii="Arial" w:cs="Arial" w:eastAsia="Arial" w:hAnsi="Arial"/>
          <w:sz w:val="18"/>
          <w:szCs w:val="18"/>
          <w:color w:val="auto"/>
        </w:rPr>
        <w:t>: We hold our employees to high ethical standards. We place great emphasis on professional conduct, safety and</w:t>
      </w:r>
      <w:r>
        <w:rPr>
          <w:rFonts w:ascii="Arial" w:cs="Arial" w:eastAsia="Arial" w:hAnsi="Arial"/>
          <w:sz w:val="18"/>
          <w:szCs w:val="18"/>
          <w:i w:val="1"/>
          <w:iCs w:val="1"/>
          <w:color w:val="auto"/>
        </w:rPr>
        <w:t xml:space="preserve"> </w:t>
      </w:r>
      <w:r>
        <w:rPr>
          <w:rFonts w:ascii="Arial" w:cs="Arial" w:eastAsia="Arial" w:hAnsi="Arial"/>
          <w:sz w:val="18"/>
          <w:szCs w:val="18"/>
          <w:color w:val="auto"/>
        </w:rPr>
        <w:t>security, information protection and integrity.</w:t>
      </w:r>
    </w:p>
    <w:p>
      <w:pPr>
        <w:spacing w:after="0" w:line="180" w:lineRule="exact"/>
        <w:rPr>
          <w:sz w:val="20"/>
          <w:szCs w:val="20"/>
          <w:color w:val="auto"/>
        </w:rPr>
      </w:pPr>
    </w:p>
    <w:p>
      <w:pPr>
        <w:ind w:left="1300" w:right="60"/>
        <w:spacing w:after="0" w:line="256" w:lineRule="auto"/>
        <w:rPr>
          <w:sz w:val="20"/>
          <w:szCs w:val="20"/>
          <w:color w:val="auto"/>
        </w:rPr>
      </w:pPr>
      <w:r>
        <w:rPr>
          <w:rFonts w:ascii="Arial" w:cs="Arial" w:eastAsia="Arial" w:hAnsi="Arial"/>
          <w:sz w:val="18"/>
          <w:szCs w:val="18"/>
          <w:color w:val="auto"/>
        </w:rPr>
        <w:t>Ethical Standards: Our employees are required to follow our Code of Conduct. This important document represents the core of our business philosophy and values and covers numerous areas, including standards of work-related behavior; safe work practices; security of information,</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40"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left="1300" w:right="140"/>
        <w:spacing w:after="0" w:line="262" w:lineRule="auto"/>
        <w:rPr>
          <w:sz w:val="20"/>
          <w:szCs w:val="20"/>
          <w:color w:val="auto"/>
        </w:rPr>
      </w:pPr>
      <w:r>
        <w:rPr>
          <w:rFonts w:ascii="Arial" w:cs="Arial" w:eastAsia="Arial" w:hAnsi="Arial"/>
          <w:sz w:val="18"/>
          <w:szCs w:val="18"/>
          <w:color w:val="auto"/>
        </w:rPr>
        <w:t>systems and other assets; conflicts of interest; securities laws; and community service. We provide employees with training to help them understand both our Code of Conduct and how to interpret it in various situations.</w:t>
      </w:r>
    </w:p>
    <w:p>
      <w:pPr>
        <w:spacing w:after="0" w:line="196" w:lineRule="exact"/>
        <w:rPr>
          <w:sz w:val="20"/>
          <w:szCs w:val="20"/>
          <w:color w:val="auto"/>
        </w:rPr>
      </w:pPr>
    </w:p>
    <w:p>
      <w:pPr>
        <w:ind w:left="1300" w:right="280"/>
        <w:spacing w:after="0" w:line="256" w:lineRule="auto"/>
        <w:rPr>
          <w:sz w:val="20"/>
          <w:szCs w:val="20"/>
          <w:color w:val="auto"/>
        </w:rPr>
      </w:pPr>
      <w:r>
        <w:rPr>
          <w:rFonts w:ascii="Arial" w:cs="Arial" w:eastAsia="Arial" w:hAnsi="Arial"/>
          <w:sz w:val="18"/>
          <w:szCs w:val="18"/>
          <w:color w:val="auto"/>
        </w:rPr>
        <w:t>Sustainable Procurement: Our Third Party Standards of Conduct represents the Company’s commitment to fostering sustainable relationships with our business partners, agents, consultants, suppliers and other third parties and ensuring that they uphold ethical, social and environmental standards.</w:t>
      </w:r>
    </w:p>
    <w:p>
      <w:pPr>
        <w:spacing w:after="0" w:line="202" w:lineRule="exact"/>
        <w:rPr>
          <w:sz w:val="20"/>
          <w:szCs w:val="20"/>
          <w:color w:val="auto"/>
        </w:rPr>
      </w:pPr>
    </w:p>
    <w:p>
      <w:pPr>
        <w:ind w:left="1300" w:right="220"/>
        <w:spacing w:after="0" w:line="254" w:lineRule="auto"/>
        <w:rPr>
          <w:sz w:val="20"/>
          <w:szCs w:val="20"/>
          <w:color w:val="auto"/>
        </w:rPr>
      </w:pPr>
      <w:r>
        <w:rPr>
          <w:rFonts w:ascii="Arial" w:cs="Arial" w:eastAsia="Arial" w:hAnsi="Arial"/>
          <w:sz w:val="18"/>
          <w:szCs w:val="18"/>
          <w:color w:val="auto"/>
        </w:rPr>
        <w:t>Supplier Diversity: The Company also maintains an industry-leading supplier diversity program to promote the growth and development of suppliers who are disadvantaged, minority-owned or women-owned business enterprises. As a result of our commitment, we are honored to be one of America’s Top Corporations for Women’s Business Enterprises for 16 consecutive years and a corporate member of the Billion Dollar Roundtable.</w:t>
      </w:r>
    </w:p>
    <w:p>
      <w:pPr>
        <w:spacing w:after="0" w:line="204" w:lineRule="exact"/>
        <w:rPr>
          <w:sz w:val="20"/>
          <w:szCs w:val="20"/>
          <w:color w:val="auto"/>
        </w:rPr>
      </w:pPr>
    </w:p>
    <w:p>
      <w:pPr>
        <w:ind w:left="1300" w:right="540"/>
        <w:spacing w:after="0" w:line="256" w:lineRule="auto"/>
        <w:rPr>
          <w:sz w:val="20"/>
          <w:szCs w:val="20"/>
          <w:color w:val="auto"/>
        </w:rPr>
      </w:pPr>
      <w:r>
        <w:rPr>
          <w:rFonts w:ascii="Arial" w:cs="Arial" w:eastAsia="Arial" w:hAnsi="Arial"/>
          <w:sz w:val="18"/>
          <w:szCs w:val="18"/>
          <w:color w:val="auto"/>
        </w:rPr>
        <w:t>Data Protection: We are committed to taking appropriate measures to properly secure information, records, systems and property. Employees are trained to take particular precautions to protect the Company, our employees, vendors and customers, and, in many cases, themselves, from the unlawful or inappropriate use or disclosure of that information.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REGULATION</w:t>
      </w:r>
    </w:p>
    <w:p>
      <w:pPr>
        <w:spacing w:after="0" w:line="247"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We are subject to a wide variety of laws and regulations in the countries in which we operate, including those relating to, among others, consumer protection, insurance products and rates, franchising, customer privacy and data protection, securities and public disclosure, competition and antitrust, environmental matters, taxes, automobile-related liability, corruption and anti-bribery, labor and employment matters, health and safety, claims management, automotive retail sales, currency-exchange and other various banking and financial industry regulations, cost and fee recovery, the protection of our trademarks and other intellectual property, and local ownership or investment requirements. Additional information about the regulations that we are subject to can be found in Item 1A - Risk Factors of this Annual Report on Form 10-K.</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COMPANY INFORMATION</w:t>
      </w:r>
    </w:p>
    <w:p>
      <w:pPr>
        <w:spacing w:after="0" w:line="247"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Our principal executive office is located at 6 Sylvan Way, Parsippany, New Jersey 07054 (our telephone number is 973-496-4700). The Company files electronically with the Securities and Exchange Commission (the “SEC”) required reports on Form 8-K, Form 10-Q, Form 10-K and Form 11-K; proxy materials; ownership reports for insiders as required by Section 16 of the Securities Exchange Act of 1934; registration statements and other forms or reports as required. Certain of the Company’s officers and directors also file statements of changes in beneficial ownership on Form 4 with the SEC. The public may read and copy any materials that the Company has filed with the SEC at the SEC’s Public Reference Room located at 100 F Street, NE, Washington, DC 20549. The public may obtain information on the operation of the Public Reference Room by calling the SEC at 800-SEC-0330. Such materials may also be accessed electronically on the SEC’s Internet site (sec.gov). The Company maintains a website (avisbudgetgroup.com) and copies of our annual report on Form 10-K, quarterly reports on Form 10-Q, current reports on Form 8-K, Section 16 reports, proxy materials and any amendments to these reports filed or furnished with the SEC are available free of charge in the Investor Relations section of our website, as soon as reasonably practicable after filing with the SEC. Copies of our board committee charters, Codes of Conduct and Ethics, Corporate Governance Guidelines and other corporate governance information are also available on our website. If the Company should decide to amend any of its board committee charters, Codes of Conduct and Ethics or other corporate governance documents, copies of such amendments will be made available to the public through the Company’s website. The information contained on the Company’s website is not included in, or incorporated by reference into, this Annual Report on Form 10-K.</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40"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245745</wp:posOffset>
            </wp:positionV>
            <wp:extent cx="7254875" cy="1803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4875" cy="180340"/>
                    </a:xfrm>
                    <a:prstGeom prst="rect">
                      <a:avLst/>
                    </a:prstGeom>
                    <a:noFill/>
                  </pic:spPr>
                </pic:pic>
              </a:graphicData>
            </a:graphic>
          </wp:anchor>
        </w:drawing>
      </w:r>
    </w:p>
    <w:p>
      <w:pPr>
        <w:spacing w:after="0" w:line="385"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ITEM 1A. RISK FACTORS</w:t>
      </w:r>
    </w:p>
    <w:p>
      <w:pPr>
        <w:spacing w:after="0" w:line="256"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i w:val="1"/>
          <w:iCs w:val="1"/>
          <w:color w:val="auto"/>
        </w:rPr>
        <w:t>The following is a cautionary discussion of the most significant risks, uncertainties and assumptions that we believe are significant to our business and should be considered carefully in conjunction with all of the other information set forth in this Annual Report on Form 10-K. The risks described below are not an exhaustive list of all of the risks that we face and are not listed by order of priority or materiality. In addition to the factors discussed elsewhere in this report, the factors described in this item could, individually or in the aggregate, cause our actual results to differ materially from those described in any forward-looking statements. Should unknown risks or uncertainties materialize or underlying assumptions prove inaccurate, actual results could materially differ from past results and/or those anticipated, estimated or projected. Achievement of future results is subject to risks, uncertainties and potentially inaccurate assumptions. Past financial performance may not be a reliable indicator of future performance and historical trends should not be used to anticipate results or trends in future periods.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OUR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related to the high level of competition in the vehicle rental industry.</w:t>
      </w:r>
    </w:p>
    <w:p>
      <w:pPr>
        <w:spacing w:after="0" w:line="24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vehicle rental industry is highly competitive, with price being one of the primary competitive factors. To the extent that our competitors reduce their pricing and we do not provide competitive pricing or if price increases we implement make us less competitive, we risk losing rental volume from existing customers, as well as lessening the chances of success for future bids for new accounts. If competitive pressures lead us to lose rental volume or match any downward pricing and we are unable to reduce our operating costs, then our financial condition or results of operations could be materially adversely impacted.</w:t>
      </w:r>
    </w:p>
    <w:p>
      <w:pPr>
        <w:spacing w:after="0" w:line="206"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Additionally, pricing in the industry is impacted by the size of rental fleets and the supply of vehicles available for rent. Any significant fluctuations in the supply of rental vehicles available in the market due to an unexpected decrease in demand, or actions taken by our competitors to increase market share by acquiring more fleet could negatively affect our pricing, operating plans or results of operations if we are unable to adjust the size of our rental fleet in response to fluctuations in demand.</w:t>
      </w:r>
    </w:p>
    <w:p>
      <w:pPr>
        <w:spacing w:after="0" w:line="204"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The risk of competition on the basis of pricing in the truck rental industry can be even more impactful than in the car rental industry because it can be more difficult to reduce the size of our truck rental fleet in response to reduced demand.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related to fleet costs.</w:t>
      </w:r>
    </w:p>
    <w:p>
      <w:pPr>
        <w:spacing w:after="0" w:line="247" w:lineRule="exact"/>
        <w:rPr>
          <w:sz w:val="20"/>
          <w:szCs w:val="20"/>
          <w:color w:val="auto"/>
        </w:rPr>
      </w:pPr>
    </w:p>
    <w:p>
      <w:pPr>
        <w:jc w:val="both"/>
        <w:ind w:right="60"/>
        <w:spacing w:after="0" w:line="256" w:lineRule="auto"/>
        <w:rPr>
          <w:sz w:val="20"/>
          <w:szCs w:val="20"/>
          <w:color w:val="auto"/>
        </w:rPr>
      </w:pPr>
      <w:r>
        <w:rPr>
          <w:rFonts w:ascii="Arial" w:cs="Arial" w:eastAsia="Arial" w:hAnsi="Arial"/>
          <w:sz w:val="18"/>
          <w:szCs w:val="18"/>
          <w:color w:val="auto"/>
        </w:rPr>
        <w:t>Fleet costs typically represent our single largest expense and can vary from year to year based on the prices that we are able to purchase and dispose of our vehicles. We purchase program cars, which are guaranteed a rate of depreciation through agreements with auto manufacturers, and non-program, or “risk” vehicles. In 2017, on average approximately 63% of our rental car fleet was comprised of risk vehicles.</w:t>
      </w:r>
    </w:p>
    <w:p>
      <w:pPr>
        <w:spacing w:after="0" w:line="202"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The costs of our risk vehicles may be adversely impacted by the relative strength of the used car market, particularly the market for one- to two-year old used vehicles. We currently sell risk vehicles through various sales channels in the used vehicle marketplace, including traditional auctions, on-line auctions, direct-to-dealer sales, retail lots and our Ultimate Test Drive consumer car sales program. These channels may not produce stable vehicle prices in the future, as the market for used vehicles is subject to changes in demand for used vehicles, consumer interests, pricing of new car models, fuel costs and general economic conditions. A reduction in residual values for risk vehicles in our rental fleet could cause us to sustain a substantial loss on the ultimate sale of such vehicles or require us to depreciate those vehicles at a more accelerated rate while we own them. Any reduction in the market value of the vehicles in our fleet could effectively increase our fleet costs, adversely impact our profitability and potentially lead to decreased capacity in our asset-backed car rental funding facilities due to the collateral requirements for such facilities that effectively increase as market values for vehicles decrease.</w:t>
      </w:r>
    </w:p>
    <w:p>
      <w:pPr>
        <w:spacing w:after="0" w:line="213"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If the market value of the vehicles in our fleet is reduced or our ability to sell vehicles in the used vehicle marketplace were to become severely limited, we may have difficulty meeting collateral requirements due under our asset-backed financing facilities, which could lead to decreased capacity in such facilities and effectively increase our fleet costs or adversely impact our profitability. In addition, if we are unable to meet our collateral requirements under such facilities, the outstanding principal amount due may be required to be repaid earlier than</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40"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anticipated. If that were to occur, the holders of our asset-backed debt may have the ability to exercise their right to instruct the trustee to direct the return of program cars and/or the sale of risk cars to generate proceeds sufficient to repay such debt.</w:t>
      </w:r>
    </w:p>
    <w:p>
      <w:pPr>
        <w:spacing w:after="0" w:line="196"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Program cars and leased vehicles enable us to determine our depreciation expense in advance of purchase, which is a significant component of our fleet costs. Our program car purchases also generally provide us with flexibility to reduce the size of our fleet rapidly in response to seasonal demand fluctuations, economic constraints or other changes in demand.</w:t>
      </w:r>
    </w:p>
    <w:p>
      <w:pPr>
        <w:spacing w:after="0" w:line="202"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While we source our fleet purchases from a wide range of auto manufacturers, our program car purchases expose us to risk to the extent that any of these auto manufacturers significantly curtail production, increase the cost of purchasing program cars or decline to sell program cars to us on terms or at prices consistent with past agreements. Should any of these risks occur, we may be unable to obtain a sufficient number of vehicles to operate our business without significantly increasing our fleet costs or reducing our volumes.</w:t>
      </w:r>
    </w:p>
    <w:p>
      <w:pPr>
        <w:spacing w:after="0" w:line="20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flexibility to rapidly reduce the size of our fleet may be impeded to the extent that we are forced to reduce the percentage of program cars in our fleet or features of the programs are altered by auto manufacturers, which could have an adverse impact on our fleet costs and results of operations.</w:t>
      </w:r>
    </w:p>
    <w:p>
      <w:pPr>
        <w:spacing w:after="0" w:line="202"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Failure by a manufacturer to fulfill its obligations under any program agreement or incentive payment obligation could leave us with a material expense if we are unable to dispose of program cars at prices estimated at the time of purchase or with a substantial unpaid claim against the manufacturer, particularly with respect to program cars that were either (i) resold for an amount less than the amount guaranteed under the applicable program and therefore subject to a “true-up” payment obligation from the manufacturer; or (ii) returned to the manufacturer but for which we were not yet paid, and therefore we could incur a substantial loss as a result of such failure to perform.</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related to safety recalls affecting our vehicles.</w:t>
      </w:r>
    </w:p>
    <w:p>
      <w:pPr>
        <w:spacing w:after="0" w:line="247"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Our vehicles may be subject to safety recalls by their manufacturers that could have an adverse impact on our business when we remove recalled vehicles from our rentable fleet. We cannot control the number of vehicles that will be subject to manufacturer recalls in the future. Recalls often require us to retrieve vehicles from customers and/or hold vehicles until we can arrange for the repairs described in the recalls to be completed. As such, recalls can result in incremental costs, negatively impact our revenues and/or reduce our fleet utilization. If a large number of vehicles were to be the subject of simultaneous recalls, or if needed replacement parts were not in adequate supply, we may be unable to utilize recalled vehicles for a significant period of time. We could also face liability claims related to vehicles subject to a safety recall. Depending on the nature and severity of the recall, it could create customer service problems, reduce the residual value of the vehicles involved, harm our general reputation and/or have an adverse impact on our financial condition or results of operations.</w:t>
      </w:r>
    </w:p>
    <w:p>
      <w:pPr>
        <w:spacing w:after="0" w:line="184"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b w:val="1"/>
          <w:bCs w:val="1"/>
          <w:i w:val="1"/>
          <w:iCs w:val="1"/>
          <w:color w:val="auto"/>
        </w:rPr>
        <w:t>Weakness in travel demand or general economic conditions in the United States, Europe and other areas in which we operate and/or a significant increase in fuel costs can adversely impact our business.</w:t>
      </w:r>
    </w:p>
    <w:p>
      <w:pPr>
        <w:spacing w:after="0" w:line="175"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Demand for vehicle rentals can be subject to and impacted by international, national and local economic conditions. If travel demand or economic conditions in the United States, Europe and/or worldwide were to weaken, our financial condition or results of operations could be adversely impacted.</w:t>
      </w:r>
    </w:p>
    <w:p>
      <w:pPr>
        <w:spacing w:after="0" w:line="202"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Any significant airline capacity reductions, airfare or related fee increases, reduced flight schedules, or any events that disrupt or reduce business or leisure air travel or weaken travel demand and tourism, such as work stoppages, military conflicts, terrorist incidents, natural disasters, disease epidemics, or the response of governments to any such events, could have an adverse impact on our results of operations. Likewise, any significant increases in fuel prices, a severe protracted disruption in fuel supplies or rationing of fuel could discourage our customers from renting vehicles or reduce or disrupt air travel, which could also adversely impact our results of operations.</w:t>
      </w:r>
    </w:p>
    <w:p>
      <w:pPr>
        <w:spacing w:after="0" w:line="206"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Our truck rental business can be impacted by the housing market. If conditions in the housing market were to weaken, we may see a reduction in truck rental transactions, which could have an adverse impact on our business.</w:t>
      </w:r>
    </w:p>
    <w:p>
      <w:pPr>
        <w:spacing w:after="0" w:line="2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80"/>
          </w:cols>
          <w:pgMar w:left="240" w:top="140" w:right="27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related to our ability to successfully implement our business strategies and to preserve the value of our brands.</w:t>
      </w:r>
    </w:p>
    <w:p>
      <w:pPr>
        <w:spacing w:after="0" w:line="24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Our strategic objectives involve winning and retaining customers through supporting and strengthening our brands, increasing operational efficiency and margins and enhancing our position in the evolving mobility landscape. We see significant potential in the areas of optimizing our pricing, customer mix and sales of ancillary products and services; optimizing our procurement, deployment and disposition of vehicles, including increased use of non-auction channels for selling our cars; and applying connected-car/in-vehicle systems and other emerging technologies in our operations. If we are unsuccessful in implementing our strategic initiatives, our financial condition or results of operations could be adversely impacted.</w:t>
      </w:r>
    </w:p>
    <w:p>
      <w:pPr>
        <w:spacing w:after="0" w:line="209"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The Company continues to take significant actions to further streamline its administrative and shared-services infrastructure through a restructuring program that identifies and replicates best practices, leverages the scale and capabilities of third-party service providers, and is designed to increase the global standardization and consolidation of non-rental-location functions over time. We cannot be certain that such initiatives will continue to be successful. Failure to successfully implement any of these initiatives could have an adverse impact to our financial condition or results of operations.</w:t>
      </w:r>
    </w:p>
    <w:p>
      <w:pPr>
        <w:spacing w:after="0" w:line="206" w:lineRule="exact"/>
        <w:rPr>
          <w:sz w:val="20"/>
          <w:szCs w:val="20"/>
          <w:color w:val="auto"/>
        </w:rPr>
      </w:pPr>
    </w:p>
    <w:p>
      <w:pPr>
        <w:jc w:val="both"/>
        <w:ind w:right="100"/>
        <w:spacing w:after="0" w:line="256" w:lineRule="auto"/>
        <w:rPr>
          <w:sz w:val="20"/>
          <w:szCs w:val="20"/>
          <w:color w:val="auto"/>
        </w:rPr>
      </w:pPr>
      <w:r>
        <w:rPr>
          <w:rFonts w:ascii="Arial" w:cs="Arial" w:eastAsia="Arial" w:hAnsi="Arial"/>
          <w:sz w:val="18"/>
          <w:szCs w:val="18"/>
          <w:color w:val="auto"/>
        </w:rPr>
        <w:t>Any failure to adapt to changes in the mobility landscape, provide a high-quality rental experience for our customers and members, adopt new technologies, capitalize on cost saving initiatives or to meet customer needs could substantially harm our reputation and competitiveness, and could adversely impact our financial condition or results of operations.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related to political, economic and commercial instability or uncertainty in the countries in which we operate.</w:t>
      </w:r>
    </w:p>
    <w:p>
      <w:pPr>
        <w:spacing w:after="0" w:line="24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Our global operations expose us to a number of risks, including exposure to a wide range of international, national and local economic and political conditions and instability. For example, uncertainty related to the proposed withdrawal of the United Kingdom from the European Union could lead to volatility in the global financial markets, adversely affect tax, legal and regulatory regimes, and could impact the economies of the United Kingdom and other countries in which we operate, which could have a material adverse effect on our results in such countries. Operating or expanding our business in a number of different regions and countries exposes us to a number of risks, including:</w:t>
      </w:r>
    </w:p>
    <w:p>
      <w:pPr>
        <w:spacing w:after="0" w:line="206"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multiple and potentially conflicting laws, regulations, trade policies and agreements that are subject to change;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varying tax regimes, including consequences from changes in applicable tax laws;</w:t>
      </w:r>
    </w:p>
    <w:p>
      <w:pPr>
        <w:spacing w:after="0" w:line="225" w:lineRule="exact"/>
        <w:rPr>
          <w:rFonts w:ascii="Arial" w:cs="Arial" w:eastAsia="Arial" w:hAnsi="Arial"/>
          <w:sz w:val="18"/>
          <w:szCs w:val="18"/>
          <w:color w:val="auto"/>
        </w:rPr>
      </w:pPr>
    </w:p>
    <w:p>
      <w:pPr>
        <w:ind w:left="660" w:right="480" w:hanging="328"/>
        <w:spacing w:after="0" w:line="262"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imposition of currency restrictions, restrictions on repatriation of earnings or other restraints, as well as difficulties in obtaining financing in foreign countries for local operations;</w:t>
      </w:r>
    </w:p>
    <w:p>
      <w:pPr>
        <w:spacing w:after="0" w:line="196"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local ownership or investment requirements, or compliance with local laws, regulations or business practices;</w:t>
      </w:r>
    </w:p>
    <w:p>
      <w:pPr>
        <w:spacing w:after="0" w:line="225" w:lineRule="exact"/>
        <w:rPr>
          <w:rFonts w:ascii="Arial" w:cs="Arial" w:eastAsia="Arial" w:hAnsi="Arial"/>
          <w:sz w:val="18"/>
          <w:szCs w:val="18"/>
          <w:color w:val="auto"/>
        </w:rPr>
      </w:pPr>
    </w:p>
    <w:p>
      <w:pPr>
        <w:ind w:left="660" w:right="880" w:hanging="328"/>
        <w:spacing w:after="0" w:line="262"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 xml:space="preserve">uncertainty and changes to </w:t>
      </w:r>
      <w:r>
        <w:rPr>
          <w:rFonts w:ascii="Arial" w:cs="Arial" w:eastAsia="Arial" w:hAnsi="Arial"/>
          <w:sz w:val="18"/>
          <w:szCs w:val="18"/>
          <w:color w:val="333333"/>
        </w:rPr>
        <w:t>political and regulatory regimes as a result of changing social, political, regulatory and economic</w:t>
      </w:r>
      <w:r>
        <w:rPr>
          <w:rFonts w:ascii="Arial" w:cs="Arial" w:eastAsia="Arial" w:hAnsi="Arial"/>
          <w:sz w:val="18"/>
          <w:szCs w:val="18"/>
          <w:color w:val="auto"/>
        </w:rPr>
        <w:t xml:space="preserve"> </w:t>
      </w:r>
      <w:r>
        <w:rPr>
          <w:rFonts w:ascii="Arial" w:cs="Arial" w:eastAsia="Arial" w:hAnsi="Arial"/>
          <w:sz w:val="18"/>
          <w:szCs w:val="18"/>
          <w:color w:val="333333"/>
        </w:rPr>
        <w:t>environments in the United States and internationally;</w:t>
      </w:r>
    </w:p>
    <w:p>
      <w:pPr>
        <w:spacing w:after="0" w:line="196"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national and international conflict, including terrorist acts;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political and economic instability or civil unrest that may severely disrupt economic activity in affected countries.</w:t>
      </w:r>
    </w:p>
    <w:p>
      <w:pPr>
        <w:spacing w:after="0" w:line="225"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Exposure to these risks may adversely impact our financial condition or results of operations. Our licensees’ vehicle rental operations may also be impacted by political, economic and commercial instability, which in turn could impact the amount of royalty payments they make to us.</w:t>
      </w:r>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80"/>
          </w:cols>
          <w:pgMar w:left="240" w:top="140" w:right="27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related to third-party distribution channels that we rely upon.</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We rely upon third-party distribution channels to generate a significant portion of our car rental reservations, including:</w:t>
      </w:r>
    </w:p>
    <w:p>
      <w:pPr>
        <w:spacing w:after="0" w:line="225" w:lineRule="exact"/>
        <w:rPr>
          <w:sz w:val="20"/>
          <w:szCs w:val="20"/>
          <w:color w:val="auto"/>
        </w:rPr>
      </w:pPr>
    </w:p>
    <w:p>
      <w:pPr>
        <w:ind w:left="660" w:right="1000" w:hanging="328"/>
        <w:spacing w:after="0" w:line="262"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traditional and online travel agencies, airlines and hotel companies, marketing partners such as credit card companies and membership organizations and other entities that help us attract customers; and</w:t>
      </w:r>
    </w:p>
    <w:p>
      <w:pPr>
        <w:spacing w:after="0" w:line="196" w:lineRule="exact"/>
        <w:rPr>
          <w:rFonts w:ascii="Arial" w:cs="Arial" w:eastAsia="Arial" w:hAnsi="Arial"/>
          <w:sz w:val="18"/>
          <w:szCs w:val="18"/>
          <w:color w:val="auto"/>
        </w:rPr>
      </w:pPr>
    </w:p>
    <w:p>
      <w:pPr>
        <w:ind w:left="660" w:right="60" w:hanging="328"/>
        <w:spacing w:after="0" w:line="262"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global distribution systems (“GDS”), such as Amadeus, Galileo/Apollo, Sabre and Worldspan, that connect travel agents, travel service providers and corporations to our reservations systems.</w:t>
      </w:r>
    </w:p>
    <w:p>
      <w:pPr>
        <w:spacing w:after="0" w:line="196"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Changes in our pricing agreements, commission schedules or arrangements with third-party distribution channels, the termination of any of our relationships or a reduction in the transaction volume of such channels, or a GDS’s inability to process and communicate reservations to us could have an adverse impact on our financial condition or results of operations, particularly if our customers are unable to access our reservation systems through alternate channels.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related to our property leases and vehicle rental concessions.</w:t>
      </w:r>
    </w:p>
    <w:p>
      <w:pPr>
        <w:spacing w:after="0" w:line="247"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We lease or have vehicle rental concessions at locations throughout the world, including at most airports where we operate both in the United States and internationally and at train stations throughout Europe, where vehicle rental companies are frequently required to bid periodically for space at these locations. If we were to lose a property lease or vehicle rental concession, particularly at an airport or a train station in a major metropolitan area, there can be no assurance that we would be able to find a suitable replacement location on reasonable terms which could adversely impact our business.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related to the seasonality of our business.</w:t>
      </w:r>
    </w:p>
    <w:p>
      <w:pPr>
        <w:spacing w:after="0" w:line="24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In our business, the third quarter of the year has historically been our most profitable quarter as measured by net income and Adjusted EBITDA due to the increased level of summer leisure travel and household moving activity. We vary our fleet size over the course of the year to help manage seasonal variations in demand, as well as localized changes in demand that we may encounter in the various regions in which we operate. Any circumstance or occurrence that disrupts rental activity during the third quarter, especially in North America and Europe, could have a disproportionately adverse impact on our financial condition or results of operations.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dependent on our senior management and other key personnel.</w:t>
      </w:r>
    </w:p>
    <w:p>
      <w:pPr>
        <w:spacing w:after="0" w:line="382"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Our success depends on our senior management team and other key personnel, our ability to effectively recruit and retain high quality employees, and replace those who retire or resign. The loss of services of one or more members of our senior management team could adversely affect our business. Failure to retain and motivate our senior management and to hire, retain and develop other important personnel could impact our management and operations, ability to execute our strategies and adversely affect our business and operating results.</w:t>
      </w:r>
    </w:p>
    <w:p>
      <w:pPr>
        <w:spacing w:after="0" w:line="398" w:lineRule="exact"/>
        <w:rPr>
          <w:sz w:val="20"/>
          <w:szCs w:val="20"/>
          <w:color w:val="auto"/>
        </w:rPr>
      </w:pPr>
    </w:p>
    <w:p>
      <w:pPr>
        <w:ind w:right="440"/>
        <w:spacing w:after="0" w:line="287" w:lineRule="auto"/>
        <w:rPr>
          <w:sz w:val="20"/>
          <w:szCs w:val="20"/>
          <w:color w:val="auto"/>
        </w:rPr>
      </w:pPr>
      <w:r>
        <w:rPr>
          <w:rFonts w:ascii="Arial" w:cs="Arial" w:eastAsia="Arial" w:hAnsi="Arial"/>
          <w:sz w:val="18"/>
          <w:szCs w:val="18"/>
          <w:b w:val="1"/>
          <w:bCs w:val="1"/>
          <w:i w:val="1"/>
          <w:iCs w:val="1"/>
          <w:color w:val="auto"/>
        </w:rPr>
        <w:t>We face risks related to acquisitions, including the acquisition of existing licensees or investments in or partnerships with other related businesses.</w:t>
      </w:r>
    </w:p>
    <w:p>
      <w:pPr>
        <w:spacing w:after="0" w:line="175" w:lineRule="exact"/>
        <w:rPr>
          <w:sz w:val="20"/>
          <w:szCs w:val="20"/>
          <w:color w:val="auto"/>
        </w:rPr>
      </w:pPr>
    </w:p>
    <w:p>
      <w:pPr>
        <w:ind w:right="200"/>
        <w:spacing w:after="0" w:line="252" w:lineRule="auto"/>
        <w:rPr>
          <w:sz w:val="20"/>
          <w:szCs w:val="20"/>
          <w:color w:val="auto"/>
        </w:rPr>
      </w:pPr>
      <w:r>
        <w:rPr>
          <w:rFonts w:ascii="Arial" w:cs="Arial" w:eastAsia="Arial" w:hAnsi="Arial"/>
          <w:sz w:val="18"/>
          <w:szCs w:val="18"/>
          <w:color w:val="auto"/>
        </w:rPr>
        <w:t>We may engage in strategic transactions, including the acquisition of or investment in existing licensees and/or other related businesses, or partnerships or joint ventures with companies in related or cross-function lines of business. The risks involved in engaging in these strategic transactions include the possible failure to successfully integrate the operations of acquired businesses, or to realize the expected benefits of such transactions within the anticipated time frame, or at all, such as cost savings, synergies or sales or growth opportunities. In addition, the integration of an acquired business or oversight of a partnership or joint venture may result in material unanticipated challenges, expenses, liabilities or competitive responses, including:</w:t>
      </w: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140" w:right="25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left="660" w:hanging="328"/>
        <w:spacing w:after="0" w:line="262"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failure to implement our strategy for a particular strategic transaction, including successfully integrating the acquired business into our existing infrastructure, or a failure to realize value from a strategic partnership, joint venture or other investment;</w:t>
      </w:r>
    </w:p>
    <w:p>
      <w:pPr>
        <w:spacing w:after="0" w:line="196" w:lineRule="exact"/>
        <w:rPr>
          <w:rFonts w:ascii="Arial" w:cs="Arial" w:eastAsia="Arial" w:hAnsi="Arial"/>
          <w:sz w:val="18"/>
          <w:szCs w:val="18"/>
          <w:color w:val="auto"/>
        </w:rPr>
      </w:pPr>
    </w:p>
    <w:p>
      <w:pPr>
        <w:ind w:left="660" w:right="180" w:hanging="328"/>
        <w:spacing w:after="0" w:line="262"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inconsistencies between our standards, procedures and policies and those of the acquired business, partnership and/or joint venture, and costs or inefficiencies associated with the integration of our operational and administrative systems;</w:t>
      </w:r>
    </w:p>
    <w:p>
      <w:pPr>
        <w:spacing w:after="0" w:line="196" w:lineRule="exact"/>
        <w:rPr>
          <w:rFonts w:ascii="Arial" w:cs="Arial" w:eastAsia="Arial" w:hAnsi="Arial"/>
          <w:sz w:val="18"/>
          <w:szCs w:val="18"/>
          <w:color w:val="auto"/>
        </w:rPr>
      </w:pPr>
    </w:p>
    <w:p>
      <w:pPr>
        <w:ind w:left="660" w:right="840" w:hanging="328"/>
        <w:spacing w:after="0" w:line="262"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increased scope and complexity of our operations could require significant attention from management and could impose constraints on our operations or other projects;</w:t>
      </w:r>
    </w:p>
    <w:p>
      <w:pPr>
        <w:spacing w:after="0" w:line="196" w:lineRule="exact"/>
        <w:rPr>
          <w:rFonts w:ascii="Arial" w:cs="Arial" w:eastAsia="Arial" w:hAnsi="Arial"/>
          <w:sz w:val="18"/>
          <w:szCs w:val="18"/>
          <w:color w:val="auto"/>
        </w:rPr>
      </w:pPr>
    </w:p>
    <w:p>
      <w:pPr>
        <w:ind w:left="660" w:right="320" w:hanging="328"/>
        <w:spacing w:after="0" w:line="262"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unforeseen expenses, delays or conditions, including required regulatory or other third-party approvals or consents, or provisions in contracts with third parties that could limit our flexibility to take certain actions;</w:t>
      </w:r>
    </w:p>
    <w:p>
      <w:pPr>
        <w:spacing w:after="0" w:line="196" w:lineRule="exact"/>
        <w:rPr>
          <w:rFonts w:ascii="Arial" w:cs="Arial" w:eastAsia="Arial" w:hAnsi="Arial"/>
          <w:sz w:val="18"/>
          <w:szCs w:val="18"/>
          <w:color w:val="auto"/>
        </w:rPr>
      </w:pPr>
    </w:p>
    <w:p>
      <w:pPr>
        <w:ind w:left="660" w:right="540" w:hanging="328"/>
        <w:spacing w:after="0" w:line="262"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 inability to retain the customers, employees, suppliers and/or marketing partners of the acquired business, partnership or joint venture or generate new customers or revenue opportunities through a strategic partnership;</w:t>
      </w:r>
    </w:p>
    <w:p>
      <w:pPr>
        <w:spacing w:after="0" w:line="196" w:lineRule="exact"/>
        <w:rPr>
          <w:rFonts w:ascii="Arial" w:cs="Arial" w:eastAsia="Arial" w:hAnsi="Arial"/>
          <w:sz w:val="18"/>
          <w:szCs w:val="18"/>
          <w:color w:val="auto"/>
        </w:rPr>
      </w:pPr>
    </w:p>
    <w:p>
      <w:pPr>
        <w:ind w:left="660" w:right="80" w:hanging="328"/>
        <w:spacing w:after="0" w:line="262"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costs of compliance with local laws and regulations and the implementation of compliance processes, as well as the assumption of unexpected liabilities, litigation, penalties or other enforcement actions; and</w:t>
      </w:r>
    </w:p>
    <w:p>
      <w:pPr>
        <w:spacing w:after="0" w:line="196"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higher than expected costs arising due to unforeseen changes in tax, trade, environmental, labor, safety, payroll or pension policies.</w:t>
      </w:r>
    </w:p>
    <w:p>
      <w:pPr>
        <w:spacing w:after="0" w:line="225" w:lineRule="exact"/>
        <w:rPr>
          <w:sz w:val="20"/>
          <w:szCs w:val="20"/>
          <w:color w:val="auto"/>
        </w:rPr>
      </w:pPr>
    </w:p>
    <w:p>
      <w:pPr>
        <w:ind w:right="420"/>
        <w:spacing w:after="0" w:line="262" w:lineRule="auto"/>
        <w:rPr>
          <w:sz w:val="20"/>
          <w:szCs w:val="20"/>
          <w:color w:val="auto"/>
        </w:rPr>
      </w:pPr>
      <w:r>
        <w:rPr>
          <w:rFonts w:ascii="Arial" w:cs="Arial" w:eastAsia="Arial" w:hAnsi="Arial"/>
          <w:sz w:val="18"/>
          <w:szCs w:val="18"/>
          <w:color w:val="auto"/>
        </w:rPr>
        <w:t>Any one of these factors could result in delays, increased costs or decreases in the amount of expected revenues related to combining the companies or derived from a strategic transaction and could adversely impact our financial condition or results of operations.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related to our Zipcar operations.</w:t>
      </w:r>
    </w:p>
    <w:p>
      <w:pPr>
        <w:spacing w:after="0" w:line="247" w:lineRule="exact"/>
        <w:rPr>
          <w:sz w:val="20"/>
          <w:szCs w:val="20"/>
          <w:color w:val="auto"/>
        </w:rPr>
      </w:pPr>
    </w:p>
    <w:p>
      <w:pPr>
        <w:ind w:right="280"/>
        <w:spacing w:after="0" w:line="252" w:lineRule="auto"/>
        <w:rPr>
          <w:sz w:val="20"/>
          <w:szCs w:val="20"/>
          <w:color w:val="auto"/>
        </w:rPr>
      </w:pPr>
      <w:r>
        <w:rPr>
          <w:rFonts w:ascii="Arial" w:cs="Arial" w:eastAsia="Arial" w:hAnsi="Arial"/>
          <w:sz w:val="18"/>
          <w:szCs w:val="18"/>
          <w:color w:val="auto"/>
        </w:rPr>
        <w:t>We expect that the competitive environment for our car sharing services will become more intense as additional companies, including automobile manufacturers, ride-hailing and car sharing companies and other technology players in the mobility landscape, enter our existing markets or try to expand their operations. Competitors could introduce new mobility solutions or technologies that change the car sharing industry or consumer attitudes toward car sharing, offer more competitive price and convenience characteristics, or could undertake more aggressive marketing campaigns or price their products below cost. Such developments could adversely impact our business and results of operations should we be unable to compete with such efforts.</w:t>
      </w:r>
    </w:p>
    <w:p>
      <w:pPr>
        <w:spacing w:after="0" w:line="209" w:lineRule="exact"/>
        <w:rPr>
          <w:sz w:val="20"/>
          <w:szCs w:val="20"/>
          <w:color w:val="auto"/>
        </w:rPr>
      </w:pPr>
    </w:p>
    <w:p>
      <w:pPr>
        <w:ind w:right="320"/>
        <w:spacing w:after="0" w:line="254" w:lineRule="auto"/>
        <w:rPr>
          <w:sz w:val="20"/>
          <w:szCs w:val="20"/>
          <w:color w:val="auto"/>
        </w:rPr>
      </w:pPr>
      <w:r>
        <w:rPr>
          <w:rFonts w:ascii="Arial" w:cs="Arial" w:eastAsia="Arial" w:hAnsi="Arial"/>
          <w:sz w:val="18"/>
          <w:szCs w:val="18"/>
          <w:color w:val="auto"/>
        </w:rPr>
        <w:t>Because Zipcar members are located primarily in cities, we compete for limited parking locations that are convenient to our members or are available on terms that are commercially reasonable to our business. If we are unable to obtain and maintain a sufficient number of parking locations that are convenient to our members, then our ability to attract and retain members could suffer and our business and results of operations could be materially impacted.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related to fluctuations in currency exchange rates.</w:t>
      </w:r>
    </w:p>
    <w:p>
      <w:pPr>
        <w:spacing w:after="0" w:line="247" w:lineRule="exact"/>
        <w:rPr>
          <w:sz w:val="20"/>
          <w:szCs w:val="20"/>
          <w:color w:val="auto"/>
        </w:rPr>
      </w:pPr>
    </w:p>
    <w:p>
      <w:pPr>
        <w:ind w:right="240"/>
        <w:spacing w:after="0" w:line="252" w:lineRule="auto"/>
        <w:rPr>
          <w:sz w:val="20"/>
          <w:szCs w:val="20"/>
          <w:color w:val="auto"/>
        </w:rPr>
      </w:pPr>
      <w:r>
        <w:rPr>
          <w:rFonts w:ascii="Arial" w:cs="Arial" w:eastAsia="Arial" w:hAnsi="Arial"/>
          <w:sz w:val="18"/>
          <w:szCs w:val="18"/>
          <w:color w:val="auto"/>
        </w:rPr>
        <w:t>Our international operations generate revenue and incur operating costs in a variety of currencies. The financial position and results of operations of many of our foreign subsidiaries are reported in the relevant local currency and then translated to U.S. dollars at the applicable currency exchange rate for inclusion in our Consolidated Financial Statements. Changes in exchange rates among these currencies and the U.S. dollar will affect the recorded levels of our assets and liabilities in our consolidated financial statements. While we take steps to manage our currency exposure, such as currency hedging, we may not be able to effectively limit our exposure to intermediate- or long-term movements in currency exchange rates, which could adversely impact our financial condition or results of operations.</w:t>
      </w: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40"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related to our derivative instruments.</w:t>
      </w:r>
    </w:p>
    <w:p>
      <w:pPr>
        <w:spacing w:after="0" w:line="247"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We typically utilize derivative instruments to manage fluctuations in foreign exchange rates, interest rates and gasoline prices. The derivative instruments we use to manage our risk are usually in the form of interest rate swaps and caps and foreign exchange and commodity contracts. Periodically, we are required to determine the change in fair value, called the “mark to market,” of some of these derivative instruments, which could expose us to substantial mark-to-market losses or gains if such rates or prices fluctuate materially from the time the derivatives were entered into. Accordingly, volatility in rates or prices may adversely impact our financial position or results of operations and could impact the cost and effectiveness of our derivative instruments in managing our risks.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related to liability and insurance.</w:t>
      </w:r>
    </w:p>
    <w:p>
      <w:pPr>
        <w:spacing w:after="0" w:line="247"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Our global operations expose us to several forms of liability, including claims for bodily injury, death and property damage related to the use of our vehicles, or for having our customers on our premises, as well as workers’ compensation and other employment-related claims by our employees. We may become exposed to uninsured liability at levels in excess of our historical levels resulting from unusually high losses or otherwise. In addition, liabilities in respect of existing or future claims may exceed the level of our reserves and/or our insurance, which could adversely impact our financial condition and results of operations. Furthermore, insurance with unaffiliated insurers may not continue to be available to us on economically reasonable terms or at all. Should we be subject to an adverse ruling, or experience other significant liability for which we did not plan and are unable to adequately insure against such liability, our results of operations, financial position or cash flows could be negatively impacted.</w:t>
      </w:r>
    </w:p>
    <w:p>
      <w:pPr>
        <w:spacing w:after="0" w:line="206"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We reinsure certain insurance exposures as well as offer optional insurance coverages through unaffiliated third-party insurers, which then reinsure all or a portion of their risks through our insurance company subsidiaries, which subjects us to regulation under various insurance laws and statutes in the jurisdictions in which our insurance company subsidiaries are domiciled. Any changes in regulations that alter or impede our reinsurance obligations or insurance subsidiary operations could adversely impact the economic benefits that we rely upon to support our reinsurance efforts, which in turn would adversely impact our financial condition or results of operations.</w:t>
      </w:r>
    </w:p>
    <w:p>
      <w:pPr>
        <w:spacing w:after="0" w:line="206"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Optional insurance products that we offer to renters in the United States, including, but not limited to, supplemental liability insurance, personal accident insurance and personal effects protection, are regulated under state laws governing such products. Our car rental operations outside the United States must also comply with certain local laws and regulations regarding the sale of supplemental liability and personal accident and effects insurance by intermediaries. Any changes in U.S. or international laws that change our operating requirements with respect to our sale of optional insurance products could increase our costs of compliance or make it uneconomical to offer such products, which would lead to a reduction in revenue and profitability. Should more of our customers decline purchasing optional liability insurance products as a result of any changes in these laws or otherwise, our financial condition or results of operations could be adversely impacted.</w:t>
      </w:r>
    </w:p>
    <w:p>
      <w:pPr>
        <w:spacing w:after="0" w:line="207"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We offer loss damage waivers to our customers as an option for them to reduce their financial responsibility that may be incurred as a result of loss or damage to the rental vehicle. Certain states in the United States have enacted legislation that mandates disclosure to each customer at the time of rental that damage to the rented vehicle may be covered to some extent by the customer’s personal automobile insurance and that loss damage waivers may not be necessary. In addition, some states have statutes that establish or cap the daily rate that can be charged for loss damage waivers. Should new laws or regulations arise that place new limits on our ability to offer loss damage waivers to our customers, our financial condition or results of operations could be adversely impacted.</w:t>
      </w:r>
    </w:p>
    <w:p>
      <w:pPr>
        <w:spacing w:after="0" w:line="209" w:lineRule="exact"/>
        <w:rPr>
          <w:sz w:val="20"/>
          <w:szCs w:val="20"/>
          <w:color w:val="auto"/>
        </w:rPr>
      </w:pPr>
    </w:p>
    <w:p>
      <w:pPr>
        <w:ind w:right="360"/>
        <w:spacing w:after="0" w:line="262" w:lineRule="auto"/>
        <w:rPr>
          <w:sz w:val="20"/>
          <w:szCs w:val="20"/>
          <w:color w:val="auto"/>
        </w:rPr>
      </w:pPr>
      <w:r>
        <w:rPr>
          <w:rFonts w:ascii="Arial" w:cs="Arial" w:eastAsia="Arial" w:hAnsi="Arial"/>
          <w:sz w:val="18"/>
          <w:szCs w:val="18"/>
          <w:color w:val="auto"/>
        </w:rPr>
        <w:t>Additionally, the current U.S. federal law pre-empts state laws that impute tort liability based solely on ownership of a vehicle involved in an accident. If such federal law were to change, our insurance liability exposure could materially increase.</w:t>
      </w:r>
    </w:p>
    <w:p>
      <w:pPr>
        <w:spacing w:after="0" w:line="196" w:lineRule="exact"/>
        <w:rPr>
          <w:sz w:val="20"/>
          <w:szCs w:val="20"/>
          <w:color w:val="auto"/>
        </w:rPr>
      </w:pPr>
    </w:p>
    <w:p>
      <w:pPr>
        <w:jc w:val="both"/>
        <w:ind w:right="60"/>
        <w:spacing w:after="0" w:line="256" w:lineRule="auto"/>
        <w:rPr>
          <w:sz w:val="20"/>
          <w:szCs w:val="20"/>
          <w:color w:val="auto"/>
        </w:rPr>
      </w:pPr>
      <w:r>
        <w:rPr>
          <w:rFonts w:ascii="Arial" w:cs="Arial" w:eastAsia="Arial" w:hAnsi="Arial"/>
          <w:sz w:val="18"/>
          <w:szCs w:val="18"/>
          <w:color w:val="auto"/>
        </w:rPr>
        <w:t>We may be unable to collect amounts that we believe are owed to us by customers, insurers and other third parties related to vehicle damage claims or liabilities. The inability to collect such amounts in a timely manner or to the extent that we expect could adversely impact our financial condition or results of operations.</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140" w:right="25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ind w:right="380"/>
        <w:spacing w:after="0" w:line="287" w:lineRule="auto"/>
        <w:rPr>
          <w:sz w:val="20"/>
          <w:szCs w:val="20"/>
          <w:color w:val="auto"/>
        </w:rPr>
      </w:pPr>
      <w:r>
        <w:rPr>
          <w:rFonts w:ascii="Arial" w:cs="Arial" w:eastAsia="Arial" w:hAnsi="Arial"/>
          <w:sz w:val="18"/>
          <w:szCs w:val="18"/>
          <w:b w:val="1"/>
          <w:bCs w:val="1"/>
          <w:i w:val="1"/>
          <w:iCs w:val="1"/>
          <w:color w:val="auto"/>
        </w:rPr>
        <w:t>Costs associated with lawsuits or investigations or increases in the legal reserves that we establish based on our assessment of contingent liabilities may have an adverse effect on our results of operations.</w:t>
      </w:r>
    </w:p>
    <w:p>
      <w:pPr>
        <w:spacing w:after="0" w:line="175"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Our global operations expose us to various claims, lawsuits and other legal proceedings that arise in and outside of the ordinary course of our business in the countries in which we operate. We may be subject to complaints and/or litigation involving our customers, licensees, employees, independent operators and others with whom we conduct business, including claims for bodily injury, death and property damage related to use of our vehicles or our locations by customers, or claims based on allegations of discrimination, misclassification as exempt employees under the Fair Labor Standards Act, wage and hourly pay disputes, and various other claims. We could be subject to substantial costs and/or adverse outcomes from such complaints or litigation, which could have a material adverse effect on our financial condition, cash flows or results of operations.</w:t>
      </w:r>
    </w:p>
    <w:p>
      <w:pPr>
        <w:spacing w:after="0" w:line="207"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From time to time, our Company and/or other companies in the vehicle rental industry may be reviewed or investigated by state or federal regulators, which could lead to tax assessments, enforcement actions, fines and penalties or the assertion of private litigation claims. It is not possible to predict with certainty the outcome of claims, investigations and lawsuits, and we could in the future incur judgments, taxes, fines or penalties or enter into settlements of lawsuits or claims that could have an adverse impact on our financial condition or results of operations. In addition, while we maintain insurance coverage with respect to exposure for certain types of legal claims, we may not be able to obtain such insurance on acceptable terms in the future, if at all, and any such insurance may not provide adequate coverage against any such claims.</w:t>
      </w:r>
    </w:p>
    <w:p>
      <w:pPr>
        <w:spacing w:after="0" w:line="209" w:lineRule="exact"/>
        <w:rPr>
          <w:sz w:val="20"/>
          <w:szCs w:val="20"/>
          <w:color w:val="auto"/>
        </w:rPr>
      </w:pPr>
    </w:p>
    <w:p>
      <w:pPr>
        <w:jc w:val="both"/>
        <w:ind w:right="120"/>
        <w:spacing w:after="0" w:line="254" w:lineRule="auto"/>
        <w:rPr>
          <w:sz w:val="20"/>
          <w:szCs w:val="20"/>
          <w:color w:val="auto"/>
        </w:rPr>
      </w:pPr>
      <w:r>
        <w:rPr>
          <w:rFonts w:ascii="Arial" w:cs="Arial" w:eastAsia="Arial" w:hAnsi="Arial"/>
          <w:sz w:val="18"/>
          <w:szCs w:val="18"/>
          <w:color w:val="auto"/>
        </w:rPr>
        <w:t>As required by U.S. generally accepted accounting principles (“GAAP”), we establish reserves based on our assessment of actual or potential loss contingencies, including contingencies related to legal claims asserted against us. Subsequent developments may affect our assessment and estimates of such loss contingencies and require us to make payments in excess of our reserves, which could have an adverse effect on our financial condition or results of operations.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related to laws and regulations that could impact our global operations.</w:t>
      </w:r>
    </w:p>
    <w:p>
      <w:pPr>
        <w:spacing w:after="0" w:line="247"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We are subject to multiple, and sometimes conflicting, laws and regulations in the countries in which we operate that relate to, among others, consumer protection, competition and antitrust, customer privacy and data protection, securities and public disclosure, automotive retail sales, franchising, corruption and anti-bribery, environmental matters, taxes, automobile-related liability, labor and employment matters, cost and fee recovery, currency-exchange and other various banking and financial industry regulations, health and safety, insurance rates and products, claims management, protection of our trademarks and other intellectual property and other trade-related laws and regulations. Recent years have seen a substantial increase in the global enforcement of certain of these laws such as the U.S. Foreign Corrupt Practices Act, the UK Bribery Act and similar foreign laws and regulations. Our continued global operations and expansion could increase the risk of governmental investigations and violations of such laws. We cannot predict the nature, scope or effect of future regulatory requirements to which our global operations may be subject or the manner in which existing or future laws may be administered or interpreted. Any alleged or actual violations of any law or regulation, change in law or regulation or changes in the interpretation of existing laws or regulations may subject us to government scrutiny, investigation and civil and criminal penalties, limit our ability to provide services in any of the countries in which we operate and could result in a material adverse impact on our reputation, business, financial position or results of operations.</w:t>
      </w:r>
    </w:p>
    <w:p>
      <w:pPr>
        <w:spacing w:after="0" w:line="211"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In certain countries in which we have Company-operated locations, we may recover certain costs from consumers, including costs associated with the title and registration of our vehicles, or concession costs imposed by an airport authority or the owner and/or operator of the premises from which our vehicles are rented. We may in the future be subject to potential laws or regulations that could negatively impact our ability to separately state, charge and recover such costs, which could adversely impact our financial condition or results of operations.</w:t>
      </w:r>
    </w:p>
    <w:p>
      <w:pPr>
        <w:spacing w:after="0" w:line="20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Current consumer privacy and data protection laws and regulations in the jurisdictions in which we operate limit the types of information that we may collect about our customers and other individuals with whom we deal or propose to deal, as well as how we collect, process and retain the information that we are permitted to collect, some of which may be non-public personally identifiable information. The centralized nature of our information systems requires the routine flow of information about customers and potential customers across national</w:t>
      </w: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140" w:right="25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borders, particularly in the United States and Europe. Should this flow of information become illegal or subject to onerous restrictions, our ability to serve our customers could be negatively impacted for an extended period of time. In addition, our failure to maintain the security of the data we hold, whether as a result of our own error or the actions of others, could harm our reputation or give rise to legal liabilities that adversely impact our financial condition or results of operations. Privacy and data protection laws and regulations restrict the ways that we process our transaction information and the Payment Card Industry imposes strict customer credit card data security standards to ensure that our customers’ credit card information is protected. Failure to meet these data security standards could result in substantial increased fees to credit card companies, other liabilities and/or loss of the right to collect credit card payments, which could adversely impact our financial condition or results of operations.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related to environmental laws and regulations.</w:t>
      </w:r>
    </w:p>
    <w:p>
      <w:pPr>
        <w:spacing w:after="0" w:line="247" w:lineRule="exact"/>
        <w:rPr>
          <w:sz w:val="20"/>
          <w:szCs w:val="20"/>
          <w:color w:val="auto"/>
        </w:rPr>
      </w:pPr>
    </w:p>
    <w:p>
      <w:pPr>
        <w:ind w:right="180"/>
        <w:spacing w:after="0" w:line="252" w:lineRule="auto"/>
        <w:rPr>
          <w:sz w:val="20"/>
          <w:szCs w:val="20"/>
          <w:color w:val="auto"/>
        </w:rPr>
      </w:pPr>
      <w:r>
        <w:rPr>
          <w:rFonts w:ascii="Arial" w:cs="Arial" w:eastAsia="Arial" w:hAnsi="Arial"/>
          <w:sz w:val="18"/>
          <w:szCs w:val="18"/>
          <w:color w:val="auto"/>
        </w:rPr>
        <w:t>We are subject to a wide variety of environmental laws and regulations in connection with our operations, including, among other things, with respect to the ownership or use of tanks for the storage of petroleum products such as gasoline, diesel fuel and motor and waste oils; the treatment or discharge of waste waters; and the generation, storage, transportation and off-site treatment or disposal of solid or liquid wastes. We maintain liability insurance covering storage tanks at our locations. In the United States, we administer an environmental compliance program designed to ensure that these tanks are properly registered in the jurisdiction in which they are located and are in compliance with applicable technical and operational requirements. The tank systems located at each of our locations may not at all times remain free from undetected leaks, and the use of these tanks may result in significant spills, which may require remediation and expose us to material uninsured liability or liabilities in excess of insurance.</w:t>
      </w:r>
    </w:p>
    <w:p>
      <w:pPr>
        <w:spacing w:after="0" w:line="206"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We may also be subject to requirements related to the remediation of substances that have been released into the environment at properties owned or operated by us or at properties to which we send substances for treatment or disposal. Such remediation requirements may be imposed without regard to fault and liability for environmental remediation can be substantial. These remediation requirements and other environmental regulations differ depending on the country where the property is located. We have made, and will continue to make, expenditures to comply with environmental laws and regulations, including, among others, expenditures for the remediation of contamination at our owned and leased properties, as well as contamination at other locations at which our wastes have reportedly been identified. Our compliance with existing or future environmental laws and regulations may, however, require material expenditures by us or otherwise have an adverse impact on our financial condition or results of operations.</w:t>
      </w:r>
    </w:p>
    <w:p>
      <w:pPr>
        <w:spacing w:after="0" w:line="206"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Environmental regulatory authorities are likely to continue to pursue measures related to climate change and greenhouse gas emissions. Should rules establishing limitations on greenhouse gas emissions or rules imposing fees on entities deemed to be responsible for greenhouse gas emission become effective in the countries in which we operate, demand for our services could be affected, our fleet and/or other costs could increase, and our business could be adversely impacted.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related to franchising or licensing laws and regulations.</w:t>
      </w:r>
    </w:p>
    <w:p>
      <w:pPr>
        <w:spacing w:after="0" w:line="247" w:lineRule="exact"/>
        <w:rPr>
          <w:sz w:val="20"/>
          <w:szCs w:val="20"/>
          <w:color w:val="auto"/>
        </w:rPr>
      </w:pPr>
    </w:p>
    <w:p>
      <w:pPr>
        <w:ind w:right="120"/>
        <w:spacing w:after="0" w:line="251" w:lineRule="auto"/>
        <w:rPr>
          <w:sz w:val="20"/>
          <w:szCs w:val="20"/>
          <w:color w:val="auto"/>
        </w:rPr>
      </w:pPr>
      <w:r>
        <w:rPr>
          <w:rFonts w:ascii="Arial" w:cs="Arial" w:eastAsia="Arial" w:hAnsi="Arial"/>
          <w:sz w:val="18"/>
          <w:szCs w:val="18"/>
          <w:color w:val="auto"/>
        </w:rPr>
        <w:t>We license to third parties the right to operate locations using our brands in exchange for royalty payments. Our licensing activities are subject to various laws and regulations in the countries in which we operate. In particular, laws in the United States require that we provide extensive disclosure to prospective licensees in connection with licensing offers and sales, as well as comply with franchise relationship laws that could limit our ability to, among other things, terminate license agreements or withhold consent to the renewal or transfer of these agreements. We are also subject to certain regulations affecting our license arrangements in Europe and other international locations. Although our licensing operations have not been materially adversely affected by such existing regulations, such regulations could have a greater impact on us if we were to become more active in granting or selling new licenses to third parties. Should our operations become subject to new laws or regulations that negatively impact our ability to engage in licensing activities, our financial condition or results of operations could be adversely impacted.</w:t>
      </w: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40"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related to the actions of, or failures to act by, our licensees, dealers, independent operators or third-party vendors.</w:t>
      </w:r>
    </w:p>
    <w:p>
      <w:pPr>
        <w:spacing w:after="0" w:line="247"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Our vehicle rental licensee and dealer locations are independently owned and operated. We also operate many of our Company-owned locations through agreements with “independent operators,” which are third-party independent contractors who receive commissions to operate such locations. We also enter into service contracts with various third-party vendors that provide services for us or in support of our business. Under our agreements with our licensees, dealers, independent operators and third-party vendors (collectively referred to as “third-party operators”), the third-party operators retain control over the employment and management of all personnel at their locations or in support of the services that they provide our Company. These agreements also generally require that third-party operators comply with all laws and regulations applicable to their businesses, including relevant internal policies and standards. Regulators, courts or others may seek to hold us responsible for the actions of, or failures to act by, third-party operators or their employees based on theories of vicarious liability, negligence, joint operations or joint employer liability. Although we actively monitor the operations of these third-party operators, and under certain circumstances have the ability to terminate their agreements for failure to adhere to contracted operational standards, we are unlikely to detect all misconduct or noncompliance by the third-party operator or its employees. Moreover, there are occasions when the actions of third-party operators may not be clearly distinguishable from our own. It is our policy to vigorously seek to be dismissed from any claims involving third-party operators and to pursue indemnity for any adverse outcomes that affect the Company. Failure of third-party operators to comply with laws and regulations or our operational standards, or our inability to be dismissed from claims against our third-party operators, may expose us to liability, damages and negative publicity that may damage our brand and reputation and adversely affect our financial condition or results of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related to our reliance on communications networks and centralized information systems.</w:t>
      </w:r>
    </w:p>
    <w:p>
      <w:pPr>
        <w:spacing w:after="0" w:line="247"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We rely heavily on the satisfactory performance and availability of our information systems, including our reservation systems, websites and network infrastructure to attract and retain customers, accept reservations, process rental and sales transactions, manage our fleet of vehicles, account for our activities and otherwise conduct our business. We have centralized our information systems and we rely on third-party communications service and system providers to provide technology services and link our systems with the business locations these systems were designed to serve. A failure or interruption that results in the unavailability of any of our information systems, or a major disruption of communications between a system and the locations it serves, could cause a loss of reservations, interfere with our fleet management, slow rental and sales processes, create negative publicity that damages our reputation or otherwise adversely impacts our ability to manage our business effectively. We may experience system interruptions or disruptions for a variety of reasons, including as the result of network failures, power outages, cyber-attacks, employee errors, software errors, an unusually high volume of visitors attempting to access our systems, or localized conditions such as fire, explosions or power outages or broader geographic events such as earthquakes, storms, floods, epidemics, strikes, acts of war, civil unrest or terrorist acts. Because we are dependent in part on independent third parties for the implementation and maintenance of certain aspects of our systems and because some of the causes of system interruptions may be outside of our control, we may not be able to remedy such interruptions in a timely manner, or at all. Our systems’ business continuity plans and insurance programs seek to mitigate such risks but they cannot fully eliminate the risks as a disruption could be experienced in any of our information systems.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related to cyber-security breaches of our systems and information technology.</w:t>
      </w:r>
    </w:p>
    <w:p>
      <w:pPr>
        <w:spacing w:after="0" w:line="247"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Threats to network and data security are becoming increasingly diverse and sophisticated. Third parties may have the technology or expertise to breach the security of our customer transaction data and our security measures may not prevent physical security or cyber-security breaches, which could result in substantial harm to our business, our reputation or our results of operations. We rely on encryption and/or authentication technology licensed from and, at times, administered by independent third parties to secure transmission of confidential information, including credit card numbers and other customer personal information. Our outsourcing agreements with these third-party service providers generally require that they have adequate security systems in place to protect our customer transaction data. However, advances in computer capabilities, new discoveries in the field of cryptography or other cyber-security developments could render our security systems and information technology, or those used by our third-party service providers, vulnerable to a breach. In addition, anyone who is able to circumvent our security measures could misappropriate proprietary information or cause interruptions in our operations. Cyber-security risks such as hacking, viruses, malicious software, ransomware, phishing attacks,</w:t>
      </w:r>
    </w:p>
    <w:p>
      <w:pPr>
        <w:spacing w:after="0" w:line="2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140" w:right="25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denial of service attacks and other attempts to capture, disrupt or gain unauthorized access to data are rapidly evolving and could lead to disruptions in our reservation system or other data systems, unauthorized release of confidential or otherwise protected information or corruption of data. Any successful efforts by individuals to infiltrate, break into, disrupt, damage or otherwise steal from the Company’s, its licensees’ or its third-party service providers’ security or information systems could damage our reputation and expose us to increased costs, litigation or other liability that could adversely impact our financial condition or results of operations.</w:t>
      </w:r>
    </w:p>
    <w:p>
      <w:pPr>
        <w:spacing w:after="0" w:line="184"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b w:val="1"/>
          <w:bCs w:val="1"/>
          <w:i w:val="1"/>
          <w:iCs w:val="1"/>
          <w:color w:val="auto"/>
        </w:rPr>
        <w:t>We face risks associated with the recently enacted Public Law 115-97, commonly referred to as the U.S. Tax Reform Act (the “Tax Act”).</w:t>
      </w:r>
    </w:p>
    <w:p>
      <w:pPr>
        <w:spacing w:after="0" w:line="175"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On December 22, 2017, the Tax Act was signed into law, which broadly reforms the U.S. corporate income tax system. Several provisions of the Tax Act affect the Company, specifically the provision eliminating the use of like-kind exchange for personal property and the provision allowing for full expensing of qualified property purchases through the year 2022. Since 2004, we have utilized a like-kind exchange program whereby we replace vehicles in a manner that allows tax gains on vehicles sold in the U.S. to be deferred, resulting in a material deferral of U.S. federal and state income taxes. The Tax Act repeals like-kind exchange treatment for vehicle sales as of January 1, 2018. The effect of the elimination of our like-kind exchange will be largely offset through 2022 by the full expensing provision of certain business assets in the year placed in service, which we believe includes our vehicles. However, an extended downsizing of our fleet would significantly decrease the amount of tax deductions available under the full expensing provision. This would result in the utilization of tax attributes and increased federal and state income tax liabilities that could require us to make material cash payments. Such a downsizing or reduction in purchases would likely occur if, and to the extent, we are unable to obtain financing when our asset-backed rental car financings mature, or in connection with a significant decrease in demand for vehicle rentals. In addition, the full expensing provision phases out at the end of year 2022 and we are not certain if this provision will be extended. Therefore, we cannot offer assurance that the benefits from the expected tax deductions will continue.</w:t>
      </w:r>
    </w:p>
    <w:p>
      <w:pPr>
        <w:spacing w:after="0" w:line="211"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The Tax Act also makes significant changes to the U.S. Internal Revenue Code applicable to corporations. Such changes include reducing the corporate income tax rate, imposing a mandatory repatriation tax on undistributed historic earnings of foreign subsidiaries, eliminating or limiting the deductibility of certain business expenses, and requiring the inclusion in the U.S. tax base certain earnings generated by foreign subsidiaries, among other changes. While the Company is still evaluating the impact of these changes, certain of these changes could adversely impact our financial condition or results of operations.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related to our protection of our intellectual property.</w:t>
      </w:r>
    </w:p>
    <w:p>
      <w:pPr>
        <w:spacing w:after="0" w:line="247"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We have registered certain marks and designs as trademarks in the United States and in certain other countries. At times, competitors may adopt service names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trademarks. From time to time, we have acquired or attempted to acquire Internet domain names held by others when such names have caused consumer confusion or had the potential to cause consumer confusion.</w:t>
      </w:r>
    </w:p>
    <w:p>
      <w:pPr>
        <w:spacing w:after="0" w:line="206"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Our efforts to enforce or protect our proprietary rights related to trademarks, trade secrets, domain names, copyrights or other intellectual property may be ineffective and could result in substantial costs and diversion of resources and could adversely impact our financial condition or results of operations.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OUR INDEBTEDNESS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related to our current and future debt obligations.</w:t>
      </w:r>
    </w:p>
    <w:p>
      <w:pPr>
        <w:spacing w:after="0" w:line="247"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Our ability to satisfy and manage our debt obligations depends on our ability to generate cash flow and on overall financial market conditions. To some extent, this is subject to prevailing economic and competitive conditions and to certain financial, business and other factors, many of which are beyond our control. Our outstanding debt obligations require us to dedicate a significant portion of our cash flows to pay interest and principal on our debt, which reduces the funds available to us for other purposes. Our business may not generate sufficient cash flow from operations to permit us to service our debt obligations and meet our other cash needs, which may force us to</w:t>
      </w:r>
    </w:p>
    <w:p>
      <w:pPr>
        <w:spacing w:after="0" w:line="23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60"/>
          </w:cols>
          <w:pgMar w:left="240" w:top="140" w:right="29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right="360"/>
        <w:spacing w:after="0" w:line="256" w:lineRule="auto"/>
        <w:rPr>
          <w:sz w:val="20"/>
          <w:szCs w:val="20"/>
          <w:color w:val="auto"/>
        </w:rPr>
      </w:pPr>
      <w:r>
        <w:rPr>
          <w:rFonts w:ascii="Arial" w:cs="Arial" w:eastAsia="Arial" w:hAnsi="Arial"/>
          <w:sz w:val="18"/>
          <w:szCs w:val="18"/>
          <w:color w:val="auto"/>
        </w:rPr>
        <w:t>reduce or delay capital expenditures, sell or curtail assets or operations, seek additional capital or seek to restructure or refinance our indebtedness. If we must sell or curtail our assets or operations, it may negatively affect our ability to generate revenue. Certain of our debt obligations contain restrictive covenants and provisions applicable to us and our subsidiaries that limit our ability to, among other things:</w:t>
      </w:r>
    </w:p>
    <w:p>
      <w:pPr>
        <w:spacing w:after="0" w:line="202" w:lineRule="exact"/>
        <w:rPr>
          <w:sz w:val="20"/>
          <w:szCs w:val="20"/>
          <w:color w:val="auto"/>
        </w:rPr>
      </w:pPr>
    </w:p>
    <w:p>
      <w:pPr>
        <w:ind w:left="660" w:right="380" w:hanging="328"/>
        <w:spacing w:after="0" w:line="262"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incur additional debt to fund working capital, capital expenditures, debt service requirements, execution of our business strategy or acquisitions and other purposes;</w:t>
      </w:r>
    </w:p>
    <w:p>
      <w:pPr>
        <w:spacing w:after="0" w:line="196"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provide guarantees in respect of obligations of other persons;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pay dividends or distributions, redeem or repurchase capital stock;</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prepay, redeem or repurchase debt;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create or incur liens;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make distributions from our subsidiaries;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sell assets and capital stock of our subsidiaries;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consolidate or merge with or into, or sell substantially all of our assets to, another person; and</w:t>
      </w:r>
    </w:p>
    <w:p>
      <w:pPr>
        <w:spacing w:after="0" w:line="225" w:lineRule="exact"/>
        <w:rPr>
          <w:rFonts w:ascii="Arial" w:cs="Arial" w:eastAsia="Arial" w:hAnsi="Arial"/>
          <w:sz w:val="18"/>
          <w:szCs w:val="18"/>
          <w:color w:val="auto"/>
        </w:rPr>
      </w:pPr>
    </w:p>
    <w:p>
      <w:pPr>
        <w:ind w:left="660" w:right="260" w:hanging="328"/>
        <w:spacing w:after="0" w:line="262"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respond to adverse changes in general economic, industry and competitive conditions, as well as changes in government regulation and changes to our business.</w:t>
      </w:r>
    </w:p>
    <w:p>
      <w:pPr>
        <w:spacing w:after="0" w:line="196"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Our failure to comply with the restrictive covenants contained in the agreements or instruments that govern our debt obligations, if not waived, would cause a default under our senior credit facility and could result in a cross-default under several of our other debt obligations, including our U.S. and European asset-backed debt facilities. If such a default were to occur, certain provisions in our various debt agreements could require that we repay or accelerate debt payments to the lenders or holders of our debt, and there can be no assurance that we would be able to refinance or obtain a replacement for such financing programs.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related to movements or disruptions in the credit and asset-backed securities markets.</w:t>
      </w:r>
    </w:p>
    <w:p>
      <w:pPr>
        <w:spacing w:after="0" w:line="247"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We finance our vehicle fleet purchases and operations through the use of asset-backed securities in the United States, Canada, Australia and Europe and other debt financing structures available through the credit markets. If the asset-backed financing and/or credit markets were to be disrupted for any reason, we may be unable to obtain refinancing for our operations or vehicle fleet purchases at current levels, or at all, when our respective asset-backed financings or debt financings mature. Likewise, any disruption of the asset-backed financing or credit markets could also increase our borrowing costs, as we seek to engage in new financings or refinance our existing financings. In addition, we could be subject to increased collateral requirements to the extent that we request any amendment or renewal of any of our existing asset-backed or debt financings.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related to potential increases in interest rates.</w:t>
      </w:r>
    </w:p>
    <w:p>
      <w:pPr>
        <w:spacing w:after="0" w:line="24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A portion of our borrowings, primarily our vehicle-backed borrowings, bears interest at variable rates that expose us to interest rate risk. If interest rates were to increase, whether due to an increase in market interest rates or an increase in our own cost of borrowing, our debt service obligations for our variable rate indebtedness would increase even though the amount of borrowings remained the same, and our results of operations could be adversely affected. As of December 31, 2017, our total outstanding debt of approximately $12.8 billion included unhedged interest rate sensitive debt of approximately $2.8 billion. During our seasonal borrowing peak in 2017, outstanding unhedged interest rate sensitive debt totaled approximately $5.1 billion.</w:t>
      </w:r>
    </w:p>
    <w:p>
      <w:pPr>
        <w:spacing w:after="0" w:line="209"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Virtually all of our debt under vehicle programs and certain of our corporate indebtedness matures within the next five years. If we are unable to refinance maturing indebtedness at interest rates that are equivalent to or lower than the interest rates on our maturing debt, our results of operations or our financial condition may be adversely affected.</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140" w:right="25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OUR COMMON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related to the market price of our common stock.</w:t>
      </w:r>
    </w:p>
    <w:p>
      <w:pPr>
        <w:spacing w:after="0" w:line="247"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We cannot predict the prices at which our common stock will trade. The market price of our common stock experienced substantial volatility in the past and may fluctuate widely in the future, depending upon many factors, some of which may be beyond our control, including:</w:t>
      </w:r>
    </w:p>
    <w:p>
      <w:pPr>
        <w:spacing w:after="0" w:line="196" w:lineRule="exact"/>
        <w:rPr>
          <w:sz w:val="20"/>
          <w:szCs w:val="20"/>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weakness in general economic conditions and credit markets;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in consumers’, investors’ and analysts’ perceptions of our industry, business or related industries;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quarterly or annual earnings, or those of other companies in our industry, including our key suppliers;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financial estimates that we provide to the public, any changes in such estimates, or our failure to meet such estimates;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actual or anticipated fluctuations in our operating results;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in accounting standards, policies, guidance, interpretations or principles;</w:t>
      </w:r>
    </w:p>
    <w:p>
      <w:pPr>
        <w:spacing w:after="0" w:line="225" w:lineRule="exact"/>
        <w:rPr>
          <w:rFonts w:ascii="Arial" w:cs="Arial" w:eastAsia="Arial" w:hAnsi="Arial"/>
          <w:sz w:val="18"/>
          <w:szCs w:val="18"/>
          <w:color w:val="auto"/>
        </w:rPr>
      </w:pPr>
    </w:p>
    <w:p>
      <w:pPr>
        <w:ind w:left="660" w:right="440" w:hanging="328"/>
        <w:spacing w:after="0" w:line="262"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announcements by us or our competitors of acquisitions, dispositions, strategies, management or stockholder changes, marketing affiliations, projections, fleet costs, pricing actions or other competitive actions;</w:t>
      </w:r>
    </w:p>
    <w:p>
      <w:pPr>
        <w:spacing w:after="0" w:line="196"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in earnings estimates by securities analysts or our ability to meet those estimates;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operating and stock price performance of other comparable companies;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overall stock market fluctuations;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success or failure of competitive service offerings or technologies;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tax or regulatory developments in the United States and other countries in which we operate;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litigation involving us; actions of activist stockholders and responses from our Board and senior management;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timing and amount of any share repurchases by us.</w:t>
      </w:r>
    </w:p>
    <w:p>
      <w:pPr>
        <w:spacing w:after="0" w:line="225"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If any of the foregoing occurs, it could cause our stock price to fall and may expose us to litigation, including class action lawsuits that, even if unsuccessful, could be costly to defend and a distraction to management.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stockholders’ percentage of ownership may be diluted in the future.</w:t>
      </w:r>
    </w:p>
    <w:p>
      <w:pPr>
        <w:spacing w:after="0" w:line="24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Our stockholders’ percentage of ownership may be diluted in the future due to equity issuances or equity awards that we granted or will grant to our directors, officers and employees. In addition, we may undertake acquisitions financed in part through public or private offerings of securities, or other arrangements. If we issue equity securities or equity-linked securities, the issued securities would have a dilutive effect on the interests of the holders of our common shares. We expect to continue to grant restricted stock units, stock options and/or other types of equity awards in the future.</w:t>
      </w: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40"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ind w:right="420"/>
        <w:spacing w:after="0" w:line="287" w:lineRule="auto"/>
        <w:rPr>
          <w:sz w:val="20"/>
          <w:szCs w:val="20"/>
          <w:color w:val="auto"/>
        </w:rPr>
      </w:pPr>
      <w:r>
        <w:rPr>
          <w:rFonts w:ascii="Arial" w:cs="Arial" w:eastAsia="Arial" w:hAnsi="Arial"/>
          <w:sz w:val="18"/>
          <w:szCs w:val="18"/>
          <w:b w:val="1"/>
          <w:bCs w:val="1"/>
          <w:i w:val="1"/>
          <w:iCs w:val="1"/>
          <w:color w:val="auto"/>
        </w:rPr>
        <w:t>Certain provisions of our certificate of incorporation and by-laws, Delaware law and our stockholder rights plan could prevent or delay a potential acquisition of control of our Company, which could decrease the trading price of our common stock.</w:t>
      </w:r>
    </w:p>
    <w:p>
      <w:pPr>
        <w:spacing w:after="0" w:line="175"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Our amended and restated certificate of incorporation, amended and restated by-laws and the laws in the State of Delaware contain provisions that are intended to deter coercive takeover practices and inadequate takeover bids by making such practices or bids unacceptably expensive to the prospective acquirer and to encourage prospective acquirers to negotiate with our Board of Directors rather than to attempt a hostile takeover. Delaware law also imposes restrictions on mergers and other business combinations between us and any holder of 15% or more of our outstanding common stock. In January 2018, our Board of Directors adopted a short-term stockholder rights plan, which may cause substantial dilution to a person or group that attempts to acquire control of the Company on terms not approved by our Board of Directors.</w:t>
      </w:r>
    </w:p>
    <w:p>
      <w:pPr>
        <w:spacing w:after="0" w:line="209"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We believe these provisions and the stockholder rights plan protect our stockholders from coercive or otherwise unfair takeover tactics by effectively requiring those who seek to obtain control of the Company to negotiate with our Board of Directors and by providing our Board with more time to assess any acquisition of control. However, these provisions could apply even if an acquisition of control of the Company may be considered beneficial by some stockholders and could delay or prevent an acquisition of control that our Board of Directors determines is not in the best interests of our Company and our stockholders.</w:t>
      </w:r>
    </w:p>
    <w:p>
      <w:pPr>
        <w:spacing w:after="0" w:line="184"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b w:val="1"/>
          <w:bCs w:val="1"/>
          <w:i w:val="1"/>
          <w:iCs w:val="1"/>
          <w:color w:val="auto"/>
        </w:rPr>
        <w:t>A currently pending proxy contest could cause us to incur substantial costs, divert management’s attention and resources and have other adverse effects on our business.</w:t>
      </w:r>
    </w:p>
    <w:p>
      <w:pPr>
        <w:spacing w:after="0" w:line="175"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On February 15, 2018, SRS Investment Management announced its intention to nominate five candidates for election to our Board of Directors at our 2018 Annual Meeting of Stockholders. As a result of this pending proxy contest, or if other activist stockholder activities ensue, our business could be adversely affected because responding to proxy contests and reacting to other actions by activist stockholders can be disruptive, costly and time-consuming, and can divert the attention of management and our employees. We may incur significant expenses by retaining the services of various professionals to advise us on this matter, including legal, financial and communications advisors, which may negatively impact our future financial results. In addition, this proxy contest and any similar activist stockholder initiatives may lead to perceived uncertainties as to our future direction, strategy or leadership and may lead to the perception of instability or lack of continuity, which may be exploited by our competitors, cause concern to our current or potential customers or vendors, or cause our stock price to experience periods of volatility.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7254875" cy="1803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4875" cy="180340"/>
                    </a:xfrm>
                    <a:prstGeom prst="rect">
                      <a:avLst/>
                    </a:prstGeom>
                    <a:noFill/>
                  </pic:spPr>
                </pic:pic>
              </a:graphicData>
            </a:graphic>
          </wp:anchor>
        </w:drawing>
      </w:r>
    </w:p>
    <w:p>
      <w:pPr>
        <w:spacing w:after="0" w:line="130"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ITEM 1B. UNRESOLVED STAFF COMMENTS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254875" cy="1803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4875" cy="180340"/>
                    </a:xfrm>
                    <a:prstGeom prst="rect">
                      <a:avLst/>
                    </a:prstGeom>
                    <a:noFill/>
                  </pic:spPr>
                </pic:pic>
              </a:graphicData>
            </a:graphic>
          </wp:anchor>
        </w:drawing>
      </w:r>
    </w:p>
    <w:p>
      <w:pPr>
        <w:spacing w:after="0" w:line="143"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ITEM 2. PROPERTIES</w:t>
      </w:r>
    </w:p>
    <w:p>
      <w:pPr>
        <w:spacing w:after="0" w:line="27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Our principal executive offices are located at 6 Sylvan Way, Parsippany, New Jersey 07054 pursuant to a lease agreement that expires in 2023. We own a facility in Virginia Beach, Virginia, which serves as a satellite administrative facility for our car and truck rental operations. We also lease office space in Tulsa, Oklahoma, and Boston, Massachusetts, pursuant to leases expiring in 2022 and 2023, respectively. These locations primarily provide operational and administrative services or contact center operations for our Americas segment. We also lease office space in Bracknell, England, Budapest, Hungary and Barcelona, Spain, pursuant to leases expiring in 2027, 2021 and 2019, respectively, for corporate offices, contact center activities and other administrative functions, respectively, for our International segment. Other office locations throughout the world are leased for administrative, regional sales and operations activities.</w:t>
      </w:r>
    </w:p>
    <w:p>
      <w:pPr>
        <w:spacing w:after="0" w:line="207"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We lease or have vehicle rental concessions for our brands at locations throughout the world. We own approximately 2% of the locations from which we operate and in some cases we sublease to franchisees or other third parties. The remaining locations from which we operate our vehicle rental businesses are leased or operated under concession agreements with governmental authorities and private entities. Those leases and concession agreements typically require the payment of minimum rents or minimum concession fees and often also require us to pay or reimburse operating expenses; to pay additional rent, or concession fees above guaranteed</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40"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right="400"/>
        <w:spacing w:after="0" w:line="262" w:lineRule="auto"/>
        <w:rPr>
          <w:sz w:val="20"/>
          <w:szCs w:val="20"/>
          <w:color w:val="auto"/>
        </w:rPr>
      </w:pPr>
      <w:r>
        <w:rPr>
          <w:rFonts w:ascii="Arial" w:cs="Arial" w:eastAsia="Arial" w:hAnsi="Arial"/>
          <w:sz w:val="18"/>
          <w:szCs w:val="18"/>
          <w:color w:val="auto"/>
        </w:rPr>
        <w:t>minimums, based on a percentage of revenues or sales arising at the relevant premises; or to do both. See Note 14 to our Consolidated Financial Statements for information regarding lease commitments.</w:t>
      </w:r>
    </w:p>
    <w:p>
      <w:pPr>
        <w:spacing w:after="0" w:line="196"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We believe that our properties are sufficient to meet our present needs and we do not anticipate any difficulty in securing additional space, as needed, on acceptable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254875" cy="1803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4875" cy="180340"/>
                    </a:xfrm>
                    <a:prstGeom prst="rect">
                      <a:avLst/>
                    </a:prstGeom>
                    <a:noFill/>
                  </pic:spPr>
                </pic:pic>
              </a:graphicData>
            </a:graphic>
          </wp:anchor>
        </w:drawing>
      </w:r>
    </w:p>
    <w:p>
      <w:pPr>
        <w:spacing w:after="0" w:line="114"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ITEM 3. LEGAL PROCEEDINGS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For information regarding legal proceedings, see Note 14 to our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254875" cy="1803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4875" cy="180340"/>
                    </a:xfrm>
                    <a:prstGeom prst="rect">
                      <a:avLst/>
                    </a:prstGeom>
                    <a:noFill/>
                  </pic:spPr>
                </pic:pic>
              </a:graphicData>
            </a:graphic>
          </wp:anchor>
        </w:drawing>
      </w:r>
    </w:p>
    <w:p>
      <w:pPr>
        <w:spacing w:after="0" w:line="359"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ITEM 4. MINE SAFETY DISCLOSURES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20"/>
          </w:cols>
          <w:pgMar w:left="240" w:top="140" w:right="4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3" w:lineRule="exact"/>
        <w:rPr>
          <w:sz w:val="20"/>
          <w:szCs w:val="20"/>
          <w:color w:val="auto"/>
        </w:rPr>
      </w:pPr>
    </w:p>
    <w:p>
      <w:pPr>
        <w:ind w:left="5400"/>
        <w:spacing w:after="0"/>
        <w:rPr>
          <w:sz w:val="20"/>
          <w:szCs w:val="20"/>
          <w:color w:val="auto"/>
        </w:rPr>
      </w:pPr>
      <w:r>
        <w:rPr>
          <w:rFonts w:ascii="Arial" w:cs="Arial" w:eastAsia="Arial" w:hAnsi="Arial"/>
          <w:sz w:val="18"/>
          <w:szCs w:val="18"/>
          <w:b w:val="1"/>
          <w:bCs w:val="1"/>
          <w:color w:val="auto"/>
        </w:rPr>
        <w:t>PART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254875" cy="3517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4875" cy="351790"/>
                    </a:xfrm>
                    <a:prstGeom prst="rect">
                      <a:avLst/>
                    </a:prstGeom>
                    <a:noFill/>
                  </pic:spPr>
                </pic:pic>
              </a:graphicData>
            </a:graphic>
          </wp:anchor>
        </w:drawing>
      </w:r>
    </w:p>
    <w:p>
      <w:pPr>
        <w:spacing w:after="0" w:line="165" w:lineRule="exact"/>
        <w:rPr>
          <w:sz w:val="20"/>
          <w:szCs w:val="20"/>
          <w:color w:val="auto"/>
        </w:rPr>
      </w:pPr>
    </w:p>
    <w:p>
      <w:pPr>
        <w:ind w:left="80"/>
        <w:spacing w:after="0"/>
        <w:tabs>
          <w:tab w:leader="none" w:pos="10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MARKET FOR REGISTRANT’S COMMON EQUITY, RELATED STOCKHOLDER</w:t>
      </w:r>
    </w:p>
    <w:p>
      <w:pPr>
        <w:spacing w:after="0" w:line="63" w:lineRule="exact"/>
        <w:rPr>
          <w:sz w:val="20"/>
          <w:szCs w:val="20"/>
          <w:color w:val="auto"/>
        </w:rPr>
      </w:pPr>
    </w:p>
    <w:p>
      <w:pPr>
        <w:ind w:left="1080"/>
        <w:spacing w:after="0"/>
        <w:rPr>
          <w:sz w:val="20"/>
          <w:szCs w:val="20"/>
          <w:color w:val="auto"/>
        </w:rPr>
      </w:pPr>
      <w:r>
        <w:rPr>
          <w:rFonts w:ascii="Arial" w:cs="Arial" w:eastAsia="Arial" w:hAnsi="Arial"/>
          <w:sz w:val="18"/>
          <w:szCs w:val="18"/>
          <w:b w:val="1"/>
          <w:bCs w:val="1"/>
          <w:color w:val="auto"/>
        </w:rPr>
        <w:t>MATTERS AND ISSUER PURCHASES OF EQUITY SECURITIES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MARKET PRICE OF COMMON STOCK</w:t>
      </w:r>
    </w:p>
    <w:p>
      <w:pPr>
        <w:spacing w:after="0" w:line="247"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Our common stock is currently traded on the NASDAQ Global Select Market (“NASDAQ”) under the symbol “CAR.” The following table sets forth the quarterly high and low sales prices per share of our common stock as reported by NASDAQ for 2017 and 2016. At January 31, 2018, the number of stockholders of record was 2,639.</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8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gridSpan w:val="2"/>
          </w:tcPr>
          <w:p>
            <w:pPr>
              <w:ind w:left="200"/>
              <w:spacing w:after="0"/>
              <w:rPr>
                <w:sz w:val="20"/>
                <w:szCs w:val="20"/>
                <w:color w:val="auto"/>
              </w:rPr>
            </w:pPr>
            <w:r>
              <w:rPr>
                <w:rFonts w:ascii="Arial" w:cs="Arial" w:eastAsia="Arial" w:hAnsi="Arial"/>
                <w:sz w:val="18"/>
                <w:szCs w:val="18"/>
                <w:b w:val="1"/>
                <w:bCs w:val="1"/>
                <w:color w:val="auto"/>
              </w:rPr>
              <w:t>High</w:t>
            </w:r>
          </w:p>
        </w:tc>
        <w:tc>
          <w:tcPr>
            <w:tcW w:w="340" w:type="dxa"/>
            <w:vAlign w:val="bottom"/>
          </w:tcPr>
          <w:p>
            <w:pPr>
              <w:spacing w:after="0"/>
              <w:rPr>
                <w:sz w:val="21"/>
                <w:szCs w:val="21"/>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Low</w:t>
            </w:r>
          </w:p>
        </w:tc>
      </w:tr>
      <w:tr>
        <w:trPr>
          <w:trHeight w:val="263"/>
        </w:trPr>
        <w:tc>
          <w:tcPr>
            <w:tcW w:w="8340" w:type="dxa"/>
            <w:vAlign w:val="bottom"/>
          </w:tcPr>
          <w:p>
            <w:pPr>
              <w:ind w:left="260"/>
              <w:spacing w:after="0"/>
              <w:rPr>
                <w:sz w:val="20"/>
                <w:szCs w:val="20"/>
                <w:color w:val="auto"/>
              </w:rPr>
            </w:pPr>
            <w:r>
              <w:rPr>
                <w:rFonts w:ascii="Arial" w:cs="Arial" w:eastAsia="Arial" w:hAnsi="Arial"/>
                <w:sz w:val="18"/>
                <w:szCs w:val="18"/>
                <w:b w:val="1"/>
                <w:bCs w:val="1"/>
                <w:color w:val="auto"/>
              </w:rPr>
              <w:t>2017</w:t>
            </w:r>
          </w:p>
        </w:tc>
        <w:tc>
          <w:tcPr>
            <w:tcW w:w="34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r>
      <w:tr>
        <w:trPr>
          <w:trHeight w:val="277"/>
        </w:trPr>
        <w:tc>
          <w:tcPr>
            <w:tcW w:w="83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First Quarter</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41.00</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27.36</w:t>
            </w:r>
          </w:p>
        </w:tc>
      </w:tr>
      <w:tr>
        <w:trPr>
          <w:trHeight w:val="263"/>
        </w:trPr>
        <w:tc>
          <w:tcPr>
            <w:tcW w:w="8340" w:type="dxa"/>
            <w:vAlign w:val="bottom"/>
          </w:tcPr>
          <w:p>
            <w:pPr>
              <w:ind w:left="260"/>
              <w:spacing w:after="0"/>
              <w:rPr>
                <w:sz w:val="20"/>
                <w:szCs w:val="20"/>
                <w:color w:val="auto"/>
              </w:rPr>
            </w:pPr>
            <w:r>
              <w:rPr>
                <w:rFonts w:ascii="Arial" w:cs="Arial" w:eastAsia="Arial" w:hAnsi="Arial"/>
                <w:sz w:val="18"/>
                <w:szCs w:val="18"/>
                <w:color w:val="auto"/>
              </w:rPr>
              <w:t>Second Quarter</w:t>
            </w:r>
          </w:p>
        </w:tc>
        <w:tc>
          <w:tcPr>
            <w:tcW w:w="340" w:type="dxa"/>
            <w:vAlign w:val="bottom"/>
          </w:tcPr>
          <w:p>
            <w:pPr>
              <w:spacing w:after="0"/>
              <w:rPr>
                <w:sz w:val="22"/>
                <w:szCs w:val="22"/>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32.52</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20.71</w:t>
            </w:r>
          </w:p>
        </w:tc>
      </w:tr>
      <w:tr>
        <w:trPr>
          <w:trHeight w:val="277"/>
        </w:trPr>
        <w:tc>
          <w:tcPr>
            <w:tcW w:w="83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Third Quarter</w:t>
            </w: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38.76</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27.10</w:t>
            </w:r>
          </w:p>
        </w:tc>
      </w:tr>
      <w:tr>
        <w:trPr>
          <w:trHeight w:val="257"/>
        </w:trPr>
        <w:tc>
          <w:tcPr>
            <w:tcW w:w="8340" w:type="dxa"/>
            <w:vAlign w:val="bottom"/>
          </w:tcPr>
          <w:p>
            <w:pPr>
              <w:ind w:left="260"/>
              <w:spacing w:after="0"/>
              <w:rPr>
                <w:sz w:val="20"/>
                <w:szCs w:val="20"/>
                <w:color w:val="auto"/>
              </w:rPr>
            </w:pPr>
            <w:r>
              <w:rPr>
                <w:rFonts w:ascii="Arial" w:cs="Arial" w:eastAsia="Arial" w:hAnsi="Arial"/>
                <w:sz w:val="18"/>
                <w:szCs w:val="18"/>
                <w:color w:val="auto"/>
              </w:rPr>
              <w:t>Fourth Quarter</w:t>
            </w:r>
          </w:p>
        </w:tc>
        <w:tc>
          <w:tcPr>
            <w:tcW w:w="340" w:type="dxa"/>
            <w:vAlign w:val="bottom"/>
          </w:tcPr>
          <w:p>
            <w:pPr>
              <w:spacing w:after="0"/>
              <w:rPr>
                <w:sz w:val="22"/>
                <w:szCs w:val="22"/>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46.32</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31.97</w:t>
            </w:r>
          </w:p>
        </w:tc>
      </w:tr>
    </w:tbl>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8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gridSpan w:val="2"/>
          </w:tcPr>
          <w:p>
            <w:pPr>
              <w:ind w:left="200"/>
              <w:spacing w:after="0"/>
              <w:rPr>
                <w:sz w:val="20"/>
                <w:szCs w:val="20"/>
                <w:color w:val="auto"/>
              </w:rPr>
            </w:pPr>
            <w:r>
              <w:rPr>
                <w:rFonts w:ascii="Arial" w:cs="Arial" w:eastAsia="Arial" w:hAnsi="Arial"/>
                <w:sz w:val="18"/>
                <w:szCs w:val="18"/>
                <w:b w:val="1"/>
                <w:bCs w:val="1"/>
                <w:color w:val="auto"/>
              </w:rPr>
              <w:t>High</w:t>
            </w:r>
          </w:p>
        </w:tc>
        <w:tc>
          <w:tcPr>
            <w:tcW w:w="340" w:type="dxa"/>
            <w:vAlign w:val="bottom"/>
          </w:tcPr>
          <w:p>
            <w:pPr>
              <w:spacing w:after="0"/>
              <w:rPr>
                <w:sz w:val="21"/>
                <w:szCs w:val="21"/>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Low</w:t>
            </w:r>
          </w:p>
        </w:tc>
      </w:tr>
      <w:tr>
        <w:trPr>
          <w:trHeight w:val="230"/>
        </w:trPr>
        <w:tc>
          <w:tcPr>
            <w:tcW w:w="8340" w:type="dxa"/>
            <w:vAlign w:val="bottom"/>
          </w:tcPr>
          <w:p>
            <w:pPr>
              <w:ind w:left="260"/>
              <w:spacing w:after="0"/>
              <w:rPr>
                <w:sz w:val="20"/>
                <w:szCs w:val="20"/>
                <w:color w:val="auto"/>
              </w:rPr>
            </w:pPr>
            <w:r>
              <w:rPr>
                <w:rFonts w:ascii="Arial" w:cs="Arial" w:eastAsia="Arial" w:hAnsi="Arial"/>
                <w:sz w:val="18"/>
                <w:szCs w:val="18"/>
                <w:b w:val="1"/>
                <w:bCs w:val="1"/>
                <w:color w:val="auto"/>
              </w:rPr>
              <w:t>2016</w:t>
            </w: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r>
      <w:tr>
        <w:trPr>
          <w:trHeight w:val="41"/>
        </w:trPr>
        <w:tc>
          <w:tcPr>
            <w:tcW w:w="83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70"/>
        </w:trPr>
        <w:tc>
          <w:tcPr>
            <w:tcW w:w="83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First Quarter</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36.32</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21.73</w:t>
            </w:r>
          </w:p>
        </w:tc>
      </w:tr>
      <w:tr>
        <w:trPr>
          <w:trHeight w:val="263"/>
        </w:trPr>
        <w:tc>
          <w:tcPr>
            <w:tcW w:w="8340" w:type="dxa"/>
            <w:vAlign w:val="bottom"/>
          </w:tcPr>
          <w:p>
            <w:pPr>
              <w:ind w:left="260"/>
              <w:spacing w:after="0"/>
              <w:rPr>
                <w:sz w:val="20"/>
                <w:szCs w:val="20"/>
                <w:color w:val="auto"/>
              </w:rPr>
            </w:pPr>
            <w:r>
              <w:rPr>
                <w:rFonts w:ascii="Arial" w:cs="Arial" w:eastAsia="Arial" w:hAnsi="Arial"/>
                <w:sz w:val="18"/>
                <w:szCs w:val="18"/>
                <w:color w:val="auto"/>
              </w:rPr>
              <w:t>Second Quarter</w:t>
            </w:r>
          </w:p>
        </w:tc>
        <w:tc>
          <w:tcPr>
            <w:tcW w:w="340" w:type="dxa"/>
            <w:vAlign w:val="bottom"/>
          </w:tcPr>
          <w:p>
            <w:pPr>
              <w:spacing w:after="0"/>
              <w:rPr>
                <w:sz w:val="22"/>
                <w:szCs w:val="22"/>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34.85</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21.85</w:t>
            </w:r>
          </w:p>
        </w:tc>
      </w:tr>
      <w:tr>
        <w:trPr>
          <w:trHeight w:val="277"/>
        </w:trPr>
        <w:tc>
          <w:tcPr>
            <w:tcW w:w="83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Third Quarter</w:t>
            </w: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39.54</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29.72</w:t>
            </w:r>
          </w:p>
        </w:tc>
      </w:tr>
      <w:tr>
        <w:trPr>
          <w:trHeight w:val="257"/>
        </w:trPr>
        <w:tc>
          <w:tcPr>
            <w:tcW w:w="8340" w:type="dxa"/>
            <w:vAlign w:val="bottom"/>
          </w:tcPr>
          <w:p>
            <w:pPr>
              <w:ind w:left="260"/>
              <w:spacing w:after="0"/>
              <w:rPr>
                <w:sz w:val="20"/>
                <w:szCs w:val="20"/>
                <w:color w:val="auto"/>
              </w:rPr>
            </w:pPr>
            <w:r>
              <w:rPr>
                <w:rFonts w:ascii="Arial" w:cs="Arial" w:eastAsia="Arial" w:hAnsi="Arial"/>
                <w:sz w:val="18"/>
                <w:szCs w:val="18"/>
                <w:color w:val="auto"/>
              </w:rPr>
              <w:t>Fourth Quarter</w:t>
            </w:r>
          </w:p>
        </w:tc>
        <w:tc>
          <w:tcPr>
            <w:tcW w:w="340" w:type="dxa"/>
            <w:vAlign w:val="bottom"/>
          </w:tcPr>
          <w:p>
            <w:pPr>
              <w:spacing w:after="0"/>
              <w:rPr>
                <w:sz w:val="22"/>
                <w:szCs w:val="22"/>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41.53</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30.60</w:t>
            </w:r>
          </w:p>
        </w:tc>
      </w:tr>
    </w:tbl>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DIVIDEND POLICY</w:t>
      </w:r>
    </w:p>
    <w:p>
      <w:pPr>
        <w:spacing w:after="0" w:line="247" w:lineRule="exact"/>
        <w:rPr>
          <w:sz w:val="20"/>
          <w:szCs w:val="20"/>
          <w:color w:val="auto"/>
        </w:rPr>
      </w:pPr>
    </w:p>
    <w:p>
      <w:pPr>
        <w:ind w:right="200"/>
        <w:spacing w:after="0" w:line="252" w:lineRule="auto"/>
        <w:rPr>
          <w:sz w:val="20"/>
          <w:szCs w:val="20"/>
          <w:color w:val="auto"/>
        </w:rPr>
      </w:pPr>
      <w:r>
        <w:rPr>
          <w:rFonts w:ascii="Arial" w:cs="Arial" w:eastAsia="Arial" w:hAnsi="Arial"/>
          <w:sz w:val="18"/>
          <w:szCs w:val="18"/>
          <w:color w:val="auto"/>
        </w:rPr>
        <w:t>We neither declared nor paid any cash dividend on our common stock in 2017 and 2016, and we do not currently anticipate paying cash dividends on our common stock. However, we evaluate our dividend policy on a regular basis and may pay dividends in the future, subject to compliance with the covenants in our senior credit facility, the indentures governing our senior notes and our vehicle financing programs. The declaration and payment of future dividends to holders of our common stock will be at the discretion of our Board of Directors and will also depend upon many factors, including our financial condition, earnings, capital requirements of our businesses, covenants associated with certain debt obligations, legal requirements, regulatory constraints, industry practice and other factors that the Board of Directors deems relevant.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SECURITIES AUTHORIZED FOR ISSUANCE UNDER EQUITY COMPENSATION PLANS</w:t>
      </w:r>
    </w:p>
    <w:p>
      <w:pPr>
        <w:spacing w:after="0" w:line="247" w:lineRule="exact"/>
        <w:rPr>
          <w:sz w:val="20"/>
          <w:szCs w:val="20"/>
          <w:color w:val="auto"/>
        </w:rPr>
      </w:pPr>
    </w:p>
    <w:p>
      <w:pPr>
        <w:ind w:right="420"/>
        <w:spacing w:after="0" w:line="262" w:lineRule="auto"/>
        <w:rPr>
          <w:sz w:val="20"/>
          <w:szCs w:val="20"/>
          <w:color w:val="auto"/>
        </w:rPr>
      </w:pPr>
      <w:r>
        <w:rPr>
          <w:rFonts w:ascii="Arial" w:cs="Arial" w:eastAsia="Arial" w:hAnsi="Arial"/>
          <w:sz w:val="18"/>
          <w:szCs w:val="18"/>
          <w:color w:val="auto"/>
        </w:rPr>
        <w:t>The following table provides information about shares of our common stock that may be issued upon the exercise of options and restricted stock units under all of our existing equity compensation plans as of December 31, 2017.</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8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rPr>
              <w:t>Number of Securities</w:t>
            </w:r>
          </w:p>
        </w:tc>
        <w:tc>
          <w:tcPr>
            <w:tcW w:w="240" w:type="dxa"/>
            <w:vAlign w:val="bottom"/>
          </w:tcPr>
          <w:p>
            <w:pPr>
              <w:spacing w:after="0"/>
              <w:rPr>
                <w:sz w:val="16"/>
                <w:szCs w:val="16"/>
                <w:color w:val="auto"/>
              </w:rPr>
            </w:pPr>
          </w:p>
        </w:tc>
        <w:tc>
          <w:tcPr>
            <w:tcW w:w="218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rPr>
              <w:t>Weighted-Average</w:t>
            </w:r>
          </w:p>
        </w:tc>
        <w:tc>
          <w:tcPr>
            <w:tcW w:w="2260" w:type="dxa"/>
            <w:vAlign w:val="bottom"/>
          </w:tcPr>
          <w:p>
            <w:pPr>
              <w:jc w:val="center"/>
              <w:spacing w:after="0"/>
              <w:rPr>
                <w:sz w:val="20"/>
                <w:szCs w:val="20"/>
                <w:color w:val="auto"/>
              </w:rPr>
            </w:pPr>
            <w:r>
              <w:rPr>
                <w:rFonts w:ascii="Arial" w:cs="Arial" w:eastAsia="Arial" w:hAnsi="Arial"/>
                <w:sz w:val="16"/>
                <w:szCs w:val="16"/>
                <w:b w:val="1"/>
                <w:bCs w:val="1"/>
                <w:color w:val="auto"/>
              </w:rPr>
              <w:t>Number of Securities</w:t>
            </w:r>
          </w:p>
        </w:tc>
        <w:tc>
          <w:tcPr>
            <w:tcW w:w="0" w:type="dxa"/>
            <w:vAlign w:val="bottom"/>
          </w:tcPr>
          <w:p>
            <w:pPr>
              <w:spacing w:after="0"/>
              <w:rPr>
                <w:sz w:val="1"/>
                <w:szCs w:val="1"/>
                <w:color w:val="auto"/>
              </w:rPr>
            </w:pPr>
          </w:p>
        </w:tc>
      </w:tr>
      <w:tr>
        <w:trPr>
          <w:trHeight w:val="68"/>
        </w:trPr>
        <w:tc>
          <w:tcPr>
            <w:tcW w:w="42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38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2180" w:type="dxa"/>
            <w:vAlign w:val="bottom"/>
            <w:gridSpan w:val="2"/>
            <w:vMerge w:val="restart"/>
          </w:tcPr>
          <w:p>
            <w:pPr>
              <w:jc w:val="center"/>
              <w:ind w:right="360"/>
              <w:spacing w:after="0"/>
              <w:rPr>
                <w:sz w:val="20"/>
                <w:szCs w:val="20"/>
                <w:color w:val="auto"/>
              </w:rPr>
            </w:pPr>
            <w:r>
              <w:rPr>
                <w:rFonts w:ascii="Arial" w:cs="Arial" w:eastAsia="Arial" w:hAnsi="Arial"/>
                <w:sz w:val="16"/>
                <w:szCs w:val="16"/>
                <w:b w:val="1"/>
                <w:bCs w:val="1"/>
                <w:color w:val="auto"/>
              </w:rPr>
              <w:t>Exercise Price of</w:t>
            </w:r>
          </w:p>
        </w:tc>
        <w:tc>
          <w:tcPr>
            <w:tcW w:w="226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Remaining Available for</w:t>
            </w:r>
          </w:p>
        </w:tc>
        <w:tc>
          <w:tcPr>
            <w:tcW w:w="0" w:type="dxa"/>
            <w:vAlign w:val="bottom"/>
          </w:tcPr>
          <w:p>
            <w:pPr>
              <w:spacing w:after="0"/>
              <w:rPr>
                <w:sz w:val="1"/>
                <w:szCs w:val="1"/>
                <w:color w:val="auto"/>
              </w:rPr>
            </w:pPr>
          </w:p>
        </w:tc>
      </w:tr>
      <w:tr>
        <w:trPr>
          <w:trHeight w:val="122"/>
        </w:trPr>
        <w:tc>
          <w:tcPr>
            <w:tcW w:w="4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38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rPr>
              <w:t>to be Issued Upon Exercise</w:t>
            </w:r>
          </w:p>
        </w:tc>
        <w:tc>
          <w:tcPr>
            <w:tcW w:w="240" w:type="dxa"/>
            <w:vAlign w:val="bottom"/>
          </w:tcPr>
          <w:p>
            <w:pPr>
              <w:spacing w:after="0"/>
              <w:rPr>
                <w:sz w:val="10"/>
                <w:szCs w:val="10"/>
                <w:color w:val="auto"/>
              </w:rPr>
            </w:pPr>
          </w:p>
        </w:tc>
        <w:tc>
          <w:tcPr>
            <w:tcW w:w="2180" w:type="dxa"/>
            <w:vAlign w:val="bottom"/>
            <w:gridSpan w:val="2"/>
            <w:vMerge w:val="continue"/>
          </w:tcPr>
          <w:p>
            <w:pPr>
              <w:spacing w:after="0"/>
              <w:rPr>
                <w:sz w:val="10"/>
                <w:szCs w:val="10"/>
                <w:color w:val="auto"/>
              </w:rPr>
            </w:pPr>
          </w:p>
        </w:tc>
        <w:tc>
          <w:tcPr>
            <w:tcW w:w="22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42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38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2180" w:type="dxa"/>
            <w:vAlign w:val="bottom"/>
            <w:gridSpan w:val="2"/>
            <w:vMerge w:val="restart"/>
          </w:tcPr>
          <w:p>
            <w:pPr>
              <w:jc w:val="center"/>
              <w:ind w:right="360"/>
              <w:spacing w:after="0"/>
              <w:rPr>
                <w:sz w:val="20"/>
                <w:szCs w:val="20"/>
                <w:color w:val="auto"/>
              </w:rPr>
            </w:pPr>
            <w:r>
              <w:rPr>
                <w:rFonts w:ascii="Arial" w:cs="Arial" w:eastAsia="Arial" w:hAnsi="Arial"/>
                <w:sz w:val="16"/>
                <w:szCs w:val="16"/>
                <w:b w:val="1"/>
                <w:bCs w:val="1"/>
                <w:color w:val="auto"/>
              </w:rPr>
              <w:t>Outstanding Options,</w:t>
            </w:r>
          </w:p>
        </w:tc>
        <w:tc>
          <w:tcPr>
            <w:tcW w:w="226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Future Issuance Under</w:t>
            </w:r>
          </w:p>
        </w:tc>
        <w:tc>
          <w:tcPr>
            <w:tcW w:w="0" w:type="dxa"/>
            <w:vAlign w:val="bottom"/>
          </w:tcPr>
          <w:p>
            <w:pPr>
              <w:spacing w:after="0"/>
              <w:rPr>
                <w:sz w:val="1"/>
                <w:szCs w:val="1"/>
                <w:color w:val="auto"/>
              </w:rPr>
            </w:pPr>
          </w:p>
        </w:tc>
      </w:tr>
      <w:tr>
        <w:trPr>
          <w:trHeight w:val="122"/>
        </w:trPr>
        <w:tc>
          <w:tcPr>
            <w:tcW w:w="4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38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rPr>
              <w:t>of Outstanding Options,</w:t>
            </w:r>
          </w:p>
        </w:tc>
        <w:tc>
          <w:tcPr>
            <w:tcW w:w="240" w:type="dxa"/>
            <w:vAlign w:val="bottom"/>
          </w:tcPr>
          <w:p>
            <w:pPr>
              <w:spacing w:after="0"/>
              <w:rPr>
                <w:sz w:val="10"/>
                <w:szCs w:val="10"/>
                <w:color w:val="auto"/>
              </w:rPr>
            </w:pPr>
          </w:p>
        </w:tc>
        <w:tc>
          <w:tcPr>
            <w:tcW w:w="2180" w:type="dxa"/>
            <w:vAlign w:val="bottom"/>
            <w:gridSpan w:val="2"/>
            <w:vMerge w:val="continue"/>
          </w:tcPr>
          <w:p>
            <w:pPr>
              <w:spacing w:after="0"/>
              <w:rPr>
                <w:sz w:val="10"/>
                <w:szCs w:val="10"/>
                <w:color w:val="auto"/>
              </w:rPr>
            </w:pPr>
          </w:p>
        </w:tc>
        <w:tc>
          <w:tcPr>
            <w:tcW w:w="22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42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38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2180" w:type="dxa"/>
            <w:vAlign w:val="bottom"/>
            <w:gridSpan w:val="2"/>
            <w:vMerge w:val="restart"/>
          </w:tcPr>
          <w:p>
            <w:pPr>
              <w:jc w:val="center"/>
              <w:ind w:right="360"/>
              <w:spacing w:after="0"/>
              <w:rPr>
                <w:sz w:val="20"/>
                <w:szCs w:val="20"/>
                <w:color w:val="auto"/>
              </w:rPr>
            </w:pPr>
            <w:r>
              <w:rPr>
                <w:rFonts w:ascii="Arial" w:cs="Arial" w:eastAsia="Arial" w:hAnsi="Arial"/>
                <w:sz w:val="16"/>
                <w:szCs w:val="16"/>
                <w:b w:val="1"/>
                <w:bCs w:val="1"/>
                <w:color w:val="auto"/>
              </w:rPr>
              <w:t>Warrants and Rights</w:t>
            </w:r>
          </w:p>
        </w:tc>
        <w:tc>
          <w:tcPr>
            <w:tcW w:w="226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Equity Compensation Plans</w:t>
            </w:r>
          </w:p>
        </w:tc>
        <w:tc>
          <w:tcPr>
            <w:tcW w:w="0" w:type="dxa"/>
            <w:vAlign w:val="bottom"/>
          </w:tcPr>
          <w:p>
            <w:pPr>
              <w:spacing w:after="0"/>
              <w:rPr>
                <w:sz w:val="1"/>
                <w:szCs w:val="1"/>
                <w:color w:val="auto"/>
              </w:rPr>
            </w:pPr>
          </w:p>
        </w:tc>
      </w:tr>
      <w:tr>
        <w:trPr>
          <w:trHeight w:val="122"/>
        </w:trPr>
        <w:tc>
          <w:tcPr>
            <w:tcW w:w="4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38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w w:val="99"/>
              </w:rPr>
              <w:t>Warrants, Rights</w:t>
            </w:r>
          </w:p>
        </w:tc>
        <w:tc>
          <w:tcPr>
            <w:tcW w:w="240" w:type="dxa"/>
            <w:vAlign w:val="bottom"/>
          </w:tcPr>
          <w:p>
            <w:pPr>
              <w:spacing w:after="0"/>
              <w:rPr>
                <w:sz w:val="10"/>
                <w:szCs w:val="10"/>
                <w:color w:val="auto"/>
              </w:rPr>
            </w:pPr>
          </w:p>
        </w:tc>
        <w:tc>
          <w:tcPr>
            <w:tcW w:w="2180" w:type="dxa"/>
            <w:vAlign w:val="bottom"/>
            <w:gridSpan w:val="2"/>
            <w:vMerge w:val="continue"/>
          </w:tcPr>
          <w:p>
            <w:pPr>
              <w:spacing w:after="0"/>
              <w:rPr>
                <w:sz w:val="10"/>
                <w:szCs w:val="10"/>
                <w:color w:val="auto"/>
              </w:rPr>
            </w:pPr>
          </w:p>
        </w:tc>
        <w:tc>
          <w:tcPr>
            <w:tcW w:w="22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42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38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2180" w:type="dxa"/>
            <w:vAlign w:val="bottom"/>
            <w:gridSpan w:val="2"/>
            <w:vMerge w:val="restart"/>
          </w:tcPr>
          <w:p>
            <w:pPr>
              <w:jc w:val="center"/>
              <w:ind w:right="340"/>
              <w:spacing w:after="0"/>
              <w:rPr>
                <w:sz w:val="20"/>
                <w:szCs w:val="20"/>
                <w:color w:val="auto"/>
              </w:rPr>
            </w:pPr>
            <w:r>
              <w:rPr>
                <w:rFonts w:ascii="Arial" w:cs="Arial" w:eastAsia="Arial" w:hAnsi="Arial"/>
                <w:sz w:val="16"/>
                <w:szCs w:val="16"/>
                <w:b w:val="1"/>
                <w:bCs w:val="1"/>
                <w:color w:val="auto"/>
              </w:rPr>
              <w:t>(Excludes Restricted</w:t>
            </w:r>
          </w:p>
        </w:tc>
        <w:tc>
          <w:tcPr>
            <w:tcW w:w="226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(Excluding Securities</w:t>
            </w:r>
          </w:p>
        </w:tc>
        <w:tc>
          <w:tcPr>
            <w:tcW w:w="0" w:type="dxa"/>
            <w:vAlign w:val="bottom"/>
          </w:tcPr>
          <w:p>
            <w:pPr>
              <w:spacing w:after="0"/>
              <w:rPr>
                <w:sz w:val="1"/>
                <w:szCs w:val="1"/>
                <w:color w:val="auto"/>
              </w:rPr>
            </w:pPr>
          </w:p>
        </w:tc>
      </w:tr>
      <w:tr>
        <w:trPr>
          <w:trHeight w:val="122"/>
        </w:trPr>
        <w:tc>
          <w:tcPr>
            <w:tcW w:w="4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38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rPr>
              <w:t>and Restricted Stock Units</w:t>
            </w:r>
          </w:p>
        </w:tc>
        <w:tc>
          <w:tcPr>
            <w:tcW w:w="240" w:type="dxa"/>
            <w:vAlign w:val="bottom"/>
          </w:tcPr>
          <w:p>
            <w:pPr>
              <w:spacing w:after="0"/>
              <w:rPr>
                <w:sz w:val="10"/>
                <w:szCs w:val="10"/>
                <w:color w:val="auto"/>
              </w:rPr>
            </w:pPr>
          </w:p>
        </w:tc>
        <w:tc>
          <w:tcPr>
            <w:tcW w:w="2180" w:type="dxa"/>
            <w:vAlign w:val="bottom"/>
            <w:gridSpan w:val="2"/>
            <w:vMerge w:val="continue"/>
          </w:tcPr>
          <w:p>
            <w:pPr>
              <w:spacing w:after="0"/>
              <w:rPr>
                <w:sz w:val="10"/>
                <w:szCs w:val="10"/>
                <w:color w:val="auto"/>
              </w:rPr>
            </w:pPr>
          </w:p>
        </w:tc>
        <w:tc>
          <w:tcPr>
            <w:tcW w:w="22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424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Plan Category</w:t>
            </w:r>
          </w:p>
        </w:tc>
        <w:tc>
          <w:tcPr>
            <w:tcW w:w="120" w:type="dxa"/>
            <w:vAlign w:val="bottom"/>
            <w:vMerge w:val="restart"/>
          </w:tcPr>
          <w:p>
            <w:pPr>
              <w:spacing w:after="0"/>
              <w:rPr>
                <w:sz w:val="6"/>
                <w:szCs w:val="6"/>
                <w:color w:val="auto"/>
              </w:rPr>
            </w:pPr>
          </w:p>
        </w:tc>
        <w:tc>
          <w:tcPr>
            <w:tcW w:w="2380" w:type="dxa"/>
            <w:vAlign w:val="bottom"/>
            <w:gridSpan w:val="2"/>
            <w:vMerge w:val="continue"/>
          </w:tcPr>
          <w:p>
            <w:pPr>
              <w:spacing w:after="0"/>
              <w:rPr>
                <w:sz w:val="6"/>
                <w:szCs w:val="6"/>
                <w:color w:val="auto"/>
              </w:rPr>
            </w:pPr>
          </w:p>
        </w:tc>
        <w:tc>
          <w:tcPr>
            <w:tcW w:w="240" w:type="dxa"/>
            <w:vAlign w:val="bottom"/>
          </w:tcPr>
          <w:p>
            <w:pPr>
              <w:spacing w:after="0"/>
              <w:rPr>
                <w:sz w:val="6"/>
                <w:szCs w:val="6"/>
                <w:color w:val="auto"/>
              </w:rPr>
            </w:pPr>
          </w:p>
        </w:tc>
        <w:tc>
          <w:tcPr>
            <w:tcW w:w="2060" w:type="dxa"/>
            <w:vAlign w:val="bottom"/>
            <w:vMerge w:val="restart"/>
          </w:tcPr>
          <w:p>
            <w:pPr>
              <w:jc w:val="center"/>
              <w:ind w:right="196"/>
              <w:spacing w:after="0"/>
              <w:rPr>
                <w:sz w:val="20"/>
                <w:szCs w:val="20"/>
                <w:color w:val="auto"/>
              </w:rPr>
            </w:pPr>
            <w:r>
              <w:rPr>
                <w:rFonts w:ascii="Arial" w:cs="Arial" w:eastAsia="Arial" w:hAnsi="Arial"/>
                <w:sz w:val="16"/>
                <w:szCs w:val="16"/>
                <w:b w:val="1"/>
                <w:bCs w:val="1"/>
                <w:color w:val="auto"/>
              </w:rPr>
              <w:t>Stock Units) ($)</w:t>
            </w:r>
          </w:p>
        </w:tc>
        <w:tc>
          <w:tcPr>
            <w:tcW w:w="120" w:type="dxa"/>
            <w:vAlign w:val="bottom"/>
            <w:vMerge w:val="restart"/>
          </w:tcPr>
          <w:p>
            <w:pPr>
              <w:spacing w:after="0"/>
              <w:rPr>
                <w:sz w:val="6"/>
                <w:szCs w:val="6"/>
                <w:color w:val="auto"/>
              </w:rPr>
            </w:pPr>
          </w:p>
        </w:tc>
        <w:tc>
          <w:tcPr>
            <w:tcW w:w="2260" w:type="dxa"/>
            <w:vAlign w:val="bottom"/>
            <w:vMerge w:val="restart"/>
          </w:tcPr>
          <w:p>
            <w:pPr>
              <w:jc w:val="center"/>
              <w:spacing w:after="0" w:line="234" w:lineRule="exact"/>
              <w:rPr>
                <w:sz w:val="20"/>
                <w:szCs w:val="20"/>
                <w:color w:val="auto"/>
              </w:rPr>
            </w:pPr>
            <w:r>
              <w:rPr>
                <w:rFonts w:ascii="Arial" w:cs="Arial" w:eastAsia="Arial" w:hAnsi="Arial"/>
                <w:sz w:val="16"/>
                <w:szCs w:val="16"/>
                <w:b w:val="1"/>
                <w:bCs w:val="1"/>
                <w:color w:val="auto"/>
                <w:w w:val="99"/>
              </w:rPr>
              <w:t xml:space="preserve">Reflected in First Column) </w:t>
            </w:r>
            <w:r>
              <w:rPr>
                <w:rFonts w:ascii="Arial" w:cs="Arial" w:eastAsia="Arial" w:hAnsi="Arial"/>
                <w:sz w:val="21"/>
                <w:szCs w:val="21"/>
                <w:b w:val="1"/>
                <w:bCs w:val="1"/>
                <w:color w:val="auto"/>
                <w:w w:val="99"/>
                <w:vertAlign w:val="superscript"/>
              </w:rPr>
              <w:t>(b)</w:t>
            </w:r>
          </w:p>
        </w:tc>
        <w:tc>
          <w:tcPr>
            <w:tcW w:w="0" w:type="dxa"/>
            <w:vAlign w:val="bottom"/>
          </w:tcPr>
          <w:p>
            <w:pPr>
              <w:spacing w:after="0"/>
              <w:rPr>
                <w:sz w:val="1"/>
                <w:szCs w:val="1"/>
                <w:color w:val="auto"/>
              </w:rPr>
            </w:pPr>
          </w:p>
        </w:tc>
      </w:tr>
      <w:tr>
        <w:trPr>
          <w:trHeight w:val="164"/>
        </w:trPr>
        <w:tc>
          <w:tcPr>
            <w:tcW w:w="424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vMerge w:val="continue"/>
          </w:tcPr>
          <w:p>
            <w:pPr>
              <w:spacing w:after="0"/>
              <w:rPr>
                <w:sz w:val="14"/>
                <w:szCs w:val="14"/>
                <w:color w:val="auto"/>
              </w:rPr>
            </w:pPr>
          </w:p>
        </w:tc>
        <w:tc>
          <w:tcPr>
            <w:tcW w:w="22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8"/>
              </w:rPr>
              <w:t>(a)</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vMerge w:val="continue"/>
          </w:tcPr>
          <w:p>
            <w:pPr>
              <w:spacing w:after="0"/>
              <w:rPr>
                <w:sz w:val="14"/>
                <w:szCs w:val="14"/>
                <w:color w:val="auto"/>
              </w:rPr>
            </w:pPr>
          </w:p>
        </w:tc>
        <w:tc>
          <w:tcPr>
            <w:tcW w:w="22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43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Equity compensation plans approved by security</w:t>
            </w:r>
          </w:p>
        </w:tc>
        <w:tc>
          <w:tcPr>
            <w:tcW w:w="2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holders</w:t>
            </w:r>
          </w:p>
        </w:tc>
        <w:tc>
          <w:tcPr>
            <w:tcW w:w="228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2,850,348</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7.08</w:t>
            </w:r>
          </w:p>
        </w:tc>
        <w:tc>
          <w:tcPr>
            <w:tcW w:w="120" w:type="dxa"/>
            <w:vAlign w:val="bottom"/>
            <w:shd w:val="clear" w:color="auto" w:fill="CCEEFF"/>
          </w:tcPr>
          <w:p>
            <w:pPr>
              <w:spacing w:after="0"/>
              <w:rPr>
                <w:sz w:val="20"/>
                <w:szCs w:val="20"/>
                <w:color w:val="auto"/>
              </w:rPr>
            </w:pPr>
          </w:p>
        </w:tc>
        <w:tc>
          <w:tcPr>
            <w:tcW w:w="22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6,427,576</w:t>
            </w:r>
          </w:p>
        </w:tc>
        <w:tc>
          <w:tcPr>
            <w:tcW w:w="0" w:type="dxa"/>
            <w:vAlign w:val="bottom"/>
          </w:tcPr>
          <w:p>
            <w:pPr>
              <w:spacing w:after="0"/>
              <w:rPr>
                <w:sz w:val="1"/>
                <w:szCs w:val="1"/>
                <w:color w:val="auto"/>
              </w:rPr>
            </w:pPr>
          </w:p>
        </w:tc>
      </w:tr>
      <w:tr>
        <w:trPr>
          <w:trHeight w:val="229"/>
        </w:trPr>
        <w:tc>
          <w:tcPr>
            <w:tcW w:w="4360" w:type="dxa"/>
            <w:vAlign w:val="bottom"/>
            <w:gridSpan w:val="2"/>
          </w:tcPr>
          <w:p>
            <w:pPr>
              <w:ind w:left="40"/>
              <w:spacing w:after="0"/>
              <w:rPr>
                <w:sz w:val="20"/>
                <w:szCs w:val="20"/>
                <w:color w:val="auto"/>
              </w:rPr>
            </w:pPr>
            <w:r>
              <w:rPr>
                <w:rFonts w:ascii="Arial" w:cs="Arial" w:eastAsia="Arial" w:hAnsi="Arial"/>
                <w:sz w:val="18"/>
                <w:szCs w:val="18"/>
                <w:color w:val="auto"/>
              </w:rPr>
              <w:t>Equity compensation plans not approved by security</w:t>
            </w:r>
          </w:p>
        </w:tc>
        <w:tc>
          <w:tcPr>
            <w:tcW w:w="2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360" w:type="dxa"/>
            <w:vAlign w:val="bottom"/>
            <w:gridSpan w:val="2"/>
          </w:tcPr>
          <w:p>
            <w:pPr>
              <w:ind w:left="40"/>
              <w:spacing w:after="0"/>
              <w:rPr>
                <w:sz w:val="20"/>
                <w:szCs w:val="20"/>
                <w:color w:val="auto"/>
              </w:rPr>
            </w:pPr>
            <w:r>
              <w:rPr>
                <w:rFonts w:ascii="Arial" w:cs="Arial" w:eastAsia="Arial" w:hAnsi="Arial"/>
                <w:sz w:val="18"/>
                <w:szCs w:val="18"/>
                <w:color w:val="auto"/>
              </w:rPr>
              <w:t>holders</w:t>
            </w:r>
          </w:p>
        </w:tc>
        <w:tc>
          <w:tcPr>
            <w:tcW w:w="2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6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4360" w:type="dxa"/>
            <w:vAlign w:val="bottom"/>
            <w:tcBorders>
              <w:top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28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2,850,348</w:t>
            </w:r>
          </w:p>
        </w:tc>
        <w:tc>
          <w:tcPr>
            <w:tcW w:w="10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6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7.08</w:t>
            </w:r>
          </w:p>
        </w:tc>
        <w:tc>
          <w:tcPr>
            <w:tcW w:w="120" w:type="dxa"/>
            <w:vAlign w:val="bottom"/>
            <w:tcBorders>
              <w:top w:val="single" w:sz="8" w:color="CCEEFF"/>
            </w:tcBorders>
            <w:shd w:val="clear" w:color="auto" w:fill="CCEEFF"/>
          </w:tcPr>
          <w:p>
            <w:pPr>
              <w:spacing w:after="0"/>
              <w:rPr>
                <w:sz w:val="22"/>
                <w:szCs w:val="22"/>
                <w:color w:val="auto"/>
              </w:rPr>
            </w:pPr>
          </w:p>
        </w:tc>
        <w:tc>
          <w:tcPr>
            <w:tcW w:w="226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6,427,576</w:t>
            </w:r>
          </w:p>
        </w:tc>
        <w:tc>
          <w:tcPr>
            <w:tcW w:w="0" w:type="dxa"/>
            <w:vAlign w:val="bottom"/>
          </w:tcPr>
          <w:p>
            <w:pPr>
              <w:spacing w:after="0"/>
              <w:rPr>
                <w:sz w:val="1"/>
                <w:szCs w:val="1"/>
                <w:color w:val="auto"/>
              </w:rPr>
            </w:pPr>
          </w:p>
        </w:tc>
      </w:tr>
      <w:tr>
        <w:trPr>
          <w:trHeight w:val="186"/>
        </w:trPr>
        <w:tc>
          <w:tcPr>
            <w:tcW w:w="4240" w:type="dxa"/>
            <w:vAlign w:val="bottom"/>
          </w:tcPr>
          <w:p>
            <w:pPr>
              <w:spacing w:after="0"/>
              <w:rPr>
                <w:sz w:val="20"/>
                <w:szCs w:val="20"/>
                <w:color w:val="auto"/>
              </w:rPr>
            </w:pPr>
            <w:r>
              <w:rPr>
                <w:rFonts w:ascii="Arial" w:cs="Arial" w:eastAsia="Arial" w:hAnsi="Arial"/>
                <w:sz w:val="16"/>
                <w:szCs w:val="16"/>
                <w:color w:val="auto"/>
              </w:rPr>
              <w:t>__________</w:t>
            </w:r>
          </w:p>
        </w:tc>
        <w:tc>
          <w:tcPr>
            <w:tcW w:w="12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460" w:hanging="452"/>
        <w:spacing w:after="0" w:line="189" w:lineRule="auto"/>
        <w:tabs>
          <w:tab w:leader="none" w:pos="460" w:val="left"/>
        </w:tabs>
        <w:numPr>
          <w:ilvl w:val="0"/>
          <w:numId w:val="30"/>
        </w:numPr>
        <w:rPr>
          <w:rFonts w:ascii="Arial" w:cs="Arial" w:eastAsia="Arial" w:hAnsi="Arial"/>
          <w:sz w:val="22"/>
          <w:szCs w:val="22"/>
          <w:color w:val="auto"/>
          <w:vertAlign w:val="superscript"/>
        </w:rPr>
      </w:pPr>
      <w:r>
        <w:rPr>
          <w:rFonts w:ascii="Arial" w:cs="Arial" w:eastAsia="Arial" w:hAnsi="Arial"/>
          <w:sz w:val="16"/>
          <w:szCs w:val="16"/>
          <w:color w:val="auto"/>
        </w:rPr>
        <w:t>Includes options and other awards granted under the Amended and Restated Equity and Incentive Plan, which plan was approved by stockholders.</w:t>
      </w:r>
    </w:p>
    <w:p>
      <w:pPr>
        <w:spacing w:after="0" w:line="235" w:lineRule="exact"/>
        <w:rPr>
          <w:rFonts w:ascii="Arial" w:cs="Arial" w:eastAsia="Arial" w:hAnsi="Arial"/>
          <w:sz w:val="22"/>
          <w:szCs w:val="22"/>
          <w:color w:val="auto"/>
          <w:vertAlign w:val="superscript"/>
        </w:rPr>
      </w:pPr>
    </w:p>
    <w:p>
      <w:pPr>
        <w:ind w:left="5620"/>
        <w:spacing w:after="0"/>
        <w:rPr>
          <w:rFonts w:ascii="Arial" w:cs="Arial" w:eastAsia="Arial" w:hAnsi="Arial"/>
          <w:sz w:val="22"/>
          <w:szCs w:val="22"/>
          <w:color w:val="auto"/>
          <w:vertAlign w:val="superscript"/>
        </w:rPr>
      </w:pPr>
      <w:r>
        <w:rPr>
          <w:rFonts w:ascii="Arial" w:cs="Arial" w:eastAsia="Arial" w:hAnsi="Arial"/>
          <w:sz w:val="18"/>
          <w:szCs w:val="18"/>
          <w:color w:val="auto"/>
        </w:rPr>
        <w:t>39</w:t>
      </w:r>
    </w:p>
    <w:p>
      <w:pPr>
        <w:sectPr>
          <w:pgSz w:w="11900" w:h="16838" w:orient="portrait"/>
          <w:cols w:equalWidth="0" w:num="1">
            <w:col w:w="11420"/>
          </w:cols>
          <w:pgMar w:left="240" w:top="140"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4" w:lineRule="exact"/>
        <w:rPr>
          <w:sz w:val="20"/>
          <w:szCs w:val="20"/>
          <w:color w:val="auto"/>
        </w:rPr>
      </w:pPr>
    </w:p>
    <w:p>
      <w:pPr>
        <w:ind w:left="460" w:right="360" w:hanging="452"/>
        <w:spacing w:after="0" w:line="210" w:lineRule="auto"/>
        <w:tabs>
          <w:tab w:leader="none" w:pos="460" w:val="left"/>
        </w:tabs>
        <w:numPr>
          <w:ilvl w:val="0"/>
          <w:numId w:val="31"/>
        </w:numPr>
        <w:rPr>
          <w:rFonts w:ascii="Arial" w:cs="Arial" w:eastAsia="Arial" w:hAnsi="Arial"/>
          <w:sz w:val="22"/>
          <w:szCs w:val="22"/>
          <w:color w:val="auto"/>
          <w:vertAlign w:val="superscript"/>
        </w:rPr>
      </w:pPr>
      <w:r>
        <w:rPr>
          <w:rFonts w:ascii="Arial" w:cs="Arial" w:eastAsia="Arial" w:hAnsi="Arial"/>
          <w:sz w:val="16"/>
          <w:szCs w:val="16"/>
          <w:color w:val="auto"/>
        </w:rPr>
        <w:t>Represents 3,995,921 shares available for issuance under the Amended and Restated Equity and Incentive Plan and 2,431,655 shares available for issuance pursuant to the 2009 Employee Stock Purchase Plan.</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ISSUER PURCHASES OF EQUITY SECURITIES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Company’s common stock repurchases by month for the quarter ended December 31, 2017:</w:t>
      </w:r>
    </w:p>
    <w:p>
      <w:pPr>
        <w:sectPr>
          <w:pgSz w:w="11900" w:h="16838" w:orient="portrait"/>
          <w:cols w:equalWidth="0" w:num="1">
            <w:col w:w="11420"/>
          </w:cols>
          <w:pgMar w:left="240" w:top="14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Period</w:t>
      </w:r>
    </w:p>
    <w:p>
      <w:pPr>
        <w:spacing w:after="0" w:line="85" w:lineRule="exact"/>
        <w:rPr>
          <w:sz w:val="20"/>
          <w:szCs w:val="20"/>
          <w:color w:val="auto"/>
        </w:rPr>
      </w:pPr>
    </w:p>
    <w:p>
      <w:pPr>
        <w:ind w:left="40"/>
        <w:spacing w:after="0"/>
        <w:rPr>
          <w:sz w:val="20"/>
          <w:szCs w:val="20"/>
          <w:color w:val="auto"/>
        </w:rPr>
      </w:pPr>
      <w:r>
        <w:rPr>
          <w:rFonts w:ascii="Arial" w:cs="Arial" w:eastAsia="Arial" w:hAnsi="Arial"/>
          <w:sz w:val="18"/>
          <w:szCs w:val="18"/>
          <w:color w:val="auto"/>
        </w:rPr>
        <w:t>October 2017</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7"/>
          <w:szCs w:val="17"/>
          <w:color w:val="auto"/>
        </w:rPr>
        <w:t>November 2017</w:t>
      </w:r>
    </w:p>
    <w:p>
      <w:pPr>
        <w:spacing w:after="0" w:line="75" w:lineRule="exact"/>
        <w:rPr>
          <w:sz w:val="20"/>
          <w:szCs w:val="20"/>
          <w:color w:val="auto"/>
        </w:rPr>
      </w:pPr>
    </w:p>
    <w:p>
      <w:pPr>
        <w:ind w:left="40"/>
        <w:spacing w:after="0"/>
        <w:rPr>
          <w:sz w:val="20"/>
          <w:szCs w:val="20"/>
          <w:color w:val="auto"/>
        </w:rPr>
      </w:pPr>
      <w:r>
        <w:rPr>
          <w:rFonts w:ascii="Arial" w:cs="Arial" w:eastAsia="Arial" w:hAnsi="Arial"/>
          <w:sz w:val="17"/>
          <w:szCs w:val="17"/>
          <w:color w:val="auto"/>
        </w:rPr>
        <w:t>December 2017</w:t>
      </w:r>
    </w:p>
    <w:p>
      <w:pPr>
        <w:spacing w:after="0" w:line="6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Total</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________</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1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Arial" w:cs="Arial" w:eastAsia="Arial" w:hAnsi="Arial"/>
                <w:sz w:val="18"/>
                <w:szCs w:val="18"/>
                <w:b w:val="1"/>
                <w:bCs w:val="1"/>
                <w:color w:val="auto"/>
                <w:w w:val="99"/>
              </w:rPr>
              <w:t>Total Number of</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20" w:type="dxa"/>
            <w:vAlign w:val="bottom"/>
          </w:tcPr>
          <w:p>
            <w:pPr>
              <w:jc w:val="center"/>
              <w:ind w:right="130"/>
              <w:spacing w:after="0"/>
              <w:rPr>
                <w:sz w:val="20"/>
                <w:szCs w:val="20"/>
                <w:color w:val="auto"/>
              </w:rPr>
            </w:pPr>
            <w:r>
              <w:rPr>
                <w:rFonts w:ascii="Arial" w:cs="Arial" w:eastAsia="Arial" w:hAnsi="Arial"/>
                <w:sz w:val="18"/>
                <w:szCs w:val="18"/>
                <w:b w:val="1"/>
                <w:bCs w:val="1"/>
                <w:color w:val="auto"/>
                <w:w w:val="98"/>
              </w:rPr>
              <w:t>Dollar Value of</w:t>
            </w:r>
          </w:p>
        </w:tc>
      </w:tr>
      <w:tr>
        <w:trPr>
          <w:trHeight w:val="203"/>
        </w:trPr>
        <w:tc>
          <w:tcPr>
            <w:tcW w:w="1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2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rPr>
              <w:t>Shares Purchased</w:t>
            </w:r>
          </w:p>
        </w:tc>
        <w:tc>
          <w:tcPr>
            <w:tcW w:w="100" w:type="dxa"/>
            <w:vAlign w:val="bottom"/>
          </w:tcPr>
          <w:p>
            <w:pPr>
              <w:spacing w:after="0"/>
              <w:rPr>
                <w:sz w:val="17"/>
                <w:szCs w:val="17"/>
                <w:color w:val="auto"/>
              </w:rPr>
            </w:pPr>
          </w:p>
        </w:tc>
        <w:tc>
          <w:tcPr>
            <w:tcW w:w="1840" w:type="dxa"/>
            <w:vAlign w:val="bottom"/>
            <w:gridSpan w:val="2"/>
          </w:tcPr>
          <w:p>
            <w:pPr>
              <w:jc w:val="center"/>
              <w:spacing w:after="0" w:line="202" w:lineRule="exact"/>
              <w:rPr>
                <w:sz w:val="20"/>
                <w:szCs w:val="20"/>
                <w:color w:val="auto"/>
              </w:rPr>
            </w:pPr>
            <w:r>
              <w:rPr>
                <w:rFonts w:ascii="Arial" w:cs="Arial" w:eastAsia="Arial" w:hAnsi="Arial"/>
                <w:sz w:val="18"/>
                <w:szCs w:val="18"/>
                <w:b w:val="1"/>
                <w:bCs w:val="1"/>
                <w:color w:val="auto"/>
                <w:w w:val="99"/>
              </w:rPr>
              <w:t>Shares That May Yet</w:t>
            </w:r>
          </w:p>
        </w:tc>
      </w:tr>
      <w:tr>
        <w:trPr>
          <w:trHeight w:val="203"/>
        </w:trPr>
        <w:tc>
          <w:tcPr>
            <w:tcW w:w="1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2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as Part of Publicly</w:t>
            </w:r>
          </w:p>
        </w:tc>
        <w:tc>
          <w:tcPr>
            <w:tcW w:w="100" w:type="dxa"/>
            <w:vAlign w:val="bottom"/>
          </w:tcPr>
          <w:p>
            <w:pPr>
              <w:spacing w:after="0"/>
              <w:rPr>
                <w:sz w:val="17"/>
                <w:szCs w:val="17"/>
                <w:color w:val="auto"/>
              </w:rPr>
            </w:pPr>
          </w:p>
        </w:tc>
        <w:tc>
          <w:tcPr>
            <w:tcW w:w="1840" w:type="dxa"/>
            <w:vAlign w:val="bottom"/>
            <w:gridSpan w:val="2"/>
          </w:tcPr>
          <w:p>
            <w:pPr>
              <w:jc w:val="center"/>
              <w:spacing w:after="0" w:line="202" w:lineRule="exact"/>
              <w:rPr>
                <w:sz w:val="20"/>
                <w:szCs w:val="20"/>
                <w:color w:val="auto"/>
              </w:rPr>
            </w:pPr>
            <w:r>
              <w:rPr>
                <w:rFonts w:ascii="Arial" w:cs="Arial" w:eastAsia="Arial" w:hAnsi="Arial"/>
                <w:sz w:val="18"/>
                <w:szCs w:val="18"/>
                <w:b w:val="1"/>
                <w:bCs w:val="1"/>
                <w:color w:val="auto"/>
              </w:rPr>
              <w:t>Be Purchased under</w:t>
            </w:r>
          </w:p>
        </w:tc>
      </w:tr>
      <w:tr>
        <w:trPr>
          <w:trHeight w:val="203"/>
        </w:trPr>
        <w:tc>
          <w:tcPr>
            <w:tcW w:w="1840" w:type="dxa"/>
            <w:vAlign w:val="bottom"/>
          </w:tcPr>
          <w:p>
            <w:pPr>
              <w:jc w:val="right"/>
              <w:ind w:right="150"/>
              <w:spacing w:after="0" w:line="202" w:lineRule="exact"/>
              <w:rPr>
                <w:sz w:val="20"/>
                <w:szCs w:val="20"/>
                <w:color w:val="auto"/>
              </w:rPr>
            </w:pPr>
            <w:r>
              <w:rPr>
                <w:rFonts w:ascii="Arial" w:cs="Arial" w:eastAsia="Arial" w:hAnsi="Arial"/>
                <w:sz w:val="18"/>
                <w:szCs w:val="18"/>
                <w:b w:val="1"/>
                <w:bCs w:val="1"/>
                <w:color w:val="auto"/>
              </w:rPr>
              <w:t>Total Number of</w:t>
            </w:r>
          </w:p>
        </w:tc>
        <w:tc>
          <w:tcPr>
            <w:tcW w:w="100" w:type="dxa"/>
            <w:vAlign w:val="bottom"/>
          </w:tcPr>
          <w:p>
            <w:pPr>
              <w:spacing w:after="0"/>
              <w:rPr>
                <w:sz w:val="17"/>
                <w:szCs w:val="17"/>
                <w:color w:val="auto"/>
              </w:rPr>
            </w:pPr>
          </w:p>
        </w:tc>
        <w:tc>
          <w:tcPr>
            <w:tcW w:w="1940" w:type="dxa"/>
            <w:vAlign w:val="bottom"/>
            <w:gridSpan w:val="3"/>
          </w:tcPr>
          <w:p>
            <w:pPr>
              <w:jc w:val="right"/>
              <w:ind w:right="200"/>
              <w:spacing w:after="0" w:line="202" w:lineRule="exact"/>
              <w:rPr>
                <w:sz w:val="20"/>
                <w:szCs w:val="20"/>
                <w:color w:val="auto"/>
              </w:rPr>
            </w:pPr>
            <w:r>
              <w:rPr>
                <w:rFonts w:ascii="Arial" w:cs="Arial" w:eastAsia="Arial" w:hAnsi="Arial"/>
                <w:sz w:val="18"/>
                <w:szCs w:val="18"/>
                <w:b w:val="1"/>
                <w:bCs w:val="1"/>
                <w:color w:val="auto"/>
              </w:rPr>
              <w:t>Average Price Paid</w:t>
            </w:r>
          </w:p>
        </w:tc>
        <w:tc>
          <w:tcPr>
            <w:tcW w:w="182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Announced Plans or</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20" w:type="dxa"/>
            <w:vAlign w:val="bottom"/>
          </w:tcPr>
          <w:p>
            <w:pPr>
              <w:jc w:val="center"/>
              <w:ind w:right="130"/>
              <w:spacing w:after="0" w:line="202" w:lineRule="exact"/>
              <w:rPr>
                <w:sz w:val="20"/>
                <w:szCs w:val="20"/>
                <w:color w:val="auto"/>
              </w:rPr>
            </w:pPr>
            <w:r>
              <w:rPr>
                <w:rFonts w:ascii="Arial" w:cs="Arial" w:eastAsia="Arial" w:hAnsi="Arial"/>
                <w:sz w:val="18"/>
                <w:szCs w:val="18"/>
                <w:b w:val="1"/>
                <w:bCs w:val="1"/>
                <w:color w:val="auto"/>
              </w:rPr>
              <w:t>the Plans or</w:t>
            </w:r>
          </w:p>
        </w:tc>
      </w:tr>
      <w:tr>
        <w:trPr>
          <w:trHeight w:val="296"/>
        </w:trPr>
        <w:tc>
          <w:tcPr>
            <w:tcW w:w="1840" w:type="dxa"/>
            <w:vAlign w:val="bottom"/>
          </w:tcPr>
          <w:p>
            <w:pPr>
              <w:jc w:val="right"/>
              <w:spacing w:after="0"/>
              <w:rPr>
                <w:sz w:val="20"/>
                <w:szCs w:val="20"/>
                <w:color w:val="auto"/>
              </w:rPr>
            </w:pPr>
            <w:r>
              <w:rPr>
                <w:rFonts w:ascii="Arial" w:cs="Arial" w:eastAsia="Arial" w:hAnsi="Arial"/>
                <w:sz w:val="18"/>
                <w:szCs w:val="18"/>
                <w:b w:val="1"/>
                <w:bCs w:val="1"/>
                <w:color w:val="auto"/>
              </w:rPr>
              <w:t>Shares Purchased</w:t>
            </w:r>
            <w:r>
              <w:rPr>
                <w:rFonts w:ascii="Arial" w:cs="Arial" w:eastAsia="Arial" w:hAnsi="Arial"/>
                <w:sz w:val="21"/>
                <w:szCs w:val="21"/>
                <w:b w:val="1"/>
                <w:bCs w:val="1"/>
                <w:color w:val="auto"/>
                <w:vertAlign w:val="superscript"/>
              </w:rPr>
              <w:t>(a)</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20" w:type="dxa"/>
            <w:vAlign w:val="bottom"/>
            <w:gridSpan w:val="2"/>
          </w:tcPr>
          <w:p>
            <w:pPr>
              <w:ind w:left="180"/>
              <w:spacing w:after="0"/>
              <w:rPr>
                <w:sz w:val="20"/>
                <w:szCs w:val="20"/>
                <w:color w:val="auto"/>
              </w:rPr>
            </w:pPr>
            <w:r>
              <w:rPr>
                <w:rFonts w:ascii="Arial" w:cs="Arial" w:eastAsia="Arial" w:hAnsi="Arial"/>
                <w:sz w:val="18"/>
                <w:szCs w:val="18"/>
                <w:b w:val="1"/>
                <w:bCs w:val="1"/>
                <w:color w:val="auto"/>
              </w:rPr>
              <w:t>per Share</w:t>
            </w:r>
          </w:p>
        </w:tc>
        <w:tc>
          <w:tcPr>
            <w:tcW w:w="1820" w:type="dxa"/>
            <w:vAlign w:val="bottom"/>
          </w:tcPr>
          <w:p>
            <w:pPr>
              <w:jc w:val="center"/>
              <w:spacing w:after="0"/>
              <w:rPr>
                <w:sz w:val="20"/>
                <w:szCs w:val="20"/>
                <w:color w:val="auto"/>
              </w:rPr>
            </w:pPr>
            <w:r>
              <w:rPr>
                <w:rFonts w:ascii="Arial" w:cs="Arial" w:eastAsia="Arial" w:hAnsi="Arial"/>
                <w:sz w:val="18"/>
                <w:szCs w:val="18"/>
                <w:b w:val="1"/>
                <w:bCs w:val="1"/>
                <w:color w:val="auto"/>
                <w:w w:val="99"/>
              </w:rPr>
              <w:t>Programs</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20" w:type="dxa"/>
            <w:vAlign w:val="bottom"/>
          </w:tcPr>
          <w:p>
            <w:pPr>
              <w:jc w:val="center"/>
              <w:ind w:right="130"/>
              <w:spacing w:after="0"/>
              <w:rPr>
                <w:sz w:val="20"/>
                <w:szCs w:val="20"/>
                <w:color w:val="auto"/>
              </w:rPr>
            </w:pPr>
            <w:r>
              <w:rPr>
                <w:rFonts w:ascii="Arial" w:cs="Arial" w:eastAsia="Arial" w:hAnsi="Arial"/>
                <w:sz w:val="18"/>
                <w:szCs w:val="18"/>
                <w:b w:val="1"/>
                <w:bCs w:val="1"/>
                <w:color w:val="auto"/>
                <w:w w:val="99"/>
              </w:rPr>
              <w:t>Programs</w:t>
            </w:r>
          </w:p>
        </w:tc>
      </w:tr>
      <w:tr>
        <w:trPr>
          <w:trHeight w:val="37"/>
        </w:trPr>
        <w:tc>
          <w:tcPr>
            <w:tcW w:w="18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8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r>
      <w:tr>
        <w:trPr>
          <w:trHeight w:val="237"/>
        </w:trPr>
        <w:tc>
          <w:tcPr>
            <w:tcW w:w="1840" w:type="dxa"/>
            <w:vAlign w:val="bottom"/>
          </w:tcPr>
          <w:p>
            <w:pPr>
              <w:jc w:val="right"/>
              <w:ind w:right="30"/>
              <w:spacing w:after="0"/>
              <w:rPr>
                <w:sz w:val="20"/>
                <w:szCs w:val="20"/>
                <w:color w:val="auto"/>
              </w:rPr>
            </w:pPr>
            <w:r>
              <w:rPr>
                <w:rFonts w:ascii="Arial" w:cs="Arial" w:eastAsia="Arial" w:hAnsi="Arial"/>
                <w:sz w:val="18"/>
                <w:szCs w:val="18"/>
                <w:color w:val="auto"/>
              </w:rPr>
              <w:t>845,967</w:t>
            </w:r>
          </w:p>
        </w:tc>
        <w:tc>
          <w:tcPr>
            <w:tcW w:w="42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40.14</w:t>
            </w:r>
          </w:p>
        </w:tc>
        <w:tc>
          <w:tcPr>
            <w:tcW w:w="100" w:type="dxa"/>
            <w:vAlign w:val="bottom"/>
          </w:tcPr>
          <w:p>
            <w:pPr>
              <w:spacing w:after="0"/>
              <w:rPr>
                <w:sz w:val="20"/>
                <w:szCs w:val="20"/>
                <w:color w:val="auto"/>
              </w:rPr>
            </w:pPr>
          </w:p>
        </w:tc>
        <w:tc>
          <w:tcPr>
            <w:tcW w:w="1820" w:type="dxa"/>
            <w:vAlign w:val="bottom"/>
          </w:tcPr>
          <w:p>
            <w:pPr>
              <w:jc w:val="right"/>
              <w:ind w:right="30"/>
              <w:spacing w:after="0"/>
              <w:rPr>
                <w:sz w:val="20"/>
                <w:szCs w:val="20"/>
                <w:color w:val="auto"/>
              </w:rPr>
            </w:pPr>
            <w:r>
              <w:rPr>
                <w:rFonts w:ascii="Arial" w:cs="Arial" w:eastAsia="Arial" w:hAnsi="Arial"/>
                <w:sz w:val="18"/>
                <w:szCs w:val="18"/>
                <w:color w:val="auto"/>
              </w:rPr>
              <w:t>845,967</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139,791,098</w:t>
            </w:r>
          </w:p>
        </w:tc>
      </w:tr>
      <w:tr>
        <w:trPr>
          <w:trHeight w:val="270"/>
        </w:trPr>
        <w:tc>
          <w:tcPr>
            <w:tcW w:w="1840" w:type="dxa"/>
            <w:vAlign w:val="bottom"/>
          </w:tcPr>
          <w:p>
            <w:pPr>
              <w:jc w:val="right"/>
              <w:ind w:right="30"/>
              <w:spacing w:after="0"/>
              <w:rPr>
                <w:sz w:val="20"/>
                <w:szCs w:val="20"/>
                <w:color w:val="auto"/>
              </w:rPr>
            </w:pPr>
            <w:r>
              <w:rPr>
                <w:rFonts w:ascii="Arial" w:cs="Arial" w:eastAsia="Arial" w:hAnsi="Arial"/>
                <w:sz w:val="18"/>
                <w:szCs w:val="18"/>
                <w:color w:val="auto"/>
              </w:rPr>
              <w:t>538,577</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35.56</w:t>
            </w:r>
          </w:p>
        </w:tc>
        <w:tc>
          <w:tcPr>
            <w:tcW w:w="100" w:type="dxa"/>
            <w:vAlign w:val="bottom"/>
          </w:tcPr>
          <w:p>
            <w:pPr>
              <w:spacing w:after="0"/>
              <w:rPr>
                <w:sz w:val="23"/>
                <w:szCs w:val="23"/>
                <w:color w:val="auto"/>
              </w:rPr>
            </w:pPr>
          </w:p>
        </w:tc>
        <w:tc>
          <w:tcPr>
            <w:tcW w:w="1820" w:type="dxa"/>
            <w:vAlign w:val="bottom"/>
          </w:tcPr>
          <w:p>
            <w:pPr>
              <w:jc w:val="right"/>
              <w:ind w:right="30"/>
              <w:spacing w:after="0"/>
              <w:rPr>
                <w:sz w:val="20"/>
                <w:szCs w:val="20"/>
                <w:color w:val="auto"/>
              </w:rPr>
            </w:pPr>
            <w:r>
              <w:rPr>
                <w:rFonts w:ascii="Arial" w:cs="Arial" w:eastAsia="Arial" w:hAnsi="Arial"/>
                <w:sz w:val="18"/>
                <w:szCs w:val="18"/>
                <w:color w:val="auto"/>
              </w:rPr>
              <w:t>538,577</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120,641,379</w:t>
            </w:r>
          </w:p>
        </w:tc>
      </w:tr>
      <w:tr>
        <w:trPr>
          <w:trHeight w:val="277"/>
        </w:trPr>
        <w:tc>
          <w:tcPr>
            <w:tcW w:w="1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464,984</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43.31</w:t>
            </w:r>
          </w:p>
        </w:tc>
        <w:tc>
          <w:tcPr>
            <w:tcW w:w="100" w:type="dxa"/>
            <w:vAlign w:val="bottom"/>
          </w:tcPr>
          <w:p>
            <w:pPr>
              <w:spacing w:after="0"/>
              <w:rPr>
                <w:sz w:val="24"/>
                <w:szCs w:val="24"/>
                <w:color w:val="auto"/>
              </w:rPr>
            </w:pPr>
          </w:p>
        </w:tc>
        <w:tc>
          <w:tcPr>
            <w:tcW w:w="18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464,984</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100,501,894</w:t>
            </w:r>
          </w:p>
        </w:tc>
      </w:tr>
      <w:tr>
        <w:trPr>
          <w:trHeight w:val="257"/>
        </w:trPr>
        <w:tc>
          <w:tcPr>
            <w:tcW w:w="1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1,849,528</w:t>
            </w:r>
          </w:p>
        </w:tc>
        <w:tc>
          <w:tcPr>
            <w:tcW w:w="42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39.60</w:t>
            </w:r>
          </w:p>
        </w:tc>
        <w:tc>
          <w:tcPr>
            <w:tcW w:w="100" w:type="dxa"/>
            <w:vAlign w:val="bottom"/>
          </w:tcPr>
          <w:p>
            <w:pPr>
              <w:spacing w:after="0"/>
              <w:rPr>
                <w:sz w:val="22"/>
                <w:szCs w:val="22"/>
                <w:color w:val="auto"/>
              </w:rPr>
            </w:pPr>
          </w:p>
        </w:tc>
        <w:tc>
          <w:tcPr>
            <w:tcW w:w="18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1,849,528</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100,501,894</w:t>
            </w:r>
          </w:p>
        </w:tc>
      </w:tr>
      <w:tr>
        <w:trPr>
          <w:trHeight w:val="20"/>
        </w:trPr>
        <w:tc>
          <w:tcPr>
            <w:tcW w:w="1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-2394585</wp:posOffset>
            </wp:positionH>
            <wp:positionV relativeFrom="paragraph">
              <wp:posOffset>-368300</wp:posOffset>
            </wp:positionV>
            <wp:extent cx="724662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-711200</wp:posOffset>
            </wp:positionV>
            <wp:extent cx="724662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18" w:lineRule="exact"/>
        <w:rPr>
          <w:sz w:val="20"/>
          <w:szCs w:val="20"/>
          <w:color w:val="auto"/>
        </w:rPr>
      </w:pPr>
    </w:p>
    <w:p>
      <w:pPr>
        <w:sectPr>
          <w:pgSz w:w="11900" w:h="16838" w:orient="portrait"/>
          <w:cols w:equalWidth="0" w:num="2">
            <w:col w:w="3060" w:space="720"/>
            <w:col w:w="7640"/>
          </w:cols>
          <w:pgMar w:left="240" w:top="140" w:right="239" w:bottom="1440" w:gutter="0" w:footer="0" w:header="0"/>
          <w:type w:val="continuous"/>
        </w:sectPr>
      </w:pPr>
    </w:p>
    <w:p>
      <w:pPr>
        <w:ind w:left="340" w:right="280" w:hanging="332"/>
        <w:spacing w:after="0" w:line="210" w:lineRule="auto"/>
        <w:tabs>
          <w:tab w:leader="none" w:pos="340" w:val="left"/>
        </w:tabs>
        <w:numPr>
          <w:ilvl w:val="0"/>
          <w:numId w:val="32"/>
        </w:numPr>
        <w:rPr>
          <w:rFonts w:ascii="Arial" w:cs="Arial" w:eastAsia="Arial" w:hAnsi="Arial"/>
          <w:sz w:val="22"/>
          <w:szCs w:val="22"/>
          <w:color w:val="auto"/>
          <w:vertAlign w:val="superscript"/>
        </w:rPr>
      </w:pPr>
      <w:r>
        <w:rPr>
          <w:rFonts w:ascii="Arial" w:cs="Arial" w:eastAsia="Arial" w:hAnsi="Arial"/>
          <w:sz w:val="16"/>
          <w:szCs w:val="16"/>
          <w:color w:val="auto"/>
        </w:rPr>
        <w:t>Excludes, for the three months ended December 31, 2017, 117 shares which were withheld by the Company to satisfy employees’ income tax liabilities attributable to the vesting of restricted stock unit awards.</w:t>
      </w:r>
    </w:p>
    <w:p>
      <w:pPr>
        <w:spacing w:after="0" w:line="182" w:lineRule="exact"/>
        <w:rPr>
          <w:sz w:val="20"/>
          <w:szCs w:val="20"/>
          <w:color w:val="auto"/>
        </w:rPr>
      </w:pPr>
    </w:p>
    <w:p>
      <w:pPr>
        <w:ind w:right="280"/>
        <w:spacing w:after="0" w:line="253" w:lineRule="auto"/>
        <w:rPr>
          <w:sz w:val="20"/>
          <w:szCs w:val="20"/>
          <w:color w:val="auto"/>
        </w:rPr>
      </w:pPr>
      <w:r>
        <w:rPr>
          <w:rFonts w:ascii="Arial" w:cs="Arial" w:eastAsia="Arial" w:hAnsi="Arial"/>
          <w:sz w:val="18"/>
          <w:szCs w:val="18"/>
          <w:color w:val="262626"/>
        </w:rPr>
        <w:t>The Company’s Board of Directors has authorized the repurchase of up to approximately $1.5 billion of its common stock under a plan originally approved in 2013 and subsequently expanded, most recently in 2016. The Company</w:t>
      </w:r>
      <w:r>
        <w:rPr>
          <w:rFonts w:ascii="Arial" w:cs="Arial" w:eastAsia="Arial" w:hAnsi="Arial"/>
          <w:sz w:val="18"/>
          <w:szCs w:val="18"/>
          <w:color w:val="000000"/>
        </w:rPr>
        <w:t>’</w:t>
      </w:r>
      <w:r>
        <w:rPr>
          <w:rFonts w:ascii="Arial" w:cs="Arial" w:eastAsia="Arial" w:hAnsi="Arial"/>
          <w:sz w:val="18"/>
          <w:szCs w:val="18"/>
          <w:color w:val="262626"/>
        </w:rPr>
        <w:t>s stock repurchases may occur through open market purchases or trading plans pursuant to Rule 10b5-1 of the Securities Exchange Act of 1934. The amount and timing of specific repurchases are subject to market conditions, applicable legal requirements and other factors. The repurchase program may be suspended, modified or discontinued at any time without prior notice. The repurchase program has no set expiration or termination date.</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40" w:right="239" w:bottom="1440" w:gutter="0" w:footer="0" w:header="0"/>
          <w:type w:val="continuous"/>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PERFORMANCE GRAPH</w:t>
      </w:r>
    </w:p>
    <w:p>
      <w:pPr>
        <w:spacing w:after="0" w:line="24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Set forth below are a line graph and table comparing the cumulative total stockholder return of our common stock against the cumulative total returns of peer group indices, the S&amp;P 500 Index and the Dow Jones U.S. Transportation Average Index for the period of five fiscal years commencing December 31, 2012 and ending December 31, 2017. The broad equity market indices used by the Company are the S&amp;P 500 Index, which measures the performance of large-sized companies, and the Dow Jones U.S. Transportation Average Index, which measures the performance of transportation companies. The graph and table depict the result of an investment on December 31, 2012 of $100 in the Company’s common stock, the S&amp;P 500 Index and the Dow Jones U.S. Transportation Average Index, including investment of 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5763260" cy="373062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63260" cy="3730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200" w:type="dxa"/>
        <w:tblCellMar>
          <w:top w:w="0" w:type="dxa"/>
          <w:left w:w="0" w:type="dxa"/>
          <w:bottom w:w="0" w:type="dxa"/>
          <w:right w:w="0" w:type="dxa"/>
        </w:tblCellMar>
      </w:tblPr>
      <w:tr>
        <w:trPr>
          <w:trHeight w:val="228"/>
        </w:trPr>
        <w:tc>
          <w:tcPr>
            <w:tcW w:w="32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360" w:type="dxa"/>
            <w:vAlign w:val="bottom"/>
            <w:tcBorders>
              <w:bottom w:val="single" w:sz="8" w:color="auto"/>
            </w:tcBorders>
            <w:gridSpan w:val="5"/>
          </w:tcPr>
          <w:p>
            <w:pPr>
              <w:ind w:left="180"/>
              <w:spacing w:after="0"/>
              <w:rPr>
                <w:sz w:val="20"/>
                <w:szCs w:val="20"/>
                <w:color w:val="auto"/>
              </w:rPr>
            </w:pPr>
            <w:r>
              <w:rPr>
                <w:rFonts w:ascii="Arial" w:cs="Arial" w:eastAsia="Arial" w:hAnsi="Arial"/>
                <w:sz w:val="16"/>
                <w:szCs w:val="16"/>
                <w:b w:val="1"/>
                <w:bCs w:val="1"/>
                <w:color w:val="auto"/>
              </w:rPr>
              <w:t>As of December 31,</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r>
      <w:tr>
        <w:trPr>
          <w:trHeight w:val="250"/>
        </w:trPr>
        <w:tc>
          <w:tcPr>
            <w:tcW w:w="32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2012</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2013</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2014</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2015</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2017</w:t>
            </w:r>
          </w:p>
        </w:tc>
      </w:tr>
      <w:tr>
        <w:trPr>
          <w:trHeight w:val="257"/>
        </w:trPr>
        <w:tc>
          <w:tcPr>
            <w:tcW w:w="3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Avis Budget Group, Inc.</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100.00</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203.94</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334.66</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183.10</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185.07</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221.39</w:t>
            </w:r>
          </w:p>
        </w:tc>
      </w:tr>
      <w:tr>
        <w:trPr>
          <w:trHeight w:val="260"/>
        </w:trPr>
        <w:tc>
          <w:tcPr>
            <w:tcW w:w="3220" w:type="dxa"/>
            <w:vAlign w:val="bottom"/>
          </w:tcPr>
          <w:p>
            <w:pPr>
              <w:ind w:left="20"/>
              <w:spacing w:after="0"/>
              <w:rPr>
                <w:sz w:val="20"/>
                <w:szCs w:val="20"/>
                <w:color w:val="auto"/>
              </w:rPr>
            </w:pPr>
            <w:r>
              <w:rPr>
                <w:rFonts w:ascii="Arial" w:cs="Arial" w:eastAsia="Arial" w:hAnsi="Arial"/>
                <w:sz w:val="16"/>
                <w:szCs w:val="16"/>
                <w:color w:val="auto"/>
              </w:rPr>
              <w:t>S&amp;P 500 Index</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100.00</w:t>
            </w:r>
          </w:p>
        </w:tc>
        <w:tc>
          <w:tcPr>
            <w:tcW w:w="120" w:type="dxa"/>
            <w:vAlign w:val="bottom"/>
          </w:tcPr>
          <w:p>
            <w:pPr>
              <w:spacing w:after="0"/>
              <w:rPr>
                <w:sz w:val="22"/>
                <w:szCs w:val="22"/>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132.39</w:t>
            </w:r>
          </w:p>
        </w:tc>
        <w:tc>
          <w:tcPr>
            <w:tcW w:w="120" w:type="dxa"/>
            <w:vAlign w:val="bottom"/>
          </w:tcPr>
          <w:p>
            <w:pPr>
              <w:spacing w:after="0"/>
              <w:rPr>
                <w:sz w:val="22"/>
                <w:szCs w:val="22"/>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150.51</w:t>
            </w:r>
          </w:p>
        </w:tc>
        <w:tc>
          <w:tcPr>
            <w:tcW w:w="100" w:type="dxa"/>
            <w:vAlign w:val="bottom"/>
          </w:tcPr>
          <w:p>
            <w:pPr>
              <w:spacing w:after="0"/>
              <w:rPr>
                <w:sz w:val="22"/>
                <w:szCs w:val="22"/>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152.59</w:t>
            </w:r>
          </w:p>
        </w:tc>
        <w:tc>
          <w:tcPr>
            <w:tcW w:w="120" w:type="dxa"/>
            <w:vAlign w:val="bottom"/>
          </w:tcPr>
          <w:p>
            <w:pPr>
              <w:spacing w:after="0"/>
              <w:rPr>
                <w:sz w:val="22"/>
                <w:szCs w:val="22"/>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170.84</w:t>
            </w:r>
          </w:p>
        </w:tc>
        <w:tc>
          <w:tcPr>
            <w:tcW w:w="100" w:type="dxa"/>
            <w:vAlign w:val="bottom"/>
          </w:tcPr>
          <w:p>
            <w:pPr>
              <w:spacing w:after="0"/>
              <w:rPr>
                <w:sz w:val="22"/>
                <w:szCs w:val="22"/>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208.14</w:t>
            </w:r>
          </w:p>
        </w:tc>
      </w:tr>
      <w:tr>
        <w:trPr>
          <w:trHeight w:val="228"/>
        </w:trPr>
        <w:tc>
          <w:tcPr>
            <w:tcW w:w="3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Dow Jones U.S. Transportation Average</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14"/>
        </w:trPr>
        <w:tc>
          <w:tcPr>
            <w:tcW w:w="3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Index</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100.00</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141.38</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176.82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147.19</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180.05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214.30</w:t>
            </w:r>
          </w:p>
        </w:tc>
      </w:tr>
    </w:tbl>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40" w:right="2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245745</wp:posOffset>
            </wp:positionV>
            <wp:extent cx="7254875" cy="1803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4875" cy="180340"/>
                    </a:xfrm>
                    <a:prstGeom prst="rect">
                      <a:avLst/>
                    </a:prstGeom>
                    <a:noFill/>
                  </pic:spPr>
                </pic:pic>
              </a:graphicData>
            </a:graphic>
          </wp:anchor>
        </w:drawing>
      </w:r>
    </w:p>
    <w:p>
      <w:pPr>
        <w:spacing w:after="0" w:line="385"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ITEM 6. SELECTED FINANCIAL DATA</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444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4040" w:type="dxa"/>
            <w:vAlign w:val="bottom"/>
            <w:tcBorders>
              <w:bottom w:val="single" w:sz="8" w:color="auto"/>
            </w:tcBorders>
            <w:gridSpan w:val="8"/>
          </w:tcPr>
          <w:p>
            <w:pPr>
              <w:jc w:val="center"/>
              <w:ind w:right="280"/>
              <w:spacing w:after="0"/>
              <w:rPr>
                <w:sz w:val="20"/>
                <w:szCs w:val="20"/>
                <w:color w:val="auto"/>
              </w:rPr>
            </w:pPr>
            <w:r>
              <w:rPr>
                <w:rFonts w:ascii="Arial" w:cs="Arial" w:eastAsia="Arial" w:hAnsi="Arial"/>
                <w:sz w:val="18"/>
                <w:szCs w:val="18"/>
                <w:b w:val="1"/>
                <w:bCs w:val="1"/>
                <w:color w:val="auto"/>
                <w:w w:val="99"/>
              </w:rPr>
              <w:t>As of or For the Year Ended December 31,</w:t>
            </w:r>
          </w:p>
        </w:tc>
        <w:tc>
          <w:tcPr>
            <w:tcW w:w="3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r>
      <w:tr>
        <w:trPr>
          <w:trHeight w:val="264"/>
        </w:trPr>
        <w:tc>
          <w:tcPr>
            <w:tcW w:w="444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1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b w:val="1"/>
                <w:bCs w:val="1"/>
                <w:color w:val="auto"/>
                <w:w w:val="99"/>
              </w:rPr>
              <w:t>2015</w:t>
            </w:r>
          </w:p>
        </w:tc>
        <w:tc>
          <w:tcPr>
            <w:tcW w:w="1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2014</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2013</w:t>
            </w:r>
          </w:p>
        </w:tc>
      </w:tr>
      <w:tr>
        <w:trPr>
          <w:trHeight w:val="270"/>
        </w:trPr>
        <w:tc>
          <w:tcPr>
            <w:tcW w:w="444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4040" w:type="dxa"/>
            <w:vAlign w:val="bottom"/>
            <w:gridSpan w:val="8"/>
            <w:shd w:val="clear" w:color="auto" w:fill="CCEEFF"/>
          </w:tcPr>
          <w:p>
            <w:pPr>
              <w:jc w:val="center"/>
              <w:ind w:right="280"/>
              <w:spacing w:after="0"/>
              <w:rPr>
                <w:sz w:val="20"/>
                <w:szCs w:val="20"/>
                <w:color w:val="auto"/>
              </w:rPr>
            </w:pPr>
            <w:r>
              <w:rPr>
                <w:rFonts w:ascii="Arial" w:cs="Arial" w:eastAsia="Arial" w:hAnsi="Arial"/>
                <w:sz w:val="18"/>
                <w:szCs w:val="18"/>
                <w:b w:val="1"/>
                <w:bCs w:val="1"/>
                <w:color w:val="auto"/>
                <w:w w:val="99"/>
              </w:rPr>
              <w:t>(In millions, except per share data)</w:t>
            </w: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r>
      <w:tr>
        <w:trPr>
          <w:trHeight w:val="243"/>
        </w:trPr>
        <w:tc>
          <w:tcPr>
            <w:tcW w:w="4440" w:type="dxa"/>
            <w:vAlign w:val="bottom"/>
          </w:tcPr>
          <w:p>
            <w:pPr>
              <w:ind w:left="40"/>
              <w:spacing w:after="0"/>
              <w:rPr>
                <w:sz w:val="20"/>
                <w:szCs w:val="20"/>
                <w:color w:val="auto"/>
              </w:rPr>
            </w:pPr>
            <w:r>
              <w:rPr>
                <w:rFonts w:ascii="Arial" w:cs="Arial" w:eastAsia="Arial" w:hAnsi="Arial"/>
                <w:sz w:val="18"/>
                <w:szCs w:val="18"/>
                <w:b w:val="1"/>
                <w:bCs w:val="1"/>
                <w:color w:val="auto"/>
              </w:rPr>
              <w:t>Results of Operations</w:t>
            </w: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4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8,848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8,659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8,502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8,485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7,937</w:t>
            </w:r>
          </w:p>
        </w:tc>
      </w:tr>
      <w:tr>
        <w:trPr>
          <w:trHeight w:val="20"/>
        </w:trPr>
        <w:tc>
          <w:tcPr>
            <w:tcW w:w="4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57"/>
        </w:trPr>
        <w:tc>
          <w:tcPr>
            <w:tcW w:w="44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250"/>
        </w:trPr>
        <w:tc>
          <w:tcPr>
            <w:tcW w:w="4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361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163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313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245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16</w:t>
            </w:r>
          </w:p>
        </w:tc>
      </w:tr>
      <w:tr>
        <w:trPr>
          <w:trHeight w:val="20"/>
        </w:trPr>
        <w:tc>
          <w:tcPr>
            <w:tcW w:w="4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57"/>
        </w:trPr>
        <w:tc>
          <w:tcPr>
            <w:tcW w:w="44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257"/>
        </w:trPr>
        <w:tc>
          <w:tcPr>
            <w:tcW w:w="4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Adjusted EBITDA </w:t>
            </w:r>
            <w:r>
              <w:rPr>
                <w:rFonts w:ascii="Arial" w:cs="Arial" w:eastAsia="Arial" w:hAnsi="Arial"/>
                <w:sz w:val="21"/>
                <w:szCs w:val="21"/>
                <w:color w:val="auto"/>
                <w:vertAlign w:val="superscript"/>
              </w:rPr>
              <w:t>(a)</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735</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838</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903</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876</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769</w:t>
            </w:r>
          </w:p>
        </w:tc>
      </w:tr>
      <w:tr>
        <w:trPr>
          <w:trHeight w:val="20"/>
        </w:trPr>
        <w:tc>
          <w:tcPr>
            <w:tcW w:w="4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51"/>
        </w:trPr>
        <w:tc>
          <w:tcPr>
            <w:tcW w:w="44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50"/>
        </w:trPr>
        <w:tc>
          <w:tcPr>
            <w:tcW w:w="4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per share</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63"/>
        </w:trPr>
        <w:tc>
          <w:tcPr>
            <w:tcW w:w="4440" w:type="dxa"/>
            <w:vAlign w:val="bottom"/>
          </w:tcPr>
          <w:p>
            <w:pPr>
              <w:ind w:left="200"/>
              <w:spacing w:after="0"/>
              <w:rPr>
                <w:sz w:val="20"/>
                <w:szCs w:val="20"/>
                <w:color w:val="auto"/>
              </w:rPr>
            </w:pPr>
            <w:r>
              <w:rPr>
                <w:rFonts w:ascii="Arial" w:cs="Arial" w:eastAsia="Arial" w:hAnsi="Arial"/>
                <w:sz w:val="18"/>
                <w:szCs w:val="18"/>
                <w:color w:val="auto"/>
              </w:rPr>
              <w:t>Basic</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4.32</w:t>
            </w:r>
          </w:p>
        </w:tc>
        <w:tc>
          <w:tcPr>
            <w:tcW w:w="12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1.78</w:t>
            </w:r>
          </w:p>
        </w:tc>
        <w:tc>
          <w:tcPr>
            <w:tcW w:w="120" w:type="dxa"/>
            <w:vAlign w:val="bottom"/>
          </w:tcPr>
          <w:p>
            <w:pPr>
              <w:spacing w:after="0"/>
              <w:rPr>
                <w:sz w:val="22"/>
                <w:szCs w:val="22"/>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3.02</w:t>
            </w:r>
          </w:p>
        </w:tc>
        <w:tc>
          <w:tcPr>
            <w:tcW w:w="120" w:type="dxa"/>
            <w:vAlign w:val="bottom"/>
          </w:tcPr>
          <w:p>
            <w:pPr>
              <w:spacing w:after="0"/>
              <w:rPr>
                <w:sz w:val="22"/>
                <w:szCs w:val="22"/>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2.32</w:t>
            </w:r>
          </w:p>
        </w:tc>
        <w:tc>
          <w:tcPr>
            <w:tcW w:w="100" w:type="dxa"/>
            <w:vAlign w:val="bottom"/>
          </w:tcPr>
          <w:p>
            <w:pPr>
              <w:spacing w:after="0"/>
              <w:rPr>
                <w:sz w:val="22"/>
                <w:szCs w:val="22"/>
                <w:color w:val="auto"/>
              </w:rPr>
            </w:pP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0.15</w:t>
            </w:r>
          </w:p>
        </w:tc>
      </w:tr>
      <w:tr>
        <w:trPr>
          <w:trHeight w:val="277"/>
        </w:trPr>
        <w:tc>
          <w:tcPr>
            <w:tcW w:w="4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28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4.25</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1.75</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2.98</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2.22</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0.15</w:t>
            </w:r>
          </w:p>
        </w:tc>
      </w:tr>
      <w:tr>
        <w:trPr>
          <w:trHeight w:val="270"/>
        </w:trPr>
        <w:tc>
          <w:tcPr>
            <w:tcW w:w="44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250"/>
        </w:trPr>
        <w:tc>
          <w:tcPr>
            <w:tcW w:w="4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Financial Position</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63"/>
        </w:trPr>
        <w:tc>
          <w:tcPr>
            <w:tcW w:w="4440" w:type="dxa"/>
            <w:vAlign w:val="bottom"/>
          </w:tcPr>
          <w:p>
            <w:pPr>
              <w:ind w:left="40"/>
              <w:spacing w:after="0"/>
              <w:rPr>
                <w:sz w:val="20"/>
                <w:szCs w:val="20"/>
                <w:color w:val="auto"/>
              </w:rPr>
            </w:pPr>
            <w:r>
              <w:rPr>
                <w:rFonts w:ascii="Arial" w:cs="Arial" w:eastAsia="Arial" w:hAnsi="Arial"/>
                <w:sz w:val="18"/>
                <w:szCs w:val="18"/>
                <w:color w:val="auto"/>
              </w:rPr>
              <w:t>Total assets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17,699</w:t>
            </w:r>
          </w:p>
        </w:tc>
        <w:tc>
          <w:tcPr>
            <w:tcW w:w="12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17,643</w:t>
            </w:r>
          </w:p>
        </w:tc>
        <w:tc>
          <w:tcPr>
            <w:tcW w:w="120" w:type="dxa"/>
            <w:vAlign w:val="bottom"/>
          </w:tcPr>
          <w:p>
            <w:pPr>
              <w:spacing w:after="0"/>
              <w:rPr>
                <w:sz w:val="22"/>
                <w:szCs w:val="22"/>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17,634</w:t>
            </w:r>
          </w:p>
        </w:tc>
        <w:tc>
          <w:tcPr>
            <w:tcW w:w="120" w:type="dxa"/>
            <w:vAlign w:val="bottom"/>
          </w:tcPr>
          <w:p>
            <w:pPr>
              <w:spacing w:after="0"/>
              <w:rPr>
                <w:sz w:val="22"/>
                <w:szCs w:val="22"/>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16,842</w:t>
            </w:r>
          </w:p>
        </w:tc>
        <w:tc>
          <w:tcPr>
            <w:tcW w:w="100" w:type="dxa"/>
            <w:vAlign w:val="bottom"/>
          </w:tcPr>
          <w:p>
            <w:pPr>
              <w:spacing w:after="0"/>
              <w:rPr>
                <w:sz w:val="22"/>
                <w:szCs w:val="22"/>
                <w:color w:val="auto"/>
              </w:rPr>
            </w:pP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16,150</w:t>
            </w:r>
          </w:p>
        </w:tc>
      </w:tr>
      <w:tr>
        <w:trPr>
          <w:trHeight w:val="277"/>
        </w:trPr>
        <w:tc>
          <w:tcPr>
            <w:tcW w:w="4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Assets under vehicle programs</w:t>
            </w:r>
          </w:p>
        </w:tc>
        <w:tc>
          <w:tcPr>
            <w:tcW w:w="28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11,879</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11,578</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11,716</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11,058</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10,452</w:t>
            </w:r>
          </w:p>
        </w:tc>
      </w:tr>
      <w:tr>
        <w:trPr>
          <w:trHeight w:val="263"/>
        </w:trPr>
        <w:tc>
          <w:tcPr>
            <w:tcW w:w="4440" w:type="dxa"/>
            <w:vAlign w:val="bottom"/>
          </w:tcPr>
          <w:p>
            <w:pPr>
              <w:ind w:left="40"/>
              <w:spacing w:after="0"/>
              <w:rPr>
                <w:sz w:val="20"/>
                <w:szCs w:val="20"/>
                <w:color w:val="auto"/>
              </w:rPr>
            </w:pPr>
            <w:r>
              <w:rPr>
                <w:rFonts w:ascii="Arial" w:cs="Arial" w:eastAsia="Arial" w:hAnsi="Arial"/>
                <w:sz w:val="18"/>
                <w:szCs w:val="18"/>
                <w:color w:val="auto"/>
              </w:rPr>
              <w:t>Corporate debt</w:t>
            </w:r>
          </w:p>
        </w:tc>
        <w:tc>
          <w:tcPr>
            <w:tcW w:w="280" w:type="dxa"/>
            <w:vAlign w:val="bottom"/>
          </w:tcPr>
          <w:p>
            <w:pPr>
              <w:spacing w:after="0"/>
              <w:rPr>
                <w:sz w:val="22"/>
                <w:szCs w:val="22"/>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3,599</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3,523</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3,461</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3,353</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3,321</w:t>
            </w:r>
          </w:p>
        </w:tc>
      </w:tr>
      <w:tr>
        <w:trPr>
          <w:trHeight w:val="277"/>
        </w:trPr>
        <w:tc>
          <w:tcPr>
            <w:tcW w:w="4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Debt under vehicle programs </w:t>
            </w:r>
            <w:r>
              <w:rPr>
                <w:rFonts w:ascii="Arial" w:cs="Arial" w:eastAsia="Arial" w:hAnsi="Arial"/>
                <w:sz w:val="21"/>
                <w:szCs w:val="21"/>
                <w:color w:val="auto"/>
                <w:vertAlign w:val="superscript"/>
              </w:rPr>
              <w:t>(b)</w:t>
            </w:r>
          </w:p>
        </w:tc>
        <w:tc>
          <w:tcPr>
            <w:tcW w:w="28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9,221</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8,878</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8,860</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8,056</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7,276</w:t>
            </w:r>
          </w:p>
        </w:tc>
      </w:tr>
      <w:tr>
        <w:trPr>
          <w:trHeight w:val="257"/>
        </w:trPr>
        <w:tc>
          <w:tcPr>
            <w:tcW w:w="4440" w:type="dxa"/>
            <w:vAlign w:val="bottom"/>
          </w:tcPr>
          <w:p>
            <w:pPr>
              <w:ind w:left="40"/>
              <w:spacing w:after="0"/>
              <w:rPr>
                <w:sz w:val="20"/>
                <w:szCs w:val="20"/>
                <w:color w:val="auto"/>
              </w:rPr>
            </w:pPr>
            <w:r>
              <w:rPr>
                <w:rFonts w:ascii="Arial" w:cs="Arial" w:eastAsia="Arial" w:hAnsi="Arial"/>
                <w:sz w:val="18"/>
                <w:szCs w:val="18"/>
                <w:color w:val="auto"/>
              </w:rPr>
              <w:t>Stockholders’ equity</w:t>
            </w:r>
          </w:p>
        </w:tc>
        <w:tc>
          <w:tcPr>
            <w:tcW w:w="280" w:type="dxa"/>
            <w:vAlign w:val="bottom"/>
          </w:tcPr>
          <w:p>
            <w:pPr>
              <w:spacing w:after="0"/>
              <w:rPr>
                <w:sz w:val="22"/>
                <w:szCs w:val="22"/>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573</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221</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439</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665</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771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246620" cy="29146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spacing w:after="0" w:line="15"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4780" w:type="dxa"/>
            <w:vAlign w:val="bottom"/>
          </w:tcPr>
          <w:p>
            <w:pPr>
              <w:spacing w:after="0"/>
              <w:rPr>
                <w:sz w:val="20"/>
                <w:szCs w:val="20"/>
                <w:color w:val="auto"/>
              </w:rPr>
            </w:pPr>
            <w:r>
              <w:rPr>
                <w:rFonts w:ascii="Arial" w:cs="Arial" w:eastAsia="Arial" w:hAnsi="Arial"/>
                <w:sz w:val="18"/>
                <w:szCs w:val="18"/>
                <w:color w:val="auto"/>
              </w:rPr>
              <w:t>Ratio of debt under vehicle programs to assets under</w:t>
            </w:r>
          </w:p>
        </w:tc>
        <w:tc>
          <w:tcPr>
            <w:tcW w:w="14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7"/>
        </w:trPr>
        <w:tc>
          <w:tcPr>
            <w:tcW w:w="4780" w:type="dxa"/>
            <w:vAlign w:val="bottom"/>
          </w:tcPr>
          <w:p>
            <w:pPr>
              <w:ind w:left="160"/>
              <w:spacing w:after="0"/>
              <w:rPr>
                <w:sz w:val="20"/>
                <w:szCs w:val="20"/>
                <w:color w:val="auto"/>
              </w:rPr>
            </w:pPr>
            <w:r>
              <w:rPr>
                <w:rFonts w:ascii="Arial" w:cs="Arial" w:eastAsia="Arial" w:hAnsi="Arial"/>
                <w:sz w:val="18"/>
                <w:szCs w:val="18"/>
                <w:color w:val="auto"/>
              </w:rPr>
              <w:t>vehicle programs</w:t>
            </w:r>
          </w:p>
        </w:tc>
        <w:tc>
          <w:tcPr>
            <w:tcW w:w="1420" w:type="dxa"/>
            <w:vAlign w:val="bottom"/>
          </w:tcPr>
          <w:p>
            <w:pPr>
              <w:jc w:val="right"/>
              <w:ind w:right="430"/>
              <w:spacing w:after="0"/>
              <w:rPr>
                <w:sz w:val="20"/>
                <w:szCs w:val="20"/>
                <w:color w:val="auto"/>
              </w:rPr>
            </w:pPr>
            <w:r>
              <w:rPr>
                <w:rFonts w:ascii="Arial" w:cs="Arial" w:eastAsia="Arial" w:hAnsi="Arial"/>
                <w:sz w:val="18"/>
                <w:szCs w:val="18"/>
                <w:color w:val="auto"/>
              </w:rPr>
              <w:t>78%</w:t>
            </w:r>
          </w:p>
        </w:tc>
        <w:tc>
          <w:tcPr>
            <w:tcW w:w="1420" w:type="dxa"/>
            <w:vAlign w:val="bottom"/>
          </w:tcPr>
          <w:p>
            <w:pPr>
              <w:jc w:val="right"/>
              <w:ind w:right="430"/>
              <w:spacing w:after="0"/>
              <w:rPr>
                <w:sz w:val="20"/>
                <w:szCs w:val="20"/>
                <w:color w:val="auto"/>
              </w:rPr>
            </w:pPr>
            <w:r>
              <w:rPr>
                <w:rFonts w:ascii="Arial" w:cs="Arial" w:eastAsia="Arial" w:hAnsi="Arial"/>
                <w:sz w:val="18"/>
                <w:szCs w:val="18"/>
                <w:color w:val="auto"/>
              </w:rPr>
              <w:t>77%</w:t>
            </w:r>
          </w:p>
        </w:tc>
        <w:tc>
          <w:tcPr>
            <w:tcW w:w="1420" w:type="dxa"/>
            <w:vAlign w:val="bottom"/>
          </w:tcPr>
          <w:p>
            <w:pPr>
              <w:jc w:val="right"/>
              <w:ind w:right="430"/>
              <w:spacing w:after="0"/>
              <w:rPr>
                <w:sz w:val="20"/>
                <w:szCs w:val="20"/>
                <w:color w:val="auto"/>
              </w:rPr>
            </w:pPr>
            <w:r>
              <w:rPr>
                <w:rFonts w:ascii="Arial" w:cs="Arial" w:eastAsia="Arial" w:hAnsi="Arial"/>
                <w:sz w:val="18"/>
                <w:szCs w:val="18"/>
                <w:color w:val="auto"/>
              </w:rPr>
              <w:t>76%</w:t>
            </w:r>
          </w:p>
        </w:tc>
        <w:tc>
          <w:tcPr>
            <w:tcW w:w="1420" w:type="dxa"/>
            <w:vAlign w:val="bottom"/>
          </w:tcPr>
          <w:p>
            <w:pPr>
              <w:jc w:val="right"/>
              <w:ind w:right="430"/>
              <w:spacing w:after="0"/>
              <w:rPr>
                <w:sz w:val="20"/>
                <w:szCs w:val="20"/>
                <w:color w:val="auto"/>
              </w:rPr>
            </w:pPr>
            <w:r>
              <w:rPr>
                <w:rFonts w:ascii="Arial" w:cs="Arial" w:eastAsia="Arial" w:hAnsi="Arial"/>
                <w:sz w:val="18"/>
                <w:szCs w:val="18"/>
                <w:color w:val="auto"/>
              </w:rPr>
              <w:t>73%</w:t>
            </w:r>
          </w:p>
        </w:tc>
        <w:tc>
          <w:tcPr>
            <w:tcW w:w="900" w:type="dxa"/>
            <w:vAlign w:val="bottom"/>
          </w:tcPr>
          <w:p>
            <w:pPr>
              <w:jc w:val="right"/>
              <w:spacing w:after="0"/>
              <w:rPr>
                <w:sz w:val="20"/>
                <w:szCs w:val="20"/>
                <w:color w:val="auto"/>
              </w:rPr>
            </w:pPr>
            <w:r>
              <w:rPr>
                <w:rFonts w:ascii="Arial" w:cs="Arial" w:eastAsia="Arial" w:hAnsi="Arial"/>
                <w:sz w:val="18"/>
                <w:szCs w:val="18"/>
                <w:color w:val="auto"/>
              </w:rPr>
              <w:t>70%</w:t>
            </w:r>
          </w:p>
        </w:tc>
      </w:tr>
    </w:tbl>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8" w:lineRule="exact"/>
        <w:rPr>
          <w:sz w:val="20"/>
          <w:szCs w:val="20"/>
          <w:color w:val="auto"/>
        </w:rPr>
      </w:pPr>
    </w:p>
    <w:p>
      <w:pPr>
        <w:ind w:left="340" w:hanging="332"/>
        <w:spacing w:after="0" w:line="235" w:lineRule="auto"/>
        <w:tabs>
          <w:tab w:leader="none" w:pos="340" w:val="left"/>
        </w:tabs>
        <w:numPr>
          <w:ilvl w:val="0"/>
          <w:numId w:val="33"/>
        </w:numPr>
        <w:rPr>
          <w:rFonts w:ascii="Arial" w:cs="Arial" w:eastAsia="Arial" w:hAnsi="Arial"/>
          <w:sz w:val="18"/>
          <w:szCs w:val="18"/>
          <w:color w:val="auto"/>
          <w:vertAlign w:val="superscript"/>
        </w:rPr>
      </w:pPr>
      <w:r>
        <w:rPr>
          <w:rFonts w:ascii="Arial" w:cs="Arial" w:eastAsia="Arial" w:hAnsi="Arial"/>
          <w:sz w:val="14"/>
          <w:szCs w:val="14"/>
          <w:color w:val="auto"/>
        </w:rPr>
        <w:t>The following table reconciles Net Income to Adjusted EBITDA within our Selected Financial Data, which we define as income from continuing operations before non-vehicle related depreciation and amortization, any impairment charge, restructuring and other related charges, early extinguishment of debt costs, non-vehicle related interest, transaction-related costs, net charges for an unprecedented personal-injury legal matter and income taxes. Net charges for the legal matter are recorded within operating expenses in our Consolidated Statements of Operations. We have revised our definition of Adjusted EBITDA to exclude costs associated with the separation of certain officers of the Company and our limited voluntary opportunity plans, which offered certain employees the limited opportunity to elect resignation from employment for enhanced severance benefits. Costs associated with the separation of certain officers and the limited voluntary opportunity plans are recorded as part of restructuring and other related charges in our Consolidated Statements of Operations. We did not revise prior years’ Adjusted EBITDA amounts because there were no costs similar in nature to these items. Our presentation of Adjusted EBITDA may not be comparable to similarly-titled measures used by other companies. See Management’s Discussion and Analysis of Financial Condition and Results of Operations, Item 7, for an explanation of why we believe Adjusted EBITDA is a useful measure.</w:t>
      </w:r>
    </w:p>
    <w:p>
      <w:pPr>
        <w:spacing w:after="0" w:line="193" w:lineRule="exact"/>
        <w:rPr>
          <w:sz w:val="20"/>
          <w:szCs w:val="20"/>
          <w:color w:val="auto"/>
        </w:rPr>
      </w:pPr>
    </w:p>
    <w:tbl>
      <w:tblPr>
        <w:tblLayout w:type="fixed"/>
        <w:tblInd w:w="1160" w:type="dxa"/>
        <w:tblCellMar>
          <w:top w:w="0" w:type="dxa"/>
          <w:left w:w="0" w:type="dxa"/>
          <w:bottom w:w="0" w:type="dxa"/>
          <w:right w:w="0" w:type="dxa"/>
        </w:tblCellMar>
      </w:tblPr>
      <w:tr>
        <w:trPr>
          <w:trHeight w:val="196"/>
        </w:trPr>
        <w:tc>
          <w:tcPr>
            <w:tcW w:w="52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880" w:type="dxa"/>
            <w:vAlign w:val="bottom"/>
            <w:tcBorders>
              <w:bottom w:val="single" w:sz="8" w:color="auto"/>
            </w:tcBorders>
            <w:gridSpan w:val="8"/>
          </w:tcPr>
          <w:p>
            <w:pPr>
              <w:ind w:left="160"/>
              <w:spacing w:after="0"/>
              <w:rPr>
                <w:sz w:val="20"/>
                <w:szCs w:val="20"/>
                <w:color w:val="auto"/>
              </w:rPr>
            </w:pPr>
            <w:r>
              <w:rPr>
                <w:rFonts w:ascii="Arial" w:cs="Arial" w:eastAsia="Arial" w:hAnsi="Arial"/>
                <w:sz w:val="14"/>
                <w:szCs w:val="14"/>
                <w:b w:val="1"/>
                <w:bCs w:val="1"/>
                <w:color w:val="auto"/>
              </w:rPr>
              <w:t>For the Year Ended December 31,</w:t>
            </w: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r>
      <w:tr>
        <w:trPr>
          <w:trHeight w:val="264"/>
        </w:trPr>
        <w:tc>
          <w:tcPr>
            <w:tcW w:w="524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2013</w:t>
            </w:r>
          </w:p>
        </w:tc>
      </w:tr>
      <w:tr>
        <w:trPr>
          <w:trHeight w:val="244"/>
        </w:trPr>
        <w:tc>
          <w:tcPr>
            <w:tcW w:w="5240" w:type="dxa"/>
            <w:vAlign w:val="bottom"/>
          </w:tcPr>
          <w:p>
            <w:pPr>
              <w:spacing w:after="0"/>
              <w:rPr>
                <w:sz w:val="20"/>
                <w:szCs w:val="20"/>
                <w:color w:val="auto"/>
              </w:rPr>
            </w:pPr>
            <w:r>
              <w:rPr>
                <w:rFonts w:ascii="Arial" w:cs="Arial" w:eastAsia="Arial" w:hAnsi="Arial"/>
                <w:sz w:val="14"/>
                <w:szCs w:val="14"/>
                <w:color w:val="auto"/>
              </w:rPr>
              <w:t>Net income</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361</w:t>
            </w:r>
          </w:p>
        </w:tc>
        <w:tc>
          <w:tcPr>
            <w:tcW w:w="100" w:type="dxa"/>
            <w:vAlign w:val="bottom"/>
          </w:tcPr>
          <w:p>
            <w:pPr>
              <w:spacing w:after="0"/>
              <w:rPr>
                <w:sz w:val="21"/>
                <w:szCs w:val="21"/>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163</w:t>
            </w:r>
          </w:p>
        </w:tc>
        <w:tc>
          <w:tcPr>
            <w:tcW w:w="100" w:type="dxa"/>
            <w:vAlign w:val="bottom"/>
          </w:tcPr>
          <w:p>
            <w:pPr>
              <w:spacing w:after="0"/>
              <w:rPr>
                <w:sz w:val="21"/>
                <w:szCs w:val="21"/>
                <w:color w:val="auto"/>
              </w:rPr>
            </w:pPr>
          </w:p>
        </w:tc>
        <w:tc>
          <w:tcPr>
            <w:tcW w:w="2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313</w:t>
            </w:r>
          </w:p>
        </w:tc>
        <w:tc>
          <w:tcPr>
            <w:tcW w:w="120" w:type="dxa"/>
            <w:vAlign w:val="bottom"/>
          </w:tcPr>
          <w:p>
            <w:pPr>
              <w:spacing w:after="0"/>
              <w:rPr>
                <w:sz w:val="21"/>
                <w:szCs w:val="21"/>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245</w:t>
            </w:r>
          </w:p>
        </w:tc>
        <w:tc>
          <w:tcPr>
            <w:tcW w:w="100" w:type="dxa"/>
            <w:vAlign w:val="bottom"/>
          </w:tcPr>
          <w:p>
            <w:pPr>
              <w:spacing w:after="0"/>
              <w:rPr>
                <w:sz w:val="21"/>
                <w:szCs w:val="21"/>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16</w:t>
            </w:r>
          </w:p>
        </w:tc>
      </w:tr>
      <w:tr>
        <w:trPr>
          <w:trHeight w:val="276"/>
        </w:trPr>
        <w:tc>
          <w:tcPr>
            <w:tcW w:w="5240" w:type="dxa"/>
            <w:vAlign w:val="bottom"/>
          </w:tcPr>
          <w:p>
            <w:pPr>
              <w:spacing w:after="0"/>
              <w:rPr>
                <w:sz w:val="20"/>
                <w:szCs w:val="20"/>
                <w:color w:val="auto"/>
              </w:rPr>
            </w:pPr>
            <w:r>
              <w:rPr>
                <w:rFonts w:ascii="Arial" w:cs="Arial" w:eastAsia="Arial" w:hAnsi="Arial"/>
                <w:sz w:val="14"/>
                <w:szCs w:val="14"/>
                <w:color w:val="auto"/>
              </w:rPr>
              <w:t>Provision for (benefit from) income taxes</w:t>
            </w:r>
          </w:p>
        </w:tc>
        <w:tc>
          <w:tcPr>
            <w:tcW w:w="2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(150)</w:t>
            </w: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116</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69</w:t>
            </w: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147</w:t>
            </w: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81</w:t>
            </w:r>
          </w:p>
        </w:tc>
      </w:tr>
      <w:tr>
        <w:trPr>
          <w:trHeight w:val="244"/>
        </w:trPr>
        <w:tc>
          <w:tcPr>
            <w:tcW w:w="5240" w:type="dxa"/>
            <w:vAlign w:val="bottom"/>
          </w:tcPr>
          <w:p>
            <w:pPr>
              <w:spacing w:after="0"/>
              <w:rPr>
                <w:sz w:val="20"/>
                <w:szCs w:val="20"/>
                <w:color w:val="auto"/>
              </w:rPr>
            </w:pPr>
            <w:r>
              <w:rPr>
                <w:rFonts w:ascii="Arial" w:cs="Arial" w:eastAsia="Arial" w:hAnsi="Arial"/>
                <w:sz w:val="14"/>
                <w:szCs w:val="14"/>
                <w:color w:val="auto"/>
              </w:rPr>
              <w:t>Income before income taxes</w:t>
            </w:r>
          </w:p>
        </w:tc>
        <w:tc>
          <w:tcPr>
            <w:tcW w:w="200" w:type="dxa"/>
            <w:vAlign w:val="bottom"/>
          </w:tcPr>
          <w:p>
            <w:pPr>
              <w:spacing w:after="0"/>
              <w:rPr>
                <w:sz w:val="21"/>
                <w:szCs w:val="21"/>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211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279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382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392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97</w:t>
            </w:r>
          </w:p>
        </w:tc>
      </w:tr>
      <w:tr>
        <w:trPr>
          <w:trHeight w:val="270"/>
        </w:trPr>
        <w:tc>
          <w:tcPr>
            <w:tcW w:w="5240" w:type="dxa"/>
            <w:vAlign w:val="bottom"/>
          </w:tcPr>
          <w:p>
            <w:pPr>
              <w:spacing w:after="0"/>
              <w:rPr>
                <w:sz w:val="20"/>
                <w:szCs w:val="20"/>
                <w:color w:val="auto"/>
              </w:rPr>
            </w:pPr>
            <w:r>
              <w:rPr>
                <w:rFonts w:ascii="Arial" w:cs="Arial" w:eastAsia="Arial" w:hAnsi="Arial"/>
                <w:sz w:val="14"/>
                <w:szCs w:val="14"/>
                <w:color w:val="auto"/>
              </w:rPr>
              <w:t>Add:   Non-vehicle related depreciation and amortization</w:t>
            </w:r>
          </w:p>
        </w:tc>
        <w:tc>
          <w:tcPr>
            <w:tcW w:w="200" w:type="dxa"/>
            <w:vAlign w:val="bottom"/>
          </w:tcPr>
          <w:p>
            <w:pPr>
              <w:spacing w:after="0"/>
              <w:rPr>
                <w:sz w:val="23"/>
                <w:szCs w:val="23"/>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259</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253</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218</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180</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152</w:t>
            </w:r>
          </w:p>
        </w:tc>
      </w:tr>
      <w:tr>
        <w:trPr>
          <w:trHeight w:val="270"/>
        </w:trPr>
        <w:tc>
          <w:tcPr>
            <w:tcW w:w="5240" w:type="dxa"/>
            <w:vAlign w:val="bottom"/>
          </w:tcPr>
          <w:p>
            <w:pPr>
              <w:ind w:left="520"/>
              <w:spacing w:after="0"/>
              <w:rPr>
                <w:sz w:val="20"/>
                <w:szCs w:val="20"/>
                <w:color w:val="auto"/>
              </w:rPr>
            </w:pPr>
            <w:r>
              <w:rPr>
                <w:rFonts w:ascii="Arial" w:cs="Arial" w:eastAsia="Arial" w:hAnsi="Arial"/>
                <w:sz w:val="14"/>
                <w:szCs w:val="14"/>
                <w:color w:val="auto"/>
              </w:rPr>
              <w:t>Interest expense related to corporate debt, net</w:t>
            </w:r>
          </w:p>
        </w:tc>
        <w:tc>
          <w:tcPr>
            <w:tcW w:w="200" w:type="dxa"/>
            <w:vAlign w:val="bottom"/>
          </w:tcPr>
          <w:p>
            <w:pPr>
              <w:spacing w:after="0"/>
              <w:rPr>
                <w:sz w:val="23"/>
                <w:szCs w:val="23"/>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188</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203</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194</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209</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228</w:t>
            </w:r>
          </w:p>
        </w:tc>
      </w:tr>
      <w:tr>
        <w:trPr>
          <w:trHeight w:val="270"/>
        </w:trPr>
        <w:tc>
          <w:tcPr>
            <w:tcW w:w="5240" w:type="dxa"/>
            <w:vAlign w:val="bottom"/>
          </w:tcPr>
          <w:p>
            <w:pPr>
              <w:ind w:left="520"/>
              <w:spacing w:after="0"/>
              <w:rPr>
                <w:sz w:val="20"/>
                <w:szCs w:val="20"/>
                <w:color w:val="auto"/>
              </w:rPr>
            </w:pPr>
            <w:r>
              <w:rPr>
                <w:rFonts w:ascii="Arial" w:cs="Arial" w:eastAsia="Arial" w:hAnsi="Arial"/>
                <w:sz w:val="14"/>
                <w:szCs w:val="14"/>
                <w:color w:val="auto"/>
              </w:rPr>
              <w:t>Restructuring and other related charges</w:t>
            </w:r>
          </w:p>
        </w:tc>
        <w:tc>
          <w:tcPr>
            <w:tcW w:w="200" w:type="dxa"/>
            <w:vAlign w:val="bottom"/>
          </w:tcPr>
          <w:p>
            <w:pPr>
              <w:spacing w:after="0"/>
              <w:rPr>
                <w:sz w:val="23"/>
                <w:szCs w:val="23"/>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63</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29</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18</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26</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61</w:t>
            </w:r>
          </w:p>
        </w:tc>
      </w:tr>
      <w:tr>
        <w:trPr>
          <w:trHeight w:val="270"/>
        </w:trPr>
        <w:tc>
          <w:tcPr>
            <w:tcW w:w="5240" w:type="dxa"/>
            <w:vAlign w:val="bottom"/>
          </w:tcPr>
          <w:p>
            <w:pPr>
              <w:ind w:left="520"/>
              <w:spacing w:after="0"/>
              <w:rPr>
                <w:sz w:val="20"/>
                <w:szCs w:val="20"/>
                <w:color w:val="auto"/>
              </w:rPr>
            </w:pPr>
            <w:r>
              <w:rPr>
                <w:rFonts w:ascii="Arial" w:cs="Arial" w:eastAsia="Arial" w:hAnsi="Arial"/>
                <w:sz w:val="14"/>
                <w:szCs w:val="14"/>
                <w:color w:val="auto"/>
              </w:rPr>
              <w:t>Transaction-related costs, net</w:t>
            </w:r>
          </w:p>
        </w:tc>
        <w:tc>
          <w:tcPr>
            <w:tcW w:w="200" w:type="dxa"/>
            <w:vAlign w:val="bottom"/>
          </w:tcPr>
          <w:p>
            <w:pPr>
              <w:spacing w:after="0"/>
              <w:rPr>
                <w:sz w:val="23"/>
                <w:szCs w:val="23"/>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23</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21</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68</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51</w:t>
            </w:r>
          </w:p>
        </w:tc>
      </w:tr>
      <w:tr>
        <w:trPr>
          <w:trHeight w:val="270"/>
        </w:trPr>
        <w:tc>
          <w:tcPr>
            <w:tcW w:w="5240" w:type="dxa"/>
            <w:vAlign w:val="bottom"/>
          </w:tcPr>
          <w:p>
            <w:pPr>
              <w:ind w:left="520"/>
              <w:spacing w:after="0"/>
              <w:rPr>
                <w:sz w:val="20"/>
                <w:szCs w:val="20"/>
                <w:color w:val="auto"/>
              </w:rPr>
            </w:pPr>
            <w:r>
              <w:rPr>
                <w:rFonts w:ascii="Arial" w:cs="Arial" w:eastAsia="Arial" w:hAnsi="Arial"/>
                <w:sz w:val="14"/>
                <w:szCs w:val="14"/>
                <w:color w:val="auto"/>
              </w:rPr>
              <w:t>Early extinguishment of corporate debt</w:t>
            </w:r>
          </w:p>
        </w:tc>
        <w:tc>
          <w:tcPr>
            <w:tcW w:w="200" w:type="dxa"/>
            <w:vAlign w:val="bottom"/>
          </w:tcPr>
          <w:p>
            <w:pPr>
              <w:spacing w:after="0"/>
              <w:rPr>
                <w:sz w:val="23"/>
                <w:szCs w:val="23"/>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27</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23</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56</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147</w:t>
            </w:r>
          </w:p>
        </w:tc>
      </w:tr>
      <w:tr>
        <w:trPr>
          <w:trHeight w:val="270"/>
        </w:trPr>
        <w:tc>
          <w:tcPr>
            <w:tcW w:w="5240" w:type="dxa"/>
            <w:vAlign w:val="bottom"/>
          </w:tcPr>
          <w:p>
            <w:pPr>
              <w:ind w:left="520"/>
              <w:spacing w:after="0"/>
              <w:rPr>
                <w:sz w:val="20"/>
                <w:szCs w:val="20"/>
                <w:color w:val="auto"/>
              </w:rPr>
            </w:pPr>
            <w:r>
              <w:rPr>
                <w:rFonts w:ascii="Arial" w:cs="Arial" w:eastAsia="Arial" w:hAnsi="Arial"/>
                <w:sz w:val="14"/>
                <w:szCs w:val="14"/>
                <w:color w:val="auto"/>
              </w:rPr>
              <w:t>Impairment</w:t>
            </w:r>
          </w:p>
        </w:tc>
        <w:tc>
          <w:tcPr>
            <w:tcW w:w="200" w:type="dxa"/>
            <w:vAlign w:val="bottom"/>
          </w:tcPr>
          <w:p>
            <w:pPr>
              <w:spacing w:after="0"/>
              <w:rPr>
                <w:sz w:val="23"/>
                <w:szCs w:val="23"/>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33</w:t>
            </w:r>
          </w:p>
        </w:tc>
      </w:tr>
      <w:tr>
        <w:trPr>
          <w:trHeight w:val="276"/>
        </w:trPr>
        <w:tc>
          <w:tcPr>
            <w:tcW w:w="5240" w:type="dxa"/>
            <w:vAlign w:val="bottom"/>
          </w:tcPr>
          <w:p>
            <w:pPr>
              <w:ind w:left="520"/>
              <w:spacing w:after="0"/>
              <w:rPr>
                <w:sz w:val="20"/>
                <w:szCs w:val="20"/>
                <w:color w:val="auto"/>
              </w:rPr>
            </w:pPr>
            <w:r>
              <w:rPr>
                <w:rFonts w:ascii="Arial" w:cs="Arial" w:eastAsia="Arial" w:hAnsi="Arial"/>
                <w:sz w:val="14"/>
                <w:szCs w:val="14"/>
                <w:color w:val="auto"/>
              </w:rPr>
              <w:t>Charges for legal matter, net</w:t>
            </w:r>
          </w:p>
        </w:tc>
        <w:tc>
          <w:tcPr>
            <w:tcW w:w="2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26</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43"/>
        </w:trPr>
        <w:tc>
          <w:tcPr>
            <w:tcW w:w="5240" w:type="dxa"/>
            <w:vAlign w:val="bottom"/>
          </w:tcPr>
          <w:p>
            <w:pPr>
              <w:spacing w:after="0"/>
              <w:rPr>
                <w:sz w:val="20"/>
                <w:szCs w:val="20"/>
                <w:color w:val="auto"/>
              </w:rPr>
            </w:pPr>
            <w:r>
              <w:rPr>
                <w:rFonts w:ascii="Arial" w:cs="Arial" w:eastAsia="Arial" w:hAnsi="Arial"/>
                <w:sz w:val="14"/>
                <w:szCs w:val="14"/>
                <w:color w:val="auto"/>
              </w:rPr>
              <w:t>Adjusted EBITDA</w:t>
            </w: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735</w:t>
            </w:r>
          </w:p>
        </w:tc>
        <w:tc>
          <w:tcPr>
            <w:tcW w:w="10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838</w:t>
            </w:r>
          </w:p>
        </w:tc>
        <w:tc>
          <w:tcPr>
            <w:tcW w:w="10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903</w:t>
            </w:r>
          </w:p>
        </w:tc>
        <w:tc>
          <w:tcPr>
            <w:tcW w:w="12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876</w:t>
            </w:r>
          </w:p>
        </w:tc>
        <w:tc>
          <w:tcPr>
            <w:tcW w:w="10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769</w:t>
            </w:r>
          </w:p>
        </w:tc>
      </w:tr>
      <w:tr>
        <w:trPr>
          <w:trHeight w:val="20"/>
        </w:trPr>
        <w:tc>
          <w:tcPr>
            <w:tcW w:w="5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132" w:lineRule="exact"/>
        <w:rPr>
          <w:sz w:val="20"/>
          <w:szCs w:val="20"/>
          <w:color w:val="auto"/>
        </w:rPr>
      </w:pPr>
    </w:p>
    <w:p>
      <w:pPr>
        <w:ind w:left="340" w:hanging="332"/>
        <w:spacing w:after="0"/>
        <w:tabs>
          <w:tab w:leader="none" w:pos="340" w:val="left"/>
        </w:tabs>
        <w:numPr>
          <w:ilvl w:val="0"/>
          <w:numId w:val="34"/>
        </w:numPr>
        <w:rPr>
          <w:rFonts w:ascii="Arial" w:cs="Arial" w:eastAsia="Arial" w:hAnsi="Arial"/>
          <w:sz w:val="18"/>
          <w:szCs w:val="18"/>
          <w:color w:val="auto"/>
          <w:vertAlign w:val="superscript"/>
        </w:rPr>
      </w:pPr>
      <w:r>
        <w:rPr>
          <w:rFonts w:ascii="Arial" w:cs="Arial" w:eastAsia="Arial" w:hAnsi="Arial"/>
          <w:sz w:val="14"/>
          <w:szCs w:val="14"/>
          <w:color w:val="auto"/>
        </w:rPr>
        <w:t>Includes related-party debt due to Avis Budget Rental Car Funding (AESOP) LLC (“Avis Budget Rental Car Funding”). See Note 13 to our Consolidated Financial Statements.</w:t>
      </w:r>
    </w:p>
    <w:p>
      <w:pPr>
        <w:spacing w:after="0" w:line="146" w:lineRule="exact"/>
        <w:rPr>
          <w:sz w:val="20"/>
          <w:szCs w:val="20"/>
          <w:color w:val="auto"/>
        </w:rPr>
      </w:pPr>
    </w:p>
    <w:p>
      <w:pPr>
        <w:ind w:right="300"/>
        <w:spacing w:after="0" w:line="256" w:lineRule="auto"/>
        <w:rPr>
          <w:sz w:val="20"/>
          <w:szCs w:val="20"/>
          <w:color w:val="auto"/>
        </w:rPr>
      </w:pPr>
      <w:r>
        <w:rPr>
          <w:rFonts w:ascii="Arial" w:cs="Arial" w:eastAsia="Arial" w:hAnsi="Arial"/>
          <w:sz w:val="18"/>
          <w:szCs w:val="18"/>
          <w:color w:val="auto"/>
        </w:rPr>
        <w:t>In presenting the financial data above in conformity with GAAP, we are required to make estimates and assumptions that affect the amounts reported. See “Critical Accounting Policies” under Item 7 of this Annual Report for a detailed discussion of the accounting policies that we believe require subjective and complex judgments that could potentially affect reported results.</w:t>
      </w:r>
    </w:p>
    <w:p>
      <w:pPr>
        <w:sectPr>
          <w:pgSz w:w="11900" w:h="16838" w:orient="portrait"/>
          <w:cols w:equalWidth="0" w:num="1">
            <w:col w:w="11420"/>
          </w:cols>
          <w:pgMar w:left="240" w:top="140" w:right="239" w:bottom="1440" w:gutter="0" w:footer="0" w:header="0"/>
        </w:sect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42</w:t>
      </w:r>
    </w:p>
    <w:p>
      <w:pPr>
        <w:sectPr>
          <w:pgSz w:w="11900" w:h="16838" w:orient="portrait"/>
          <w:cols w:equalWidth="0" w:num="1">
            <w:col w:w="11420"/>
          </w:cols>
          <w:pgMar w:left="240" w:top="140" w:right="239" w:bottom="1440" w:gutter="0" w:footer="0" w:header="0"/>
          <w:type w:val="continuous"/>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RESTRUCTURING AND OTHER RELATED CHARGES, TRANSACTION-RELATED COSTS, AND OTHER ITEMS</w:t>
      </w:r>
    </w:p>
    <w:p>
      <w:pPr>
        <w:spacing w:after="0" w:line="18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In 2017, 2016, 2015, 2014 and 2013 we recorded restructuring and other related charges of $63 million, $29 million, $18 million, $26 million, and $61 million, respectively. See Note 4 to our Consolidated Financial Statements.</w:t>
      </w:r>
    </w:p>
    <w:p>
      <w:pPr>
        <w:spacing w:after="0" w:line="130"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During 2017, 2016, 2015, 2014 and 2013, we recorded $23 million, $21 million, $68 million, $13 million and $51 million, respectively, of transaction-related costs, primarily related to the acquisition and integration of acquired businesses with our operations. In 2017, these costs primarily related to integration-related costs of acquired businesses and acquisition-related costs of businesses pursued. In 2016, these costs primarily related to integration-related costs of acquired businesses. In 2015, these costs were primarily related to acquisition- and integration-related costs of acquired businesses, including $25 million of non-cash charges recognized in connection with the acquisition of the Avis and Budget license rights for Norway, Sweden and Denmark and Avis license rights for Poland, costs associated with the acquisition of the remaining 50% equity interest in our Brazilian licensee, which is now a wholly-owned subsidiary, and expenses related to certain pre-acquisition contingencies. In 2014, these costs were primarily related to acquisition- and integration-related costs of acquired businesses, including a non-cash gain recognized in connection with the acquisition of our Budget license rights in southern California and Las Vegas, and contingent consideration related to our Apex Car Rentals acquisition. In 2013, these costs were primarily related to the acquisition of Zipcar and the integration of acquired businesses. See Notes 2 and 5 to our Consolidated Financial Statements.</w:t>
      </w:r>
    </w:p>
    <w:p>
      <w:pPr>
        <w:spacing w:after="0" w:line="144"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In 2017, 2016, 2015, 2014 and 2013 we recorded $3 million, $27 million, $23 million, $56 million and $147 million, respectively, of expense related to the early extinguishment of corporate debt. See Note 12 to our Consolidated Financial Statements.</w:t>
      </w:r>
    </w:p>
    <w:p>
      <w:pPr>
        <w:spacing w:after="0" w:line="130" w:lineRule="exact"/>
        <w:rPr>
          <w:sz w:val="20"/>
          <w:szCs w:val="20"/>
          <w:color w:val="auto"/>
        </w:rPr>
      </w:pPr>
    </w:p>
    <w:p>
      <w:pPr>
        <w:ind w:right="480"/>
        <w:spacing w:after="0" w:line="262" w:lineRule="auto"/>
        <w:rPr>
          <w:sz w:val="20"/>
          <w:szCs w:val="20"/>
          <w:color w:val="auto"/>
        </w:rPr>
      </w:pPr>
      <w:r>
        <w:rPr>
          <w:rFonts w:ascii="Arial" w:cs="Arial" w:eastAsia="Arial" w:hAnsi="Arial"/>
          <w:sz w:val="18"/>
          <w:szCs w:val="18"/>
          <w:color w:val="auto"/>
        </w:rPr>
        <w:t>In 2017, we recorded a $2 million impairment charge related to our Zipcar trademark. In 2013, we recorded a charge of $33 million for the impairment of our equity-method investment in our Brazilian licensee.</w:t>
      </w:r>
    </w:p>
    <w:p>
      <w:pPr>
        <w:spacing w:after="0" w:line="142"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In 2017, we recognized recoverable insurance proceeds of $27 million and a charge of $13 million related to an adverse legal judgment against us in a personal injury case. In 2016, we recorded a charge of $26 million related to the same legal matter. This adverse legal judgment is recorded within operating expenses in our consolidated statement of operations.</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40" w:right="2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245745</wp:posOffset>
            </wp:positionV>
            <wp:extent cx="7254875" cy="3517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4875" cy="351790"/>
                    </a:xfrm>
                    <a:prstGeom prst="rect">
                      <a:avLst/>
                    </a:prstGeom>
                    <a:noFill/>
                  </pic:spPr>
                </pic:pic>
              </a:graphicData>
            </a:graphic>
          </wp:anchor>
        </w:drawing>
      </w:r>
    </w:p>
    <w:p>
      <w:pPr>
        <w:spacing w:after="0" w:line="385" w:lineRule="exact"/>
        <w:rPr>
          <w:sz w:val="20"/>
          <w:szCs w:val="20"/>
          <w:color w:val="auto"/>
        </w:rPr>
      </w:pPr>
    </w:p>
    <w:p>
      <w:pPr>
        <w:ind w:left="100"/>
        <w:spacing w:after="0"/>
        <w:tabs>
          <w:tab w:leader="none" w:pos="10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7"/>
          <w:szCs w:val="17"/>
          <w:b w:val="1"/>
          <w:bCs w:val="1"/>
          <w:color w:val="auto"/>
        </w:rPr>
        <w:t>MANAGEMENT’S DISCUSSION AND ANALYSIS OF FINANCIAL CONDITION AND RESULTS OF</w:t>
      </w:r>
    </w:p>
    <w:p>
      <w:pPr>
        <w:spacing w:after="0" w:line="63" w:lineRule="exact"/>
        <w:rPr>
          <w:sz w:val="20"/>
          <w:szCs w:val="20"/>
          <w:color w:val="auto"/>
        </w:rPr>
      </w:pPr>
    </w:p>
    <w:p>
      <w:pPr>
        <w:ind w:left="1080"/>
        <w:spacing w:after="0"/>
        <w:rPr>
          <w:sz w:val="20"/>
          <w:szCs w:val="20"/>
          <w:color w:val="auto"/>
        </w:rPr>
      </w:pPr>
      <w:r>
        <w:rPr>
          <w:rFonts w:ascii="Arial" w:cs="Arial" w:eastAsia="Arial" w:hAnsi="Arial"/>
          <w:sz w:val="18"/>
          <w:szCs w:val="18"/>
          <w:b w:val="1"/>
          <w:bCs w:val="1"/>
          <w:color w:val="auto"/>
        </w:rPr>
        <w:t>OPERATIONS</w:t>
      </w:r>
    </w:p>
    <w:p>
      <w:pPr>
        <w:spacing w:after="0" w:line="256"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i w:val="1"/>
          <w:iCs w:val="1"/>
          <w:color w:val="auto"/>
        </w:rPr>
        <w:t>The following discussion should be read in conjunction with our Consolidated Financial Statements and accompanying Notes thereto included elsewhere herein. Our actual results of operations may differ materially from those discussed in forward-looking statements as a result of various factors, including but not limited to those included in Item 1A, “Risk Factors” and other portions of this Annual Report on Form 10-K. Unless otherwise noted, all dollar amounts in tables are in millions and those relating to our results of operations are presented before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254875" cy="1803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4875" cy="180340"/>
                    </a:xfrm>
                    <a:prstGeom prst="rect">
                      <a:avLst/>
                    </a:prstGeom>
                    <a:noFill/>
                  </pic:spPr>
                </pic:pic>
              </a:graphicData>
            </a:graphic>
          </wp:anchor>
        </w:drawing>
      </w:r>
    </w:p>
    <w:p>
      <w:pPr>
        <w:spacing w:after="0" w:line="116"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OVERVIEW</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OUR COMPANY</w:t>
      </w:r>
    </w:p>
    <w:p>
      <w:pPr>
        <w:spacing w:after="0" w:line="193"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We operate three of the most globally recognized brands in the vehicle rental and other mobility solutions industry, Avis, Budget and Zipcar together with several brands well recognized in their respective markets, including Payless, Maggiore in Italy, FranceCars in France and Apex in both New Zealand and Australia. We are a leading vehicle rental operator in North America, Europe, Australasia and certain other regions we serve, with an average rental fleet of more than 620,000 vehicles. We also license the use of our trademarks to licensees in the areas in which we do not operate directly. We and our licensees operate our brands in approximately 180 countries throughout the world.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OUR SEGMENTS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We categorize our operations into two reportable business segments: </w:t>
      </w:r>
      <w:r>
        <w:rPr>
          <w:rFonts w:ascii="Arial" w:cs="Arial" w:eastAsia="Arial" w:hAnsi="Arial"/>
          <w:sz w:val="18"/>
          <w:szCs w:val="18"/>
          <w:i w:val="1"/>
          <w:iCs w:val="1"/>
          <w:color w:val="auto"/>
        </w:rPr>
        <w:t>Americas</w:t>
      </w:r>
      <w:r>
        <w:rPr>
          <w:rFonts w:ascii="Arial" w:cs="Arial" w:eastAsia="Arial" w:hAnsi="Arial"/>
          <w:sz w:val="18"/>
          <w:szCs w:val="18"/>
          <w:color w:val="auto"/>
        </w:rPr>
        <w:t xml:space="preserve"> and </w:t>
      </w:r>
      <w:r>
        <w:rPr>
          <w:rFonts w:ascii="Arial" w:cs="Arial" w:eastAsia="Arial" w:hAnsi="Arial"/>
          <w:sz w:val="18"/>
          <w:szCs w:val="18"/>
          <w:i w:val="1"/>
          <w:iCs w:val="1"/>
          <w:color w:val="auto"/>
        </w:rPr>
        <w:t>International,</w:t>
      </w:r>
      <w:r>
        <w:rPr>
          <w:rFonts w:ascii="Arial" w:cs="Arial" w:eastAsia="Arial" w:hAnsi="Arial"/>
          <w:sz w:val="18"/>
          <w:szCs w:val="18"/>
          <w:color w:val="auto"/>
        </w:rPr>
        <w:t xml:space="preserve"> as discussed in Part I of this Form 10-K.</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BUSINESS AND TRENDS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Our revenues are derived principally from vehicle rentals in our Company-owned operations and include:</w:t>
      </w:r>
    </w:p>
    <w:p>
      <w:pPr>
        <w:spacing w:after="0" w:line="171" w:lineRule="exact"/>
        <w:rPr>
          <w:sz w:val="20"/>
          <w:szCs w:val="20"/>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time &amp; mileage fees charged to our customers for vehicle rentals;</w:t>
      </w:r>
    </w:p>
    <w:p>
      <w:pPr>
        <w:spacing w:after="0" w:line="171" w:lineRule="exact"/>
        <w:rPr>
          <w:rFonts w:ascii="Arial" w:cs="Arial" w:eastAsia="Arial" w:hAnsi="Arial"/>
          <w:sz w:val="18"/>
          <w:szCs w:val="18"/>
          <w:color w:val="auto"/>
        </w:rPr>
      </w:pPr>
    </w:p>
    <w:p>
      <w:pPr>
        <w:ind w:left="660" w:right="260" w:hanging="328"/>
        <w:spacing w:after="0" w:line="262"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payments from our customers with respect to certain operating expenses we incur, including gasoline and vehicle licensing fees, as well as concession fees, which we pay in exchange for the right to operate at airports and other locations; and</w:t>
      </w:r>
    </w:p>
    <w:p>
      <w:pPr>
        <w:spacing w:after="0" w:line="142"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sales of loss damage waivers and insurance and other supplemental items in conjunction with vehicle rentals.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In addition, we receive royalty revenue from our licensees in conjunction with their vehicle rental transactions.</w:t>
      </w:r>
    </w:p>
    <w:p>
      <w:pPr>
        <w:spacing w:after="0" w:line="225"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Our operating results are subject to variability due to seasonality, macroeconomic conditions and other factors. Car rental volumes tend to be associated with the travel industry, particularly airline passenger volumes, or enplanements, which in turn tend to reflect general economic conditions. Our vehicle rental operations are also seasonal, with the third quarter of the year historically having been our strongest due to the increased level of leisure travel during such quarter. We have a partially variable cost structure and routinely adjust the size, and therefore the cost, of our rental fleet in response to fluctuations in demand.</w:t>
      </w:r>
    </w:p>
    <w:p>
      <w:pPr>
        <w:spacing w:after="0" w:line="15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Throughout 2017, we operated in an uncertain and uneven economic environment marked by heightened geopolitical risks, competitive market conditions and relatively soft used-vehicle values in the U.S. We expect such economic conditions to continue in 2018 along with the incremental impact of rising interest rates. Nonetheless, we continue to anticipate that worldwide demand for vehicle rental and other mobility solutions will increase in 2018, most likely against a backdrop of modest and possibly uneven global economic growth. We will look to pursue opportunities for pricing increases in 2018 to enhance our profitability and returns on invested capital.</w:t>
      </w:r>
    </w:p>
    <w:p>
      <w:pPr>
        <w:spacing w:after="0" w:line="206" w:lineRule="exact"/>
        <w:rPr>
          <w:sz w:val="20"/>
          <w:szCs w:val="20"/>
          <w:color w:val="auto"/>
        </w:rPr>
      </w:pPr>
    </w:p>
    <w:p>
      <w:pPr>
        <w:jc w:val="both"/>
        <w:ind w:right="460"/>
        <w:spacing w:after="0" w:line="256" w:lineRule="auto"/>
        <w:rPr>
          <w:sz w:val="20"/>
          <w:szCs w:val="20"/>
          <w:color w:val="auto"/>
        </w:rPr>
      </w:pPr>
      <w:r>
        <w:rPr>
          <w:rFonts w:ascii="Arial" w:cs="Arial" w:eastAsia="Arial" w:hAnsi="Arial"/>
          <w:sz w:val="18"/>
          <w:szCs w:val="18"/>
          <w:color w:val="auto"/>
        </w:rPr>
        <w:t>Our objective is to drive sustainable, profitable growth by delivering strategic initiatives aimed at winning customers through differentiated brands and products, increasing our margins via revenue growth and operational efficiency and enhancing our leadership in the evolving mobility landscape. Our strategies are intended to support</w:t>
      </w:r>
    </w:p>
    <w:p>
      <w:pPr>
        <w:spacing w:after="0" w:line="2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360"/>
          </w:cols>
          <w:pgMar w:left="240" w:top="140" w:right="29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and strengthen our brands, to grow our Adjusted EBITDA over time and to achieve growth and efficiency opportunities as mobility solutions continue to evolve. We operate in a highly competitive industry and we expect to continue to face challenges and risks. We seek to mitigate our exposure to risks in numerous ways, including delivering upon our core strategic initiatives and through continued optimization of fleet levels to match changes in demand for vehicle rentals, maintenance of liquidity to fund our fleet and operations, appropriate investments in technology and adjustments in the size and the nature and terms of our relationships with vehicle manufacturers.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During 2017:</w:t>
      </w:r>
    </w:p>
    <w:p>
      <w:pPr>
        <w:spacing w:after="0" w:line="117" w:lineRule="exact"/>
        <w:rPr>
          <w:sz w:val="20"/>
          <w:szCs w:val="20"/>
          <w:color w:val="auto"/>
        </w:rPr>
      </w:pPr>
    </w:p>
    <w:p>
      <w:pPr>
        <w:ind w:left="660" w:right="480" w:hanging="328"/>
        <w:spacing w:after="0" w:line="262"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net revenues totaled $8.8 billion and grew 2% compared to the prior year due to higher rental volumes, offset by lower time &amp; mileage revenue per day.</w:t>
      </w:r>
    </w:p>
    <w:p>
      <w:pPr>
        <w:spacing w:after="0" w:line="88" w:lineRule="exact"/>
        <w:rPr>
          <w:rFonts w:ascii="Arial" w:cs="Arial" w:eastAsia="Arial" w:hAnsi="Arial"/>
          <w:sz w:val="18"/>
          <w:szCs w:val="18"/>
          <w:color w:val="auto"/>
        </w:rPr>
      </w:pPr>
    </w:p>
    <w:p>
      <w:pPr>
        <w:ind w:left="660" w:right="20" w:hanging="328"/>
        <w:spacing w:after="0" w:line="256"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net income was $361 million, representing $198 million year-over-year higher earnings, and our Adjusted EBITDA was $735 million, representing a $103 million year-over-year reduction, due to higher per-unit fleet costs in the Americas, partially offset by higher revenues, improved utilization and a $25 million positive impact from currency exchange rate movements.</w:t>
      </w:r>
    </w:p>
    <w:p>
      <w:pPr>
        <w:spacing w:after="0" w:line="93"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repurchased $200 million of our common stock, reducing our shares outstanding by approximately 6.1 million shares, or 7%.</w:t>
      </w:r>
    </w:p>
    <w:p>
      <w:pPr>
        <w:spacing w:after="0" w:line="117" w:lineRule="exact"/>
        <w:rPr>
          <w:rFonts w:ascii="Arial" w:cs="Arial" w:eastAsia="Arial" w:hAnsi="Arial"/>
          <w:sz w:val="18"/>
          <w:szCs w:val="18"/>
          <w:color w:val="auto"/>
        </w:rPr>
      </w:pPr>
    </w:p>
    <w:p>
      <w:pPr>
        <w:ind w:left="660" w:right="380" w:hanging="328"/>
        <w:spacing w:after="0" w:line="291" w:lineRule="auto"/>
        <w:tabs>
          <w:tab w:leader="none" w:pos="6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We issued €250 million of 4½% euro-denominated Senior Notes due 2025, the proceeds of which were used to redeem all €175 million of our outstanding 6% euro-denominated Senior Notes due 2021 and a portion of our Floating Rate Senior Notes due 2017.</w:t>
      </w:r>
    </w:p>
    <w:p>
      <w:pPr>
        <w:spacing w:after="0" w:line="66" w:lineRule="exact"/>
        <w:rPr>
          <w:rFonts w:ascii="Arial" w:cs="Arial" w:eastAsia="Arial" w:hAnsi="Arial"/>
          <w:sz w:val="17"/>
          <w:szCs w:val="17"/>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increased our Floating Rate Term Loan due 2022 to $1.1 billion and reduced the loan interest rate to three-month LIBOR plus</w:t>
      </w:r>
    </w:p>
    <w:p>
      <w:pPr>
        <w:spacing w:after="0" w:line="9" w:lineRule="exact"/>
        <w:rPr>
          <w:rFonts w:ascii="Arial" w:cs="Arial" w:eastAsia="Arial" w:hAnsi="Arial"/>
          <w:sz w:val="18"/>
          <w:szCs w:val="18"/>
          <w:color w:val="auto"/>
        </w:rPr>
      </w:pPr>
    </w:p>
    <w:p>
      <w:pPr>
        <w:ind w:left="660" w:right="120"/>
        <w:spacing w:after="0" w:line="262" w:lineRule="auto"/>
        <w:rPr>
          <w:rFonts w:ascii="Arial" w:cs="Arial" w:eastAsia="Arial" w:hAnsi="Arial"/>
          <w:sz w:val="18"/>
          <w:szCs w:val="18"/>
          <w:color w:val="auto"/>
        </w:rPr>
      </w:pPr>
      <w:r>
        <w:rPr>
          <w:rFonts w:ascii="Arial" w:cs="Arial" w:eastAsia="Arial" w:hAnsi="Arial"/>
          <w:sz w:val="18"/>
          <w:szCs w:val="18"/>
          <w:color w:val="auto"/>
        </w:rPr>
        <w:t>2.00%. The incremental proceeds were used to redeem our outstanding Floating Rate Term Loan due 2019 and the remaining portion of our outstanding Floating Rate Senior Notes due 2017.</w:t>
      </w:r>
    </w:p>
    <w:p>
      <w:pPr>
        <w:spacing w:after="0" w:line="88" w:lineRule="exact"/>
        <w:rPr>
          <w:sz w:val="20"/>
          <w:szCs w:val="20"/>
          <w:color w:val="auto"/>
        </w:rPr>
      </w:pPr>
    </w:p>
    <w:p>
      <w:pPr>
        <w:ind w:left="60"/>
        <w:spacing w:after="0" w:line="252" w:lineRule="auto"/>
        <w:rPr>
          <w:sz w:val="20"/>
          <w:szCs w:val="20"/>
          <w:color w:val="auto"/>
        </w:rPr>
      </w:pPr>
      <w:r>
        <w:rPr>
          <w:rFonts w:ascii="Arial" w:cs="Arial" w:eastAsia="Arial" w:hAnsi="Arial"/>
          <w:sz w:val="18"/>
          <w:szCs w:val="18"/>
          <w:color w:val="auto"/>
        </w:rPr>
        <w:t>On December 22, 2017, the U.S. enacted Public Law 115-97, commonly referred to as the U.S. Tax Reform Act (the “Tax Act”). The Tax Act makes broad and complex changes to U.S. corporate tax laws, including, but not limited to, (i) reducing the U.S. federal corporate tax rate from 35% to 21%; (ii) requiring companies to pay a one-time transition tax on cumulative earnings of foreign subsidiaries; (iii) repealing the like-kind exchange provisions for personal property; (iv) full capital expensing of qualified property for five years through 2022; (v) requiring a current inclusion in U.S. federal taxable income of certain earnings of foreign subsidiaries; (vi) generally eliminating U.S. federal income taxes on dividends from foreign subsidiaries; (vii) creating a new limitation on deductible interest expense; and (viii) changing rules related to uses and limitations of net operating loss carryforwards created in tax years beginning after December 31, 2017.</w:t>
      </w:r>
    </w:p>
    <w:p>
      <w:pPr>
        <w:spacing w:after="0" w:line="99" w:lineRule="exact"/>
        <w:rPr>
          <w:sz w:val="20"/>
          <w:szCs w:val="20"/>
          <w:color w:val="auto"/>
        </w:rPr>
      </w:pPr>
    </w:p>
    <w:p>
      <w:pPr>
        <w:jc w:val="both"/>
        <w:ind w:left="60" w:right="240"/>
        <w:spacing w:after="0" w:line="256" w:lineRule="auto"/>
        <w:rPr>
          <w:sz w:val="20"/>
          <w:szCs w:val="20"/>
          <w:color w:val="auto"/>
        </w:rPr>
      </w:pPr>
      <w:r>
        <w:rPr>
          <w:rFonts w:ascii="Arial" w:cs="Arial" w:eastAsia="Arial" w:hAnsi="Arial"/>
          <w:sz w:val="18"/>
          <w:szCs w:val="18"/>
          <w:color w:val="auto"/>
        </w:rPr>
        <w:t>We expect our 2018 provision for income taxes to be primarily impacted by the reduced U.S. corporate tax rate, the inclusion in the U.S. tax base of certain foreign subsidiary earnings and the limitations on the deductibility of certain business expenses. While we are still evaluating the impact of these changes, certain of these changes could have a material impact on our financial condition or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54875" cy="1803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4875" cy="180340"/>
                    </a:xfrm>
                    <a:prstGeom prst="rect">
                      <a:avLst/>
                    </a:prstGeom>
                    <a:noFill/>
                  </pic:spPr>
                </pic:pic>
              </a:graphicData>
            </a:graphic>
          </wp:anchor>
        </w:drawing>
      </w:r>
    </w:p>
    <w:p>
      <w:pPr>
        <w:spacing w:after="0" w:line="119"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RESULTS OF OPERATIONS</w:t>
      </w:r>
    </w:p>
    <w:p>
      <w:pPr>
        <w:spacing w:after="0" w:line="274"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We measure performance principally using the following key operating statistics: (i) rental days, which represent the total number of days (or portion thereof) a vehicle was rented, (ii) time &amp; mileage revenue per rental day, which represents the average daily revenue we earned from rental time &amp; mileage fees charged to our customers, both of which exclude our U.S. truck rental and Zipcar car sharing operations and (iii) per-unit fleet costs, which represent vehicle depreciation, lease charges and gain or loss on vehicle sales, divided by average rental fleet and exclude our U.S. truck rental operations. We also measure our ancillary revenues (rental-transaction revenue other than time &amp; mileage revenue), such as from the sale of collision and loss damage waivers, insurance products, fuel service options and rental of other supplemental products. Our rental days and time &amp; mileage revenue per rental day vehicle rental operating statistics are all calculated based on the actual rental of the vehicle during a 24-hour period. We believe that this methodology provides us with the most relevant statistics in order to manage the business. Our calculation may not be comparable to other companies’ calculation of similarly-titled statistics. We present currency exchange rate effects to provide a method of assessing how our business performed excluding the effects of foreign currency rate fluctuations. Currency exchange rate effects are calculated by translating the current-year results at the prior-period average exchange rate plus any related gains and losses on currency hedges.</w:t>
      </w: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40" w:right="2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We assess performance and allocate resources based upon the separate financial information of our operating segments. In identifying our reportable segments, we also consider the nature of services provided by our operating segments, the geographical areas in which our segments operate and other relevant factors. Management evaluates the operating results of each of our reportable segments based upon revenue and “Adjusted EBITDA,” which we define as income from continuing operations before non-vehicle related depreciation and amortization, any impairment charges, restructuring and other related charges, early extinguishment of debt costs, non-vehicle related interest, transaction-related costs, net charges for unprecedented personal-injury legal matters and income taxes. Net charges for unprecedented personal-injury legal matters are recorded within operating expenses in our consolidated results of operations. We have revised our definition of Adjusted EBITDA to exclude costs associated with the separation of certain officers of the Company and our limited voluntary opportunity plans, which offered certain employees the limited opportunity to elect resignation from employment for enhanced severance benefits. Costs associated with the separation of certain officers and the limited voluntary opportunity plans are recorded as part of restructuring and other related charges in our consolidated results of operations. We did not revise prior years’ Adjusted EBITDA amounts because there were no costs similar in nature to these costs. We believe Adjusted EBITDA is useful as a supplemental measure in evaluating the performance of our operating businesses and in comparing our results from period to period. We also believe that Adjusted EBITDA is useful to investors because it allows investors to assess our results of operations and financial condition on the same basis that management uses internally. Adjusted EBITDA is a non-GAAP measure and should not be considered in isolation or as a substitute for net income or other income statement data prepared in accordance with U.S. GAAP. Our presentation of Adjusted EBITDA may not be comparable to similarly-titled measures used by other companies.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2017 vs. Year Ended December 31, 2016</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Our consolidated results of operations comprised the following:</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40" w:type="dxa"/>
            <w:vAlign w:val="bottom"/>
            <w:gridSpan w:val="5"/>
          </w:tcPr>
          <w:p>
            <w:pPr>
              <w:ind w:left="440"/>
              <w:spacing w:after="0"/>
              <w:rPr>
                <w:sz w:val="20"/>
                <w:szCs w:val="20"/>
                <w:color w:val="auto"/>
              </w:rPr>
            </w:pPr>
            <w:r>
              <w:rPr>
                <w:rFonts w:ascii="Arial" w:cs="Arial" w:eastAsia="Arial" w:hAnsi="Arial"/>
                <w:sz w:val="18"/>
                <w:szCs w:val="18"/>
                <w:b w:val="1"/>
                <w:bCs w:val="1"/>
                <w:color w:val="auto"/>
              </w:rPr>
              <w:t>Year Ended</w:t>
            </w:r>
          </w:p>
        </w:tc>
        <w:tc>
          <w:tcPr>
            <w:tcW w:w="180" w:type="dxa"/>
            <w:vAlign w:val="bottom"/>
          </w:tcPr>
          <w:p>
            <w:pPr>
              <w:spacing w:after="0"/>
              <w:rPr>
                <w:sz w:val="17"/>
                <w:szCs w:val="17"/>
                <w:color w:val="auto"/>
              </w:rPr>
            </w:pPr>
          </w:p>
        </w:tc>
        <w:tc>
          <w:tcPr>
            <w:tcW w:w="1260" w:type="dxa"/>
            <w:vAlign w:val="bottom"/>
            <w:vMerge w:val="restart"/>
          </w:tcPr>
          <w:p>
            <w:pPr>
              <w:jc w:val="right"/>
              <w:ind w:right="571"/>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2"/>
        </w:trPr>
        <w:tc>
          <w:tcPr>
            <w:tcW w:w="59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240" w:type="dxa"/>
            <w:vAlign w:val="bottom"/>
            <w:gridSpan w:val="5"/>
            <w:vMerge w:val="restart"/>
          </w:tcPr>
          <w:p>
            <w:pPr>
              <w:ind w:left="400"/>
              <w:spacing w:after="0"/>
              <w:rPr>
                <w:sz w:val="20"/>
                <w:szCs w:val="20"/>
                <w:color w:val="auto"/>
              </w:rPr>
            </w:pPr>
            <w:r>
              <w:rPr>
                <w:rFonts w:ascii="Arial" w:cs="Arial" w:eastAsia="Arial" w:hAnsi="Arial"/>
                <w:sz w:val="18"/>
                <w:szCs w:val="18"/>
                <w:b w:val="1"/>
                <w:bCs w:val="1"/>
                <w:color w:val="auto"/>
              </w:rPr>
              <w:t>December 31,</w:t>
            </w:r>
          </w:p>
        </w:tc>
        <w:tc>
          <w:tcPr>
            <w:tcW w:w="18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59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240" w:type="dxa"/>
            <w:vAlign w:val="bottom"/>
            <w:gridSpan w:val="5"/>
            <w:vMerge w:val="continue"/>
          </w:tcPr>
          <w:p>
            <w:pPr>
              <w:spacing w:after="0"/>
              <w:rPr>
                <w:sz w:val="10"/>
                <w:szCs w:val="10"/>
                <w:color w:val="auto"/>
              </w:rPr>
            </w:pPr>
          </w:p>
        </w:tc>
        <w:tc>
          <w:tcPr>
            <w:tcW w:w="144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 xml:space="preserve">Change </w:t>
            </w:r>
            <w:r>
              <w:rPr>
                <w:rFonts w:ascii="Arial" w:cs="Arial" w:eastAsia="Arial" w:hAnsi="Arial"/>
                <w:sz w:val="14"/>
                <w:szCs w:val="14"/>
                <w:b w:val="1"/>
                <w:bCs w:val="1"/>
                <w:color w:val="auto"/>
              </w:rPr>
              <w:t>Favorable</w:t>
            </w:r>
          </w:p>
        </w:tc>
        <w:tc>
          <w:tcPr>
            <w:tcW w:w="12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5960" w:type="dxa"/>
            <w:vAlign w:val="bottom"/>
          </w:tcPr>
          <w:p>
            <w:pPr>
              <w:spacing w:after="0"/>
              <w:rPr>
                <w:sz w:val="5"/>
                <w:szCs w:val="5"/>
                <w:color w:val="auto"/>
              </w:rPr>
            </w:pPr>
          </w:p>
        </w:tc>
        <w:tc>
          <w:tcPr>
            <w:tcW w:w="260" w:type="dxa"/>
            <w:vAlign w:val="bottom"/>
            <w:tcBorders>
              <w:top w:val="single" w:sz="8" w:color="auto"/>
            </w:tcBorders>
          </w:tcPr>
          <w:p>
            <w:pPr>
              <w:spacing w:after="0"/>
              <w:rPr>
                <w:sz w:val="5"/>
                <w:szCs w:val="5"/>
                <w:color w:val="auto"/>
              </w:rPr>
            </w:pPr>
          </w:p>
        </w:tc>
        <w:tc>
          <w:tcPr>
            <w:tcW w:w="880" w:type="dxa"/>
            <w:vAlign w:val="bottom"/>
            <w:tcBorders>
              <w:top w:val="single" w:sz="8" w:color="auto"/>
            </w:tcBorders>
            <w:vMerge w:val="restart"/>
          </w:tcPr>
          <w:p>
            <w:pPr>
              <w:jc w:val="right"/>
              <w:ind w:right="27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top w:val="single" w:sz="8" w:color="auto"/>
            </w:tcBorders>
          </w:tcPr>
          <w:p>
            <w:pPr>
              <w:spacing w:after="0"/>
              <w:rPr>
                <w:sz w:val="5"/>
                <w:szCs w:val="5"/>
                <w:color w:val="auto"/>
              </w:rPr>
            </w:pPr>
          </w:p>
        </w:tc>
        <w:tc>
          <w:tcPr>
            <w:tcW w:w="260" w:type="dxa"/>
            <w:vAlign w:val="bottom"/>
            <w:tcBorders>
              <w:top w:val="single" w:sz="8" w:color="auto"/>
            </w:tcBorders>
          </w:tcPr>
          <w:p>
            <w:pPr>
              <w:spacing w:after="0"/>
              <w:rPr>
                <w:sz w:val="5"/>
                <w:szCs w:val="5"/>
                <w:color w:val="auto"/>
              </w:rPr>
            </w:pPr>
          </w:p>
        </w:tc>
        <w:tc>
          <w:tcPr>
            <w:tcW w:w="900" w:type="dxa"/>
            <w:vAlign w:val="bottom"/>
            <w:tcBorders>
              <w:top w:val="single" w:sz="8" w:color="auto"/>
            </w:tcBorders>
            <w:vMerge w:val="restart"/>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5"/>
                <w:szCs w:val="5"/>
                <w:color w:val="auto"/>
              </w:rPr>
            </w:pPr>
          </w:p>
        </w:tc>
        <w:tc>
          <w:tcPr>
            <w:tcW w:w="144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380" w:type="dxa"/>
            <w:vAlign w:val="bottom"/>
            <w:vMerge w:val="restart"/>
          </w:tcPr>
          <w:p>
            <w:pPr>
              <w:jc w:val="right"/>
              <w:ind w:right="17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196"/>
        </w:trPr>
        <w:tc>
          <w:tcPr>
            <w:tcW w:w="59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/(Unfavorable)</w:t>
            </w:r>
          </w:p>
        </w:tc>
        <w:tc>
          <w:tcPr>
            <w:tcW w:w="120" w:type="dxa"/>
            <w:vAlign w:val="bottom"/>
          </w:tcPr>
          <w:p>
            <w:pPr>
              <w:spacing w:after="0"/>
              <w:rPr>
                <w:sz w:val="17"/>
                <w:szCs w:val="17"/>
                <w:color w:val="auto"/>
              </w:rPr>
            </w:pPr>
          </w:p>
        </w:tc>
        <w:tc>
          <w:tcPr>
            <w:tcW w:w="13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5960" w:type="dxa"/>
            <w:vAlign w:val="bottom"/>
          </w:tcPr>
          <w:p>
            <w:pPr>
              <w:ind w:left="40"/>
              <w:spacing w:after="0"/>
              <w:rPr>
                <w:sz w:val="20"/>
                <w:szCs w:val="20"/>
                <w:color w:val="auto"/>
              </w:rPr>
            </w:pPr>
            <w:r>
              <w:rPr>
                <w:rFonts w:ascii="Arial" w:cs="Arial" w:eastAsia="Arial" w:hAnsi="Arial"/>
                <w:sz w:val="18"/>
                <w:szCs w:val="18"/>
                <w:b w:val="1"/>
                <w:bCs w:val="1"/>
                <w:color w:val="auto"/>
              </w:rPr>
              <w:t>Revenues</w:t>
            </w: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5960" w:type="dxa"/>
            <w:vAlign w:val="bottom"/>
          </w:tcPr>
          <w:p>
            <w:pPr>
              <w:ind w:left="240"/>
              <w:spacing w:after="0"/>
              <w:rPr>
                <w:sz w:val="20"/>
                <w:szCs w:val="20"/>
                <w:color w:val="auto"/>
              </w:rPr>
            </w:pPr>
            <w:r>
              <w:rPr>
                <w:rFonts w:ascii="Arial" w:cs="Arial" w:eastAsia="Arial" w:hAnsi="Arial"/>
                <w:sz w:val="18"/>
                <w:szCs w:val="18"/>
                <w:color w:val="auto"/>
              </w:rPr>
              <w:t>Vehicle rental</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6,219</w:t>
            </w:r>
          </w:p>
        </w:tc>
        <w:tc>
          <w:tcPr>
            <w:tcW w:w="100" w:type="dxa"/>
            <w:vAlign w:val="bottom"/>
          </w:tcPr>
          <w:p>
            <w:pPr>
              <w:spacing w:after="0"/>
              <w:rPr>
                <w:sz w:val="23"/>
                <w:szCs w:val="23"/>
                <w:color w:val="auto"/>
              </w:rPr>
            </w:pP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6,081</w:t>
            </w:r>
          </w:p>
        </w:tc>
        <w:tc>
          <w:tcPr>
            <w:tcW w:w="100" w:type="dxa"/>
            <w:vAlign w:val="bottom"/>
          </w:tcPr>
          <w:p>
            <w:pPr>
              <w:spacing w:after="0"/>
              <w:rPr>
                <w:sz w:val="23"/>
                <w:szCs w:val="23"/>
                <w:color w:val="auto"/>
              </w:rPr>
            </w:pP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138</w:t>
            </w:r>
          </w:p>
        </w:tc>
        <w:tc>
          <w:tcPr>
            <w:tcW w:w="1500" w:type="dxa"/>
            <w:vAlign w:val="bottom"/>
            <w:gridSpan w:val="2"/>
          </w:tcPr>
          <w:p>
            <w:pPr>
              <w:jc w:val="right"/>
              <w:ind w:right="1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7"/>
        </w:trPr>
        <w:tc>
          <w:tcPr>
            <w:tcW w:w="5960" w:type="dxa"/>
            <w:vAlign w:val="bottom"/>
          </w:tcPr>
          <w:p>
            <w:pPr>
              <w:ind w:left="24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2,629</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2,578</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51</w:t>
            </w:r>
          </w:p>
        </w:tc>
        <w:tc>
          <w:tcPr>
            <w:tcW w:w="1500" w:type="dxa"/>
            <w:vAlign w:val="bottom"/>
            <w:gridSpan w:val="2"/>
          </w:tcPr>
          <w:p>
            <w:pPr>
              <w:jc w:val="right"/>
              <w:ind w:right="1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50"/>
        </w:trPr>
        <w:tc>
          <w:tcPr>
            <w:tcW w:w="5960" w:type="dxa"/>
            <w:vAlign w:val="bottom"/>
          </w:tcPr>
          <w:p>
            <w:pPr>
              <w:ind w:left="40"/>
              <w:spacing w:after="0"/>
              <w:rPr>
                <w:sz w:val="20"/>
                <w:szCs w:val="20"/>
                <w:color w:val="auto"/>
              </w:rPr>
            </w:pPr>
            <w:r>
              <w:rPr>
                <w:rFonts w:ascii="Arial" w:cs="Arial" w:eastAsia="Arial" w:hAnsi="Arial"/>
                <w:sz w:val="18"/>
                <w:szCs w:val="18"/>
                <w:color w:val="auto"/>
              </w:rPr>
              <w:t>Net revenues</w:t>
            </w: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8,848</w:t>
            </w:r>
          </w:p>
        </w:tc>
        <w:tc>
          <w:tcPr>
            <w:tcW w:w="1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8,659</w:t>
            </w: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189</w:t>
            </w:r>
          </w:p>
        </w:tc>
        <w:tc>
          <w:tcPr>
            <w:tcW w:w="1500" w:type="dxa"/>
            <w:vAlign w:val="bottom"/>
            <w:gridSpan w:val="2"/>
          </w:tcPr>
          <w:p>
            <w:pPr>
              <w:jc w:val="right"/>
              <w:ind w:right="1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486"/>
        </w:trPr>
        <w:tc>
          <w:tcPr>
            <w:tcW w:w="5960" w:type="dxa"/>
            <w:vAlign w:val="bottom"/>
          </w:tcPr>
          <w:p>
            <w:pPr>
              <w:ind w:left="40"/>
              <w:spacing w:after="0"/>
              <w:rPr>
                <w:sz w:val="20"/>
                <w:szCs w:val="20"/>
                <w:color w:val="auto"/>
              </w:rPr>
            </w:pPr>
            <w:r>
              <w:rPr>
                <w:rFonts w:ascii="Arial" w:cs="Arial" w:eastAsia="Arial" w:hAnsi="Arial"/>
                <w:sz w:val="18"/>
                <w:szCs w:val="18"/>
                <w:b w:val="1"/>
                <w:bCs w:val="1"/>
                <w:color w:val="auto"/>
              </w:rPr>
              <w:t>Expenses</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960" w:type="dxa"/>
            <w:vAlign w:val="bottom"/>
          </w:tcPr>
          <w:p>
            <w:pPr>
              <w:ind w:left="240"/>
              <w:spacing w:after="0"/>
              <w:rPr>
                <w:sz w:val="20"/>
                <w:szCs w:val="20"/>
                <w:color w:val="auto"/>
              </w:rPr>
            </w:pPr>
            <w:r>
              <w:rPr>
                <w:rFonts w:ascii="Arial" w:cs="Arial" w:eastAsia="Arial" w:hAnsi="Arial"/>
                <w:sz w:val="18"/>
                <w:szCs w:val="18"/>
                <w:color w:val="auto"/>
              </w:rPr>
              <w:t>Operating</w:t>
            </w:r>
          </w:p>
        </w:tc>
        <w:tc>
          <w:tcPr>
            <w:tcW w:w="26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4,472</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4,382</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(90)</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0"/>
        </w:trPr>
        <w:tc>
          <w:tcPr>
            <w:tcW w:w="5960" w:type="dxa"/>
            <w:vAlign w:val="bottom"/>
          </w:tcPr>
          <w:p>
            <w:pPr>
              <w:ind w:left="240"/>
              <w:spacing w:after="0"/>
              <w:rPr>
                <w:sz w:val="20"/>
                <w:szCs w:val="20"/>
                <w:color w:val="auto"/>
              </w:rPr>
            </w:pPr>
            <w:r>
              <w:rPr>
                <w:rFonts w:ascii="Arial" w:cs="Arial" w:eastAsia="Arial" w:hAnsi="Arial"/>
                <w:sz w:val="18"/>
                <w:szCs w:val="18"/>
                <w:color w:val="auto"/>
              </w:rPr>
              <w:t>Vehicle depreciation and lease charges, net</w:t>
            </w:r>
          </w:p>
        </w:tc>
        <w:tc>
          <w:tcPr>
            <w:tcW w:w="26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2,221</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2,047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(174)</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0"/>
        </w:trPr>
        <w:tc>
          <w:tcPr>
            <w:tcW w:w="5960" w:type="dxa"/>
            <w:vAlign w:val="bottom"/>
          </w:tcPr>
          <w:p>
            <w:pPr>
              <w:ind w:left="240"/>
              <w:spacing w:after="0"/>
              <w:rPr>
                <w:sz w:val="20"/>
                <w:szCs w:val="20"/>
                <w:color w:val="auto"/>
              </w:rPr>
            </w:pPr>
            <w:r>
              <w:rPr>
                <w:rFonts w:ascii="Arial" w:cs="Arial" w:eastAsia="Arial" w:hAnsi="Arial"/>
                <w:sz w:val="18"/>
                <w:szCs w:val="18"/>
                <w:color w:val="auto"/>
              </w:rPr>
              <w:t>Selling, general and administrative</w:t>
            </w:r>
          </w:p>
        </w:tc>
        <w:tc>
          <w:tcPr>
            <w:tcW w:w="26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1,120</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1,134</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14</w:t>
            </w:r>
          </w:p>
        </w:tc>
        <w:tc>
          <w:tcPr>
            <w:tcW w:w="1500" w:type="dxa"/>
            <w:vAlign w:val="bottom"/>
            <w:gridSpan w:val="2"/>
          </w:tcPr>
          <w:p>
            <w:pPr>
              <w:jc w:val="right"/>
              <w:ind w:right="1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0"/>
        </w:trPr>
        <w:tc>
          <w:tcPr>
            <w:tcW w:w="5960" w:type="dxa"/>
            <w:vAlign w:val="bottom"/>
          </w:tcPr>
          <w:p>
            <w:pPr>
              <w:ind w:left="240"/>
              <w:spacing w:after="0"/>
              <w:rPr>
                <w:sz w:val="20"/>
                <w:szCs w:val="20"/>
                <w:color w:val="auto"/>
              </w:rPr>
            </w:pPr>
            <w:r>
              <w:rPr>
                <w:rFonts w:ascii="Arial" w:cs="Arial" w:eastAsia="Arial" w:hAnsi="Arial"/>
                <w:sz w:val="18"/>
                <w:szCs w:val="18"/>
                <w:color w:val="auto"/>
              </w:rPr>
              <w:t>Vehicle interest, net</w:t>
            </w:r>
          </w:p>
        </w:tc>
        <w:tc>
          <w:tcPr>
            <w:tcW w:w="26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286</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284</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0"/>
        </w:trPr>
        <w:tc>
          <w:tcPr>
            <w:tcW w:w="5960" w:type="dxa"/>
            <w:vAlign w:val="bottom"/>
          </w:tcPr>
          <w:p>
            <w:pPr>
              <w:ind w:left="240"/>
              <w:spacing w:after="0"/>
              <w:rPr>
                <w:sz w:val="20"/>
                <w:szCs w:val="20"/>
                <w:color w:val="auto"/>
              </w:rPr>
            </w:pPr>
            <w:r>
              <w:rPr>
                <w:rFonts w:ascii="Arial" w:cs="Arial" w:eastAsia="Arial" w:hAnsi="Arial"/>
                <w:sz w:val="18"/>
                <w:szCs w:val="18"/>
                <w:color w:val="auto"/>
              </w:rPr>
              <w:t>Non-vehicle related depreciation and amortization</w:t>
            </w:r>
          </w:p>
        </w:tc>
        <w:tc>
          <w:tcPr>
            <w:tcW w:w="26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259</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253</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0"/>
        </w:trPr>
        <w:tc>
          <w:tcPr>
            <w:tcW w:w="5960" w:type="dxa"/>
            <w:vAlign w:val="bottom"/>
          </w:tcPr>
          <w:p>
            <w:pPr>
              <w:ind w:left="240"/>
              <w:spacing w:after="0"/>
              <w:rPr>
                <w:sz w:val="20"/>
                <w:szCs w:val="20"/>
                <w:color w:val="auto"/>
              </w:rPr>
            </w:pPr>
            <w:r>
              <w:rPr>
                <w:rFonts w:ascii="Arial" w:cs="Arial" w:eastAsia="Arial" w:hAnsi="Arial"/>
                <w:sz w:val="18"/>
                <w:szCs w:val="18"/>
                <w:color w:val="auto"/>
              </w:rPr>
              <w:t>Interest expense related to corporate debt, net:</w:t>
            </w: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960" w:type="dxa"/>
            <w:vAlign w:val="bottom"/>
          </w:tcPr>
          <w:p>
            <w:pPr>
              <w:ind w:left="460"/>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188</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203</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15</w:t>
            </w:r>
          </w:p>
        </w:tc>
        <w:tc>
          <w:tcPr>
            <w:tcW w:w="1500" w:type="dxa"/>
            <w:vAlign w:val="bottom"/>
            <w:gridSpan w:val="2"/>
          </w:tcPr>
          <w:p>
            <w:pPr>
              <w:jc w:val="right"/>
              <w:ind w:right="1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0"/>
        </w:trPr>
        <w:tc>
          <w:tcPr>
            <w:tcW w:w="5960" w:type="dxa"/>
            <w:vAlign w:val="bottom"/>
          </w:tcPr>
          <w:p>
            <w:pPr>
              <w:ind w:left="460"/>
              <w:spacing w:after="0"/>
              <w:rPr>
                <w:sz w:val="20"/>
                <w:szCs w:val="20"/>
                <w:color w:val="auto"/>
              </w:rPr>
            </w:pPr>
            <w:r>
              <w:rPr>
                <w:rFonts w:ascii="Arial" w:cs="Arial" w:eastAsia="Arial" w:hAnsi="Arial"/>
                <w:sz w:val="18"/>
                <w:szCs w:val="18"/>
                <w:color w:val="auto"/>
              </w:rPr>
              <w:t>Early extinguishment of debt</w:t>
            </w:r>
          </w:p>
        </w:tc>
        <w:tc>
          <w:tcPr>
            <w:tcW w:w="26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24</w:t>
            </w:r>
          </w:p>
        </w:tc>
        <w:tc>
          <w:tcPr>
            <w:tcW w:w="1500" w:type="dxa"/>
            <w:vAlign w:val="bottom"/>
            <w:gridSpan w:val="2"/>
          </w:tcPr>
          <w:p>
            <w:pPr>
              <w:jc w:val="right"/>
              <w:ind w:right="1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70"/>
        </w:trPr>
        <w:tc>
          <w:tcPr>
            <w:tcW w:w="5960" w:type="dxa"/>
            <w:vAlign w:val="bottom"/>
          </w:tcPr>
          <w:p>
            <w:pPr>
              <w:ind w:left="240"/>
              <w:spacing w:after="0"/>
              <w:rPr>
                <w:sz w:val="20"/>
                <w:szCs w:val="20"/>
                <w:color w:val="auto"/>
              </w:rPr>
            </w:pPr>
            <w:r>
              <w:rPr>
                <w:rFonts w:ascii="Arial" w:cs="Arial" w:eastAsia="Arial" w:hAnsi="Arial"/>
                <w:sz w:val="18"/>
                <w:szCs w:val="18"/>
                <w:color w:val="auto"/>
              </w:rPr>
              <w:t>Restructuring and other related charges</w:t>
            </w:r>
          </w:p>
        </w:tc>
        <w:tc>
          <w:tcPr>
            <w:tcW w:w="26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(34)</w:t>
            </w:r>
          </w:p>
        </w:tc>
        <w:tc>
          <w:tcPr>
            <w:tcW w:w="150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5960" w:type="dxa"/>
            <w:vAlign w:val="bottom"/>
          </w:tcPr>
          <w:p>
            <w:pPr>
              <w:ind w:left="240"/>
              <w:spacing w:after="0"/>
              <w:rPr>
                <w:sz w:val="20"/>
                <w:szCs w:val="20"/>
                <w:color w:val="auto"/>
              </w:rPr>
            </w:pPr>
            <w:r>
              <w:rPr>
                <w:rFonts w:ascii="Arial" w:cs="Arial" w:eastAsia="Arial" w:hAnsi="Arial"/>
                <w:sz w:val="18"/>
                <w:szCs w:val="18"/>
                <w:color w:val="auto"/>
              </w:rPr>
              <w:t>Transaction-related costs, net</w:t>
            </w:r>
          </w:p>
        </w:tc>
        <w:tc>
          <w:tcPr>
            <w:tcW w:w="26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7"/>
        </w:trPr>
        <w:tc>
          <w:tcPr>
            <w:tcW w:w="5960" w:type="dxa"/>
            <w:vAlign w:val="bottom"/>
          </w:tcPr>
          <w:p>
            <w:pPr>
              <w:ind w:left="240"/>
              <w:spacing w:after="0"/>
              <w:rPr>
                <w:sz w:val="20"/>
                <w:szCs w:val="20"/>
                <w:color w:val="auto"/>
              </w:rPr>
            </w:pPr>
            <w:r>
              <w:rPr>
                <w:rFonts w:ascii="Arial" w:cs="Arial" w:eastAsia="Arial" w:hAnsi="Arial"/>
                <w:sz w:val="18"/>
                <w:szCs w:val="18"/>
                <w:color w:val="auto"/>
              </w:rPr>
              <w:t>Impairment</w:t>
            </w:r>
          </w:p>
        </w:tc>
        <w:tc>
          <w:tcPr>
            <w:tcW w:w="260" w:type="dxa"/>
            <w:vAlign w:val="bottom"/>
          </w:tcPr>
          <w:p>
            <w:pPr>
              <w:spacing w:after="0"/>
              <w:rPr>
                <w:sz w:val="24"/>
                <w:szCs w:val="24"/>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w:t>
            </w:r>
          </w:p>
        </w:tc>
        <w:tc>
          <w:tcPr>
            <w:tcW w:w="150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5960" w:type="dxa"/>
            <w:vAlign w:val="bottom"/>
          </w:tcPr>
          <w:p>
            <w:pPr>
              <w:ind w:left="40"/>
              <w:spacing w:after="0"/>
              <w:rPr>
                <w:sz w:val="20"/>
                <w:szCs w:val="20"/>
                <w:color w:val="auto"/>
              </w:rPr>
            </w:pPr>
            <w:r>
              <w:rPr>
                <w:rFonts w:ascii="Arial" w:cs="Arial" w:eastAsia="Arial" w:hAnsi="Arial"/>
                <w:sz w:val="18"/>
                <w:szCs w:val="18"/>
                <w:color w:val="auto"/>
              </w:rPr>
              <w:t>Total expenses</w:t>
            </w:r>
          </w:p>
        </w:tc>
        <w:tc>
          <w:tcPr>
            <w:tcW w:w="26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8,637</w:t>
            </w:r>
          </w:p>
        </w:tc>
        <w:tc>
          <w:tcPr>
            <w:tcW w:w="100" w:type="dxa"/>
            <w:vAlign w:val="bottom"/>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8,380</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(257)</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527"/>
        </w:trPr>
        <w:tc>
          <w:tcPr>
            <w:tcW w:w="5960" w:type="dxa"/>
            <w:vAlign w:val="bottom"/>
          </w:tcPr>
          <w:p>
            <w:pPr>
              <w:ind w:left="40"/>
              <w:spacing w:after="0"/>
              <w:rPr>
                <w:sz w:val="20"/>
                <w:szCs w:val="20"/>
                <w:color w:val="auto"/>
              </w:rPr>
            </w:pPr>
            <w:r>
              <w:rPr>
                <w:rFonts w:ascii="Arial" w:cs="Arial" w:eastAsia="Arial" w:hAnsi="Arial"/>
                <w:sz w:val="18"/>
                <w:szCs w:val="18"/>
                <w:b w:val="1"/>
                <w:bCs w:val="1"/>
                <w:color w:val="auto"/>
              </w:rPr>
              <w:t>Income before income taxes</w:t>
            </w:r>
          </w:p>
        </w:tc>
        <w:tc>
          <w:tcPr>
            <w:tcW w:w="260" w:type="dxa"/>
            <w:vAlign w:val="bottom"/>
          </w:tcPr>
          <w:p>
            <w:pPr>
              <w:spacing w:after="0"/>
              <w:rPr>
                <w:sz w:val="24"/>
                <w:szCs w:val="24"/>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211</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279</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(68)</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7"/>
        </w:trPr>
        <w:tc>
          <w:tcPr>
            <w:tcW w:w="5960" w:type="dxa"/>
            <w:vAlign w:val="bottom"/>
          </w:tcPr>
          <w:p>
            <w:pPr>
              <w:ind w:left="40"/>
              <w:spacing w:after="0"/>
              <w:rPr>
                <w:sz w:val="20"/>
                <w:szCs w:val="20"/>
                <w:color w:val="auto"/>
              </w:rPr>
            </w:pPr>
            <w:r>
              <w:rPr>
                <w:rFonts w:ascii="Arial" w:cs="Arial" w:eastAsia="Arial" w:hAnsi="Arial"/>
                <w:sz w:val="18"/>
                <w:szCs w:val="18"/>
                <w:color w:val="auto"/>
              </w:rPr>
              <w:t>Provision for (benefit from) income taxes</w:t>
            </w: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266</w:t>
            </w:r>
          </w:p>
        </w:tc>
        <w:tc>
          <w:tcPr>
            <w:tcW w:w="150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27"/>
        </w:trPr>
        <w:tc>
          <w:tcPr>
            <w:tcW w:w="5960" w:type="dxa"/>
            <w:vAlign w:val="bottom"/>
          </w:tcPr>
          <w:p>
            <w:pPr>
              <w:ind w:left="40"/>
              <w:spacing w:after="0"/>
              <w:rPr>
                <w:sz w:val="20"/>
                <w:szCs w:val="20"/>
                <w:color w:val="auto"/>
              </w:rPr>
            </w:pPr>
            <w:r>
              <w:rPr>
                <w:rFonts w:ascii="Arial" w:cs="Arial" w:eastAsia="Arial" w:hAnsi="Arial"/>
                <w:sz w:val="18"/>
                <w:szCs w:val="18"/>
                <w:b w:val="1"/>
                <w:bCs w:val="1"/>
                <w:color w:val="auto"/>
              </w:rPr>
              <w:t>Net income</w:t>
            </w:r>
          </w:p>
        </w:tc>
        <w:tc>
          <w:tcPr>
            <w:tcW w:w="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361</w:t>
            </w:r>
          </w:p>
        </w:tc>
        <w:tc>
          <w:tcPr>
            <w:tcW w:w="100" w:type="dxa"/>
            <w:vAlign w:val="bottom"/>
          </w:tcPr>
          <w:p>
            <w:pPr>
              <w:spacing w:after="0"/>
              <w:rPr>
                <w:sz w:val="24"/>
                <w:szCs w:val="24"/>
                <w:color w:val="auto"/>
              </w:rPr>
            </w:pPr>
          </w:p>
        </w:tc>
        <w:tc>
          <w:tcPr>
            <w:tcW w:w="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163</w:t>
            </w:r>
          </w:p>
        </w:tc>
        <w:tc>
          <w:tcPr>
            <w:tcW w:w="100" w:type="dxa"/>
            <w:vAlign w:val="bottom"/>
          </w:tcPr>
          <w:p>
            <w:pPr>
              <w:spacing w:after="0"/>
              <w:rPr>
                <w:sz w:val="24"/>
                <w:szCs w:val="24"/>
                <w:color w:val="auto"/>
              </w:rPr>
            </w:pPr>
          </w:p>
        </w:tc>
        <w:tc>
          <w:tcPr>
            <w:tcW w:w="1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198</w:t>
            </w:r>
          </w:p>
        </w:tc>
        <w:tc>
          <w:tcPr>
            <w:tcW w:w="150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960" w:type="dxa"/>
            <w:vAlign w:val="bottom"/>
            <w:vMerge w:val="restart"/>
          </w:tcPr>
          <w:p>
            <w:pPr>
              <w:spacing w:after="0"/>
              <w:rPr>
                <w:sz w:val="20"/>
                <w:szCs w:val="20"/>
                <w:color w:val="auto"/>
              </w:rPr>
            </w:pPr>
            <w:r>
              <w:rPr>
                <w:rFonts w:ascii="Arial" w:cs="Arial" w:eastAsia="Arial" w:hAnsi="Arial"/>
                <w:sz w:val="16"/>
                <w:szCs w:val="16"/>
                <w:color w:val="auto"/>
              </w:rPr>
              <w:t>__________</w:t>
            </w: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596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37"/>
        </w:numPr>
        <w:rPr>
          <w:rFonts w:ascii="Arial" w:cs="Arial" w:eastAsia="Arial" w:hAnsi="Arial"/>
          <w:sz w:val="14"/>
          <w:szCs w:val="14"/>
          <w:color w:val="auto"/>
        </w:rPr>
      </w:pPr>
      <w:r>
        <w:rPr>
          <w:rFonts w:ascii="Arial" w:cs="Arial" w:eastAsia="Arial" w:hAnsi="Arial"/>
          <w:sz w:val="14"/>
          <w:szCs w:val="14"/>
          <w:color w:val="auto"/>
        </w:rPr>
        <w:t>Not meaningful.</w:t>
      </w:r>
    </w:p>
    <w:p>
      <w:pPr>
        <w:spacing w:after="0" w:line="185" w:lineRule="exact"/>
        <w:rPr>
          <w:sz w:val="20"/>
          <w:szCs w:val="20"/>
          <w:color w:val="auto"/>
        </w:rPr>
      </w:pPr>
    </w:p>
    <w:p>
      <w:pPr>
        <w:ind w:right="620"/>
        <w:spacing w:after="0" w:line="262" w:lineRule="auto"/>
        <w:rPr>
          <w:sz w:val="20"/>
          <w:szCs w:val="20"/>
          <w:color w:val="auto"/>
        </w:rPr>
      </w:pPr>
      <w:r>
        <w:rPr>
          <w:rFonts w:ascii="Arial" w:cs="Arial" w:eastAsia="Arial" w:hAnsi="Arial"/>
          <w:sz w:val="18"/>
          <w:szCs w:val="18"/>
          <w:color w:val="auto"/>
        </w:rPr>
        <w:t>During 2017, our revenues increased as a result of a 5% increase in rental volumes, partially offset by a 1% decrease in time &amp; mileage revenue per day. Currency exchange rate movements increased revenues by $58 million.</w:t>
      </w:r>
    </w:p>
    <w:p>
      <w:pPr>
        <w:sectPr>
          <w:pgSz w:w="11900" w:h="16838" w:orient="portrait"/>
          <w:cols w:equalWidth="0" w:num="1">
            <w:col w:w="11400"/>
          </w:cols>
          <w:pgMar w:left="240" w:top="140" w:right="259" w:bottom="1440" w:gutter="0" w:footer="0" w:header="0"/>
        </w:sectPr>
      </w:pPr>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46</w:t>
      </w:r>
    </w:p>
    <w:p>
      <w:pPr>
        <w:sectPr>
          <w:pgSz w:w="11900" w:h="16838" w:orient="portrait"/>
          <w:cols w:equalWidth="0" w:num="1">
            <w:col w:w="11400"/>
          </w:cols>
          <w:pgMar w:left="240" w:top="140" w:right="259" w:bottom="1440" w:gutter="0" w:footer="0" w:header="0"/>
          <w:type w:val="continuous"/>
        </w:sectPr>
      </w:pPr>
    </w:p>
    <w:bookmarkStart w:id="48" w:name="page49"/>
    <w:bookmarkEnd w:id="4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Total expenses increased as a result of higher rental volumes, a 4% increase in per-unit fleet costs (including a 1% negative impact from currency exchange rate movements) and increased restructuring and other related charges, partially offset by cost mitigating actions. Currency movements increased expenses by $25 million year-over-year. Our effective tax rates were a benefit of 71% and a provision of 42% in 2017 and 2016, respectively, which in 2017 included a $213 million provisional income tax benefit related to the impact of the Tax Act. This net benefit primarily consists of a benefit of $ 317 million from the revaluation of net deferred tax liabilities as a result of the corporate income tax rate reduction and a provisional expense of $104 million for the one-time transition tax on cumulative foreign earnings. As a result of these items, our net income increased by $198 million.</w:t>
      </w:r>
    </w:p>
    <w:p>
      <w:pPr>
        <w:spacing w:after="0" w:line="20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For 2017, the Company reported earnings of $4.25 per diluted share, which includes after-tax restructuring and other related charges of ($0.48) per share, after-tax transaction-related costs of ($0.23) per share, after-tax debt extinguishment costs of ($0.02) per share, an after-tax impairment charge of ($ 0.01) per share and after-tax reversal of charges for legal matter of $ 0.10 per share and a net tax benefit from the impact of the Tax Act of $2.51 per share. For 2016, the Company reported earnings of $1.75 per diluted share, which includes after-tax restructuring and other related charges of ($0.23) per share, after-tax debt extinguishment costs of ($0.18) per share, after-tax charges for legal matter of ($0.17) per share and after-tax transaction-related costs, net, of ($0.17) per share.</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In the year ended December 31, 2017:</w:t>
      </w:r>
    </w:p>
    <w:p>
      <w:pPr>
        <w:spacing w:after="0" w:line="225" w:lineRule="exact"/>
        <w:rPr>
          <w:sz w:val="20"/>
          <w:szCs w:val="20"/>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Operating expenses were 50.5% of revenue compared to 50.6% in the prior year.</w:t>
      </w:r>
    </w:p>
    <w:p>
      <w:pPr>
        <w:spacing w:after="0" w:line="225" w:lineRule="exact"/>
        <w:rPr>
          <w:rFonts w:ascii="Arial" w:cs="Arial" w:eastAsia="Arial" w:hAnsi="Arial"/>
          <w:sz w:val="18"/>
          <w:szCs w:val="18"/>
          <w:color w:val="auto"/>
        </w:rPr>
      </w:pPr>
    </w:p>
    <w:p>
      <w:pPr>
        <w:ind w:left="660" w:right="100" w:hanging="328"/>
        <w:spacing w:after="0" w:line="262"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Vehicle depreciation and lease charges increased to 25.1% of revenue from 23.6% in 2016, primarily due to higher per-unit fleet costs and lower time &amp; mileage revenue per day, partially offset by higher utilization.</w:t>
      </w:r>
    </w:p>
    <w:p>
      <w:pPr>
        <w:spacing w:after="0" w:line="196" w:lineRule="exact"/>
        <w:rPr>
          <w:rFonts w:ascii="Arial" w:cs="Arial" w:eastAsia="Arial" w:hAnsi="Arial"/>
          <w:sz w:val="18"/>
          <w:szCs w:val="18"/>
          <w:color w:val="auto"/>
        </w:rPr>
      </w:pPr>
    </w:p>
    <w:p>
      <w:pPr>
        <w:ind w:left="660" w:right="180" w:hanging="328"/>
        <w:spacing w:after="0" w:line="262"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Selling, general and administrative costs decreased to 12.7% of revenue compared to 13.1% in 2016, primarily due to cost mitigating actions, partially offset by higher marketing commissions.</w:t>
      </w:r>
    </w:p>
    <w:p>
      <w:pPr>
        <w:spacing w:after="0" w:line="196"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Vehicle interest costs were 3.2% of revenue compared to 3.3% in the prior year.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Following is a more detailed discussion of the results of each of our reportable segments:</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246"/>
        </w:trPr>
        <w:tc>
          <w:tcPr>
            <w:tcW w:w="50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2017</w:t>
            </w:r>
          </w:p>
        </w:tc>
        <w:tc>
          <w:tcPr>
            <w:tcW w:w="122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2016</w:t>
            </w:r>
          </w:p>
        </w:tc>
        <w:tc>
          <w:tcPr>
            <w:tcW w:w="1240" w:type="dxa"/>
            <w:vAlign w:val="bottom"/>
            <w:tcBorders>
              <w:bottom w:val="single" w:sz="8" w:color="auto"/>
            </w:tcBorders>
          </w:tcPr>
          <w:p>
            <w:pPr>
              <w:spacing w:after="0"/>
              <w:rPr>
                <w:sz w:val="21"/>
                <w:szCs w:val="21"/>
                <w:color w:val="auto"/>
              </w:rPr>
            </w:pPr>
          </w:p>
        </w:tc>
      </w:tr>
      <w:tr>
        <w:trPr>
          <w:trHeight w:val="207"/>
        </w:trPr>
        <w:tc>
          <w:tcPr>
            <w:tcW w:w="5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8"/>
              </w:rPr>
              <w:t>Adjusted</w:t>
            </w: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jc w:val="right"/>
              <w:ind w:right="270"/>
              <w:spacing w:after="0"/>
              <w:rPr>
                <w:sz w:val="20"/>
                <w:szCs w:val="20"/>
                <w:color w:val="auto"/>
              </w:rPr>
            </w:pPr>
            <w:r>
              <w:rPr>
                <w:rFonts w:ascii="Arial" w:cs="Arial" w:eastAsia="Arial" w:hAnsi="Arial"/>
                <w:sz w:val="18"/>
                <w:szCs w:val="18"/>
                <w:b w:val="1"/>
                <w:bCs w:val="1"/>
                <w:color w:val="auto"/>
              </w:rPr>
              <w:t>Adjusted</w:t>
            </w:r>
          </w:p>
        </w:tc>
      </w:tr>
      <w:tr>
        <w:trPr>
          <w:trHeight w:val="246"/>
        </w:trPr>
        <w:tc>
          <w:tcPr>
            <w:tcW w:w="50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gridSpan w:val="2"/>
          </w:tcPr>
          <w:p>
            <w:pPr>
              <w:ind w:left="100"/>
              <w:spacing w:after="0"/>
              <w:rPr>
                <w:sz w:val="20"/>
                <w:szCs w:val="20"/>
                <w:color w:val="auto"/>
              </w:rPr>
            </w:pPr>
            <w:r>
              <w:rPr>
                <w:rFonts w:ascii="Arial" w:cs="Arial" w:eastAsia="Arial" w:hAnsi="Arial"/>
                <w:sz w:val="18"/>
                <w:szCs w:val="18"/>
                <w:b w:val="1"/>
                <w:bCs w:val="1"/>
                <w:color w:val="auto"/>
              </w:rPr>
              <w:t>Revenues</w:t>
            </w:r>
          </w:p>
        </w:tc>
        <w:tc>
          <w:tcPr>
            <w:tcW w:w="260" w:type="dxa"/>
            <w:vAlign w:val="bottom"/>
          </w:tcPr>
          <w:p>
            <w:pPr>
              <w:spacing w:after="0"/>
              <w:rPr>
                <w:sz w:val="21"/>
                <w:szCs w:val="21"/>
                <w:color w:val="auto"/>
              </w:rPr>
            </w:pPr>
          </w:p>
        </w:tc>
        <w:tc>
          <w:tcPr>
            <w:tcW w:w="13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rPr>
              <w:t>EBITDA</w:t>
            </w:r>
          </w:p>
        </w:tc>
        <w:tc>
          <w:tcPr>
            <w:tcW w:w="220" w:type="dxa"/>
            <w:vAlign w:val="bottom"/>
          </w:tcPr>
          <w:p>
            <w:pPr>
              <w:spacing w:after="0"/>
              <w:rPr>
                <w:sz w:val="21"/>
                <w:szCs w:val="21"/>
                <w:color w:val="auto"/>
              </w:rPr>
            </w:pPr>
          </w:p>
        </w:tc>
        <w:tc>
          <w:tcPr>
            <w:tcW w:w="1360" w:type="dxa"/>
            <w:vAlign w:val="bottom"/>
            <w:gridSpan w:val="2"/>
          </w:tcPr>
          <w:p>
            <w:pPr>
              <w:ind w:left="100"/>
              <w:spacing w:after="0"/>
              <w:rPr>
                <w:sz w:val="20"/>
                <w:szCs w:val="20"/>
                <w:color w:val="auto"/>
              </w:rPr>
            </w:pPr>
            <w:r>
              <w:rPr>
                <w:rFonts w:ascii="Arial" w:cs="Arial" w:eastAsia="Arial" w:hAnsi="Arial"/>
                <w:sz w:val="18"/>
                <w:szCs w:val="18"/>
                <w:b w:val="1"/>
                <w:bCs w:val="1"/>
                <w:color w:val="auto"/>
              </w:rPr>
              <w:t>Revenues</w:t>
            </w:r>
          </w:p>
        </w:tc>
        <w:tc>
          <w:tcPr>
            <w:tcW w:w="260" w:type="dxa"/>
            <w:vAlign w:val="bottom"/>
          </w:tcPr>
          <w:p>
            <w:pPr>
              <w:spacing w:after="0"/>
              <w:rPr>
                <w:sz w:val="21"/>
                <w:szCs w:val="21"/>
                <w:color w:val="auto"/>
              </w:rPr>
            </w:pPr>
          </w:p>
        </w:tc>
        <w:tc>
          <w:tcPr>
            <w:tcW w:w="1240" w:type="dxa"/>
            <w:vAlign w:val="bottom"/>
          </w:tcPr>
          <w:p>
            <w:pPr>
              <w:jc w:val="right"/>
              <w:ind w:right="330"/>
              <w:spacing w:after="0"/>
              <w:rPr>
                <w:sz w:val="20"/>
                <w:szCs w:val="20"/>
                <w:color w:val="auto"/>
              </w:rPr>
            </w:pPr>
            <w:r>
              <w:rPr>
                <w:rFonts w:ascii="Arial" w:cs="Arial" w:eastAsia="Arial" w:hAnsi="Arial"/>
                <w:sz w:val="18"/>
                <w:szCs w:val="18"/>
                <w:b w:val="1"/>
                <w:bCs w:val="1"/>
                <w:color w:val="auto"/>
              </w:rPr>
              <w:t>EBITDA</w:t>
            </w:r>
          </w:p>
        </w:tc>
      </w:tr>
      <w:tr>
        <w:trPr>
          <w:trHeight w:val="243"/>
        </w:trPr>
        <w:tc>
          <w:tcPr>
            <w:tcW w:w="5080" w:type="dxa"/>
            <w:vAlign w:val="bottom"/>
          </w:tcPr>
          <w:p>
            <w:pPr>
              <w:spacing w:after="0"/>
              <w:rPr>
                <w:sz w:val="20"/>
                <w:szCs w:val="20"/>
                <w:color w:val="auto"/>
              </w:rPr>
            </w:pPr>
            <w:r>
              <w:rPr>
                <w:rFonts w:ascii="Arial" w:cs="Arial" w:eastAsia="Arial" w:hAnsi="Arial"/>
                <w:sz w:val="18"/>
                <w:szCs w:val="18"/>
                <w:color w:val="auto"/>
              </w:rPr>
              <w:t>Americas</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6,100</w:t>
            </w:r>
          </w:p>
        </w:tc>
        <w:tc>
          <w:tcPr>
            <w:tcW w:w="100" w:type="dxa"/>
            <w:vAlign w:val="bottom"/>
          </w:tcPr>
          <w:p>
            <w:pPr>
              <w:spacing w:after="0"/>
              <w:rPr>
                <w:sz w:val="21"/>
                <w:szCs w:val="21"/>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486</w:t>
            </w:r>
          </w:p>
        </w:tc>
        <w:tc>
          <w:tcPr>
            <w:tcW w:w="120" w:type="dxa"/>
            <w:vAlign w:val="bottom"/>
          </w:tcPr>
          <w:p>
            <w:pPr>
              <w:spacing w:after="0"/>
              <w:rPr>
                <w:sz w:val="21"/>
                <w:szCs w:val="21"/>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6,121</w:t>
            </w:r>
          </w:p>
        </w:tc>
        <w:tc>
          <w:tcPr>
            <w:tcW w:w="100" w:type="dxa"/>
            <w:vAlign w:val="bottom"/>
          </w:tcPr>
          <w:p>
            <w:pPr>
              <w:spacing w:after="0"/>
              <w:rPr>
                <w:sz w:val="21"/>
                <w:szCs w:val="21"/>
                <w:color w:val="auto"/>
              </w:rPr>
            </w:pPr>
          </w:p>
        </w:tc>
        <w:tc>
          <w:tcPr>
            <w:tcW w:w="2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633</w:t>
            </w:r>
          </w:p>
        </w:tc>
      </w:tr>
      <w:tr>
        <w:trPr>
          <w:trHeight w:val="270"/>
        </w:trPr>
        <w:tc>
          <w:tcPr>
            <w:tcW w:w="5080" w:type="dxa"/>
            <w:vAlign w:val="bottom"/>
          </w:tcPr>
          <w:p>
            <w:pPr>
              <w:spacing w:after="0"/>
              <w:rPr>
                <w:sz w:val="20"/>
                <w:szCs w:val="20"/>
                <w:color w:val="auto"/>
              </w:rPr>
            </w:pPr>
            <w:r>
              <w:rPr>
                <w:rFonts w:ascii="Arial" w:cs="Arial" w:eastAsia="Arial" w:hAnsi="Arial"/>
                <w:sz w:val="18"/>
                <w:szCs w:val="18"/>
                <w:color w:val="auto"/>
              </w:rPr>
              <w:t>International</w:t>
            </w:r>
          </w:p>
        </w:tc>
        <w:tc>
          <w:tcPr>
            <w:tcW w:w="220" w:type="dxa"/>
            <w:vAlign w:val="bottom"/>
          </w:tcPr>
          <w:p>
            <w:pPr>
              <w:spacing w:after="0"/>
              <w:rPr>
                <w:sz w:val="23"/>
                <w:szCs w:val="23"/>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2,748</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305</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2,538</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273</w:t>
            </w:r>
          </w:p>
        </w:tc>
      </w:tr>
      <w:tr>
        <w:trPr>
          <w:trHeight w:val="283"/>
        </w:trPr>
        <w:tc>
          <w:tcPr>
            <w:tcW w:w="5080" w:type="dxa"/>
            <w:vAlign w:val="bottom"/>
          </w:tcPr>
          <w:p>
            <w:pPr>
              <w:spacing w:after="0"/>
              <w:rPr>
                <w:sz w:val="20"/>
                <w:szCs w:val="20"/>
                <w:color w:val="auto"/>
              </w:rPr>
            </w:pPr>
            <w:r>
              <w:rPr>
                <w:rFonts w:ascii="Arial" w:cs="Arial" w:eastAsia="Arial" w:hAnsi="Arial"/>
                <w:sz w:val="18"/>
                <w:szCs w:val="18"/>
                <w:color w:val="auto"/>
              </w:rPr>
              <w:t xml:space="preserve">Corporate and Other </w:t>
            </w:r>
            <w:r>
              <w:rPr>
                <w:rFonts w:ascii="Arial" w:cs="Arial" w:eastAsia="Arial" w:hAnsi="Arial"/>
                <w:sz w:val="18"/>
                <w:szCs w:val="18"/>
                <w:color w:val="auto"/>
                <w:vertAlign w:val="superscript"/>
              </w:rPr>
              <w:t>(a)</w:t>
            </w:r>
          </w:p>
        </w:tc>
        <w:tc>
          <w:tcPr>
            <w:tcW w:w="220" w:type="dxa"/>
            <w:vAlign w:val="bottom"/>
          </w:tcPr>
          <w:p>
            <w:pPr>
              <w:spacing w:after="0"/>
              <w:rPr>
                <w:sz w:val="24"/>
                <w:szCs w:val="24"/>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50"/>
        </w:trPr>
        <w:tc>
          <w:tcPr>
            <w:tcW w:w="5080" w:type="dxa"/>
            <w:vAlign w:val="bottom"/>
          </w:tcPr>
          <w:p>
            <w:pPr>
              <w:ind w:left="120"/>
              <w:spacing w:after="0"/>
              <w:rPr>
                <w:sz w:val="20"/>
                <w:szCs w:val="20"/>
                <w:color w:val="auto"/>
              </w:rPr>
            </w:pPr>
            <w:r>
              <w:rPr>
                <w:rFonts w:ascii="Arial" w:cs="Arial" w:eastAsia="Arial" w:hAnsi="Arial"/>
                <w:sz w:val="18"/>
                <w:szCs w:val="18"/>
                <w:color w:val="auto"/>
              </w:rPr>
              <w:t>Total Company</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8,848</w:t>
            </w:r>
          </w:p>
        </w:tc>
        <w:tc>
          <w:tcPr>
            <w:tcW w:w="10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735</w:t>
            </w:r>
          </w:p>
        </w:tc>
        <w:tc>
          <w:tcPr>
            <w:tcW w:w="12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8,659</w:t>
            </w:r>
          </w:p>
        </w:tc>
        <w:tc>
          <w:tcPr>
            <w:tcW w:w="10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838</w:t>
            </w:r>
          </w:p>
        </w:tc>
      </w:tr>
      <w:tr>
        <w:trPr>
          <w:trHeight w:val="20"/>
        </w:trPr>
        <w:tc>
          <w:tcPr>
            <w:tcW w:w="50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5120" w:type="dxa"/>
            <w:vAlign w:val="bottom"/>
          </w:tcPr>
          <w:p>
            <w:pPr>
              <w:spacing w:after="0"/>
              <w:rPr>
                <w:sz w:val="21"/>
                <w:szCs w:val="21"/>
                <w:color w:val="auto"/>
              </w:rPr>
            </w:pPr>
          </w:p>
        </w:tc>
        <w:tc>
          <w:tcPr>
            <w:tcW w:w="530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b w:val="1"/>
                <w:bCs w:val="1"/>
                <w:color w:val="auto"/>
              </w:rPr>
              <w:t>Reconciliation of Net income to Adjusted EBITDA</w:t>
            </w:r>
          </w:p>
        </w:tc>
        <w:tc>
          <w:tcPr>
            <w:tcW w:w="9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5120" w:type="dxa"/>
            <w:vAlign w:val="bottom"/>
          </w:tcPr>
          <w:p>
            <w:pPr>
              <w:spacing w:after="0"/>
              <w:rPr>
                <w:sz w:val="22"/>
                <w:szCs w:val="22"/>
                <w:color w:val="auto"/>
              </w:rPr>
            </w:pPr>
          </w:p>
        </w:tc>
        <w:tc>
          <w:tcPr>
            <w:tcW w:w="32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243"/>
        </w:trPr>
        <w:tc>
          <w:tcPr>
            <w:tcW w:w="512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361</w:t>
            </w:r>
          </w:p>
        </w:tc>
        <w:tc>
          <w:tcPr>
            <w:tcW w:w="100" w:type="dxa"/>
            <w:vAlign w:val="bottom"/>
          </w:tcPr>
          <w:p>
            <w:pPr>
              <w:spacing w:after="0"/>
              <w:rPr>
                <w:sz w:val="21"/>
                <w:szCs w:val="21"/>
                <w:color w:val="auto"/>
              </w:rPr>
            </w:pPr>
          </w:p>
        </w:tc>
        <w:tc>
          <w:tcPr>
            <w:tcW w:w="52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77"/>
        </w:trPr>
        <w:tc>
          <w:tcPr>
            <w:tcW w:w="5120" w:type="dxa"/>
            <w:vAlign w:val="bottom"/>
          </w:tcPr>
          <w:p>
            <w:pPr>
              <w:ind w:left="40"/>
              <w:spacing w:after="0"/>
              <w:rPr>
                <w:sz w:val="20"/>
                <w:szCs w:val="20"/>
                <w:color w:val="auto"/>
              </w:rPr>
            </w:pPr>
            <w:r>
              <w:rPr>
                <w:rFonts w:ascii="Arial" w:cs="Arial" w:eastAsia="Arial" w:hAnsi="Arial"/>
                <w:sz w:val="18"/>
                <w:szCs w:val="18"/>
                <w:color w:val="auto"/>
              </w:rPr>
              <w:t>Provision for (benefit from) income taxes</w:t>
            </w:r>
          </w:p>
        </w:tc>
        <w:tc>
          <w:tcPr>
            <w:tcW w:w="32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43"/>
        </w:trPr>
        <w:tc>
          <w:tcPr>
            <w:tcW w:w="512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3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211</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279</w:t>
            </w:r>
          </w:p>
        </w:tc>
        <w:tc>
          <w:tcPr>
            <w:tcW w:w="0" w:type="dxa"/>
            <w:vAlign w:val="bottom"/>
          </w:tcPr>
          <w:p>
            <w:pPr>
              <w:spacing w:after="0"/>
              <w:rPr>
                <w:sz w:val="1"/>
                <w:szCs w:val="1"/>
                <w:color w:val="auto"/>
              </w:rPr>
            </w:pPr>
          </w:p>
        </w:tc>
      </w:tr>
      <w:tr>
        <w:trPr>
          <w:trHeight w:val="500"/>
        </w:trPr>
        <w:tc>
          <w:tcPr>
            <w:tcW w:w="5120" w:type="dxa"/>
            <w:vAlign w:val="bottom"/>
          </w:tcPr>
          <w:p>
            <w:pPr>
              <w:ind w:left="40"/>
              <w:spacing w:after="0"/>
              <w:rPr>
                <w:sz w:val="20"/>
                <w:szCs w:val="20"/>
                <w:color w:val="auto"/>
              </w:rPr>
            </w:pPr>
            <w:r>
              <w:rPr>
                <w:rFonts w:ascii="Arial" w:cs="Arial" w:eastAsia="Arial" w:hAnsi="Arial"/>
                <w:sz w:val="18"/>
                <w:szCs w:val="18"/>
                <w:color w:val="auto"/>
              </w:rPr>
              <w:t>Add:  Non-vehicle related depreciation and amortization</w:t>
            </w:r>
          </w:p>
        </w:tc>
        <w:tc>
          <w:tcPr>
            <w:tcW w:w="3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259</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70"/>
        </w:trPr>
        <w:tc>
          <w:tcPr>
            <w:tcW w:w="5120" w:type="dxa"/>
            <w:vAlign w:val="bottom"/>
          </w:tcPr>
          <w:p>
            <w:pPr>
              <w:ind w:left="620"/>
              <w:spacing w:after="0"/>
              <w:rPr>
                <w:sz w:val="20"/>
                <w:szCs w:val="20"/>
                <w:color w:val="auto"/>
              </w:rPr>
            </w:pPr>
            <w:r>
              <w:rPr>
                <w:rFonts w:ascii="Arial" w:cs="Arial" w:eastAsia="Arial" w:hAnsi="Arial"/>
                <w:sz w:val="18"/>
                <w:szCs w:val="18"/>
                <w:color w:val="auto"/>
              </w:rPr>
              <w:t>Interest expense related to corporate debt, net:</w:t>
            </w:r>
          </w:p>
        </w:tc>
        <w:tc>
          <w:tcPr>
            <w:tcW w:w="32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120" w:type="dxa"/>
            <w:vAlign w:val="bottom"/>
          </w:tcPr>
          <w:p>
            <w:pPr>
              <w:ind w:left="860"/>
              <w:spacing w:after="0"/>
              <w:rPr>
                <w:sz w:val="20"/>
                <w:szCs w:val="20"/>
                <w:color w:val="auto"/>
              </w:rPr>
            </w:pPr>
            <w:r>
              <w:rPr>
                <w:rFonts w:ascii="Arial" w:cs="Arial" w:eastAsia="Arial" w:hAnsi="Arial"/>
                <w:sz w:val="18"/>
                <w:szCs w:val="18"/>
                <w:color w:val="auto"/>
              </w:rPr>
              <w:t>Interest expense</w:t>
            </w:r>
          </w:p>
        </w:tc>
        <w:tc>
          <w:tcPr>
            <w:tcW w:w="32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188</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70"/>
        </w:trPr>
        <w:tc>
          <w:tcPr>
            <w:tcW w:w="5120" w:type="dxa"/>
            <w:vAlign w:val="bottom"/>
          </w:tcPr>
          <w:p>
            <w:pPr>
              <w:ind w:left="860"/>
              <w:spacing w:after="0"/>
              <w:rPr>
                <w:sz w:val="20"/>
                <w:szCs w:val="20"/>
                <w:color w:val="auto"/>
              </w:rPr>
            </w:pPr>
            <w:r>
              <w:rPr>
                <w:rFonts w:ascii="Arial" w:cs="Arial" w:eastAsia="Arial" w:hAnsi="Arial"/>
                <w:sz w:val="18"/>
                <w:szCs w:val="18"/>
                <w:color w:val="auto"/>
              </w:rPr>
              <w:t>Early extinguishment of debt</w:t>
            </w:r>
          </w:p>
        </w:tc>
        <w:tc>
          <w:tcPr>
            <w:tcW w:w="32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83"/>
        </w:trPr>
        <w:tc>
          <w:tcPr>
            <w:tcW w:w="5120" w:type="dxa"/>
            <w:vAlign w:val="bottom"/>
          </w:tcPr>
          <w:p>
            <w:pPr>
              <w:ind w:left="620"/>
              <w:spacing w:after="0"/>
              <w:rPr>
                <w:sz w:val="20"/>
                <w:szCs w:val="20"/>
                <w:color w:val="auto"/>
              </w:rPr>
            </w:pPr>
            <w:r>
              <w:rPr>
                <w:rFonts w:ascii="Arial" w:cs="Arial" w:eastAsia="Arial" w:hAnsi="Arial"/>
                <w:sz w:val="18"/>
                <w:szCs w:val="18"/>
                <w:color w:val="auto"/>
              </w:rPr>
              <w:t xml:space="preserve">Restructuring and other related charges </w:t>
            </w:r>
            <w:r>
              <w:rPr>
                <w:rFonts w:ascii="Arial" w:cs="Arial" w:eastAsia="Arial" w:hAnsi="Arial"/>
                <w:sz w:val="18"/>
                <w:szCs w:val="18"/>
                <w:color w:val="auto"/>
                <w:vertAlign w:val="superscript"/>
              </w:rPr>
              <w:t>(b)</w:t>
            </w:r>
          </w:p>
        </w:tc>
        <w:tc>
          <w:tcPr>
            <w:tcW w:w="3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70"/>
        </w:trPr>
        <w:tc>
          <w:tcPr>
            <w:tcW w:w="5120" w:type="dxa"/>
            <w:vAlign w:val="bottom"/>
          </w:tcPr>
          <w:p>
            <w:pPr>
              <w:ind w:left="620"/>
              <w:spacing w:after="0"/>
              <w:rPr>
                <w:sz w:val="20"/>
                <w:szCs w:val="20"/>
                <w:color w:val="auto"/>
              </w:rPr>
            </w:pPr>
            <w:r>
              <w:rPr>
                <w:rFonts w:ascii="Arial" w:cs="Arial" w:eastAsia="Arial" w:hAnsi="Arial"/>
                <w:sz w:val="18"/>
                <w:szCs w:val="18"/>
                <w:color w:val="auto"/>
              </w:rPr>
              <w:t xml:space="preserve">Transaction-related costs, net </w:t>
            </w:r>
            <w:r>
              <w:rPr>
                <w:rFonts w:ascii="Arial" w:cs="Arial" w:eastAsia="Arial" w:hAnsi="Arial"/>
                <w:sz w:val="18"/>
                <w:szCs w:val="18"/>
                <w:color w:val="auto"/>
                <w:vertAlign w:val="superscript"/>
              </w:rPr>
              <w:t>(c)</w:t>
            </w:r>
          </w:p>
        </w:tc>
        <w:tc>
          <w:tcPr>
            <w:tcW w:w="32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0"/>
        </w:trPr>
        <w:tc>
          <w:tcPr>
            <w:tcW w:w="5120" w:type="dxa"/>
            <w:vAlign w:val="bottom"/>
          </w:tcPr>
          <w:p>
            <w:pPr>
              <w:ind w:left="620"/>
              <w:spacing w:after="0"/>
              <w:rPr>
                <w:sz w:val="20"/>
                <w:szCs w:val="20"/>
                <w:color w:val="auto"/>
              </w:rPr>
            </w:pPr>
            <w:r>
              <w:rPr>
                <w:rFonts w:ascii="Arial" w:cs="Arial" w:eastAsia="Arial" w:hAnsi="Arial"/>
                <w:sz w:val="18"/>
                <w:szCs w:val="18"/>
                <w:color w:val="auto"/>
              </w:rPr>
              <w:t xml:space="preserve">Impairment </w:t>
            </w:r>
            <w:r>
              <w:rPr>
                <w:rFonts w:ascii="Arial" w:cs="Arial" w:eastAsia="Arial" w:hAnsi="Arial"/>
                <w:sz w:val="18"/>
                <w:szCs w:val="18"/>
                <w:color w:val="auto"/>
                <w:vertAlign w:val="superscript"/>
              </w:rPr>
              <w:t>(d)</w:t>
            </w:r>
          </w:p>
        </w:tc>
        <w:tc>
          <w:tcPr>
            <w:tcW w:w="32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5120" w:type="dxa"/>
            <w:vAlign w:val="bottom"/>
          </w:tcPr>
          <w:p>
            <w:pPr>
              <w:ind w:left="620"/>
              <w:spacing w:after="0"/>
              <w:rPr>
                <w:sz w:val="20"/>
                <w:szCs w:val="20"/>
                <w:color w:val="auto"/>
              </w:rPr>
            </w:pPr>
            <w:r>
              <w:rPr>
                <w:rFonts w:ascii="Arial" w:cs="Arial" w:eastAsia="Arial" w:hAnsi="Arial"/>
                <w:sz w:val="18"/>
                <w:szCs w:val="18"/>
                <w:color w:val="auto"/>
              </w:rPr>
              <w:t xml:space="preserve">Charges for legal matter, net </w:t>
            </w:r>
            <w:r>
              <w:rPr>
                <w:rFonts w:ascii="Arial" w:cs="Arial" w:eastAsia="Arial" w:hAnsi="Arial"/>
                <w:sz w:val="18"/>
                <w:szCs w:val="18"/>
                <w:color w:val="auto"/>
                <w:vertAlign w:val="superscript"/>
              </w:rPr>
              <w:t>(e)</w:t>
            </w:r>
          </w:p>
        </w:tc>
        <w:tc>
          <w:tcPr>
            <w:tcW w:w="320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3"/>
                <w:szCs w:val="23"/>
                <w:color w:val="auto"/>
              </w:rPr>
            </w:pPr>
          </w:p>
        </w:tc>
        <w:tc>
          <w:tcPr>
            <w:tcW w:w="5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50"/>
        </w:trPr>
        <w:tc>
          <w:tcPr>
            <w:tcW w:w="5120" w:type="dxa"/>
            <w:vAlign w:val="bottom"/>
          </w:tcPr>
          <w:p>
            <w:pPr>
              <w:ind w:left="40"/>
              <w:spacing w:after="0"/>
              <w:rPr>
                <w:sz w:val="20"/>
                <w:szCs w:val="20"/>
                <w:color w:val="auto"/>
              </w:rPr>
            </w:pPr>
            <w:r>
              <w:rPr>
                <w:rFonts w:ascii="Arial" w:cs="Arial" w:eastAsia="Arial" w:hAnsi="Arial"/>
                <w:sz w:val="18"/>
                <w:szCs w:val="18"/>
                <w:color w:val="auto"/>
              </w:rPr>
              <w:t>Adjusted EBITDA</w:t>
            </w:r>
          </w:p>
        </w:tc>
        <w:tc>
          <w:tcPr>
            <w:tcW w:w="3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735</w:t>
            </w:r>
          </w:p>
        </w:tc>
        <w:tc>
          <w:tcPr>
            <w:tcW w:w="100" w:type="dxa"/>
            <w:vAlign w:val="bottom"/>
          </w:tcPr>
          <w:p>
            <w:pPr>
              <w:spacing w:after="0"/>
              <w:rPr>
                <w:sz w:val="21"/>
                <w:szCs w:val="21"/>
                <w:color w:val="auto"/>
              </w:rPr>
            </w:pPr>
          </w:p>
        </w:tc>
        <w:tc>
          <w:tcPr>
            <w:tcW w:w="52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838</w:t>
            </w:r>
          </w:p>
        </w:tc>
        <w:tc>
          <w:tcPr>
            <w:tcW w:w="0" w:type="dxa"/>
            <w:vAlign w:val="bottom"/>
          </w:tcPr>
          <w:p>
            <w:pPr>
              <w:spacing w:after="0"/>
              <w:rPr>
                <w:sz w:val="1"/>
                <w:szCs w:val="1"/>
                <w:color w:val="auto"/>
              </w:rPr>
            </w:pPr>
          </w:p>
        </w:tc>
      </w:tr>
      <w:tr>
        <w:trPr>
          <w:trHeight w:val="20"/>
        </w:trPr>
        <w:tc>
          <w:tcPr>
            <w:tcW w:w="5120" w:type="dxa"/>
            <w:vAlign w:val="bottom"/>
            <w:vMerge w:val="restart"/>
          </w:tcPr>
          <w:p>
            <w:pPr>
              <w:spacing w:after="0"/>
              <w:rPr>
                <w:sz w:val="20"/>
                <w:szCs w:val="20"/>
                <w:color w:val="auto"/>
              </w:rPr>
            </w:pPr>
            <w:r>
              <w:rPr>
                <w:rFonts w:ascii="Arial" w:cs="Arial" w:eastAsia="Arial" w:hAnsi="Arial"/>
                <w:sz w:val="16"/>
                <w:szCs w:val="16"/>
                <w:color w:val="auto"/>
              </w:rPr>
              <w:t>__________</w:t>
            </w:r>
          </w:p>
        </w:tc>
        <w:tc>
          <w:tcPr>
            <w:tcW w:w="3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5120" w:type="dxa"/>
            <w:vAlign w:val="bottom"/>
            <w:vMerge w:val="continue"/>
          </w:tcPr>
          <w:p>
            <w:pPr>
              <w:spacing w:after="0"/>
              <w:rPr>
                <w:sz w:val="14"/>
                <w:szCs w:val="14"/>
                <w:color w:val="auto"/>
              </w:rPr>
            </w:pPr>
          </w:p>
        </w:tc>
        <w:tc>
          <w:tcPr>
            <w:tcW w:w="3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ind w:left="340" w:hanging="332"/>
        <w:spacing w:after="0" w:line="189" w:lineRule="auto"/>
        <w:tabs>
          <w:tab w:leader="none" w:pos="340" w:val="left"/>
        </w:tabs>
        <w:numPr>
          <w:ilvl w:val="0"/>
          <w:numId w:val="39"/>
        </w:numPr>
        <w:rPr>
          <w:rFonts w:ascii="Arial" w:cs="Arial" w:eastAsia="Arial" w:hAnsi="Arial"/>
          <w:sz w:val="22"/>
          <w:szCs w:val="22"/>
          <w:color w:val="auto"/>
          <w:vertAlign w:val="superscript"/>
        </w:rPr>
      </w:pPr>
      <w:r>
        <w:rPr>
          <w:rFonts w:ascii="Arial" w:cs="Arial" w:eastAsia="Arial" w:hAnsi="Arial"/>
          <w:sz w:val="16"/>
          <w:szCs w:val="16"/>
          <w:color w:val="auto"/>
        </w:rPr>
        <w:t>Includes unallocated corporate overhead which is not attributable to a particular segment.</w:t>
      </w:r>
    </w:p>
    <w:p>
      <w:pPr>
        <w:sectPr>
          <w:pgSz w:w="11900" w:h="16838" w:orient="portrait"/>
          <w:cols w:equalWidth="0" w:num="1">
            <w:col w:w="11400"/>
          </w:cols>
          <w:pgMar w:left="240" w:top="140" w:right="259" w:bottom="1440" w:gutter="0" w:footer="0" w:header="0"/>
        </w:sect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47</w:t>
      </w:r>
    </w:p>
    <w:p>
      <w:pPr>
        <w:sectPr>
          <w:pgSz w:w="11900" w:h="16838" w:orient="portrait"/>
          <w:cols w:equalWidth="0" w:num="1">
            <w:col w:w="11400"/>
          </w:cols>
          <w:pgMar w:left="240" w:top="140" w:right="259" w:bottom="1440" w:gutter="0" w:footer="0" w:header="0"/>
          <w:type w:val="continuous"/>
        </w:sectPr>
      </w:pPr>
    </w:p>
    <w:bookmarkStart w:id="49" w:name="page50"/>
    <w:bookmarkEnd w:id="4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90" w:lineRule="exact"/>
        <w:rPr>
          <w:sz w:val="20"/>
          <w:szCs w:val="20"/>
          <w:color w:val="auto"/>
        </w:rPr>
      </w:pPr>
    </w:p>
    <w:p>
      <w:pPr>
        <w:ind w:left="340" w:hanging="332"/>
        <w:spacing w:after="0"/>
        <w:tabs>
          <w:tab w:leader="none" w:pos="340" w:val="left"/>
        </w:tabs>
        <w:numPr>
          <w:ilvl w:val="0"/>
          <w:numId w:val="40"/>
        </w:numPr>
        <w:rPr>
          <w:rFonts w:ascii="Arial" w:cs="Arial" w:eastAsia="Arial" w:hAnsi="Arial"/>
          <w:sz w:val="22"/>
          <w:szCs w:val="22"/>
          <w:color w:val="auto"/>
          <w:vertAlign w:val="superscript"/>
        </w:rPr>
      </w:pPr>
      <w:r>
        <w:rPr>
          <w:rFonts w:ascii="Arial" w:cs="Arial" w:eastAsia="Arial" w:hAnsi="Arial"/>
          <w:sz w:val="16"/>
          <w:szCs w:val="16"/>
          <w:color w:val="auto"/>
        </w:rPr>
        <w:t>Other related charges include costs associated with the separation of certain officers of the Company and our limited voluntary opportunity plans.</w:t>
      </w:r>
    </w:p>
    <w:p>
      <w:pPr>
        <w:ind w:left="340" w:hanging="332"/>
        <w:spacing w:after="0" w:line="187" w:lineRule="auto"/>
        <w:tabs>
          <w:tab w:leader="none" w:pos="340" w:val="left"/>
        </w:tabs>
        <w:numPr>
          <w:ilvl w:val="0"/>
          <w:numId w:val="40"/>
        </w:numPr>
        <w:rPr>
          <w:rFonts w:ascii="Arial" w:cs="Arial" w:eastAsia="Arial" w:hAnsi="Arial"/>
          <w:sz w:val="21"/>
          <w:szCs w:val="21"/>
          <w:color w:val="auto"/>
          <w:vertAlign w:val="superscript"/>
        </w:rPr>
      </w:pPr>
      <w:r>
        <w:rPr>
          <w:rFonts w:ascii="Arial" w:cs="Arial" w:eastAsia="Arial" w:hAnsi="Arial"/>
          <w:sz w:val="15"/>
          <w:szCs w:val="15"/>
          <w:color w:val="auto"/>
        </w:rPr>
        <w:t>Primarily comprised of acquisition- and integration-related expenses.</w:t>
      </w:r>
    </w:p>
    <w:p>
      <w:pPr>
        <w:ind w:left="340" w:hanging="332"/>
        <w:spacing w:after="0" w:line="187" w:lineRule="auto"/>
        <w:tabs>
          <w:tab w:leader="none" w:pos="340" w:val="left"/>
        </w:tabs>
        <w:numPr>
          <w:ilvl w:val="0"/>
          <w:numId w:val="40"/>
        </w:numPr>
        <w:rPr>
          <w:rFonts w:ascii="Arial" w:cs="Arial" w:eastAsia="Arial" w:hAnsi="Arial"/>
          <w:sz w:val="21"/>
          <w:szCs w:val="21"/>
          <w:color w:val="auto"/>
          <w:vertAlign w:val="superscript"/>
        </w:rPr>
      </w:pPr>
      <w:r>
        <w:rPr>
          <w:rFonts w:ascii="Arial" w:cs="Arial" w:eastAsia="Arial" w:hAnsi="Arial"/>
          <w:sz w:val="15"/>
          <w:szCs w:val="15"/>
          <w:color w:val="auto"/>
        </w:rPr>
        <w:t>Impairment charge is related to our Zipcar trademark.</w:t>
      </w:r>
    </w:p>
    <w:p>
      <w:pPr>
        <w:ind w:left="340" w:hanging="332"/>
        <w:spacing w:after="0" w:line="184" w:lineRule="auto"/>
        <w:tabs>
          <w:tab w:leader="none" w:pos="340" w:val="left"/>
        </w:tabs>
        <w:numPr>
          <w:ilvl w:val="0"/>
          <w:numId w:val="40"/>
        </w:numPr>
        <w:rPr>
          <w:rFonts w:ascii="Arial" w:cs="Arial" w:eastAsia="Arial" w:hAnsi="Arial"/>
          <w:sz w:val="22"/>
          <w:szCs w:val="22"/>
          <w:color w:val="auto"/>
          <w:vertAlign w:val="superscript"/>
        </w:rPr>
      </w:pPr>
      <w:r>
        <w:rPr>
          <w:rFonts w:ascii="Arial" w:cs="Arial" w:eastAsia="Arial" w:hAnsi="Arial"/>
          <w:sz w:val="16"/>
          <w:szCs w:val="16"/>
          <w:color w:val="auto"/>
        </w:rPr>
        <w:t>Reported within operating expenses in our consolidated results of operations.</w:t>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280" w:type="dxa"/>
            <w:vAlign w:val="bottom"/>
          </w:tcPr>
          <w:p>
            <w:pPr>
              <w:spacing w:after="0"/>
              <w:rPr>
                <w:sz w:val="20"/>
                <w:szCs w:val="20"/>
                <w:color w:val="auto"/>
              </w:rPr>
            </w:pPr>
            <w:r>
              <w:rPr>
                <w:rFonts w:ascii="Arial" w:cs="Arial" w:eastAsia="Arial" w:hAnsi="Arial"/>
                <w:sz w:val="18"/>
                <w:szCs w:val="18"/>
                <w:b w:val="1"/>
                <w:bCs w:val="1"/>
                <w:i w:val="1"/>
                <w:iCs w:val="1"/>
                <w:color w:val="auto"/>
              </w:rPr>
              <w:t>Americas</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399"/>
        </w:trPr>
        <w:tc>
          <w:tcPr>
            <w:tcW w:w="72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4"/>
                <w:szCs w:val="24"/>
                <w:color w:val="auto"/>
              </w:rPr>
            </w:pPr>
          </w:p>
        </w:tc>
        <w:tc>
          <w:tcPr>
            <w:tcW w:w="140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 Change</w:t>
            </w:r>
          </w:p>
        </w:tc>
      </w:tr>
      <w:tr>
        <w:trPr>
          <w:trHeight w:val="243"/>
        </w:trPr>
        <w:tc>
          <w:tcPr>
            <w:tcW w:w="7280" w:type="dxa"/>
            <w:vAlign w:val="bottom"/>
          </w:tcPr>
          <w:p>
            <w:pPr>
              <w:ind w:left="40"/>
              <w:spacing w:after="0"/>
              <w:rPr>
                <w:sz w:val="20"/>
                <w:szCs w:val="20"/>
                <w:color w:val="auto"/>
              </w:rPr>
            </w:pPr>
            <w:r>
              <w:rPr>
                <w:rFonts w:ascii="Arial" w:cs="Arial" w:eastAsia="Arial" w:hAnsi="Arial"/>
                <w:sz w:val="18"/>
                <w:szCs w:val="18"/>
                <w:color w:val="auto"/>
              </w:rPr>
              <w:t>Revenue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6,100</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6,121</w:t>
            </w:r>
          </w:p>
        </w:tc>
        <w:tc>
          <w:tcPr>
            <w:tcW w:w="100" w:type="dxa"/>
            <w:vAlign w:val="bottom"/>
          </w:tcPr>
          <w:p>
            <w:pPr>
              <w:spacing w:after="0"/>
              <w:rPr>
                <w:sz w:val="21"/>
                <w:szCs w:val="21"/>
                <w:color w:val="auto"/>
              </w:rPr>
            </w:pPr>
          </w:p>
        </w:tc>
        <w:tc>
          <w:tcPr>
            <w:tcW w:w="1400" w:type="dxa"/>
            <w:vAlign w:val="bottom"/>
          </w:tcPr>
          <w:p>
            <w:pPr>
              <w:jc w:val="center"/>
              <w:ind w:left="770"/>
              <w:spacing w:after="0"/>
              <w:rPr>
                <w:sz w:val="20"/>
                <w:szCs w:val="20"/>
                <w:color w:val="auto"/>
              </w:rPr>
            </w:pPr>
            <w:r>
              <w:rPr>
                <w:rFonts w:ascii="Arial" w:cs="Arial" w:eastAsia="Arial" w:hAnsi="Arial"/>
                <w:sz w:val="18"/>
                <w:szCs w:val="18"/>
                <w:color w:val="auto"/>
                <w:w w:val="99"/>
              </w:rPr>
              <w:t>—%</w:t>
            </w:r>
          </w:p>
        </w:tc>
      </w:tr>
      <w:tr>
        <w:trPr>
          <w:trHeight w:val="270"/>
        </w:trPr>
        <w:tc>
          <w:tcPr>
            <w:tcW w:w="7280" w:type="dxa"/>
            <w:vAlign w:val="bottom"/>
          </w:tcPr>
          <w:p>
            <w:pPr>
              <w:ind w:left="40"/>
              <w:spacing w:after="0"/>
              <w:rPr>
                <w:sz w:val="20"/>
                <w:szCs w:val="20"/>
                <w:color w:val="auto"/>
              </w:rPr>
            </w:pPr>
            <w:r>
              <w:rPr>
                <w:rFonts w:ascii="Arial" w:cs="Arial" w:eastAsia="Arial" w:hAnsi="Arial"/>
                <w:sz w:val="18"/>
                <w:szCs w:val="18"/>
                <w:color w:val="auto"/>
              </w:rPr>
              <w:t>Adjusted EBITDA</w:t>
            </w: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486</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633</w:t>
            </w:r>
          </w:p>
        </w:tc>
        <w:tc>
          <w:tcPr>
            <w:tcW w:w="10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(23%)</w:t>
            </w:r>
          </w:p>
        </w:tc>
      </w:tr>
    </w:tbl>
    <w:p>
      <w:pPr>
        <w:spacing w:after="0" w:line="175" w:lineRule="exact"/>
        <w:rPr>
          <w:sz w:val="20"/>
          <w:szCs w:val="20"/>
          <w:color w:val="auto"/>
        </w:rPr>
      </w:pPr>
    </w:p>
    <w:p>
      <w:pPr>
        <w:ind w:right="300"/>
        <w:spacing w:after="0" w:line="262" w:lineRule="auto"/>
        <w:rPr>
          <w:sz w:val="20"/>
          <w:szCs w:val="20"/>
          <w:color w:val="auto"/>
        </w:rPr>
      </w:pPr>
      <w:r>
        <w:rPr>
          <w:rFonts w:ascii="Arial" w:cs="Arial" w:eastAsia="Arial" w:hAnsi="Arial"/>
          <w:sz w:val="18"/>
          <w:szCs w:val="18"/>
          <w:color w:val="auto"/>
        </w:rPr>
        <w:t>Revenues decreased in 2017 compared with 2016, primarily due to a 1% reduction in time &amp; mileage revenue per day, partially offset by 2% growth in rental volumes. Currency movements increased revenues by $9 million year-over-year.</w:t>
      </w:r>
    </w:p>
    <w:p>
      <w:pPr>
        <w:spacing w:after="0" w:line="196"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Adjusted EBITDA decreased 23% in 2017 compared with 2016, due a 6% increase in per-unit fleet costs, lower revenues and higher marketing commissions, partially offset by cost mitigating actions and higher utilization.</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In the year ended December 31, 2017:</w:t>
      </w:r>
    </w:p>
    <w:p>
      <w:pPr>
        <w:spacing w:after="0" w:line="225" w:lineRule="exact"/>
        <w:rPr>
          <w:sz w:val="20"/>
          <w:szCs w:val="20"/>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Operating expenses decreased to 49.4% of revenue compared to 49.6% in 2016.</w:t>
      </w:r>
    </w:p>
    <w:p>
      <w:pPr>
        <w:spacing w:after="0" w:line="225" w:lineRule="exact"/>
        <w:rPr>
          <w:rFonts w:ascii="Arial" w:cs="Arial" w:eastAsia="Arial" w:hAnsi="Arial"/>
          <w:sz w:val="18"/>
          <w:szCs w:val="18"/>
          <w:color w:val="auto"/>
        </w:rPr>
      </w:pPr>
    </w:p>
    <w:p>
      <w:pPr>
        <w:ind w:left="660" w:right="80" w:hanging="328"/>
        <w:spacing w:after="0" w:line="262"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Vehicle depreciation and lease charges increased to 27.4% of revenue from 25.5% in 2016, primarily due to higher per-unit fleet costs, partially offset by higher utilization.</w:t>
      </w:r>
    </w:p>
    <w:p>
      <w:pPr>
        <w:spacing w:after="0" w:line="196"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Selling, general and administrative costs, at 11.3% of revenue, remained level with the prior year.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Vehicle interest costs, at 3.7% of revenue, remained level with the prior year.</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340" w:type="dxa"/>
            <w:vAlign w:val="bottom"/>
          </w:tcPr>
          <w:p>
            <w:pPr>
              <w:spacing w:after="0"/>
              <w:rPr>
                <w:sz w:val="20"/>
                <w:szCs w:val="20"/>
                <w:color w:val="auto"/>
              </w:rPr>
            </w:pPr>
            <w:r>
              <w:rPr>
                <w:rFonts w:ascii="Arial" w:cs="Arial" w:eastAsia="Arial" w:hAnsi="Arial"/>
                <w:sz w:val="18"/>
                <w:szCs w:val="18"/>
                <w:b w:val="1"/>
                <w:bCs w:val="1"/>
                <w:i w:val="1"/>
                <w:iCs w:val="1"/>
                <w:color w:val="auto"/>
              </w:rPr>
              <w:t>International</w:t>
            </w: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399"/>
        </w:trPr>
        <w:tc>
          <w:tcPr>
            <w:tcW w:w="73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4"/>
                <w:szCs w:val="24"/>
                <w:color w:val="auto"/>
              </w:rPr>
            </w:pPr>
          </w:p>
        </w:tc>
        <w:tc>
          <w:tcPr>
            <w:tcW w:w="1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 Change</w:t>
            </w:r>
          </w:p>
        </w:tc>
      </w:tr>
      <w:tr>
        <w:trPr>
          <w:trHeight w:val="243"/>
        </w:trPr>
        <w:tc>
          <w:tcPr>
            <w:tcW w:w="7340" w:type="dxa"/>
            <w:vAlign w:val="bottom"/>
          </w:tcPr>
          <w:p>
            <w:pPr>
              <w:ind w:left="40"/>
              <w:spacing w:after="0"/>
              <w:rPr>
                <w:sz w:val="20"/>
                <w:szCs w:val="20"/>
                <w:color w:val="auto"/>
              </w:rPr>
            </w:pPr>
            <w:r>
              <w:rPr>
                <w:rFonts w:ascii="Arial" w:cs="Arial" w:eastAsia="Arial" w:hAnsi="Arial"/>
                <w:sz w:val="18"/>
                <w:szCs w:val="18"/>
                <w:color w:val="auto"/>
              </w:rPr>
              <w:t>Revenue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2,748</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2,538</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70"/>
        </w:trPr>
        <w:tc>
          <w:tcPr>
            <w:tcW w:w="7340" w:type="dxa"/>
            <w:vAlign w:val="bottom"/>
          </w:tcPr>
          <w:p>
            <w:pPr>
              <w:ind w:left="40"/>
              <w:spacing w:after="0"/>
              <w:rPr>
                <w:sz w:val="20"/>
                <w:szCs w:val="20"/>
                <w:color w:val="auto"/>
              </w:rPr>
            </w:pPr>
            <w:r>
              <w:rPr>
                <w:rFonts w:ascii="Arial" w:cs="Arial" w:eastAsia="Arial" w:hAnsi="Arial"/>
                <w:sz w:val="18"/>
                <w:szCs w:val="18"/>
                <w:color w:val="auto"/>
              </w:rPr>
              <w:t>Adjusted EBITDA</w:t>
            </w:r>
          </w:p>
        </w:tc>
        <w:tc>
          <w:tcPr>
            <w:tcW w:w="280" w:type="dxa"/>
            <w:vAlign w:val="bottom"/>
          </w:tcPr>
          <w:p>
            <w:pPr>
              <w:spacing w:after="0"/>
              <w:rPr>
                <w:sz w:val="23"/>
                <w:szCs w:val="23"/>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305</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273</w:t>
            </w:r>
          </w:p>
        </w:tc>
        <w:tc>
          <w:tcPr>
            <w:tcW w:w="12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w:t>
            </w:r>
          </w:p>
        </w:tc>
      </w:tr>
    </w:tbl>
    <w:p>
      <w:pPr>
        <w:spacing w:after="0" w:line="175" w:lineRule="exact"/>
        <w:rPr>
          <w:sz w:val="20"/>
          <w:szCs w:val="20"/>
          <w:color w:val="auto"/>
        </w:rPr>
      </w:pPr>
    </w:p>
    <w:p>
      <w:pPr>
        <w:jc w:val="both"/>
        <w:ind w:right="480"/>
        <w:spacing w:after="0" w:line="256" w:lineRule="auto"/>
        <w:rPr>
          <w:sz w:val="20"/>
          <w:szCs w:val="20"/>
          <w:color w:val="auto"/>
        </w:rPr>
      </w:pPr>
      <w:r>
        <w:rPr>
          <w:rFonts w:ascii="Arial" w:cs="Arial" w:eastAsia="Arial" w:hAnsi="Arial"/>
          <w:sz w:val="18"/>
          <w:szCs w:val="18"/>
          <w:color w:val="auto"/>
        </w:rPr>
        <w:t>Revenues increased 8% during 2017 compared with 2016, primarily due to a 12% increase in rental volumes, including a 7% benefit from FranceCars which was acquired in December 2016, partially offset by a 2% reduction in time &amp; mileage revenue per day (including a 1% favorable effect from currency movements). Currency movements increased revenues by $49 million.</w:t>
      </w:r>
    </w:p>
    <w:p>
      <w:pPr>
        <w:spacing w:after="0" w:line="148"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Adjusted EBITDA increased 12% in 2017 compared with 2016, due to increased revenues and cost mitigating actions, partially offset by higher marketing commissions. Currency movements increased Adjusted EBITDA by $24 million.</w:t>
      </w: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color w:val="auto"/>
        </w:rPr>
        <w:t>In the year ended December 31, 2017:</w:t>
      </w:r>
    </w:p>
    <w:p>
      <w:pPr>
        <w:spacing w:after="0" w:line="225" w:lineRule="exact"/>
        <w:rPr>
          <w:sz w:val="20"/>
          <w:szCs w:val="20"/>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Operating expenses were 52.7% of revenue compared to 52.6% in 2016.</w:t>
      </w:r>
    </w:p>
    <w:p>
      <w:pPr>
        <w:spacing w:after="0" w:line="225" w:lineRule="exact"/>
        <w:rPr>
          <w:rFonts w:ascii="Arial" w:cs="Arial" w:eastAsia="Arial" w:hAnsi="Arial"/>
          <w:sz w:val="18"/>
          <w:szCs w:val="18"/>
          <w:color w:val="auto"/>
        </w:rPr>
      </w:pPr>
    </w:p>
    <w:p>
      <w:pPr>
        <w:ind w:left="660" w:right="500" w:hanging="328"/>
        <w:spacing w:after="0" w:line="262"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Vehicle depreciation and lease charges increased to 20.0% of revenue from 19.2% in the prior year, primarily due to lower time &amp; mileage revenue per day.</w:t>
      </w:r>
    </w:p>
    <w:p>
      <w:pPr>
        <w:spacing w:after="0" w:line="196" w:lineRule="exact"/>
        <w:rPr>
          <w:rFonts w:ascii="Arial" w:cs="Arial" w:eastAsia="Arial" w:hAnsi="Arial"/>
          <w:sz w:val="18"/>
          <w:szCs w:val="18"/>
          <w:color w:val="auto"/>
        </w:rPr>
      </w:pPr>
    </w:p>
    <w:p>
      <w:pPr>
        <w:ind w:left="660" w:right="320" w:hanging="328"/>
        <w:spacing w:after="0" w:line="262"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Selling, general and administrative costs were reduced to 14.1% of revenue from 15.1% in the prior year, primarily due to increased revenues and cost mitigating actions, partially offset by higher marketing commissions.</w:t>
      </w:r>
    </w:p>
    <w:p>
      <w:pPr>
        <w:spacing w:after="0" w:line="196"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Vehicle interest costs were 2.2% of revenue compared to 2.3% in the prior year.</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40" w:right="239"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207"/>
        </w:trPr>
        <w:tc>
          <w:tcPr>
            <w:tcW w:w="742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8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0"/>
        </w:trPr>
        <w:tc>
          <w:tcPr>
            <w:tcW w:w="1400" w:type="dxa"/>
            <w:vAlign w:val="bottom"/>
            <w:shd w:val="clear" w:color="auto" w:fill="0000EE"/>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696"/>
        </w:trPr>
        <w:tc>
          <w:tcPr>
            <w:tcW w:w="74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Corporate and Other</w:t>
            </w: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399"/>
        </w:trPr>
        <w:tc>
          <w:tcPr>
            <w:tcW w:w="1400" w:type="dxa"/>
            <w:vAlign w:val="bottom"/>
          </w:tcPr>
          <w:p>
            <w:pPr>
              <w:spacing w:after="0"/>
              <w:rPr>
                <w:sz w:val="24"/>
                <w:szCs w:val="24"/>
                <w:color w:val="auto"/>
              </w:rPr>
            </w:pPr>
          </w:p>
        </w:tc>
        <w:tc>
          <w:tcPr>
            <w:tcW w:w="6020" w:type="dxa"/>
            <w:vAlign w:val="bottom"/>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2017</w:t>
            </w:r>
          </w:p>
        </w:tc>
        <w:tc>
          <w:tcPr>
            <w:tcW w:w="4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4"/>
                <w:szCs w:val="24"/>
                <w:color w:val="auto"/>
              </w:rPr>
            </w:pPr>
          </w:p>
        </w:tc>
        <w:tc>
          <w:tcPr>
            <w:tcW w:w="12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 Change</w:t>
            </w:r>
          </w:p>
        </w:tc>
      </w:tr>
      <w:tr>
        <w:trPr>
          <w:trHeight w:val="243"/>
        </w:trPr>
        <w:tc>
          <w:tcPr>
            <w:tcW w:w="7420" w:type="dxa"/>
            <w:vAlign w:val="bottom"/>
            <w:gridSpan w:val="2"/>
          </w:tcPr>
          <w:p>
            <w:pPr>
              <w:ind w:left="40"/>
              <w:spacing w:after="0"/>
              <w:rPr>
                <w:sz w:val="20"/>
                <w:szCs w:val="20"/>
                <w:color w:val="auto"/>
              </w:rPr>
            </w:pPr>
            <w:r>
              <w:rPr>
                <w:rFonts w:ascii="Arial" w:cs="Arial" w:eastAsia="Arial" w:hAnsi="Arial"/>
                <w:sz w:val="18"/>
                <w:szCs w:val="18"/>
                <w:color w:val="auto"/>
              </w:rPr>
              <w:t>Revenue</w:t>
            </w:r>
          </w:p>
        </w:tc>
        <w:tc>
          <w:tcPr>
            <w:tcW w:w="880" w:type="dxa"/>
            <w:vAlign w:val="bottom"/>
          </w:tcPr>
          <w:p>
            <w:pPr>
              <w:jc w:val="right"/>
              <w:ind w:right="670"/>
              <w:spacing w:after="0"/>
              <w:rPr>
                <w:sz w:val="20"/>
                <w:szCs w:val="20"/>
                <w:color w:val="auto"/>
              </w:rPr>
            </w:pPr>
            <w:r>
              <w:rPr>
                <w:rFonts w:ascii="Arial" w:cs="Arial" w:eastAsia="Arial" w:hAnsi="Arial"/>
                <w:sz w:val="18"/>
                <w:szCs w:val="18"/>
                <w:color w:val="auto"/>
                <w:w w:val="99"/>
              </w:rPr>
              <w:t>$</w:t>
            </w:r>
          </w:p>
        </w:tc>
        <w:tc>
          <w:tcPr>
            <w:tcW w:w="780" w:type="dxa"/>
            <w:vAlign w:val="bottom"/>
            <w:gridSpan w:val="3"/>
          </w:tcPr>
          <w:p>
            <w:pPr>
              <w:ind w:left="100"/>
              <w:spacing w:after="0"/>
              <w:rPr>
                <w:sz w:val="20"/>
                <w:szCs w:val="20"/>
                <w:color w:val="auto"/>
              </w:rPr>
            </w:pPr>
            <w:r>
              <w:rPr>
                <w:rFonts w:ascii="Arial" w:cs="Arial" w:eastAsia="Arial" w:hAnsi="Arial"/>
                <w:sz w:val="18"/>
                <w:szCs w:val="18"/>
                <w:color w:val="auto"/>
              </w:rPr>
              <w:t>—   $</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70"/>
        </w:trPr>
        <w:tc>
          <w:tcPr>
            <w:tcW w:w="7420" w:type="dxa"/>
            <w:vAlign w:val="bottom"/>
            <w:gridSpan w:val="2"/>
          </w:tcPr>
          <w:p>
            <w:pPr>
              <w:ind w:left="40"/>
              <w:spacing w:after="0"/>
              <w:rPr>
                <w:sz w:val="20"/>
                <w:szCs w:val="20"/>
                <w:color w:val="auto"/>
              </w:rPr>
            </w:pPr>
            <w:r>
              <w:rPr>
                <w:rFonts w:ascii="Arial" w:cs="Arial" w:eastAsia="Arial" w:hAnsi="Arial"/>
                <w:sz w:val="18"/>
                <w:szCs w:val="18"/>
                <w:color w:val="auto"/>
              </w:rPr>
              <w:t>Adjusted EBITDA</w:t>
            </w:r>
          </w:p>
        </w:tc>
        <w:tc>
          <w:tcPr>
            <w:tcW w:w="880" w:type="dxa"/>
            <w:vAlign w:val="bottom"/>
          </w:tcPr>
          <w:p>
            <w:pPr>
              <w:spacing w:after="0"/>
              <w:rPr>
                <w:sz w:val="23"/>
                <w:szCs w:val="23"/>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99"/>
              </w:rPr>
              <w:t>(56)</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23"/>
                <w:szCs w:val="23"/>
                <w:color w:val="auto"/>
              </w:rPr>
            </w:pPr>
          </w:p>
        </w:tc>
        <w:tc>
          <w:tcPr>
            <w:tcW w:w="124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04"/>
        </w:trPr>
        <w:tc>
          <w:tcPr>
            <w:tcW w:w="1400" w:type="dxa"/>
            <w:vAlign w:val="bottom"/>
          </w:tcPr>
          <w:p>
            <w:pPr>
              <w:spacing w:after="0"/>
              <w:rPr>
                <w:sz w:val="20"/>
                <w:szCs w:val="20"/>
                <w:color w:val="auto"/>
              </w:rPr>
            </w:pPr>
            <w:r>
              <w:rPr>
                <w:rFonts w:ascii="Arial" w:cs="Arial" w:eastAsia="Arial" w:hAnsi="Arial"/>
                <w:sz w:val="16"/>
                <w:szCs w:val="16"/>
                <w:color w:val="auto"/>
              </w:rPr>
              <w:t>__________</w:t>
            </w:r>
          </w:p>
        </w:tc>
        <w:tc>
          <w:tcPr>
            <w:tcW w:w="60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195"/>
        </w:trPr>
        <w:tc>
          <w:tcPr>
            <w:tcW w:w="7420" w:type="dxa"/>
            <w:vAlign w:val="bottom"/>
            <w:gridSpan w:val="2"/>
          </w:tcPr>
          <w:p>
            <w:pPr>
              <w:spacing w:after="0"/>
              <w:rPr>
                <w:sz w:val="20"/>
                <w:szCs w:val="20"/>
                <w:color w:val="auto"/>
              </w:rPr>
            </w:pPr>
            <w:r>
              <w:rPr>
                <w:rFonts w:ascii="Arial" w:cs="Arial" w:eastAsia="Arial" w:hAnsi="Arial"/>
                <w:sz w:val="16"/>
                <w:szCs w:val="16"/>
                <w:color w:val="auto"/>
              </w:rPr>
              <w:t>*   Not meaningful</w:t>
            </w:r>
          </w:p>
        </w:tc>
        <w:tc>
          <w:tcPr>
            <w:tcW w:w="8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r>
    </w:tbl>
    <w:p>
      <w:pPr>
        <w:spacing w:after="0" w:line="208"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Adjusted EBITDA increased $12 million in 2017 compared with 2016, primarily due to lower selling, general and administrative expenses which are not attributable to a particular segment.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2016 vs. Year Ended December 31, 2015</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Our consolidated results of operations comprised the following:</w:t>
      </w:r>
    </w:p>
    <w:p>
      <w:pPr>
        <w:spacing w:after="0" w:line="145"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5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40" w:type="dxa"/>
            <w:vAlign w:val="bottom"/>
            <w:gridSpan w:val="5"/>
          </w:tcPr>
          <w:p>
            <w:pPr>
              <w:ind w:left="440"/>
              <w:spacing w:after="0"/>
              <w:rPr>
                <w:sz w:val="20"/>
                <w:szCs w:val="20"/>
                <w:color w:val="auto"/>
              </w:rPr>
            </w:pPr>
            <w:r>
              <w:rPr>
                <w:rFonts w:ascii="Arial" w:cs="Arial" w:eastAsia="Arial" w:hAnsi="Arial"/>
                <w:sz w:val="18"/>
                <w:szCs w:val="18"/>
                <w:b w:val="1"/>
                <w:bCs w:val="1"/>
                <w:color w:val="auto"/>
              </w:rPr>
              <w:t>Year Ended</w:t>
            </w:r>
          </w:p>
        </w:tc>
        <w:tc>
          <w:tcPr>
            <w:tcW w:w="180" w:type="dxa"/>
            <w:vAlign w:val="bottom"/>
          </w:tcPr>
          <w:p>
            <w:pPr>
              <w:spacing w:after="0"/>
              <w:rPr>
                <w:sz w:val="17"/>
                <w:szCs w:val="17"/>
                <w:color w:val="auto"/>
              </w:rPr>
            </w:pPr>
          </w:p>
        </w:tc>
        <w:tc>
          <w:tcPr>
            <w:tcW w:w="1260" w:type="dxa"/>
            <w:vAlign w:val="bottom"/>
            <w:vMerge w:val="restart"/>
          </w:tcPr>
          <w:p>
            <w:pPr>
              <w:jc w:val="right"/>
              <w:ind w:right="571"/>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2"/>
        </w:trPr>
        <w:tc>
          <w:tcPr>
            <w:tcW w:w="59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240" w:type="dxa"/>
            <w:vAlign w:val="bottom"/>
            <w:gridSpan w:val="5"/>
            <w:vMerge w:val="restart"/>
          </w:tcPr>
          <w:p>
            <w:pPr>
              <w:ind w:left="400"/>
              <w:spacing w:after="0"/>
              <w:rPr>
                <w:sz w:val="20"/>
                <w:szCs w:val="20"/>
                <w:color w:val="auto"/>
              </w:rPr>
            </w:pPr>
            <w:r>
              <w:rPr>
                <w:rFonts w:ascii="Arial" w:cs="Arial" w:eastAsia="Arial" w:hAnsi="Arial"/>
                <w:sz w:val="18"/>
                <w:szCs w:val="18"/>
                <w:b w:val="1"/>
                <w:bCs w:val="1"/>
                <w:color w:val="auto"/>
              </w:rPr>
              <w:t>December 31,</w:t>
            </w:r>
          </w:p>
        </w:tc>
        <w:tc>
          <w:tcPr>
            <w:tcW w:w="18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59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240" w:type="dxa"/>
            <w:vAlign w:val="bottom"/>
            <w:gridSpan w:val="5"/>
            <w:vMerge w:val="continue"/>
          </w:tcPr>
          <w:p>
            <w:pPr>
              <w:spacing w:after="0"/>
              <w:rPr>
                <w:sz w:val="10"/>
                <w:szCs w:val="10"/>
                <w:color w:val="auto"/>
              </w:rPr>
            </w:pPr>
          </w:p>
        </w:tc>
        <w:tc>
          <w:tcPr>
            <w:tcW w:w="144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 xml:space="preserve">Change </w:t>
            </w:r>
            <w:r>
              <w:rPr>
                <w:rFonts w:ascii="Arial" w:cs="Arial" w:eastAsia="Arial" w:hAnsi="Arial"/>
                <w:sz w:val="14"/>
                <w:szCs w:val="14"/>
                <w:b w:val="1"/>
                <w:bCs w:val="1"/>
                <w:color w:val="auto"/>
              </w:rPr>
              <w:t>Favorable</w:t>
            </w:r>
          </w:p>
        </w:tc>
        <w:tc>
          <w:tcPr>
            <w:tcW w:w="12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5920" w:type="dxa"/>
            <w:vAlign w:val="bottom"/>
          </w:tcPr>
          <w:p>
            <w:pPr>
              <w:spacing w:after="0"/>
              <w:rPr>
                <w:sz w:val="5"/>
                <w:szCs w:val="5"/>
                <w:color w:val="auto"/>
              </w:rPr>
            </w:pPr>
          </w:p>
        </w:tc>
        <w:tc>
          <w:tcPr>
            <w:tcW w:w="260" w:type="dxa"/>
            <w:vAlign w:val="bottom"/>
            <w:tcBorders>
              <w:top w:val="single" w:sz="8" w:color="auto"/>
            </w:tcBorders>
          </w:tcPr>
          <w:p>
            <w:pPr>
              <w:spacing w:after="0"/>
              <w:rPr>
                <w:sz w:val="5"/>
                <w:szCs w:val="5"/>
                <w:color w:val="auto"/>
              </w:rPr>
            </w:pPr>
          </w:p>
        </w:tc>
        <w:tc>
          <w:tcPr>
            <w:tcW w:w="880" w:type="dxa"/>
            <w:vAlign w:val="bottom"/>
            <w:tcBorders>
              <w:top w:val="single" w:sz="8" w:color="auto"/>
            </w:tcBorders>
            <w:vMerge w:val="restart"/>
          </w:tcPr>
          <w:p>
            <w:pPr>
              <w:jc w:val="right"/>
              <w:ind w:right="27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top w:val="single" w:sz="8" w:color="auto"/>
            </w:tcBorders>
          </w:tcPr>
          <w:p>
            <w:pPr>
              <w:spacing w:after="0"/>
              <w:rPr>
                <w:sz w:val="5"/>
                <w:szCs w:val="5"/>
                <w:color w:val="auto"/>
              </w:rPr>
            </w:pPr>
          </w:p>
        </w:tc>
        <w:tc>
          <w:tcPr>
            <w:tcW w:w="260" w:type="dxa"/>
            <w:vAlign w:val="bottom"/>
            <w:tcBorders>
              <w:top w:val="single" w:sz="8" w:color="auto"/>
            </w:tcBorders>
          </w:tcPr>
          <w:p>
            <w:pPr>
              <w:spacing w:after="0"/>
              <w:rPr>
                <w:sz w:val="5"/>
                <w:szCs w:val="5"/>
                <w:color w:val="auto"/>
              </w:rPr>
            </w:pPr>
          </w:p>
        </w:tc>
        <w:tc>
          <w:tcPr>
            <w:tcW w:w="900" w:type="dxa"/>
            <w:vAlign w:val="bottom"/>
            <w:tcBorders>
              <w:top w:val="single" w:sz="8" w:color="auto"/>
            </w:tcBorders>
            <w:vMerge w:val="restart"/>
          </w:tcPr>
          <w:p>
            <w:pPr>
              <w:jc w:val="right"/>
              <w:ind w:right="29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5"/>
                <w:szCs w:val="5"/>
                <w:color w:val="auto"/>
              </w:rPr>
            </w:pPr>
          </w:p>
        </w:tc>
        <w:tc>
          <w:tcPr>
            <w:tcW w:w="144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380" w:type="dxa"/>
            <w:vAlign w:val="bottom"/>
            <w:vMerge w:val="restart"/>
          </w:tcPr>
          <w:p>
            <w:pPr>
              <w:jc w:val="right"/>
              <w:ind w:right="17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196"/>
        </w:trPr>
        <w:tc>
          <w:tcPr>
            <w:tcW w:w="59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/(Unfavorable)</w:t>
            </w:r>
          </w:p>
        </w:tc>
        <w:tc>
          <w:tcPr>
            <w:tcW w:w="120" w:type="dxa"/>
            <w:vAlign w:val="bottom"/>
          </w:tcPr>
          <w:p>
            <w:pPr>
              <w:spacing w:after="0"/>
              <w:rPr>
                <w:sz w:val="17"/>
                <w:szCs w:val="17"/>
                <w:color w:val="auto"/>
              </w:rPr>
            </w:pPr>
          </w:p>
        </w:tc>
        <w:tc>
          <w:tcPr>
            <w:tcW w:w="13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5920" w:type="dxa"/>
            <w:vAlign w:val="bottom"/>
          </w:tcPr>
          <w:p>
            <w:pPr>
              <w:spacing w:after="0"/>
              <w:rPr>
                <w:sz w:val="20"/>
                <w:szCs w:val="20"/>
                <w:color w:val="auto"/>
              </w:rPr>
            </w:pPr>
            <w:r>
              <w:rPr>
                <w:rFonts w:ascii="Arial" w:cs="Arial" w:eastAsia="Arial" w:hAnsi="Arial"/>
                <w:sz w:val="18"/>
                <w:szCs w:val="18"/>
                <w:b w:val="1"/>
                <w:bCs w:val="1"/>
                <w:color w:val="auto"/>
              </w:rPr>
              <w:t>Revenues</w:t>
            </w: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5920" w:type="dxa"/>
            <w:vAlign w:val="bottom"/>
          </w:tcPr>
          <w:p>
            <w:pPr>
              <w:ind w:left="200"/>
              <w:spacing w:after="0"/>
              <w:rPr>
                <w:sz w:val="20"/>
                <w:szCs w:val="20"/>
                <w:color w:val="auto"/>
              </w:rPr>
            </w:pPr>
            <w:r>
              <w:rPr>
                <w:rFonts w:ascii="Arial" w:cs="Arial" w:eastAsia="Arial" w:hAnsi="Arial"/>
                <w:sz w:val="18"/>
                <w:szCs w:val="18"/>
                <w:color w:val="auto"/>
              </w:rPr>
              <w:t>Vehicle rental</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6,081</w:t>
            </w:r>
          </w:p>
        </w:tc>
        <w:tc>
          <w:tcPr>
            <w:tcW w:w="100" w:type="dxa"/>
            <w:vAlign w:val="bottom"/>
          </w:tcPr>
          <w:p>
            <w:pPr>
              <w:spacing w:after="0"/>
              <w:rPr>
                <w:sz w:val="23"/>
                <w:szCs w:val="23"/>
                <w:color w:val="auto"/>
              </w:rPr>
            </w:pP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6,026</w:t>
            </w:r>
          </w:p>
        </w:tc>
        <w:tc>
          <w:tcPr>
            <w:tcW w:w="100" w:type="dxa"/>
            <w:vAlign w:val="bottom"/>
          </w:tcPr>
          <w:p>
            <w:pPr>
              <w:spacing w:after="0"/>
              <w:rPr>
                <w:sz w:val="23"/>
                <w:szCs w:val="23"/>
                <w:color w:val="auto"/>
              </w:rPr>
            </w:pP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55</w:t>
            </w:r>
          </w:p>
        </w:tc>
        <w:tc>
          <w:tcPr>
            <w:tcW w:w="1500" w:type="dxa"/>
            <w:vAlign w:val="bottom"/>
            <w:gridSpan w:val="2"/>
          </w:tcPr>
          <w:p>
            <w:pPr>
              <w:jc w:val="right"/>
              <w:ind w:right="1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7"/>
        </w:trPr>
        <w:tc>
          <w:tcPr>
            <w:tcW w:w="5920" w:type="dxa"/>
            <w:vAlign w:val="bottom"/>
          </w:tcPr>
          <w:p>
            <w:pPr>
              <w:ind w:left="20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2,578</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2,476</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102</w:t>
            </w:r>
          </w:p>
        </w:tc>
        <w:tc>
          <w:tcPr>
            <w:tcW w:w="1500" w:type="dxa"/>
            <w:vAlign w:val="bottom"/>
            <w:gridSpan w:val="2"/>
          </w:tcPr>
          <w:p>
            <w:pPr>
              <w:jc w:val="right"/>
              <w:ind w:right="1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50"/>
        </w:trPr>
        <w:tc>
          <w:tcPr>
            <w:tcW w:w="5920" w:type="dxa"/>
            <w:vAlign w:val="bottom"/>
          </w:tcPr>
          <w:p>
            <w:pPr>
              <w:spacing w:after="0"/>
              <w:rPr>
                <w:sz w:val="20"/>
                <w:szCs w:val="20"/>
                <w:color w:val="auto"/>
              </w:rPr>
            </w:pPr>
            <w:r>
              <w:rPr>
                <w:rFonts w:ascii="Arial" w:cs="Arial" w:eastAsia="Arial" w:hAnsi="Arial"/>
                <w:sz w:val="18"/>
                <w:szCs w:val="18"/>
                <w:color w:val="auto"/>
              </w:rPr>
              <w:t>Net revenues</w:t>
            </w: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8,659</w:t>
            </w:r>
          </w:p>
        </w:tc>
        <w:tc>
          <w:tcPr>
            <w:tcW w:w="1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8,502</w:t>
            </w: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157</w:t>
            </w:r>
          </w:p>
        </w:tc>
        <w:tc>
          <w:tcPr>
            <w:tcW w:w="1500" w:type="dxa"/>
            <w:vAlign w:val="bottom"/>
            <w:gridSpan w:val="2"/>
          </w:tcPr>
          <w:p>
            <w:pPr>
              <w:jc w:val="right"/>
              <w:ind w:right="1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486"/>
        </w:trPr>
        <w:tc>
          <w:tcPr>
            <w:tcW w:w="5920" w:type="dxa"/>
            <w:vAlign w:val="bottom"/>
          </w:tcPr>
          <w:p>
            <w:pPr>
              <w:spacing w:after="0"/>
              <w:rPr>
                <w:sz w:val="20"/>
                <w:szCs w:val="20"/>
                <w:color w:val="auto"/>
              </w:rPr>
            </w:pPr>
            <w:r>
              <w:rPr>
                <w:rFonts w:ascii="Arial" w:cs="Arial" w:eastAsia="Arial" w:hAnsi="Arial"/>
                <w:sz w:val="18"/>
                <w:szCs w:val="18"/>
                <w:b w:val="1"/>
                <w:bCs w:val="1"/>
                <w:color w:val="auto"/>
              </w:rPr>
              <w:t>Expenses</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920" w:type="dxa"/>
            <w:vAlign w:val="bottom"/>
          </w:tcPr>
          <w:p>
            <w:pPr>
              <w:ind w:left="200"/>
              <w:spacing w:after="0"/>
              <w:rPr>
                <w:sz w:val="20"/>
                <w:szCs w:val="20"/>
                <w:color w:val="auto"/>
              </w:rPr>
            </w:pPr>
            <w:r>
              <w:rPr>
                <w:rFonts w:ascii="Arial" w:cs="Arial" w:eastAsia="Arial" w:hAnsi="Arial"/>
                <w:sz w:val="18"/>
                <w:szCs w:val="18"/>
                <w:color w:val="auto"/>
              </w:rPr>
              <w:t>Operating</w:t>
            </w:r>
          </w:p>
        </w:tc>
        <w:tc>
          <w:tcPr>
            <w:tcW w:w="26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4,382</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4,284</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(98)</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0"/>
        </w:trPr>
        <w:tc>
          <w:tcPr>
            <w:tcW w:w="5920" w:type="dxa"/>
            <w:vAlign w:val="bottom"/>
          </w:tcPr>
          <w:p>
            <w:pPr>
              <w:ind w:left="200"/>
              <w:spacing w:after="0"/>
              <w:rPr>
                <w:sz w:val="20"/>
                <w:szCs w:val="20"/>
                <w:color w:val="auto"/>
              </w:rPr>
            </w:pPr>
            <w:r>
              <w:rPr>
                <w:rFonts w:ascii="Arial" w:cs="Arial" w:eastAsia="Arial" w:hAnsi="Arial"/>
                <w:sz w:val="18"/>
                <w:szCs w:val="18"/>
                <w:color w:val="auto"/>
              </w:rPr>
              <w:t>Vehicle depreciation and lease charges, net</w:t>
            </w:r>
          </w:p>
        </w:tc>
        <w:tc>
          <w:tcPr>
            <w:tcW w:w="26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2,047</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1,933</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(114)</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0"/>
        </w:trPr>
        <w:tc>
          <w:tcPr>
            <w:tcW w:w="5920" w:type="dxa"/>
            <w:vAlign w:val="bottom"/>
          </w:tcPr>
          <w:p>
            <w:pPr>
              <w:ind w:left="200"/>
              <w:spacing w:after="0"/>
              <w:rPr>
                <w:sz w:val="20"/>
                <w:szCs w:val="20"/>
                <w:color w:val="auto"/>
              </w:rPr>
            </w:pPr>
            <w:r>
              <w:rPr>
                <w:rFonts w:ascii="Arial" w:cs="Arial" w:eastAsia="Arial" w:hAnsi="Arial"/>
                <w:sz w:val="18"/>
                <w:szCs w:val="18"/>
                <w:color w:val="auto"/>
              </w:rPr>
              <w:t>Selling, general and administrative</w:t>
            </w:r>
          </w:p>
        </w:tc>
        <w:tc>
          <w:tcPr>
            <w:tcW w:w="26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1,134</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1,093</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(41)</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0"/>
        </w:trPr>
        <w:tc>
          <w:tcPr>
            <w:tcW w:w="5920" w:type="dxa"/>
            <w:vAlign w:val="bottom"/>
          </w:tcPr>
          <w:p>
            <w:pPr>
              <w:ind w:left="200"/>
              <w:spacing w:after="0"/>
              <w:rPr>
                <w:sz w:val="20"/>
                <w:szCs w:val="20"/>
                <w:color w:val="auto"/>
              </w:rPr>
            </w:pPr>
            <w:r>
              <w:rPr>
                <w:rFonts w:ascii="Arial" w:cs="Arial" w:eastAsia="Arial" w:hAnsi="Arial"/>
                <w:sz w:val="18"/>
                <w:szCs w:val="18"/>
                <w:color w:val="auto"/>
              </w:rPr>
              <w:t>Vehicle interest, net</w:t>
            </w:r>
          </w:p>
        </w:tc>
        <w:tc>
          <w:tcPr>
            <w:tcW w:w="26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284</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289</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5</w:t>
            </w:r>
          </w:p>
        </w:tc>
        <w:tc>
          <w:tcPr>
            <w:tcW w:w="1500" w:type="dxa"/>
            <w:vAlign w:val="bottom"/>
            <w:gridSpan w:val="2"/>
          </w:tcPr>
          <w:p>
            <w:pPr>
              <w:jc w:val="right"/>
              <w:ind w:right="1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0"/>
        </w:trPr>
        <w:tc>
          <w:tcPr>
            <w:tcW w:w="5920" w:type="dxa"/>
            <w:vAlign w:val="bottom"/>
          </w:tcPr>
          <w:p>
            <w:pPr>
              <w:ind w:left="200"/>
              <w:spacing w:after="0"/>
              <w:rPr>
                <w:sz w:val="20"/>
                <w:szCs w:val="20"/>
                <w:color w:val="auto"/>
              </w:rPr>
            </w:pPr>
            <w:r>
              <w:rPr>
                <w:rFonts w:ascii="Arial" w:cs="Arial" w:eastAsia="Arial" w:hAnsi="Arial"/>
                <w:sz w:val="18"/>
                <w:szCs w:val="18"/>
                <w:color w:val="auto"/>
              </w:rPr>
              <w:t>Non-vehicle related depreciation and amortization</w:t>
            </w:r>
          </w:p>
        </w:tc>
        <w:tc>
          <w:tcPr>
            <w:tcW w:w="26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253</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218</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(35)</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0"/>
        </w:trPr>
        <w:tc>
          <w:tcPr>
            <w:tcW w:w="5920" w:type="dxa"/>
            <w:vAlign w:val="bottom"/>
          </w:tcPr>
          <w:p>
            <w:pPr>
              <w:ind w:left="200"/>
              <w:spacing w:after="0"/>
              <w:rPr>
                <w:sz w:val="20"/>
                <w:szCs w:val="20"/>
                <w:color w:val="auto"/>
              </w:rPr>
            </w:pPr>
            <w:r>
              <w:rPr>
                <w:rFonts w:ascii="Arial" w:cs="Arial" w:eastAsia="Arial" w:hAnsi="Arial"/>
                <w:sz w:val="18"/>
                <w:szCs w:val="18"/>
                <w:color w:val="auto"/>
              </w:rPr>
              <w:t>Interest expense related to corporate debt, net:</w:t>
            </w: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920" w:type="dxa"/>
            <w:vAlign w:val="bottom"/>
          </w:tcPr>
          <w:p>
            <w:pPr>
              <w:ind w:left="420"/>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203</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194</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0"/>
        </w:trPr>
        <w:tc>
          <w:tcPr>
            <w:tcW w:w="5920" w:type="dxa"/>
            <w:vAlign w:val="bottom"/>
          </w:tcPr>
          <w:p>
            <w:pPr>
              <w:ind w:left="420"/>
              <w:spacing w:after="0"/>
              <w:rPr>
                <w:sz w:val="20"/>
                <w:szCs w:val="20"/>
                <w:color w:val="auto"/>
              </w:rPr>
            </w:pPr>
            <w:r>
              <w:rPr>
                <w:rFonts w:ascii="Arial" w:cs="Arial" w:eastAsia="Arial" w:hAnsi="Arial"/>
                <w:sz w:val="18"/>
                <w:szCs w:val="18"/>
                <w:color w:val="auto"/>
              </w:rPr>
              <w:t>Early extinguishment of debt</w:t>
            </w:r>
          </w:p>
        </w:tc>
        <w:tc>
          <w:tcPr>
            <w:tcW w:w="26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0"/>
        </w:trPr>
        <w:tc>
          <w:tcPr>
            <w:tcW w:w="5920" w:type="dxa"/>
            <w:vAlign w:val="bottom"/>
          </w:tcPr>
          <w:p>
            <w:pPr>
              <w:ind w:left="200"/>
              <w:spacing w:after="0"/>
              <w:rPr>
                <w:sz w:val="20"/>
                <w:szCs w:val="20"/>
                <w:color w:val="auto"/>
              </w:rPr>
            </w:pPr>
            <w:r>
              <w:rPr>
                <w:rFonts w:ascii="Arial" w:cs="Arial" w:eastAsia="Arial" w:hAnsi="Arial"/>
                <w:sz w:val="18"/>
                <w:szCs w:val="18"/>
                <w:color w:val="auto"/>
              </w:rPr>
              <w:t>Restructuring and other related charges</w:t>
            </w:r>
          </w:p>
        </w:tc>
        <w:tc>
          <w:tcPr>
            <w:tcW w:w="26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77"/>
        </w:trPr>
        <w:tc>
          <w:tcPr>
            <w:tcW w:w="5920" w:type="dxa"/>
            <w:vAlign w:val="bottom"/>
          </w:tcPr>
          <w:p>
            <w:pPr>
              <w:ind w:left="200"/>
              <w:spacing w:after="0"/>
              <w:rPr>
                <w:sz w:val="20"/>
                <w:szCs w:val="20"/>
                <w:color w:val="auto"/>
              </w:rPr>
            </w:pPr>
            <w:r>
              <w:rPr>
                <w:rFonts w:ascii="Arial" w:cs="Arial" w:eastAsia="Arial" w:hAnsi="Arial"/>
                <w:sz w:val="18"/>
                <w:szCs w:val="18"/>
                <w:color w:val="auto"/>
              </w:rPr>
              <w:t>Transaction-related costs, net</w:t>
            </w: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47</w:t>
            </w:r>
          </w:p>
        </w:tc>
        <w:tc>
          <w:tcPr>
            <w:tcW w:w="1500" w:type="dxa"/>
            <w:vAlign w:val="bottom"/>
            <w:gridSpan w:val="2"/>
          </w:tcPr>
          <w:p>
            <w:pPr>
              <w:jc w:val="right"/>
              <w:ind w:right="1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50"/>
        </w:trPr>
        <w:tc>
          <w:tcPr>
            <w:tcW w:w="5920" w:type="dxa"/>
            <w:vAlign w:val="bottom"/>
          </w:tcPr>
          <w:p>
            <w:pPr>
              <w:spacing w:after="0"/>
              <w:rPr>
                <w:sz w:val="20"/>
                <w:szCs w:val="20"/>
                <w:color w:val="auto"/>
              </w:rPr>
            </w:pPr>
            <w:r>
              <w:rPr>
                <w:rFonts w:ascii="Arial" w:cs="Arial" w:eastAsia="Arial" w:hAnsi="Arial"/>
                <w:sz w:val="18"/>
                <w:szCs w:val="18"/>
                <w:color w:val="auto"/>
              </w:rPr>
              <w:t>Total expenses</w:t>
            </w: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8,380</w:t>
            </w:r>
          </w:p>
        </w:tc>
        <w:tc>
          <w:tcPr>
            <w:tcW w:w="1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8,120</w:t>
            </w: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527"/>
        </w:trPr>
        <w:tc>
          <w:tcPr>
            <w:tcW w:w="5920" w:type="dxa"/>
            <w:vAlign w:val="bottom"/>
          </w:tcPr>
          <w:p>
            <w:pPr>
              <w:spacing w:after="0"/>
              <w:rPr>
                <w:sz w:val="20"/>
                <w:szCs w:val="20"/>
                <w:color w:val="auto"/>
              </w:rPr>
            </w:pPr>
            <w:r>
              <w:rPr>
                <w:rFonts w:ascii="Arial" w:cs="Arial" w:eastAsia="Arial" w:hAnsi="Arial"/>
                <w:sz w:val="18"/>
                <w:szCs w:val="18"/>
                <w:b w:val="1"/>
                <w:bCs w:val="1"/>
                <w:color w:val="auto"/>
              </w:rPr>
              <w:t>Income before income taxes</w:t>
            </w:r>
          </w:p>
        </w:tc>
        <w:tc>
          <w:tcPr>
            <w:tcW w:w="260" w:type="dxa"/>
            <w:vAlign w:val="bottom"/>
          </w:tcPr>
          <w:p>
            <w:pPr>
              <w:spacing w:after="0"/>
              <w:rPr>
                <w:sz w:val="24"/>
                <w:szCs w:val="24"/>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279</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382</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(103)</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77"/>
        </w:trPr>
        <w:tc>
          <w:tcPr>
            <w:tcW w:w="592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527"/>
        </w:trPr>
        <w:tc>
          <w:tcPr>
            <w:tcW w:w="5920" w:type="dxa"/>
            <w:vAlign w:val="bottom"/>
          </w:tcPr>
          <w:p>
            <w:pPr>
              <w:spacing w:after="0"/>
              <w:rPr>
                <w:sz w:val="20"/>
                <w:szCs w:val="20"/>
                <w:color w:val="auto"/>
              </w:rPr>
            </w:pPr>
            <w:r>
              <w:rPr>
                <w:rFonts w:ascii="Arial" w:cs="Arial" w:eastAsia="Arial" w:hAnsi="Arial"/>
                <w:sz w:val="18"/>
                <w:szCs w:val="18"/>
                <w:b w:val="1"/>
                <w:bCs w:val="1"/>
                <w:color w:val="auto"/>
              </w:rPr>
              <w:t>Net income</w:t>
            </w:r>
          </w:p>
        </w:tc>
        <w:tc>
          <w:tcPr>
            <w:tcW w:w="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163</w:t>
            </w:r>
          </w:p>
        </w:tc>
        <w:tc>
          <w:tcPr>
            <w:tcW w:w="100" w:type="dxa"/>
            <w:vAlign w:val="bottom"/>
          </w:tcPr>
          <w:p>
            <w:pPr>
              <w:spacing w:after="0"/>
              <w:rPr>
                <w:sz w:val="24"/>
                <w:szCs w:val="24"/>
                <w:color w:val="auto"/>
              </w:rPr>
            </w:pPr>
          </w:p>
        </w:tc>
        <w:tc>
          <w:tcPr>
            <w:tcW w:w="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313</w:t>
            </w:r>
          </w:p>
        </w:tc>
        <w:tc>
          <w:tcPr>
            <w:tcW w:w="100" w:type="dxa"/>
            <w:vAlign w:val="bottom"/>
          </w:tcPr>
          <w:p>
            <w:pPr>
              <w:spacing w:after="0"/>
              <w:rPr>
                <w:sz w:val="24"/>
                <w:szCs w:val="24"/>
                <w:color w:val="auto"/>
              </w:rPr>
            </w:pPr>
          </w:p>
        </w:tc>
        <w:tc>
          <w:tcPr>
            <w:tcW w:w="1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0"/>
        </w:trPr>
        <w:tc>
          <w:tcPr>
            <w:tcW w:w="59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640"/>
        <w:spacing w:after="0" w:line="262" w:lineRule="auto"/>
        <w:rPr>
          <w:sz w:val="20"/>
          <w:szCs w:val="20"/>
          <w:color w:val="auto"/>
        </w:rPr>
      </w:pPr>
      <w:r>
        <w:rPr>
          <w:rFonts w:ascii="Arial" w:cs="Arial" w:eastAsia="Arial" w:hAnsi="Arial"/>
          <w:sz w:val="18"/>
          <w:szCs w:val="18"/>
          <w:color w:val="auto"/>
        </w:rPr>
        <w:t>During 2016, our revenues increased as a result of a 3% increase in rental volumes, partially offset by a 2% decrease in time &amp; mileage revenue per day (including a $36 million (1%) negative impact from currency exchange rate movements).</w:t>
      </w:r>
    </w:p>
    <w:p>
      <w:pPr>
        <w:spacing w:after="0" w:line="196"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Total expenses increased as a result of increased volumes, increased marketing costs and commissions, a 3% increase in per-unit fleet costs and a $26 million charge for a legal matter. These increases were partially offset by an approximately $43 million (1%) favorable impact on expenses from currency exchange rate movements. Our effective tax rates were a provision of 42% and 18% in 2016 and 2015, respectively, which in 2015 included a $98 million income tax benefit related to the resolution of a prior-year tax matter. As a result of these items, our net income decreased by $150 million.</w:t>
      </w:r>
    </w:p>
    <w:p>
      <w:pPr>
        <w:spacing w:after="0" w:line="206"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For 2016, the Company reported earnings of $1.75 per diluted share, which includes after-tax restructuring and other related charges of ($0.23) per share, after-tax debt extinguishment costs of ($ 0.18) per share, after-tax charges for legal matter of ($0.17) per share and after-tax transaction-related costs, net, of ($0.17) per share. For 2015, the Company reported earnings of $2.98 per diluted share, which includes after-tax transaction-related costs, net, of ($0.52) per share, after-tax debt extinguishment costs of ($0.13) per share, after-tax restructuring</w:t>
      </w:r>
    </w:p>
    <w:p>
      <w:pPr>
        <w:sectPr>
          <w:pgSz w:w="11900" w:h="16838" w:orient="portrait"/>
          <w:cols w:equalWidth="0" w:num="1">
            <w:col w:w="11420"/>
          </w:cols>
          <w:pgMar w:left="240" w:top="108" w:right="239" w:bottom="1440" w:gutter="0" w:footer="0" w:header="0"/>
        </w:sect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49</w:t>
      </w:r>
    </w:p>
    <w:p>
      <w:pPr>
        <w:sectPr>
          <w:pgSz w:w="11900" w:h="16838" w:orient="portrait"/>
          <w:cols w:equalWidth="0" w:num="1">
            <w:col w:w="11420"/>
          </w:cols>
          <w:pgMar w:left="240" w:top="108" w:right="239" w:bottom="1440" w:gutter="0" w:footer="0" w:header="0"/>
          <w:type w:val="continuous"/>
        </w:sectPr>
      </w:pPr>
    </w:p>
    <w:bookmarkStart w:id="51" w:name="page52"/>
    <w:bookmarkEnd w:id="5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and other related charges of ($0.12) per share and an income tax benefit related to resolution of prior-year tax matter of $0.93 per share.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 the year ended December 31, 2016:</w:t>
      </w:r>
    </w:p>
    <w:p>
      <w:pPr>
        <w:spacing w:after="0" w:line="225" w:lineRule="exact"/>
        <w:rPr>
          <w:sz w:val="20"/>
          <w:szCs w:val="20"/>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Operating expenses increased to 50.6% of revenue compared to 50.4% in the prior year.</w:t>
      </w:r>
    </w:p>
    <w:p>
      <w:pPr>
        <w:spacing w:after="0" w:line="225" w:lineRule="exact"/>
        <w:rPr>
          <w:rFonts w:ascii="Arial" w:cs="Arial" w:eastAsia="Arial" w:hAnsi="Arial"/>
          <w:sz w:val="18"/>
          <w:szCs w:val="18"/>
          <w:color w:val="auto"/>
        </w:rPr>
      </w:pPr>
    </w:p>
    <w:p>
      <w:pPr>
        <w:ind w:left="660" w:right="20" w:hanging="328"/>
        <w:spacing w:after="0" w:line="262"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Vehicle depreciation and lease charges increased to 23.6% of revenue from 22.7% in 2015, due to higher per-unit fleet costs and lower time &amp; mileage revenue per day.</w:t>
      </w:r>
    </w:p>
    <w:p>
      <w:pPr>
        <w:spacing w:after="0" w:line="196"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Selling, general and administrative costs were 13.1% of revenue compared to 12.9% in 2015.</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Vehicle interest costs were 3.3% of revenue compared to 3.4% in the prior year.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Following is a more detailed discussion of the results of each of our reportable segments:</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246"/>
        </w:trPr>
        <w:tc>
          <w:tcPr>
            <w:tcW w:w="50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2016</w:t>
            </w:r>
          </w:p>
        </w:tc>
        <w:tc>
          <w:tcPr>
            <w:tcW w:w="122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2015</w:t>
            </w:r>
          </w:p>
        </w:tc>
        <w:tc>
          <w:tcPr>
            <w:tcW w:w="1240" w:type="dxa"/>
            <w:vAlign w:val="bottom"/>
            <w:tcBorders>
              <w:bottom w:val="single" w:sz="8" w:color="auto"/>
            </w:tcBorders>
          </w:tcPr>
          <w:p>
            <w:pPr>
              <w:spacing w:after="0"/>
              <w:rPr>
                <w:sz w:val="21"/>
                <w:szCs w:val="21"/>
                <w:color w:val="auto"/>
              </w:rPr>
            </w:pPr>
          </w:p>
        </w:tc>
      </w:tr>
      <w:tr>
        <w:trPr>
          <w:trHeight w:val="207"/>
        </w:trPr>
        <w:tc>
          <w:tcPr>
            <w:tcW w:w="5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8"/>
              </w:rPr>
              <w:t>Adjusted</w:t>
            </w: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jc w:val="center"/>
              <w:ind w:right="170"/>
              <w:spacing w:after="0"/>
              <w:rPr>
                <w:sz w:val="20"/>
                <w:szCs w:val="20"/>
                <w:color w:val="auto"/>
              </w:rPr>
            </w:pPr>
            <w:r>
              <w:rPr>
                <w:rFonts w:ascii="Arial" w:cs="Arial" w:eastAsia="Arial" w:hAnsi="Arial"/>
                <w:sz w:val="18"/>
                <w:szCs w:val="18"/>
                <w:b w:val="1"/>
                <w:bCs w:val="1"/>
                <w:color w:val="auto"/>
              </w:rPr>
              <w:t>Adjusted</w:t>
            </w:r>
          </w:p>
        </w:tc>
      </w:tr>
      <w:tr>
        <w:trPr>
          <w:trHeight w:val="246"/>
        </w:trPr>
        <w:tc>
          <w:tcPr>
            <w:tcW w:w="50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gridSpan w:val="2"/>
          </w:tcPr>
          <w:p>
            <w:pPr>
              <w:ind w:left="100"/>
              <w:spacing w:after="0"/>
              <w:rPr>
                <w:sz w:val="20"/>
                <w:szCs w:val="20"/>
                <w:color w:val="auto"/>
              </w:rPr>
            </w:pPr>
            <w:r>
              <w:rPr>
                <w:rFonts w:ascii="Arial" w:cs="Arial" w:eastAsia="Arial" w:hAnsi="Arial"/>
                <w:sz w:val="18"/>
                <w:szCs w:val="18"/>
                <w:b w:val="1"/>
                <w:bCs w:val="1"/>
                <w:color w:val="auto"/>
              </w:rPr>
              <w:t>Revenues</w:t>
            </w:r>
          </w:p>
        </w:tc>
        <w:tc>
          <w:tcPr>
            <w:tcW w:w="260" w:type="dxa"/>
            <w:vAlign w:val="bottom"/>
          </w:tcPr>
          <w:p>
            <w:pPr>
              <w:spacing w:after="0"/>
              <w:rPr>
                <w:sz w:val="21"/>
                <w:szCs w:val="21"/>
                <w:color w:val="auto"/>
              </w:rPr>
            </w:pPr>
          </w:p>
        </w:tc>
        <w:tc>
          <w:tcPr>
            <w:tcW w:w="13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rPr>
              <w:t>EBITDA</w:t>
            </w:r>
          </w:p>
        </w:tc>
        <w:tc>
          <w:tcPr>
            <w:tcW w:w="220" w:type="dxa"/>
            <w:vAlign w:val="bottom"/>
          </w:tcPr>
          <w:p>
            <w:pPr>
              <w:spacing w:after="0"/>
              <w:rPr>
                <w:sz w:val="21"/>
                <w:szCs w:val="21"/>
                <w:color w:val="auto"/>
              </w:rPr>
            </w:pPr>
          </w:p>
        </w:tc>
        <w:tc>
          <w:tcPr>
            <w:tcW w:w="1360" w:type="dxa"/>
            <w:vAlign w:val="bottom"/>
            <w:gridSpan w:val="2"/>
          </w:tcPr>
          <w:p>
            <w:pPr>
              <w:ind w:left="100"/>
              <w:spacing w:after="0"/>
              <w:rPr>
                <w:sz w:val="20"/>
                <w:szCs w:val="20"/>
                <w:color w:val="auto"/>
              </w:rPr>
            </w:pPr>
            <w:r>
              <w:rPr>
                <w:rFonts w:ascii="Arial" w:cs="Arial" w:eastAsia="Arial" w:hAnsi="Arial"/>
                <w:sz w:val="18"/>
                <w:szCs w:val="18"/>
                <w:b w:val="1"/>
                <w:bCs w:val="1"/>
                <w:color w:val="auto"/>
              </w:rPr>
              <w:t>Revenues</w:t>
            </w:r>
          </w:p>
        </w:tc>
        <w:tc>
          <w:tcPr>
            <w:tcW w:w="260" w:type="dxa"/>
            <w:vAlign w:val="bottom"/>
          </w:tcPr>
          <w:p>
            <w:pPr>
              <w:spacing w:after="0"/>
              <w:rPr>
                <w:sz w:val="21"/>
                <w:szCs w:val="21"/>
                <w:color w:val="auto"/>
              </w:rPr>
            </w:pPr>
          </w:p>
        </w:tc>
        <w:tc>
          <w:tcPr>
            <w:tcW w:w="1240" w:type="dxa"/>
            <w:vAlign w:val="bottom"/>
          </w:tcPr>
          <w:p>
            <w:pPr>
              <w:jc w:val="center"/>
              <w:ind w:right="170"/>
              <w:spacing w:after="0"/>
              <w:rPr>
                <w:sz w:val="20"/>
                <w:szCs w:val="20"/>
                <w:color w:val="auto"/>
              </w:rPr>
            </w:pPr>
            <w:r>
              <w:rPr>
                <w:rFonts w:ascii="Arial" w:cs="Arial" w:eastAsia="Arial" w:hAnsi="Arial"/>
                <w:sz w:val="18"/>
                <w:szCs w:val="18"/>
                <w:b w:val="1"/>
                <w:bCs w:val="1"/>
                <w:color w:val="auto"/>
                <w:w w:val="98"/>
              </w:rPr>
              <w:t>EBITDA</w:t>
            </w:r>
          </w:p>
        </w:tc>
      </w:tr>
      <w:tr>
        <w:trPr>
          <w:trHeight w:val="243"/>
        </w:trPr>
        <w:tc>
          <w:tcPr>
            <w:tcW w:w="5080" w:type="dxa"/>
            <w:vAlign w:val="bottom"/>
          </w:tcPr>
          <w:p>
            <w:pPr>
              <w:spacing w:after="0"/>
              <w:rPr>
                <w:sz w:val="20"/>
                <w:szCs w:val="20"/>
                <w:color w:val="auto"/>
              </w:rPr>
            </w:pPr>
            <w:r>
              <w:rPr>
                <w:rFonts w:ascii="Arial" w:cs="Arial" w:eastAsia="Arial" w:hAnsi="Arial"/>
                <w:sz w:val="18"/>
                <w:szCs w:val="18"/>
                <w:color w:val="auto"/>
              </w:rPr>
              <w:t>Americas</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6,121</w:t>
            </w:r>
          </w:p>
        </w:tc>
        <w:tc>
          <w:tcPr>
            <w:tcW w:w="100" w:type="dxa"/>
            <w:vAlign w:val="bottom"/>
          </w:tcPr>
          <w:p>
            <w:pPr>
              <w:spacing w:after="0"/>
              <w:rPr>
                <w:sz w:val="21"/>
                <w:szCs w:val="21"/>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633</w:t>
            </w:r>
          </w:p>
        </w:tc>
        <w:tc>
          <w:tcPr>
            <w:tcW w:w="120" w:type="dxa"/>
            <w:vAlign w:val="bottom"/>
          </w:tcPr>
          <w:p>
            <w:pPr>
              <w:spacing w:after="0"/>
              <w:rPr>
                <w:sz w:val="21"/>
                <w:szCs w:val="21"/>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6,069</w:t>
            </w:r>
          </w:p>
        </w:tc>
        <w:tc>
          <w:tcPr>
            <w:tcW w:w="100" w:type="dxa"/>
            <w:vAlign w:val="bottom"/>
          </w:tcPr>
          <w:p>
            <w:pPr>
              <w:spacing w:after="0"/>
              <w:rPr>
                <w:sz w:val="21"/>
                <w:szCs w:val="21"/>
                <w:color w:val="auto"/>
              </w:rPr>
            </w:pPr>
          </w:p>
        </w:tc>
        <w:tc>
          <w:tcPr>
            <w:tcW w:w="2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682</w:t>
            </w:r>
          </w:p>
        </w:tc>
      </w:tr>
      <w:tr>
        <w:trPr>
          <w:trHeight w:val="270"/>
        </w:trPr>
        <w:tc>
          <w:tcPr>
            <w:tcW w:w="5080" w:type="dxa"/>
            <w:vAlign w:val="bottom"/>
          </w:tcPr>
          <w:p>
            <w:pPr>
              <w:spacing w:after="0"/>
              <w:rPr>
                <w:sz w:val="20"/>
                <w:szCs w:val="20"/>
                <w:color w:val="auto"/>
              </w:rPr>
            </w:pPr>
            <w:r>
              <w:rPr>
                <w:rFonts w:ascii="Arial" w:cs="Arial" w:eastAsia="Arial" w:hAnsi="Arial"/>
                <w:sz w:val="18"/>
                <w:szCs w:val="18"/>
                <w:color w:val="auto"/>
              </w:rPr>
              <w:t>International</w:t>
            </w:r>
          </w:p>
        </w:tc>
        <w:tc>
          <w:tcPr>
            <w:tcW w:w="220" w:type="dxa"/>
            <w:vAlign w:val="bottom"/>
          </w:tcPr>
          <w:p>
            <w:pPr>
              <w:spacing w:after="0"/>
              <w:rPr>
                <w:sz w:val="23"/>
                <w:szCs w:val="23"/>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2,538</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273</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2,433</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277</w:t>
            </w:r>
          </w:p>
        </w:tc>
      </w:tr>
      <w:tr>
        <w:trPr>
          <w:trHeight w:val="283"/>
        </w:trPr>
        <w:tc>
          <w:tcPr>
            <w:tcW w:w="5080" w:type="dxa"/>
            <w:vAlign w:val="bottom"/>
          </w:tcPr>
          <w:p>
            <w:pPr>
              <w:spacing w:after="0"/>
              <w:rPr>
                <w:sz w:val="20"/>
                <w:szCs w:val="20"/>
                <w:color w:val="auto"/>
              </w:rPr>
            </w:pPr>
            <w:r>
              <w:rPr>
                <w:rFonts w:ascii="Arial" w:cs="Arial" w:eastAsia="Arial" w:hAnsi="Arial"/>
                <w:sz w:val="18"/>
                <w:szCs w:val="18"/>
                <w:color w:val="auto"/>
              </w:rPr>
              <w:t xml:space="preserve">Corporate and Other </w:t>
            </w:r>
            <w:r>
              <w:rPr>
                <w:rFonts w:ascii="Arial" w:cs="Arial" w:eastAsia="Arial" w:hAnsi="Arial"/>
                <w:sz w:val="18"/>
                <w:szCs w:val="18"/>
                <w:color w:val="auto"/>
                <w:vertAlign w:val="superscript"/>
              </w:rPr>
              <w:t>(a)</w:t>
            </w:r>
          </w:p>
        </w:tc>
        <w:tc>
          <w:tcPr>
            <w:tcW w:w="220" w:type="dxa"/>
            <w:vAlign w:val="bottom"/>
          </w:tcPr>
          <w:p>
            <w:pPr>
              <w:spacing w:after="0"/>
              <w:rPr>
                <w:sz w:val="24"/>
                <w:szCs w:val="24"/>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50"/>
        </w:trPr>
        <w:tc>
          <w:tcPr>
            <w:tcW w:w="5080" w:type="dxa"/>
            <w:vAlign w:val="bottom"/>
          </w:tcPr>
          <w:p>
            <w:pPr>
              <w:ind w:left="120"/>
              <w:spacing w:after="0"/>
              <w:rPr>
                <w:sz w:val="20"/>
                <w:szCs w:val="20"/>
                <w:color w:val="auto"/>
              </w:rPr>
            </w:pPr>
            <w:r>
              <w:rPr>
                <w:rFonts w:ascii="Arial" w:cs="Arial" w:eastAsia="Arial" w:hAnsi="Arial"/>
                <w:sz w:val="18"/>
                <w:szCs w:val="18"/>
                <w:color w:val="auto"/>
              </w:rPr>
              <w:t>Total Company</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8,659</w:t>
            </w:r>
          </w:p>
        </w:tc>
        <w:tc>
          <w:tcPr>
            <w:tcW w:w="10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838</w:t>
            </w:r>
          </w:p>
        </w:tc>
        <w:tc>
          <w:tcPr>
            <w:tcW w:w="12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8,502</w:t>
            </w:r>
          </w:p>
        </w:tc>
        <w:tc>
          <w:tcPr>
            <w:tcW w:w="10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903</w:t>
            </w:r>
          </w:p>
        </w:tc>
      </w:tr>
      <w:tr>
        <w:trPr>
          <w:trHeight w:val="20"/>
        </w:trPr>
        <w:tc>
          <w:tcPr>
            <w:tcW w:w="50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Borders>
              <w:bottom w:val="single" w:sz="8" w:color="auto"/>
            </w:tcBorders>
            <w:gridSpan w:val="2"/>
          </w:tcPr>
          <w:p>
            <w:pPr>
              <w:spacing w:after="0" w:line="20" w:lineRule="exact"/>
              <w:rPr>
                <w:sz w:val="1"/>
                <w:szCs w:val="1"/>
                <w:color w:val="auto"/>
              </w:rPr>
            </w:pPr>
          </w:p>
        </w:tc>
      </w:tr>
      <w:tr>
        <w:trPr>
          <w:trHeight w:val="474"/>
        </w:trPr>
        <w:tc>
          <w:tcPr>
            <w:tcW w:w="50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60" w:type="dxa"/>
            <w:vAlign w:val="bottom"/>
            <w:tcBorders>
              <w:bottom w:val="single" w:sz="8" w:color="auto"/>
            </w:tcBorders>
            <w:gridSpan w:val="10"/>
          </w:tcPr>
          <w:p>
            <w:pPr>
              <w:jc w:val="right"/>
              <w:ind w:right="930"/>
              <w:spacing w:after="0"/>
              <w:rPr>
                <w:sz w:val="20"/>
                <w:szCs w:val="20"/>
                <w:color w:val="auto"/>
              </w:rPr>
            </w:pPr>
            <w:r>
              <w:rPr>
                <w:rFonts w:ascii="Arial" w:cs="Arial" w:eastAsia="Arial" w:hAnsi="Arial"/>
                <w:sz w:val="18"/>
                <w:szCs w:val="18"/>
                <w:b w:val="1"/>
                <w:bCs w:val="1"/>
                <w:color w:val="auto"/>
              </w:rPr>
              <w:t>Reconciliation of Net income to Adjusted EBITDA</w:t>
            </w:r>
          </w:p>
        </w:tc>
      </w:tr>
      <w:tr>
        <w:trPr>
          <w:trHeight w:val="257"/>
        </w:trPr>
        <w:tc>
          <w:tcPr>
            <w:tcW w:w="50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ind w:right="45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40" w:type="dxa"/>
            <w:vAlign w:val="bottom"/>
          </w:tcPr>
          <w:p>
            <w:pPr>
              <w:jc w:val="center"/>
              <w:ind w:right="150"/>
              <w:spacing w:after="0"/>
              <w:rPr>
                <w:sz w:val="20"/>
                <w:szCs w:val="20"/>
                <w:color w:val="auto"/>
              </w:rPr>
            </w:pPr>
            <w:r>
              <w:rPr>
                <w:rFonts w:ascii="Arial" w:cs="Arial" w:eastAsia="Arial" w:hAnsi="Arial"/>
                <w:sz w:val="18"/>
                <w:szCs w:val="18"/>
                <w:b w:val="1"/>
                <w:bCs w:val="1"/>
                <w:color w:val="auto"/>
                <w:w w:val="99"/>
              </w:rPr>
              <w:t>2015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5279390</wp:posOffset>
            </wp:positionH>
            <wp:positionV relativeFrom="paragraph">
              <wp:posOffset>8890</wp:posOffset>
            </wp:positionV>
            <wp:extent cx="195516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p>
      <w:pPr>
        <w:spacing w:after="0" w:line="53"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Net income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Provision for income taxes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Income before income taxes</w:t>
      </w:r>
    </w:p>
    <w:p>
      <w:pPr>
        <w:spacing w:after="0" w:line="293" w:lineRule="exact"/>
        <w:rPr>
          <w:sz w:val="20"/>
          <w:szCs w:val="20"/>
          <w:color w:val="auto"/>
        </w:rPr>
      </w:pPr>
    </w:p>
    <w:p>
      <w:pPr>
        <w:ind w:left="40"/>
        <w:spacing w:after="0"/>
        <w:tabs>
          <w:tab w:leader="none" w:pos="600" w:val="left"/>
        </w:tabs>
        <w:rPr>
          <w:sz w:val="20"/>
          <w:szCs w:val="20"/>
          <w:color w:val="auto"/>
        </w:rPr>
      </w:pPr>
      <w:r>
        <w:rPr>
          <w:rFonts w:ascii="Arial" w:cs="Arial" w:eastAsia="Arial" w:hAnsi="Arial"/>
          <w:sz w:val="18"/>
          <w:szCs w:val="18"/>
          <w:color w:val="auto"/>
        </w:rPr>
        <w:t>Add:</w:t>
        <w:tab/>
        <w:t xml:space="preserve">Non-vehicle related depreciation and amortization </w:t>
      </w:r>
      <w:r>
        <w:rPr>
          <w:rFonts w:ascii="Arial" w:cs="Arial" w:eastAsia="Arial" w:hAnsi="Arial"/>
          <w:sz w:val="18"/>
          <w:szCs w:val="18"/>
          <w:color w:val="auto"/>
          <w:vertAlign w:val="superscript"/>
        </w:rPr>
        <w:t>(b)</w:t>
      </w:r>
    </w:p>
    <w:p>
      <w:pPr>
        <w:spacing w:after="0" w:line="63" w:lineRule="exact"/>
        <w:rPr>
          <w:sz w:val="20"/>
          <w:szCs w:val="20"/>
          <w:color w:val="auto"/>
        </w:rPr>
      </w:pPr>
    </w:p>
    <w:p>
      <w:pPr>
        <w:ind w:left="620"/>
        <w:spacing w:after="0"/>
        <w:rPr>
          <w:sz w:val="20"/>
          <w:szCs w:val="20"/>
          <w:color w:val="auto"/>
        </w:rPr>
      </w:pPr>
      <w:r>
        <w:rPr>
          <w:rFonts w:ascii="Arial" w:cs="Arial" w:eastAsia="Arial" w:hAnsi="Arial"/>
          <w:sz w:val="18"/>
          <w:szCs w:val="18"/>
          <w:color w:val="auto"/>
        </w:rPr>
        <w:t>Interest expense related to corporate debt, net:</w:t>
      </w:r>
    </w:p>
    <w:p>
      <w:pPr>
        <w:spacing w:after="0" w:line="63" w:lineRule="exact"/>
        <w:rPr>
          <w:sz w:val="20"/>
          <w:szCs w:val="20"/>
          <w:color w:val="auto"/>
        </w:rPr>
      </w:pPr>
    </w:p>
    <w:p>
      <w:pPr>
        <w:ind w:left="860"/>
        <w:spacing w:after="0"/>
        <w:rPr>
          <w:sz w:val="20"/>
          <w:szCs w:val="20"/>
          <w:color w:val="auto"/>
        </w:rPr>
      </w:pPr>
      <w:r>
        <w:rPr>
          <w:rFonts w:ascii="Arial" w:cs="Arial" w:eastAsia="Arial" w:hAnsi="Arial"/>
          <w:sz w:val="18"/>
          <w:szCs w:val="18"/>
          <w:color w:val="auto"/>
        </w:rPr>
        <w:t>Interest expense</w:t>
      </w:r>
    </w:p>
    <w:p>
      <w:pPr>
        <w:spacing w:after="0" w:line="63" w:lineRule="exact"/>
        <w:rPr>
          <w:sz w:val="20"/>
          <w:szCs w:val="20"/>
          <w:color w:val="auto"/>
        </w:rPr>
      </w:pPr>
    </w:p>
    <w:p>
      <w:pPr>
        <w:ind w:left="860"/>
        <w:spacing w:after="0"/>
        <w:rPr>
          <w:sz w:val="20"/>
          <w:szCs w:val="20"/>
          <w:color w:val="auto"/>
        </w:rPr>
      </w:pPr>
      <w:r>
        <w:rPr>
          <w:rFonts w:ascii="Arial" w:cs="Arial" w:eastAsia="Arial" w:hAnsi="Arial"/>
          <w:sz w:val="18"/>
          <w:szCs w:val="18"/>
          <w:color w:val="auto"/>
        </w:rPr>
        <w:t>Early extinguishment of debt</w:t>
      </w:r>
    </w:p>
    <w:p>
      <w:pPr>
        <w:spacing w:after="0" w:line="63" w:lineRule="exact"/>
        <w:rPr>
          <w:sz w:val="20"/>
          <w:szCs w:val="20"/>
          <w:color w:val="auto"/>
        </w:rPr>
      </w:pPr>
    </w:p>
    <w:p>
      <w:pPr>
        <w:ind w:left="620"/>
        <w:spacing w:after="0"/>
        <w:rPr>
          <w:sz w:val="20"/>
          <w:szCs w:val="20"/>
          <w:color w:val="auto"/>
        </w:rPr>
      </w:pPr>
      <w:r>
        <w:rPr>
          <w:rFonts w:ascii="Arial" w:cs="Arial" w:eastAsia="Arial" w:hAnsi="Arial"/>
          <w:sz w:val="18"/>
          <w:szCs w:val="18"/>
          <w:color w:val="auto"/>
        </w:rPr>
        <w:t>Restructuring and other related charges</w:t>
      </w:r>
    </w:p>
    <w:p>
      <w:pPr>
        <w:spacing w:after="0" w:line="63" w:lineRule="exact"/>
        <w:rPr>
          <w:sz w:val="20"/>
          <w:szCs w:val="20"/>
          <w:color w:val="auto"/>
        </w:rPr>
      </w:pPr>
    </w:p>
    <w:p>
      <w:pPr>
        <w:ind w:left="620"/>
        <w:spacing w:after="0"/>
        <w:rPr>
          <w:sz w:val="20"/>
          <w:szCs w:val="20"/>
          <w:color w:val="auto"/>
        </w:rPr>
      </w:pPr>
      <w:r>
        <w:rPr>
          <w:rFonts w:ascii="Arial" w:cs="Arial" w:eastAsia="Arial" w:hAnsi="Arial"/>
          <w:sz w:val="18"/>
          <w:szCs w:val="18"/>
          <w:color w:val="auto"/>
        </w:rPr>
        <w:t xml:space="preserve">Transaction-related costs, net </w:t>
      </w:r>
      <w:r>
        <w:rPr>
          <w:rFonts w:ascii="Arial" w:cs="Arial" w:eastAsia="Arial" w:hAnsi="Arial"/>
          <w:sz w:val="18"/>
          <w:szCs w:val="18"/>
          <w:color w:val="auto"/>
          <w:vertAlign w:val="superscript"/>
        </w:rPr>
        <w:t>(c)</w:t>
      </w:r>
    </w:p>
    <w:p>
      <w:pPr>
        <w:spacing w:after="0" w:line="63" w:lineRule="exact"/>
        <w:rPr>
          <w:sz w:val="20"/>
          <w:szCs w:val="20"/>
          <w:color w:val="auto"/>
        </w:rPr>
      </w:pPr>
    </w:p>
    <w:p>
      <w:pPr>
        <w:ind w:left="620"/>
        <w:spacing w:after="0"/>
        <w:rPr>
          <w:sz w:val="20"/>
          <w:szCs w:val="20"/>
          <w:color w:val="auto"/>
        </w:rPr>
      </w:pPr>
      <w:r>
        <w:rPr>
          <w:rFonts w:ascii="Arial" w:cs="Arial" w:eastAsia="Arial" w:hAnsi="Arial"/>
          <w:sz w:val="18"/>
          <w:szCs w:val="18"/>
          <w:color w:val="auto"/>
        </w:rPr>
        <w:t xml:space="preserve">Charges for legal matter, net </w:t>
      </w:r>
      <w:r>
        <w:rPr>
          <w:rFonts w:ascii="Arial" w:cs="Arial" w:eastAsia="Arial" w:hAnsi="Arial"/>
          <w:sz w:val="18"/>
          <w:szCs w:val="18"/>
          <w:color w:val="auto"/>
          <w:vertAlign w:val="superscript"/>
        </w:rPr>
        <w:t>(d)</w:t>
      </w:r>
    </w:p>
    <w:p>
      <w:pPr>
        <w:spacing w:after="0" w:line="77" w:lineRule="exact"/>
        <w:rPr>
          <w:sz w:val="20"/>
          <w:szCs w:val="20"/>
          <w:color w:val="auto"/>
        </w:rPr>
      </w:pPr>
    </w:p>
    <w:p>
      <w:pPr>
        <w:ind w:left="40"/>
        <w:spacing w:after="0"/>
        <w:rPr>
          <w:sz w:val="20"/>
          <w:szCs w:val="20"/>
          <w:color w:val="auto"/>
        </w:rPr>
      </w:pPr>
      <w:r>
        <w:rPr>
          <w:rFonts w:ascii="Arial" w:cs="Arial" w:eastAsia="Arial" w:hAnsi="Arial"/>
          <w:sz w:val="18"/>
          <w:szCs w:val="18"/>
          <w:color w:val="auto"/>
        </w:rPr>
        <w:t>Adjusted EBITDA</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__________</w:t>
      </w:r>
    </w:p>
    <w:p>
      <w:pPr>
        <w:ind w:left="340" w:hanging="332"/>
        <w:spacing w:after="0" w:line="190" w:lineRule="auto"/>
        <w:tabs>
          <w:tab w:leader="none" w:pos="340" w:val="left"/>
        </w:tabs>
        <w:numPr>
          <w:ilvl w:val="0"/>
          <w:numId w:val="44"/>
        </w:numPr>
        <w:rPr>
          <w:rFonts w:ascii="Arial" w:cs="Arial" w:eastAsia="Arial" w:hAnsi="Arial"/>
          <w:sz w:val="22"/>
          <w:szCs w:val="22"/>
          <w:color w:val="auto"/>
          <w:vertAlign w:val="superscript"/>
        </w:rPr>
      </w:pPr>
      <w:r>
        <w:rPr>
          <w:rFonts w:ascii="Arial" w:cs="Arial" w:eastAsia="Arial" w:hAnsi="Arial"/>
          <w:sz w:val="16"/>
          <w:szCs w:val="16"/>
          <w:color w:val="auto"/>
        </w:rPr>
        <w:t>Includes unallocated corporate overhead which is not attributable to a particular segment.</w:t>
      </w:r>
    </w:p>
    <w:p>
      <w:pPr>
        <w:ind w:left="340" w:hanging="332"/>
        <w:spacing w:after="0" w:line="187" w:lineRule="auto"/>
        <w:tabs>
          <w:tab w:leader="none" w:pos="340" w:val="left"/>
        </w:tabs>
        <w:numPr>
          <w:ilvl w:val="0"/>
          <w:numId w:val="44"/>
        </w:numPr>
        <w:rPr>
          <w:rFonts w:ascii="Arial" w:cs="Arial" w:eastAsia="Arial" w:hAnsi="Arial"/>
          <w:sz w:val="21"/>
          <w:szCs w:val="21"/>
          <w:color w:val="auto"/>
          <w:vertAlign w:val="superscript"/>
        </w:rPr>
      </w:pPr>
      <w:r>
        <w:rPr>
          <w:rFonts w:ascii="Arial" w:cs="Arial" w:eastAsia="Arial" w:hAnsi="Arial"/>
          <w:sz w:val="15"/>
          <w:szCs w:val="15"/>
          <w:color w:val="auto"/>
        </w:rPr>
        <w:t>Amortization of acquisition-related intangible assets increased to $59 million in 2016 from $55 million in 2015.</w:t>
      </w:r>
    </w:p>
    <w:p>
      <w:pPr>
        <w:ind w:left="340" w:hanging="332"/>
        <w:spacing w:after="0" w:line="187" w:lineRule="auto"/>
        <w:tabs>
          <w:tab w:leader="none" w:pos="340" w:val="left"/>
        </w:tabs>
        <w:numPr>
          <w:ilvl w:val="0"/>
          <w:numId w:val="44"/>
        </w:numPr>
        <w:rPr>
          <w:rFonts w:ascii="Arial" w:cs="Arial" w:eastAsia="Arial" w:hAnsi="Arial"/>
          <w:sz w:val="21"/>
          <w:szCs w:val="21"/>
          <w:color w:val="auto"/>
          <w:vertAlign w:val="superscript"/>
        </w:rPr>
      </w:pPr>
      <w:r>
        <w:rPr>
          <w:rFonts w:ascii="Arial" w:cs="Arial" w:eastAsia="Arial" w:hAnsi="Arial"/>
          <w:sz w:val="15"/>
          <w:szCs w:val="15"/>
          <w:color w:val="auto"/>
        </w:rPr>
        <w:t>Primarily comprised of acquisition- and integration-related expenses.</w:t>
      </w:r>
    </w:p>
    <w:p>
      <w:pPr>
        <w:ind w:left="340" w:hanging="332"/>
        <w:spacing w:after="0" w:line="184" w:lineRule="auto"/>
        <w:tabs>
          <w:tab w:leader="none" w:pos="340" w:val="left"/>
        </w:tabs>
        <w:numPr>
          <w:ilvl w:val="0"/>
          <w:numId w:val="44"/>
        </w:numPr>
        <w:rPr>
          <w:rFonts w:ascii="Arial" w:cs="Arial" w:eastAsia="Arial" w:hAnsi="Arial"/>
          <w:sz w:val="22"/>
          <w:szCs w:val="22"/>
          <w:color w:val="auto"/>
          <w:vertAlign w:val="superscript"/>
        </w:rPr>
      </w:pPr>
      <w:r>
        <w:rPr>
          <w:rFonts w:ascii="Arial" w:cs="Arial" w:eastAsia="Arial" w:hAnsi="Arial"/>
          <w:sz w:val="16"/>
          <w:szCs w:val="16"/>
          <w:color w:val="auto"/>
        </w:rPr>
        <w:t>Reported within operating expenses in our consolidated results of operations.</w:t>
      </w:r>
    </w:p>
    <w:p>
      <w:pPr>
        <w:spacing w:after="0" w:line="20" w:lineRule="exact"/>
        <w:rPr>
          <w:sz w:val="20"/>
          <w:szCs w:val="20"/>
          <w:color w:val="auto"/>
        </w:rPr>
      </w:pPr>
      <w:r>
        <w:rPr>
          <w:sz w:val="20"/>
          <w:szCs w:val="20"/>
          <w:color w:val="auto"/>
        </w:rPr>
        <w:br w:type="column"/>
      </w:r>
    </w:p>
    <w:p>
      <w:pPr>
        <w:spacing w:after="0" w:line="3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7"/>
        </w:trPr>
        <w:tc>
          <w:tcPr>
            <w:tcW w:w="600" w:type="dxa"/>
            <w:vAlign w:val="bottom"/>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163</w:t>
            </w:r>
          </w:p>
        </w:tc>
        <w:tc>
          <w:tcPr>
            <w:tcW w:w="100" w:type="dxa"/>
            <w:vAlign w:val="bottom"/>
          </w:tcPr>
          <w:p>
            <w:pPr>
              <w:spacing w:after="0"/>
              <w:rPr>
                <w:sz w:val="18"/>
                <w:szCs w:val="18"/>
                <w:color w:val="auto"/>
              </w:rPr>
            </w:pPr>
          </w:p>
        </w:tc>
        <w:tc>
          <w:tcPr>
            <w:tcW w:w="60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313</w:t>
            </w:r>
          </w:p>
        </w:tc>
      </w:tr>
      <w:tr>
        <w:trPr>
          <w:trHeight w:val="277"/>
        </w:trPr>
        <w:tc>
          <w:tcPr>
            <w:tcW w:w="6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69</w:t>
            </w:r>
          </w:p>
        </w:tc>
      </w:tr>
      <w:tr>
        <w:trPr>
          <w:trHeight w:val="243"/>
        </w:trPr>
        <w:tc>
          <w:tcPr>
            <w:tcW w:w="60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279</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382</w:t>
            </w:r>
          </w:p>
        </w:tc>
      </w:tr>
      <w:tr>
        <w:trPr>
          <w:trHeight w:val="500"/>
        </w:trPr>
        <w:tc>
          <w:tcPr>
            <w:tcW w:w="600" w:type="dxa"/>
            <w:vAlign w:val="bottom"/>
          </w:tcPr>
          <w:p>
            <w:pPr>
              <w:spacing w:after="0"/>
              <w:rPr>
                <w:sz w:val="24"/>
                <w:szCs w:val="24"/>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253</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218</w:t>
            </w:r>
          </w:p>
        </w:tc>
      </w:tr>
      <w:tr>
        <w:trPr>
          <w:trHeight w:val="540"/>
        </w:trPr>
        <w:tc>
          <w:tcPr>
            <w:tcW w:w="600" w:type="dxa"/>
            <w:vAlign w:val="bottom"/>
          </w:tcPr>
          <w:p>
            <w:pPr>
              <w:spacing w:after="0"/>
              <w:rPr>
                <w:sz w:val="24"/>
                <w:szCs w:val="24"/>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203</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194</w:t>
            </w:r>
          </w:p>
        </w:tc>
      </w:tr>
      <w:tr>
        <w:trPr>
          <w:trHeight w:val="270"/>
        </w:trPr>
        <w:tc>
          <w:tcPr>
            <w:tcW w:w="60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23</w:t>
            </w:r>
          </w:p>
        </w:tc>
      </w:tr>
      <w:tr>
        <w:trPr>
          <w:trHeight w:val="270"/>
        </w:trPr>
        <w:tc>
          <w:tcPr>
            <w:tcW w:w="60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18</w:t>
            </w:r>
          </w:p>
        </w:tc>
      </w:tr>
      <w:tr>
        <w:trPr>
          <w:trHeight w:val="270"/>
        </w:trPr>
        <w:tc>
          <w:tcPr>
            <w:tcW w:w="60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68</w:t>
            </w:r>
          </w:p>
        </w:tc>
      </w:tr>
      <w:tr>
        <w:trPr>
          <w:trHeight w:val="277"/>
        </w:trPr>
        <w:tc>
          <w:tcPr>
            <w:tcW w:w="6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r>
      <w:tr>
        <w:trPr>
          <w:trHeight w:val="250"/>
        </w:trPr>
        <w:tc>
          <w:tcPr>
            <w:tcW w:w="6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838</w:t>
            </w:r>
          </w:p>
        </w:tc>
        <w:tc>
          <w:tcPr>
            <w:tcW w:w="100" w:type="dxa"/>
            <w:vAlign w:val="bottom"/>
          </w:tcPr>
          <w:p>
            <w:pPr>
              <w:spacing w:after="0"/>
              <w:rPr>
                <w:sz w:val="21"/>
                <w:szCs w:val="21"/>
                <w:color w:val="auto"/>
              </w:rPr>
            </w:pPr>
          </w:p>
        </w:tc>
        <w:tc>
          <w:tcPr>
            <w:tcW w:w="6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903</w:t>
            </w:r>
          </w:p>
        </w:tc>
      </w:tr>
      <w:tr>
        <w:trPr>
          <w:trHeight w:val="20"/>
        </w:trPr>
        <w:tc>
          <w:tcPr>
            <w:tcW w:w="6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111" w:lineRule="exact"/>
        <w:rPr>
          <w:sz w:val="20"/>
          <w:szCs w:val="20"/>
          <w:color w:val="auto"/>
        </w:rPr>
      </w:pPr>
    </w:p>
    <w:p>
      <w:pPr>
        <w:sectPr>
          <w:pgSz w:w="11900" w:h="16838" w:orient="portrait"/>
          <w:cols w:equalWidth="0" w:num="2">
            <w:col w:w="8160" w:space="160"/>
            <w:col w:w="3100"/>
          </w:cols>
          <w:pgMar w:left="240" w:top="140" w:right="239" w:bottom="1440" w:gutter="0" w:footer="0" w:header="0"/>
          <w:type w:val="continuous"/>
        </w:sectPr>
      </w:pPr>
    </w:p>
    <w:tbl>
      <w:tblPr>
        <w:tblLayout w:type="fixed"/>
        <w:tblInd w:w="0" w:type="dxa"/>
        <w:tblCellMar>
          <w:top w:w="0" w:type="dxa"/>
          <w:left w:w="0" w:type="dxa"/>
          <w:bottom w:w="0" w:type="dxa"/>
          <w:right w:w="0" w:type="dxa"/>
        </w:tblCellMar>
      </w:tblPr>
      <w:tr>
        <w:trPr>
          <w:trHeight w:val="239"/>
        </w:trPr>
        <w:tc>
          <w:tcPr>
            <w:tcW w:w="7280" w:type="dxa"/>
            <w:vAlign w:val="bottom"/>
          </w:tcPr>
          <w:p>
            <w:pPr>
              <w:spacing w:after="0"/>
              <w:rPr>
                <w:sz w:val="20"/>
                <w:szCs w:val="20"/>
                <w:color w:val="auto"/>
              </w:rPr>
            </w:pPr>
            <w:r>
              <w:rPr>
                <w:rFonts w:ascii="Arial" w:cs="Arial" w:eastAsia="Arial" w:hAnsi="Arial"/>
                <w:sz w:val="18"/>
                <w:szCs w:val="18"/>
                <w:b w:val="1"/>
                <w:bCs w:val="1"/>
                <w:i w:val="1"/>
                <w:iCs w:val="1"/>
                <w:color w:val="auto"/>
              </w:rPr>
              <w:t>Americas</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399"/>
        </w:trPr>
        <w:tc>
          <w:tcPr>
            <w:tcW w:w="72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4"/>
                <w:szCs w:val="24"/>
                <w:color w:val="auto"/>
              </w:rPr>
            </w:pPr>
          </w:p>
        </w:tc>
        <w:tc>
          <w:tcPr>
            <w:tcW w:w="14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 Change</w:t>
            </w:r>
          </w:p>
        </w:tc>
      </w:tr>
      <w:tr>
        <w:trPr>
          <w:trHeight w:val="243"/>
        </w:trPr>
        <w:tc>
          <w:tcPr>
            <w:tcW w:w="7280" w:type="dxa"/>
            <w:vAlign w:val="bottom"/>
          </w:tcPr>
          <w:p>
            <w:pPr>
              <w:ind w:left="40"/>
              <w:spacing w:after="0"/>
              <w:rPr>
                <w:sz w:val="20"/>
                <w:szCs w:val="20"/>
                <w:color w:val="auto"/>
              </w:rPr>
            </w:pPr>
            <w:r>
              <w:rPr>
                <w:rFonts w:ascii="Arial" w:cs="Arial" w:eastAsia="Arial" w:hAnsi="Arial"/>
                <w:sz w:val="18"/>
                <w:szCs w:val="18"/>
                <w:color w:val="auto"/>
              </w:rPr>
              <w:t>Revenue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6,121</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6,069</w:t>
            </w:r>
          </w:p>
        </w:tc>
        <w:tc>
          <w:tcPr>
            <w:tcW w:w="1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w:t>
            </w:r>
          </w:p>
        </w:tc>
      </w:tr>
      <w:tr>
        <w:trPr>
          <w:trHeight w:val="270"/>
        </w:trPr>
        <w:tc>
          <w:tcPr>
            <w:tcW w:w="7280" w:type="dxa"/>
            <w:vAlign w:val="bottom"/>
          </w:tcPr>
          <w:p>
            <w:pPr>
              <w:ind w:left="40"/>
              <w:spacing w:after="0"/>
              <w:rPr>
                <w:sz w:val="20"/>
                <w:szCs w:val="20"/>
                <w:color w:val="auto"/>
              </w:rPr>
            </w:pPr>
            <w:r>
              <w:rPr>
                <w:rFonts w:ascii="Arial" w:cs="Arial" w:eastAsia="Arial" w:hAnsi="Arial"/>
                <w:sz w:val="18"/>
                <w:szCs w:val="18"/>
                <w:color w:val="auto"/>
              </w:rPr>
              <w:t>Adjusted EBITDA</w:t>
            </w: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633</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682</w:t>
            </w:r>
          </w:p>
        </w:tc>
        <w:tc>
          <w:tcPr>
            <w:tcW w:w="10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w:t>
            </w:r>
          </w:p>
        </w:tc>
      </w:tr>
    </w:tbl>
    <w:p>
      <w:pPr>
        <w:spacing w:after="0" w:line="175" w:lineRule="exact"/>
        <w:rPr>
          <w:sz w:val="20"/>
          <w:szCs w:val="20"/>
          <w:color w:val="auto"/>
        </w:rPr>
      </w:pPr>
    </w:p>
    <w:p>
      <w:pPr>
        <w:ind w:right="260"/>
        <w:spacing w:after="0" w:line="262" w:lineRule="auto"/>
        <w:rPr>
          <w:sz w:val="20"/>
          <w:szCs w:val="20"/>
          <w:color w:val="auto"/>
        </w:rPr>
      </w:pPr>
      <w:r>
        <w:rPr>
          <w:rFonts w:ascii="Arial" w:cs="Arial" w:eastAsia="Arial" w:hAnsi="Arial"/>
          <w:sz w:val="18"/>
          <w:szCs w:val="18"/>
          <w:color w:val="auto"/>
        </w:rPr>
        <w:t>Revenues increased 1% in 2016 compared with 2015, primarily due to 1% growth in rental volumes, partially offset by a $15 million negative impact from currency exchange rate movements. Time &amp; mileage revenue per day was essentially unchanged year-over-year.</w:t>
      </w:r>
    </w:p>
    <w:p>
      <w:pPr>
        <w:spacing w:after="0" w:line="196" w:lineRule="exact"/>
        <w:rPr>
          <w:sz w:val="20"/>
          <w:szCs w:val="20"/>
          <w:color w:val="auto"/>
        </w:rPr>
      </w:pPr>
    </w:p>
    <w:p>
      <w:pPr>
        <w:ind w:right="520"/>
        <w:spacing w:after="0" w:line="262" w:lineRule="auto"/>
        <w:rPr>
          <w:sz w:val="20"/>
          <w:szCs w:val="20"/>
          <w:color w:val="auto"/>
        </w:rPr>
      </w:pPr>
      <w:r>
        <w:rPr>
          <w:rFonts w:ascii="Arial" w:cs="Arial" w:eastAsia="Arial" w:hAnsi="Arial"/>
          <w:sz w:val="18"/>
          <w:szCs w:val="18"/>
          <w:color w:val="auto"/>
        </w:rPr>
        <w:t>Adjusted EBITDA decreased 7% in 2016 compared with 2015, primarily due to a 5% increase in per-unit fleet costs and a $5 million (1%) negative impact from currency exchange rate changes, partially offset by increased rental volumes.</w:t>
      </w:r>
    </w:p>
    <w:p>
      <w:pPr>
        <w:sectPr>
          <w:pgSz w:w="11900" w:h="16838" w:orient="portrait"/>
          <w:cols w:equalWidth="0" w:num="1">
            <w:col w:w="11420"/>
          </w:cols>
          <w:pgMar w:left="240" w:top="140" w:right="239" w:bottom="1440" w:gutter="0" w:footer="0" w:header="0"/>
          <w:type w:val="continuous"/>
        </w:sect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50</w:t>
      </w:r>
    </w:p>
    <w:p>
      <w:pPr>
        <w:sectPr>
          <w:pgSz w:w="11900" w:h="16838" w:orient="portrait"/>
          <w:cols w:equalWidth="0" w:num="1">
            <w:col w:w="11420"/>
          </w:cols>
          <w:pgMar w:left="240" w:top="140" w:right="239" w:bottom="1440" w:gutter="0" w:footer="0" w:header="0"/>
          <w:type w:val="continuous"/>
        </w:sectPr>
      </w:pPr>
    </w:p>
    <w:bookmarkStart w:id="52" w:name="page53"/>
    <w:bookmarkEnd w:id="5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In the year ended December 31, 2016:</w:t>
      </w:r>
    </w:p>
    <w:p>
      <w:pPr>
        <w:spacing w:after="0" w:line="225" w:lineRule="exact"/>
        <w:rPr>
          <w:sz w:val="20"/>
          <w:szCs w:val="20"/>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Operating expenses increased to 49.6% of revenue compared to 49.3% in 2015.</w:t>
      </w:r>
    </w:p>
    <w:p>
      <w:pPr>
        <w:spacing w:after="0" w:line="225" w:lineRule="exact"/>
        <w:rPr>
          <w:rFonts w:ascii="Arial" w:cs="Arial" w:eastAsia="Arial" w:hAnsi="Arial"/>
          <w:sz w:val="18"/>
          <w:szCs w:val="18"/>
          <w:color w:val="auto"/>
        </w:rPr>
      </w:pPr>
    </w:p>
    <w:p>
      <w:pPr>
        <w:ind w:left="660" w:right="480" w:hanging="328"/>
        <w:spacing w:after="0" w:line="262"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Vehicle depreciation and lease charges increased to 25.5% of revenue from 24.3% in 2015, principally due to higher per-unit fleet costs.</w:t>
      </w:r>
    </w:p>
    <w:p>
      <w:pPr>
        <w:spacing w:after="0" w:line="196"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Selling, general and administrative costs were 11.3% of revenue compared to 11.2% in the prior year.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Vehicle interest costs were 3.7% of revenue compared to 3.9% in the prior year.</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280" w:type="dxa"/>
            <w:vAlign w:val="bottom"/>
          </w:tcPr>
          <w:p>
            <w:pPr>
              <w:spacing w:after="0"/>
              <w:rPr>
                <w:sz w:val="20"/>
                <w:szCs w:val="20"/>
                <w:color w:val="auto"/>
              </w:rPr>
            </w:pPr>
            <w:r>
              <w:rPr>
                <w:rFonts w:ascii="Arial" w:cs="Arial" w:eastAsia="Arial" w:hAnsi="Arial"/>
                <w:sz w:val="18"/>
                <w:szCs w:val="18"/>
                <w:b w:val="1"/>
                <w:bCs w:val="1"/>
                <w:i w:val="1"/>
                <w:iCs w:val="1"/>
                <w:color w:val="auto"/>
              </w:rPr>
              <w:t>International</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399"/>
        </w:trPr>
        <w:tc>
          <w:tcPr>
            <w:tcW w:w="72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4"/>
                <w:szCs w:val="24"/>
                <w:color w:val="auto"/>
              </w:rPr>
            </w:pPr>
          </w:p>
        </w:tc>
        <w:tc>
          <w:tcPr>
            <w:tcW w:w="14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 Change</w:t>
            </w:r>
          </w:p>
        </w:tc>
      </w:tr>
      <w:tr>
        <w:trPr>
          <w:trHeight w:val="243"/>
        </w:trPr>
        <w:tc>
          <w:tcPr>
            <w:tcW w:w="7280" w:type="dxa"/>
            <w:vAlign w:val="bottom"/>
          </w:tcPr>
          <w:p>
            <w:pPr>
              <w:ind w:left="40"/>
              <w:spacing w:after="0"/>
              <w:rPr>
                <w:sz w:val="20"/>
                <w:szCs w:val="20"/>
                <w:color w:val="auto"/>
              </w:rPr>
            </w:pPr>
            <w:r>
              <w:rPr>
                <w:rFonts w:ascii="Arial" w:cs="Arial" w:eastAsia="Arial" w:hAnsi="Arial"/>
                <w:sz w:val="18"/>
                <w:szCs w:val="18"/>
                <w:color w:val="auto"/>
              </w:rPr>
              <w:t>Revenue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2,538</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2,433</w:t>
            </w:r>
          </w:p>
        </w:tc>
        <w:tc>
          <w:tcPr>
            <w:tcW w:w="1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4%</w:t>
            </w:r>
          </w:p>
        </w:tc>
      </w:tr>
      <w:tr>
        <w:trPr>
          <w:trHeight w:val="270"/>
        </w:trPr>
        <w:tc>
          <w:tcPr>
            <w:tcW w:w="7280" w:type="dxa"/>
            <w:vAlign w:val="bottom"/>
          </w:tcPr>
          <w:p>
            <w:pPr>
              <w:ind w:left="40"/>
              <w:spacing w:after="0"/>
              <w:rPr>
                <w:sz w:val="20"/>
                <w:szCs w:val="20"/>
                <w:color w:val="auto"/>
              </w:rPr>
            </w:pPr>
            <w:r>
              <w:rPr>
                <w:rFonts w:ascii="Arial" w:cs="Arial" w:eastAsia="Arial" w:hAnsi="Arial"/>
                <w:sz w:val="18"/>
                <w:szCs w:val="18"/>
                <w:color w:val="auto"/>
              </w:rPr>
              <w:t>Adjusted EBITDA</w:t>
            </w: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273</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277</w:t>
            </w:r>
          </w:p>
        </w:tc>
        <w:tc>
          <w:tcPr>
            <w:tcW w:w="10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w:t>
            </w:r>
          </w:p>
        </w:tc>
      </w:tr>
    </w:tbl>
    <w:p>
      <w:pPr>
        <w:spacing w:after="0" w:line="175"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Revenues increased 4% during 2016 compared with 2015, primarily due to an 8% increase in rental volumes, partially offset by a 5% decrease in time &amp; mileage revenue per day (including a 2% negative impact from currency exchange rate changes). Currency movements negatively impacted revenues by $46 million (2%) year-over-year.</w:t>
      </w:r>
    </w:p>
    <w:p>
      <w:pPr>
        <w:spacing w:after="0" w:line="202" w:lineRule="exact"/>
        <w:rPr>
          <w:sz w:val="20"/>
          <w:szCs w:val="20"/>
          <w:color w:val="auto"/>
        </w:rPr>
      </w:pPr>
    </w:p>
    <w:p>
      <w:pPr>
        <w:ind w:right="160"/>
        <w:spacing w:after="0" w:line="291" w:lineRule="auto"/>
        <w:rPr>
          <w:sz w:val="20"/>
          <w:szCs w:val="20"/>
          <w:color w:val="auto"/>
        </w:rPr>
      </w:pPr>
      <w:r>
        <w:rPr>
          <w:rFonts w:ascii="Arial" w:cs="Arial" w:eastAsia="Arial" w:hAnsi="Arial"/>
          <w:sz w:val="17"/>
          <w:szCs w:val="17"/>
          <w:color w:val="auto"/>
        </w:rPr>
        <w:t>Adjusted EBITDA declined 1% in 2016 compared with 2015, due to lower time &amp; mileage revenue per day, a $23 million (8%) negative impact from currency exchange rate changes and increased marketing costs and commissions, partially offset by an increase in rental volumes.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In the year ended December 31, 2016:</w:t>
      </w:r>
    </w:p>
    <w:p>
      <w:pPr>
        <w:spacing w:after="0" w:line="225" w:lineRule="exact"/>
        <w:rPr>
          <w:sz w:val="20"/>
          <w:szCs w:val="20"/>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Operating expenses were 52.6% of revenue compared to 52.7% in 2015.</w:t>
      </w:r>
    </w:p>
    <w:p>
      <w:pPr>
        <w:spacing w:after="0" w:line="225" w:lineRule="exact"/>
        <w:rPr>
          <w:rFonts w:ascii="Arial" w:cs="Arial" w:eastAsia="Arial" w:hAnsi="Arial"/>
          <w:sz w:val="18"/>
          <w:szCs w:val="18"/>
          <w:color w:val="auto"/>
        </w:rPr>
      </w:pPr>
    </w:p>
    <w:p>
      <w:pPr>
        <w:ind w:left="660" w:right="500" w:hanging="328"/>
        <w:spacing w:after="0" w:line="256"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Vehicle depreciation and lease charges increased to 19.2% of revenue from 18.7% in the prior year, primarily due to lower time &amp; mileage revenue per day, partially offset by a 1% decrease in per-unit fleet costs (including a 2% favorable impact from currency exchange rate changes).</w:t>
      </w:r>
    </w:p>
    <w:p>
      <w:pPr>
        <w:spacing w:after="0" w:line="201"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Selling, general and administrative costs were 15.1% of revenue compared to 14.9% in the prior year.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Vehicle interest costs were 2.3% of revenue compared to 2.2% in the prior year.</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420" w:type="dxa"/>
            <w:vAlign w:val="bottom"/>
          </w:tcPr>
          <w:p>
            <w:pPr>
              <w:spacing w:after="0"/>
              <w:rPr>
                <w:sz w:val="20"/>
                <w:szCs w:val="20"/>
                <w:color w:val="auto"/>
              </w:rPr>
            </w:pPr>
            <w:r>
              <w:rPr>
                <w:rFonts w:ascii="Arial" w:cs="Arial" w:eastAsia="Arial" w:hAnsi="Arial"/>
                <w:sz w:val="18"/>
                <w:szCs w:val="18"/>
                <w:b w:val="1"/>
                <w:bCs w:val="1"/>
                <w:i w:val="1"/>
                <w:iCs w:val="1"/>
                <w:color w:val="auto"/>
              </w:rPr>
              <w:t>Corporate and Other</w:t>
            </w:r>
          </w:p>
        </w:tc>
        <w:tc>
          <w:tcPr>
            <w:tcW w:w="8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399"/>
        </w:trPr>
        <w:tc>
          <w:tcPr>
            <w:tcW w:w="7420" w:type="dxa"/>
            <w:vAlign w:val="bottom"/>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2016</w:t>
            </w:r>
          </w:p>
        </w:tc>
        <w:tc>
          <w:tcPr>
            <w:tcW w:w="4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4"/>
                <w:szCs w:val="24"/>
                <w:color w:val="auto"/>
              </w:rPr>
            </w:pPr>
          </w:p>
        </w:tc>
        <w:tc>
          <w:tcPr>
            <w:tcW w:w="12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 Change</w:t>
            </w:r>
          </w:p>
        </w:tc>
      </w:tr>
      <w:tr>
        <w:trPr>
          <w:trHeight w:val="243"/>
        </w:trPr>
        <w:tc>
          <w:tcPr>
            <w:tcW w:w="7420" w:type="dxa"/>
            <w:vAlign w:val="bottom"/>
          </w:tcPr>
          <w:p>
            <w:pPr>
              <w:ind w:left="40"/>
              <w:spacing w:after="0"/>
              <w:rPr>
                <w:sz w:val="20"/>
                <w:szCs w:val="20"/>
                <w:color w:val="auto"/>
              </w:rPr>
            </w:pPr>
            <w:r>
              <w:rPr>
                <w:rFonts w:ascii="Arial" w:cs="Arial" w:eastAsia="Arial" w:hAnsi="Arial"/>
                <w:sz w:val="18"/>
                <w:szCs w:val="18"/>
                <w:color w:val="auto"/>
              </w:rPr>
              <w:t>Revenue</w:t>
            </w:r>
          </w:p>
        </w:tc>
        <w:tc>
          <w:tcPr>
            <w:tcW w:w="880" w:type="dxa"/>
            <w:vAlign w:val="bottom"/>
          </w:tcPr>
          <w:p>
            <w:pPr>
              <w:jc w:val="right"/>
              <w:ind w:right="670"/>
              <w:spacing w:after="0"/>
              <w:rPr>
                <w:sz w:val="20"/>
                <w:szCs w:val="20"/>
                <w:color w:val="auto"/>
              </w:rPr>
            </w:pPr>
            <w:r>
              <w:rPr>
                <w:rFonts w:ascii="Arial" w:cs="Arial" w:eastAsia="Arial" w:hAnsi="Arial"/>
                <w:sz w:val="18"/>
                <w:szCs w:val="18"/>
                <w:color w:val="auto"/>
                <w:w w:val="99"/>
              </w:rPr>
              <w:t>$</w:t>
            </w:r>
          </w:p>
        </w:tc>
        <w:tc>
          <w:tcPr>
            <w:tcW w:w="780" w:type="dxa"/>
            <w:vAlign w:val="bottom"/>
            <w:gridSpan w:val="3"/>
          </w:tcPr>
          <w:p>
            <w:pPr>
              <w:ind w:left="100"/>
              <w:spacing w:after="0"/>
              <w:rPr>
                <w:sz w:val="20"/>
                <w:szCs w:val="20"/>
                <w:color w:val="auto"/>
              </w:rPr>
            </w:pPr>
            <w:r>
              <w:rPr>
                <w:rFonts w:ascii="Arial" w:cs="Arial" w:eastAsia="Arial" w:hAnsi="Arial"/>
                <w:sz w:val="18"/>
                <w:szCs w:val="18"/>
                <w:color w:val="auto"/>
              </w:rPr>
              <w:t>—   $</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70"/>
        </w:trPr>
        <w:tc>
          <w:tcPr>
            <w:tcW w:w="7420" w:type="dxa"/>
            <w:vAlign w:val="bottom"/>
          </w:tcPr>
          <w:p>
            <w:pPr>
              <w:ind w:left="40"/>
              <w:spacing w:after="0"/>
              <w:rPr>
                <w:sz w:val="20"/>
                <w:szCs w:val="20"/>
                <w:color w:val="auto"/>
              </w:rPr>
            </w:pPr>
            <w:r>
              <w:rPr>
                <w:rFonts w:ascii="Arial" w:cs="Arial" w:eastAsia="Arial" w:hAnsi="Arial"/>
                <w:sz w:val="18"/>
                <w:szCs w:val="18"/>
                <w:color w:val="auto"/>
              </w:rPr>
              <w:t>Adjusted EBITDA</w:t>
            </w:r>
          </w:p>
        </w:tc>
        <w:tc>
          <w:tcPr>
            <w:tcW w:w="880" w:type="dxa"/>
            <w:vAlign w:val="bottom"/>
          </w:tcPr>
          <w:p>
            <w:pPr>
              <w:spacing w:after="0"/>
              <w:rPr>
                <w:sz w:val="23"/>
                <w:szCs w:val="23"/>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99"/>
              </w:rPr>
              <w:t>(68)</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23"/>
                <w:szCs w:val="23"/>
                <w:color w:val="auto"/>
              </w:rPr>
            </w:pPr>
          </w:p>
        </w:tc>
        <w:tc>
          <w:tcPr>
            <w:tcW w:w="124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04"/>
        </w:trPr>
        <w:tc>
          <w:tcPr>
            <w:tcW w:w="7420" w:type="dxa"/>
            <w:vAlign w:val="bottom"/>
          </w:tcPr>
          <w:p>
            <w:pPr>
              <w:spacing w:after="0"/>
              <w:rPr>
                <w:sz w:val="20"/>
                <w:szCs w:val="20"/>
                <w:color w:val="auto"/>
              </w:rPr>
            </w:pPr>
            <w:r>
              <w:rPr>
                <w:rFonts w:ascii="Arial" w:cs="Arial" w:eastAsia="Arial" w:hAnsi="Arial"/>
                <w:sz w:val="16"/>
                <w:szCs w:val="16"/>
                <w:color w:val="auto"/>
              </w:rPr>
              <w:t>__________</w:t>
            </w:r>
          </w:p>
        </w:tc>
        <w:tc>
          <w:tcPr>
            <w:tcW w:w="8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195"/>
        </w:trPr>
        <w:tc>
          <w:tcPr>
            <w:tcW w:w="7420" w:type="dxa"/>
            <w:vAlign w:val="bottom"/>
          </w:tcPr>
          <w:p>
            <w:pPr>
              <w:spacing w:after="0"/>
              <w:rPr>
                <w:sz w:val="20"/>
                <w:szCs w:val="20"/>
                <w:color w:val="auto"/>
              </w:rPr>
            </w:pPr>
            <w:r>
              <w:rPr>
                <w:rFonts w:ascii="Arial" w:cs="Arial" w:eastAsia="Arial" w:hAnsi="Arial"/>
                <w:sz w:val="16"/>
                <w:szCs w:val="16"/>
                <w:color w:val="auto"/>
              </w:rPr>
              <w:t>*   Not meaningful</w:t>
            </w:r>
          </w:p>
        </w:tc>
        <w:tc>
          <w:tcPr>
            <w:tcW w:w="8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r>
    </w:tbl>
    <w:p>
      <w:pPr>
        <w:spacing w:after="0" w:line="208" w:lineRule="exact"/>
        <w:rPr>
          <w:sz w:val="20"/>
          <w:szCs w:val="20"/>
          <w:color w:val="auto"/>
        </w:rPr>
      </w:pPr>
    </w:p>
    <w:p>
      <w:pPr>
        <w:ind w:right="420"/>
        <w:spacing w:after="0" w:line="262" w:lineRule="auto"/>
        <w:rPr>
          <w:sz w:val="20"/>
          <w:szCs w:val="20"/>
          <w:color w:val="auto"/>
        </w:rPr>
      </w:pPr>
      <w:r>
        <w:rPr>
          <w:rFonts w:ascii="Arial" w:cs="Arial" w:eastAsia="Arial" w:hAnsi="Arial"/>
          <w:sz w:val="18"/>
          <w:szCs w:val="18"/>
          <w:color w:val="auto"/>
        </w:rPr>
        <w:t>Adjusted EBITDA decreased $12 million in 2016 compared with 2015, primarily due to higher selling, general and administrative expenses which are not attributable to a particular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210820</wp:posOffset>
            </wp:positionV>
            <wp:extent cx="7254875" cy="1803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4875" cy="180340"/>
                    </a:xfrm>
                    <a:prstGeom prst="rect">
                      <a:avLst/>
                    </a:prstGeom>
                    <a:noFill/>
                  </pic:spPr>
                </pic:pic>
              </a:graphicData>
            </a:graphic>
          </wp:anchor>
        </w:drawing>
      </w: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FINANCIAL CONDITION, LIQUIDITY AND CAPITAL RESOURCES</w:t>
      </w:r>
    </w:p>
    <w:p>
      <w:pPr>
        <w:spacing w:after="0" w:line="220"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We present separately the financial data of our vehicle programs. These programs are distinct from our other activities as the assets under vehicle programs are generally funded through the issuance of debt that is collateralized by such assets. The income generated by these assets is used, in part, to repay the principal and interest associated with the debt. Cash inflows and outflows relating to the generation or acquisition of such assets and the principal debt repayment or financing of such assets are classified as activities of our vehicle programs. We believe it is appropriate to segregate the financial data of our vehicle programs because, ultimately,</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40" w:right="239" w:bottom="1440" w:gutter="0" w:footer="0" w:header="0"/>
        </w:sectPr>
      </w:pPr>
    </w:p>
    <w:bookmarkStart w:id="53" w:name="page54"/>
    <w:bookmarkEnd w:id="53"/>
    <w:tbl>
      <w:tblPr>
        <w:tblLayout w:type="fixed"/>
        <w:tblInd w:w="0" w:type="dxa"/>
        <w:tblCellMar>
          <w:top w:w="0" w:type="dxa"/>
          <w:left w:w="0" w:type="dxa"/>
          <w:bottom w:w="0" w:type="dxa"/>
          <w:right w:w="0" w:type="dxa"/>
        </w:tblCellMar>
      </w:tblPr>
      <w:tr>
        <w:trPr>
          <w:trHeight w:val="207"/>
        </w:trPr>
        <w:tc>
          <w:tcPr>
            <w:tcW w:w="6740" w:type="dxa"/>
            <w:vAlign w:val="bottom"/>
            <w:gridSpan w:val="3"/>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
        </w:trPr>
        <w:tc>
          <w:tcPr>
            <w:tcW w:w="140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642"/>
        </w:trPr>
        <w:tc>
          <w:tcPr>
            <w:tcW w:w="6740" w:type="dxa"/>
            <w:vAlign w:val="bottom"/>
            <w:gridSpan w:val="3"/>
          </w:tcPr>
          <w:p>
            <w:pPr>
              <w:spacing w:after="0"/>
              <w:rPr>
                <w:sz w:val="20"/>
                <w:szCs w:val="20"/>
                <w:color w:val="auto"/>
              </w:rPr>
            </w:pPr>
            <w:r>
              <w:rPr>
                <w:rFonts w:ascii="Arial" w:cs="Arial" w:eastAsia="Arial" w:hAnsi="Arial"/>
                <w:sz w:val="18"/>
                <w:szCs w:val="18"/>
                <w:color w:val="auto"/>
              </w:rPr>
              <w:t>the source of repayment of such debt is the realization of such assets.</w:t>
            </w: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38"/>
        </w:trPr>
        <w:tc>
          <w:tcPr>
            <w:tcW w:w="6740" w:type="dxa"/>
            <w:vAlign w:val="bottom"/>
            <w:gridSpan w:val="3"/>
          </w:tcPr>
          <w:p>
            <w:pPr>
              <w:spacing w:after="0"/>
              <w:rPr>
                <w:sz w:val="20"/>
                <w:szCs w:val="20"/>
                <w:color w:val="auto"/>
              </w:rPr>
            </w:pPr>
            <w:r>
              <w:rPr>
                <w:rFonts w:ascii="Arial" w:cs="Arial" w:eastAsia="Arial" w:hAnsi="Arial"/>
                <w:sz w:val="18"/>
                <w:szCs w:val="18"/>
                <w:b w:val="1"/>
                <w:bCs w:val="1"/>
                <w:color w:val="auto"/>
              </w:rPr>
              <w:t>FINANCIAL CONDITION</w:t>
            </w: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635"/>
        </w:trPr>
        <w:tc>
          <w:tcPr>
            <w:tcW w:w="140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4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60" w:type="dxa"/>
            <w:vAlign w:val="bottom"/>
            <w:gridSpan w:val="5"/>
          </w:tcPr>
          <w:p>
            <w:pPr>
              <w:ind w:left="380"/>
              <w:spacing w:after="0"/>
              <w:rPr>
                <w:sz w:val="20"/>
                <w:szCs w:val="20"/>
                <w:color w:val="auto"/>
              </w:rPr>
            </w:pPr>
            <w:r>
              <w:rPr>
                <w:rFonts w:ascii="Arial" w:cs="Arial" w:eastAsia="Arial" w:hAnsi="Arial"/>
                <w:sz w:val="18"/>
                <w:szCs w:val="18"/>
                <w:b w:val="1"/>
                <w:bCs w:val="1"/>
                <w:color w:val="auto"/>
              </w:rPr>
              <w:t>As of December 31,</w:t>
            </w: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64"/>
        </w:trPr>
        <w:tc>
          <w:tcPr>
            <w:tcW w:w="14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700" w:type="dxa"/>
            <w:vAlign w:val="bottom"/>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top w:val="single" w:sz="8" w:color="auto"/>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Change</w:t>
            </w:r>
          </w:p>
        </w:tc>
      </w:tr>
      <w:tr>
        <w:trPr>
          <w:trHeight w:val="243"/>
        </w:trPr>
        <w:tc>
          <w:tcPr>
            <w:tcW w:w="6740" w:type="dxa"/>
            <w:vAlign w:val="bottom"/>
            <w:gridSpan w:val="3"/>
          </w:tcPr>
          <w:p>
            <w:pPr>
              <w:ind w:left="40"/>
              <w:spacing w:after="0"/>
              <w:rPr>
                <w:sz w:val="20"/>
                <w:szCs w:val="20"/>
                <w:color w:val="auto"/>
              </w:rPr>
            </w:pPr>
            <w:r>
              <w:rPr>
                <w:rFonts w:ascii="Arial" w:cs="Arial" w:eastAsia="Arial" w:hAnsi="Arial"/>
                <w:sz w:val="18"/>
                <w:szCs w:val="18"/>
                <w:color w:val="auto"/>
              </w:rPr>
              <w:t>Total assets exclusive of assets under vehicle programs</w:t>
            </w: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5,820</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6,065</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(245)</w:t>
            </w:r>
          </w:p>
        </w:tc>
      </w:tr>
      <w:tr>
        <w:trPr>
          <w:trHeight w:val="270"/>
        </w:trPr>
        <w:tc>
          <w:tcPr>
            <w:tcW w:w="6740" w:type="dxa"/>
            <w:vAlign w:val="bottom"/>
            <w:gridSpan w:val="3"/>
          </w:tcPr>
          <w:p>
            <w:pPr>
              <w:ind w:left="40"/>
              <w:spacing w:after="0"/>
              <w:rPr>
                <w:sz w:val="20"/>
                <w:szCs w:val="20"/>
                <w:color w:val="auto"/>
              </w:rPr>
            </w:pPr>
            <w:r>
              <w:rPr>
                <w:rFonts w:ascii="Arial" w:cs="Arial" w:eastAsia="Arial" w:hAnsi="Arial"/>
                <w:sz w:val="18"/>
                <w:szCs w:val="18"/>
                <w:color w:val="auto"/>
              </w:rPr>
              <w:t>Total liabilities exclusive of liabilities under vehicle programs</w:t>
            </w:r>
          </w:p>
        </w:tc>
        <w:tc>
          <w:tcPr>
            <w:tcW w:w="340" w:type="dxa"/>
            <w:vAlign w:val="bottom"/>
          </w:tcPr>
          <w:p>
            <w:pPr>
              <w:spacing w:after="0"/>
              <w:rPr>
                <w:sz w:val="23"/>
                <w:szCs w:val="23"/>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5,935</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5,775</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160</w:t>
            </w:r>
          </w:p>
        </w:tc>
      </w:tr>
      <w:tr>
        <w:trPr>
          <w:trHeight w:val="270"/>
        </w:trPr>
        <w:tc>
          <w:tcPr>
            <w:tcW w:w="6740" w:type="dxa"/>
            <w:vAlign w:val="bottom"/>
            <w:gridSpan w:val="3"/>
          </w:tcPr>
          <w:p>
            <w:pPr>
              <w:ind w:left="40"/>
              <w:spacing w:after="0"/>
              <w:rPr>
                <w:sz w:val="20"/>
                <w:szCs w:val="20"/>
                <w:color w:val="auto"/>
              </w:rPr>
            </w:pPr>
            <w:r>
              <w:rPr>
                <w:rFonts w:ascii="Arial" w:cs="Arial" w:eastAsia="Arial" w:hAnsi="Arial"/>
                <w:sz w:val="18"/>
                <w:szCs w:val="18"/>
                <w:color w:val="auto"/>
              </w:rPr>
              <w:t>Assets under vehicle programs</w:t>
            </w:r>
          </w:p>
        </w:tc>
        <w:tc>
          <w:tcPr>
            <w:tcW w:w="340" w:type="dxa"/>
            <w:vAlign w:val="bottom"/>
          </w:tcPr>
          <w:p>
            <w:pPr>
              <w:spacing w:after="0"/>
              <w:rPr>
                <w:sz w:val="23"/>
                <w:szCs w:val="23"/>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11,879</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11,578</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301</w:t>
            </w:r>
          </w:p>
        </w:tc>
      </w:tr>
      <w:tr>
        <w:trPr>
          <w:trHeight w:val="270"/>
        </w:trPr>
        <w:tc>
          <w:tcPr>
            <w:tcW w:w="6740" w:type="dxa"/>
            <w:vAlign w:val="bottom"/>
            <w:gridSpan w:val="3"/>
          </w:tcPr>
          <w:p>
            <w:pPr>
              <w:ind w:left="40"/>
              <w:spacing w:after="0"/>
              <w:rPr>
                <w:sz w:val="20"/>
                <w:szCs w:val="20"/>
                <w:color w:val="auto"/>
              </w:rPr>
            </w:pPr>
            <w:r>
              <w:rPr>
                <w:rFonts w:ascii="Arial" w:cs="Arial" w:eastAsia="Arial" w:hAnsi="Arial"/>
                <w:sz w:val="18"/>
                <w:szCs w:val="18"/>
                <w:color w:val="auto"/>
              </w:rPr>
              <w:t>Liabilities under vehicle programs</w:t>
            </w:r>
          </w:p>
        </w:tc>
        <w:tc>
          <w:tcPr>
            <w:tcW w:w="340" w:type="dxa"/>
            <w:vAlign w:val="bottom"/>
          </w:tcPr>
          <w:p>
            <w:pPr>
              <w:spacing w:after="0"/>
              <w:rPr>
                <w:sz w:val="23"/>
                <w:szCs w:val="23"/>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11,191</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11,647</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(456)</w:t>
            </w:r>
          </w:p>
        </w:tc>
      </w:tr>
      <w:tr>
        <w:trPr>
          <w:trHeight w:val="270"/>
        </w:trPr>
        <w:tc>
          <w:tcPr>
            <w:tcW w:w="6740" w:type="dxa"/>
            <w:vAlign w:val="bottom"/>
            <w:gridSpan w:val="3"/>
          </w:tcPr>
          <w:p>
            <w:pPr>
              <w:ind w:left="40"/>
              <w:spacing w:after="0"/>
              <w:rPr>
                <w:sz w:val="20"/>
                <w:szCs w:val="20"/>
                <w:color w:val="auto"/>
              </w:rPr>
            </w:pPr>
            <w:r>
              <w:rPr>
                <w:rFonts w:ascii="Arial" w:cs="Arial" w:eastAsia="Arial" w:hAnsi="Arial"/>
                <w:sz w:val="18"/>
                <w:szCs w:val="18"/>
                <w:color w:val="auto"/>
              </w:rPr>
              <w:t>Stockholders’ equity</w:t>
            </w:r>
          </w:p>
        </w:tc>
        <w:tc>
          <w:tcPr>
            <w:tcW w:w="340" w:type="dxa"/>
            <w:vAlign w:val="bottom"/>
          </w:tcPr>
          <w:p>
            <w:pPr>
              <w:spacing w:after="0"/>
              <w:rPr>
                <w:sz w:val="23"/>
                <w:szCs w:val="23"/>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573</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221</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352</w:t>
            </w:r>
          </w:p>
        </w:tc>
      </w:tr>
    </w:tbl>
    <w:p>
      <w:pPr>
        <w:spacing w:after="0" w:line="229"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Total assets exclusive of assets under vehicle programs decreased 4% compared to 2016 primarily due to a decrease in deferred income taxes associated with the Tax Act partially offset by an increase in cash and accounts receivable related to timing. See Note 8 to our Consolidated Financial Statements for details regarding the Tax Act. Total liabilities exclusive of liabilities under vehicle programs increased 3% compared to 2016 primarily due to an increase in other current liabilities. See Note 11 to our Consolidated Financial Statements for detail of our other current liabilities.</w:t>
      </w:r>
    </w:p>
    <w:p>
      <w:pPr>
        <w:spacing w:after="0" w:line="206"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Assets under vehicle programs increased 3% compared to 2016. Liabilities under vehicle programs decreased 4% compared to 2016 due to a decrease in deferred income taxes associated with the Tax Act partially offset by increased investment in our fleet. See Note 8 to our Consolidated Financial Statements for details regarding the Tax Act. See Note 13 to our Consolidated Financial Statements for the changes in our vehicle financing. The increase in stockholders’ equity is primarily due to our net income.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93" w:lineRule="exact"/>
        <w:rPr>
          <w:sz w:val="20"/>
          <w:szCs w:val="20"/>
          <w:color w:val="auto"/>
        </w:rPr>
      </w:pPr>
    </w:p>
    <w:p>
      <w:pPr>
        <w:ind w:right="560"/>
        <w:spacing w:after="0" w:line="262" w:lineRule="auto"/>
        <w:rPr>
          <w:sz w:val="20"/>
          <w:szCs w:val="20"/>
          <w:color w:val="auto"/>
        </w:rPr>
      </w:pPr>
      <w:r>
        <w:rPr>
          <w:rFonts w:ascii="Arial" w:cs="Arial" w:eastAsia="Arial" w:hAnsi="Arial"/>
          <w:sz w:val="18"/>
          <w:szCs w:val="18"/>
          <w:color w:val="auto"/>
        </w:rPr>
        <w:t>Our principal sources of liquidity are cash on hand and our ability to generate cash through operations and financing activities, as well as available funding arrangements and committed credit facilities, each of which is discussed below.</w:t>
      </w:r>
    </w:p>
    <w:p>
      <w:pPr>
        <w:spacing w:after="0" w:line="196"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During 2017, we issued €250 million of 4½% euro-denominated Senior Notes due 2025 at par. The proceeds from this borrowing were used to redeem all of our outstanding 6% euro-denominated Senior Notes due 2021 and a portion of our Floating Rate Senior Notes due 2017. We also increased our Floating Rate Term Loan borrowing by $188 million, these proceeds were used to repay the remainder of our outstanding Floating Rate Senior Notes due 2017. In addition, our Avis Budget Rental Car Funding subsidiary issued approximately $600 million in asset-backed notes with an expected final payment date of September 2022 and $500 million in asset-backed notes with an expected final payment date of December 2022. These borrowings had a weighted average interest rate of 3%. The proceeds from these borrowings were used to fund the repayment of maturing vehicle-backed debt and the acquisition of rental cars in the U.S. We also increased our capacity under our European rental fleet securitization program by €250 million, the proceeds of which were used to finance fleet purchases for certain of our European operations. In addition, we repurchased approximately 6.1 million shares of our outstanding common stock for approximately $200 million during 2017.</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108" w:right="239" w:bottom="1440" w:gutter="0" w:footer="0" w:header="0"/>
        </w:sectPr>
      </w:pPr>
    </w:p>
    <w:bookmarkStart w:id="54" w:name="page55"/>
    <w:bookmarkEnd w:id="54"/>
    <w:tbl>
      <w:tblPr>
        <w:tblLayout w:type="fixed"/>
        <w:tblInd w:w="0" w:type="dxa"/>
        <w:tblCellMar>
          <w:top w:w="0" w:type="dxa"/>
          <w:left w:w="0" w:type="dxa"/>
          <w:bottom w:w="0" w:type="dxa"/>
          <w:right w:w="0" w:type="dxa"/>
        </w:tblCellMar>
      </w:tblPr>
      <w:tr>
        <w:trPr>
          <w:trHeight w:val="207"/>
        </w:trPr>
        <w:tc>
          <w:tcPr>
            <w:tcW w:w="674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642"/>
        </w:trPr>
        <w:tc>
          <w:tcPr>
            <w:tcW w:w="1400" w:type="dxa"/>
            <w:vAlign w:val="bottom"/>
            <w:tcBorders>
              <w:top w:val="single" w:sz="8" w:color="0000EE"/>
            </w:tcBorders>
          </w:tcPr>
          <w:p>
            <w:pPr>
              <w:spacing w:after="0"/>
              <w:rPr>
                <w:sz w:val="20"/>
                <w:szCs w:val="20"/>
                <w:color w:val="auto"/>
              </w:rPr>
            </w:pPr>
            <w:r>
              <w:rPr>
                <w:rFonts w:ascii="Arial" w:cs="Arial" w:eastAsia="Arial" w:hAnsi="Arial"/>
                <w:sz w:val="18"/>
                <w:szCs w:val="18"/>
                <w:b w:val="1"/>
                <w:bCs w:val="1"/>
                <w:color w:val="auto"/>
              </w:rPr>
              <w:t>Cash Flows</w:t>
            </w:r>
          </w:p>
        </w:tc>
        <w:tc>
          <w:tcPr>
            <w:tcW w:w="5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78"/>
        </w:trPr>
        <w:tc>
          <w:tcPr>
            <w:tcW w:w="674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Year Ended December 31, 2017 vs. Year Ended December 31, 2016</w:t>
            </w: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78"/>
        </w:trPr>
        <w:tc>
          <w:tcPr>
            <w:tcW w:w="6740" w:type="dxa"/>
            <w:vAlign w:val="bottom"/>
            <w:gridSpan w:val="2"/>
          </w:tcPr>
          <w:p>
            <w:pPr>
              <w:spacing w:after="0"/>
              <w:rPr>
                <w:sz w:val="20"/>
                <w:szCs w:val="20"/>
                <w:color w:val="auto"/>
              </w:rPr>
            </w:pPr>
            <w:r>
              <w:rPr>
                <w:rFonts w:ascii="Arial" w:cs="Arial" w:eastAsia="Arial" w:hAnsi="Arial"/>
                <w:sz w:val="18"/>
                <w:szCs w:val="18"/>
                <w:color w:val="auto"/>
              </w:rPr>
              <w:t>The following table summarizes our cash flows:</w:t>
            </w: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99"/>
        </w:trPr>
        <w:tc>
          <w:tcPr>
            <w:tcW w:w="1400" w:type="dxa"/>
            <w:vAlign w:val="bottom"/>
          </w:tcPr>
          <w:p>
            <w:pPr>
              <w:spacing w:after="0"/>
              <w:rPr>
                <w:sz w:val="24"/>
                <w:szCs w:val="24"/>
                <w:color w:val="auto"/>
              </w:rPr>
            </w:pPr>
          </w:p>
        </w:tc>
        <w:tc>
          <w:tcPr>
            <w:tcW w:w="53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4"/>
          </w:tcPr>
          <w:p>
            <w:pPr>
              <w:jc w:val="right"/>
              <w:ind w:right="330"/>
              <w:spacing w:after="0"/>
              <w:rPr>
                <w:sz w:val="20"/>
                <w:szCs w:val="20"/>
                <w:color w:val="auto"/>
              </w:rPr>
            </w:pPr>
            <w:r>
              <w:rPr>
                <w:rFonts w:ascii="Arial" w:cs="Arial" w:eastAsia="Arial" w:hAnsi="Arial"/>
                <w:sz w:val="18"/>
                <w:szCs w:val="18"/>
                <w:b w:val="1"/>
                <w:bCs w:val="1"/>
                <w:color w:val="auto"/>
              </w:rPr>
              <w:t>Year Ended December 31,</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70"/>
        </w:trPr>
        <w:tc>
          <w:tcPr>
            <w:tcW w:w="1400" w:type="dxa"/>
            <w:vAlign w:val="bottom"/>
          </w:tcPr>
          <w:p>
            <w:pPr>
              <w:spacing w:after="0"/>
              <w:rPr>
                <w:sz w:val="23"/>
                <w:szCs w:val="23"/>
                <w:color w:val="auto"/>
              </w:rPr>
            </w:pPr>
          </w:p>
        </w:tc>
        <w:tc>
          <w:tcPr>
            <w:tcW w:w="53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00" w:type="dxa"/>
            <w:vAlign w:val="bottom"/>
          </w:tcPr>
          <w:p>
            <w:pPr>
              <w:jc w:val="right"/>
              <w:ind w:right="45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0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 xml:space="preserve">2016 </w:t>
            </w:r>
            <w:r>
              <w:rPr>
                <w:rFonts w:ascii="Arial" w:cs="Arial" w:eastAsia="Arial" w:hAnsi="Arial"/>
                <w:sz w:val="21"/>
                <w:szCs w:val="21"/>
                <w:b w:val="1"/>
                <w:bCs w:val="1"/>
                <w:color w:val="auto"/>
                <w:vertAlign w:val="superscript"/>
              </w:rPr>
              <w:t>(a)</w:t>
            </w:r>
          </w:p>
        </w:tc>
        <w:tc>
          <w:tcPr>
            <w:tcW w:w="260" w:type="dxa"/>
            <w:vAlign w:val="bottom"/>
          </w:tcPr>
          <w:p>
            <w:pPr>
              <w:spacing w:after="0"/>
              <w:rPr>
                <w:sz w:val="23"/>
                <w:szCs w:val="23"/>
                <w:color w:val="auto"/>
              </w:rPr>
            </w:pPr>
          </w:p>
        </w:tc>
        <w:tc>
          <w:tcPr>
            <w:tcW w:w="1220" w:type="dxa"/>
            <w:vAlign w:val="bottom"/>
          </w:tcPr>
          <w:p>
            <w:pPr>
              <w:jc w:val="right"/>
              <w:ind w:right="330"/>
              <w:spacing w:after="0"/>
              <w:rPr>
                <w:sz w:val="20"/>
                <w:szCs w:val="20"/>
                <w:color w:val="auto"/>
              </w:rPr>
            </w:pPr>
            <w:r>
              <w:rPr>
                <w:rFonts w:ascii="Arial" w:cs="Arial" w:eastAsia="Arial" w:hAnsi="Arial"/>
                <w:sz w:val="18"/>
                <w:szCs w:val="18"/>
                <w:b w:val="1"/>
                <w:bCs w:val="1"/>
                <w:color w:val="auto"/>
              </w:rPr>
              <w:t>Change</w:t>
            </w:r>
          </w:p>
        </w:tc>
      </w:tr>
      <w:tr>
        <w:trPr>
          <w:trHeight w:val="223"/>
        </w:trPr>
        <w:tc>
          <w:tcPr>
            <w:tcW w:w="6740" w:type="dxa"/>
            <w:vAlign w:val="bottom"/>
            <w:gridSpan w:val="2"/>
          </w:tcPr>
          <w:p>
            <w:pPr>
              <w:ind w:left="40"/>
              <w:spacing w:after="0"/>
              <w:rPr>
                <w:sz w:val="20"/>
                <w:szCs w:val="20"/>
                <w:color w:val="auto"/>
              </w:rPr>
            </w:pPr>
            <w:r>
              <w:rPr>
                <w:rFonts w:ascii="Arial" w:cs="Arial" w:eastAsia="Arial" w:hAnsi="Arial"/>
                <w:sz w:val="18"/>
                <w:szCs w:val="18"/>
                <w:color w:val="auto"/>
              </w:rPr>
              <w:t>Cash provided by (used in):</w:t>
            </w:r>
          </w:p>
        </w:tc>
        <w:tc>
          <w:tcPr>
            <w:tcW w:w="30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r>
      <w:tr>
        <w:trPr>
          <w:trHeight w:val="297"/>
        </w:trPr>
        <w:tc>
          <w:tcPr>
            <w:tcW w:w="6740" w:type="dxa"/>
            <w:vAlign w:val="bottom"/>
            <w:gridSpan w:val="2"/>
          </w:tcPr>
          <w:p>
            <w:pPr>
              <w:ind w:left="180"/>
              <w:spacing w:after="0"/>
              <w:rPr>
                <w:sz w:val="20"/>
                <w:szCs w:val="20"/>
                <w:color w:val="auto"/>
              </w:rPr>
            </w:pPr>
            <w:r>
              <w:rPr>
                <w:rFonts w:ascii="Arial" w:cs="Arial" w:eastAsia="Arial" w:hAnsi="Arial"/>
                <w:sz w:val="18"/>
                <w:szCs w:val="18"/>
                <w:color w:val="auto"/>
              </w:rPr>
              <w:t>Operating activities</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2,648</w:t>
            </w:r>
          </w:p>
        </w:tc>
        <w:tc>
          <w:tcPr>
            <w:tcW w:w="100" w:type="dxa"/>
            <w:vAlign w:val="bottom"/>
          </w:tcPr>
          <w:p>
            <w:pPr>
              <w:spacing w:after="0"/>
              <w:rPr>
                <w:sz w:val="24"/>
                <w:szCs w:val="24"/>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2,640</w:t>
            </w:r>
          </w:p>
        </w:tc>
        <w:tc>
          <w:tcPr>
            <w:tcW w:w="120" w:type="dxa"/>
            <w:vAlign w:val="bottom"/>
          </w:tcPr>
          <w:p>
            <w:pPr>
              <w:spacing w:after="0"/>
              <w:rPr>
                <w:sz w:val="24"/>
                <w:szCs w:val="24"/>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8</w:t>
            </w:r>
          </w:p>
        </w:tc>
      </w:tr>
      <w:tr>
        <w:trPr>
          <w:trHeight w:val="270"/>
        </w:trPr>
        <w:tc>
          <w:tcPr>
            <w:tcW w:w="6740" w:type="dxa"/>
            <w:vAlign w:val="bottom"/>
            <w:gridSpan w:val="2"/>
          </w:tcPr>
          <w:p>
            <w:pPr>
              <w:ind w:left="180"/>
              <w:spacing w:after="0"/>
              <w:rPr>
                <w:sz w:val="20"/>
                <w:szCs w:val="20"/>
                <w:color w:val="auto"/>
              </w:rPr>
            </w:pPr>
            <w:r>
              <w:rPr>
                <w:rFonts w:ascii="Arial" w:cs="Arial" w:eastAsia="Arial" w:hAnsi="Arial"/>
                <w:sz w:val="18"/>
                <w:szCs w:val="18"/>
                <w:color w:val="auto"/>
              </w:rPr>
              <w:t>Investing activities</w:t>
            </w:r>
          </w:p>
        </w:tc>
        <w:tc>
          <w:tcPr>
            <w:tcW w:w="30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(2,204)</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(2,182)</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70"/>
        </w:trPr>
        <w:tc>
          <w:tcPr>
            <w:tcW w:w="6740" w:type="dxa"/>
            <w:vAlign w:val="bottom"/>
            <w:gridSpan w:val="2"/>
          </w:tcPr>
          <w:p>
            <w:pPr>
              <w:ind w:left="180"/>
              <w:spacing w:after="0"/>
              <w:rPr>
                <w:sz w:val="20"/>
                <w:szCs w:val="20"/>
                <w:color w:val="auto"/>
              </w:rPr>
            </w:pPr>
            <w:r>
              <w:rPr>
                <w:rFonts w:ascii="Arial" w:cs="Arial" w:eastAsia="Arial" w:hAnsi="Arial"/>
                <w:sz w:val="18"/>
                <w:szCs w:val="18"/>
                <w:color w:val="auto"/>
              </w:rPr>
              <w:t>Financing activities</w:t>
            </w:r>
          </w:p>
        </w:tc>
        <w:tc>
          <w:tcPr>
            <w:tcW w:w="30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(308)</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(449)</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141</w:t>
            </w:r>
          </w:p>
        </w:tc>
      </w:tr>
      <w:tr>
        <w:trPr>
          <w:trHeight w:val="277"/>
        </w:trPr>
        <w:tc>
          <w:tcPr>
            <w:tcW w:w="6740" w:type="dxa"/>
            <w:vAlign w:val="bottom"/>
            <w:gridSpan w:val="2"/>
          </w:tcPr>
          <w:p>
            <w:pPr>
              <w:ind w:left="40"/>
              <w:spacing w:after="0"/>
              <w:rPr>
                <w:sz w:val="20"/>
                <w:szCs w:val="20"/>
                <w:color w:val="auto"/>
              </w:rPr>
            </w:pPr>
            <w:r>
              <w:rPr>
                <w:rFonts w:ascii="Arial" w:cs="Arial" w:eastAsia="Arial" w:hAnsi="Arial"/>
                <w:sz w:val="18"/>
                <w:szCs w:val="18"/>
                <w:color w:val="auto"/>
              </w:rPr>
              <w:t>Effects of exchange rate changes</w:t>
            </w:r>
          </w:p>
        </w:tc>
        <w:tc>
          <w:tcPr>
            <w:tcW w:w="3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51</w:t>
            </w:r>
          </w:p>
        </w:tc>
      </w:tr>
      <w:tr>
        <w:trPr>
          <w:trHeight w:val="243"/>
        </w:trPr>
        <w:tc>
          <w:tcPr>
            <w:tcW w:w="6740" w:type="dxa"/>
            <w:vAlign w:val="bottom"/>
            <w:gridSpan w:val="2"/>
          </w:tcPr>
          <w:p>
            <w:pPr>
              <w:ind w:left="40"/>
              <w:spacing w:after="0"/>
              <w:rPr>
                <w:sz w:val="20"/>
                <w:szCs w:val="20"/>
                <w:color w:val="auto"/>
              </w:rPr>
            </w:pPr>
            <w:r>
              <w:rPr>
                <w:rFonts w:ascii="Arial" w:cs="Arial" w:eastAsia="Arial" w:hAnsi="Arial"/>
                <w:sz w:val="18"/>
                <w:szCs w:val="18"/>
                <w:color w:val="auto"/>
              </w:rPr>
              <w:t>Net change in cash and cash equivalents, program and restricted cash</w:t>
            </w:r>
          </w:p>
        </w:tc>
        <w:tc>
          <w:tcPr>
            <w:tcW w:w="30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181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178</w:t>
            </w:r>
          </w:p>
        </w:tc>
      </w:tr>
      <w:tr>
        <w:trPr>
          <w:trHeight w:val="277"/>
        </w:trPr>
        <w:tc>
          <w:tcPr>
            <w:tcW w:w="6740" w:type="dxa"/>
            <w:vAlign w:val="bottom"/>
            <w:gridSpan w:val="2"/>
          </w:tcPr>
          <w:p>
            <w:pPr>
              <w:ind w:left="40"/>
              <w:spacing w:after="0"/>
              <w:rPr>
                <w:sz w:val="20"/>
                <w:szCs w:val="20"/>
                <w:color w:val="auto"/>
              </w:rPr>
            </w:pPr>
            <w:r>
              <w:rPr>
                <w:rFonts w:ascii="Arial" w:cs="Arial" w:eastAsia="Arial" w:hAnsi="Arial"/>
                <w:sz w:val="18"/>
                <w:szCs w:val="18"/>
                <w:b w:val="1"/>
                <w:bCs w:val="1"/>
                <w:color w:val="auto"/>
              </w:rPr>
              <w:t>Cash and cash equivalents, program and restricted cash, beginning of period</w:t>
            </w:r>
          </w:p>
        </w:tc>
        <w:tc>
          <w:tcPr>
            <w:tcW w:w="3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720</w:t>
            </w: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717</w:t>
            </w: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w:t>
            </w:r>
          </w:p>
        </w:tc>
      </w:tr>
      <w:tr>
        <w:trPr>
          <w:trHeight w:val="250"/>
        </w:trPr>
        <w:tc>
          <w:tcPr>
            <w:tcW w:w="6740" w:type="dxa"/>
            <w:vAlign w:val="bottom"/>
            <w:gridSpan w:val="2"/>
          </w:tcPr>
          <w:p>
            <w:pPr>
              <w:ind w:left="40"/>
              <w:spacing w:after="0"/>
              <w:rPr>
                <w:sz w:val="20"/>
                <w:szCs w:val="20"/>
                <w:color w:val="auto"/>
              </w:rPr>
            </w:pPr>
            <w:r>
              <w:rPr>
                <w:rFonts w:ascii="Arial" w:cs="Arial" w:eastAsia="Arial" w:hAnsi="Arial"/>
                <w:sz w:val="18"/>
                <w:szCs w:val="18"/>
                <w:b w:val="1"/>
                <w:bCs w:val="1"/>
                <w:color w:val="auto"/>
              </w:rPr>
              <w:t>Cash and cash equivalents, program and restricted cash, end of period</w:t>
            </w:r>
          </w:p>
        </w:tc>
        <w:tc>
          <w:tcPr>
            <w:tcW w:w="3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901</w:t>
            </w:r>
          </w:p>
        </w:tc>
        <w:tc>
          <w:tcPr>
            <w:tcW w:w="100" w:type="dxa"/>
            <w:vAlign w:val="bottom"/>
          </w:tcPr>
          <w:p>
            <w:pPr>
              <w:spacing w:after="0"/>
              <w:rPr>
                <w:sz w:val="21"/>
                <w:szCs w:val="21"/>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720</w:t>
            </w:r>
          </w:p>
        </w:tc>
        <w:tc>
          <w:tcPr>
            <w:tcW w:w="120" w:type="dxa"/>
            <w:vAlign w:val="bottom"/>
          </w:tcPr>
          <w:p>
            <w:pPr>
              <w:spacing w:after="0"/>
              <w:rPr>
                <w:sz w:val="21"/>
                <w:szCs w:val="21"/>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181</w:t>
            </w:r>
          </w:p>
        </w:tc>
      </w:tr>
      <w:tr>
        <w:trPr>
          <w:trHeight w:val="20"/>
        </w:trPr>
        <w:tc>
          <w:tcPr>
            <w:tcW w:w="140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59"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20" w:lineRule="exact"/>
        <w:rPr>
          <w:sz w:val="20"/>
          <w:szCs w:val="20"/>
          <w:color w:val="auto"/>
        </w:rPr>
      </w:pPr>
    </w:p>
    <w:p>
      <w:pPr>
        <w:ind w:left="340" w:hanging="332"/>
        <w:spacing w:after="0"/>
        <w:tabs>
          <w:tab w:leader="none" w:pos="340" w:val="left"/>
        </w:tabs>
        <w:numPr>
          <w:ilvl w:val="0"/>
          <w:numId w:val="47"/>
        </w:numPr>
        <w:rPr>
          <w:rFonts w:ascii="Arial" w:cs="Arial" w:eastAsia="Arial" w:hAnsi="Arial"/>
          <w:sz w:val="18"/>
          <w:szCs w:val="18"/>
          <w:color w:val="auto"/>
          <w:vertAlign w:val="superscript"/>
        </w:rPr>
      </w:pPr>
      <w:r>
        <w:rPr>
          <w:rFonts w:ascii="Arial" w:cs="Arial" w:eastAsia="Arial" w:hAnsi="Arial"/>
          <w:sz w:val="14"/>
          <w:szCs w:val="14"/>
          <w:color w:val="auto"/>
        </w:rPr>
        <w:t>See Note 2 to our Consolidated Financial Statements for the impact of adoption of ASU 2016-18 and ASU 2016-09.</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Cash provided by operating activities during 2017 was substantially unchanged compared with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Cash used in investing activities during 2017 was substantially unchanged compared with 2016.</w:t>
      </w:r>
    </w:p>
    <w:p>
      <w:pPr>
        <w:spacing w:after="0" w:line="225"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The decrease in cash used in financing activities during 2017 compared with 2016 primarily reflects a decrease in our repurchases of common stock.</w:t>
      </w:r>
    </w:p>
    <w:p>
      <w:pPr>
        <w:spacing w:after="0" w:line="142"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We anticipate that our non-vehicle property and equipment additions will be approximately $225 million in 2018. As of December 31, 2017, we had approximately $100 million of authorized share repurchase capacity. We currently anticipate that we will utilize most of such capacity to repurchase common stock in 2018.</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740" w:type="dxa"/>
            <w:vAlign w:val="bottom"/>
          </w:tcPr>
          <w:p>
            <w:pPr>
              <w:spacing w:after="0"/>
              <w:rPr>
                <w:sz w:val="20"/>
                <w:szCs w:val="20"/>
                <w:color w:val="auto"/>
              </w:rPr>
            </w:pPr>
            <w:r>
              <w:rPr>
                <w:rFonts w:ascii="Arial" w:cs="Arial" w:eastAsia="Arial" w:hAnsi="Arial"/>
                <w:sz w:val="18"/>
                <w:szCs w:val="18"/>
                <w:b w:val="1"/>
                <w:bCs w:val="1"/>
                <w:i w:val="1"/>
                <w:iCs w:val="1"/>
                <w:color w:val="auto"/>
              </w:rPr>
              <w:t>Year Ended December 31, 2016 vs. Year Ended December 31, 2015</w:t>
            </w:r>
          </w:p>
        </w:tc>
        <w:tc>
          <w:tcPr>
            <w:tcW w:w="3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378"/>
        </w:trPr>
        <w:tc>
          <w:tcPr>
            <w:tcW w:w="6740" w:type="dxa"/>
            <w:vAlign w:val="bottom"/>
          </w:tcPr>
          <w:p>
            <w:pPr>
              <w:spacing w:after="0"/>
              <w:rPr>
                <w:sz w:val="20"/>
                <w:szCs w:val="20"/>
                <w:color w:val="auto"/>
              </w:rPr>
            </w:pPr>
            <w:r>
              <w:rPr>
                <w:rFonts w:ascii="Arial" w:cs="Arial" w:eastAsia="Arial" w:hAnsi="Arial"/>
                <w:sz w:val="18"/>
                <w:szCs w:val="18"/>
                <w:color w:val="auto"/>
              </w:rPr>
              <w:t>The following table summarizes our cash flows:</w:t>
            </w: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99"/>
        </w:trPr>
        <w:tc>
          <w:tcPr>
            <w:tcW w:w="67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4"/>
          </w:tcPr>
          <w:p>
            <w:pPr>
              <w:ind w:left="160"/>
              <w:spacing w:after="0"/>
              <w:rPr>
                <w:sz w:val="20"/>
                <w:szCs w:val="20"/>
                <w:color w:val="auto"/>
              </w:rPr>
            </w:pPr>
            <w:r>
              <w:rPr>
                <w:rFonts w:ascii="Arial" w:cs="Arial" w:eastAsia="Arial" w:hAnsi="Arial"/>
                <w:sz w:val="18"/>
                <w:szCs w:val="18"/>
                <w:b w:val="1"/>
                <w:bCs w:val="1"/>
                <w:color w:val="auto"/>
              </w:rPr>
              <w:t>Year Ended December 31,</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70"/>
        </w:trPr>
        <w:tc>
          <w:tcPr>
            <w:tcW w:w="67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00" w:type="dxa"/>
            <w:vAlign w:val="bottom"/>
            <w:gridSpan w:val="2"/>
          </w:tcPr>
          <w:p>
            <w:pPr>
              <w:ind w:left="160"/>
              <w:spacing w:after="0"/>
              <w:rPr>
                <w:sz w:val="20"/>
                <w:szCs w:val="20"/>
                <w:color w:val="auto"/>
              </w:rPr>
            </w:pPr>
            <w:r>
              <w:rPr>
                <w:rFonts w:ascii="Arial" w:cs="Arial" w:eastAsia="Arial" w:hAnsi="Arial"/>
                <w:sz w:val="18"/>
                <w:szCs w:val="18"/>
                <w:b w:val="1"/>
                <w:bCs w:val="1"/>
                <w:color w:val="auto"/>
              </w:rPr>
              <w:t xml:space="preserve">2016 </w:t>
            </w:r>
            <w:r>
              <w:rPr>
                <w:rFonts w:ascii="Arial" w:cs="Arial" w:eastAsia="Arial" w:hAnsi="Arial"/>
                <w:sz w:val="21"/>
                <w:szCs w:val="21"/>
                <w:b w:val="1"/>
                <w:bCs w:val="1"/>
                <w:color w:val="auto"/>
                <w:vertAlign w:val="superscript"/>
              </w:rPr>
              <w:t>(a)</w:t>
            </w:r>
          </w:p>
        </w:tc>
        <w:tc>
          <w:tcPr>
            <w:tcW w:w="300" w:type="dxa"/>
            <w:vAlign w:val="bottom"/>
          </w:tcPr>
          <w:p>
            <w:pPr>
              <w:spacing w:after="0"/>
              <w:rPr>
                <w:sz w:val="23"/>
                <w:szCs w:val="23"/>
                <w:color w:val="auto"/>
              </w:rPr>
            </w:pPr>
          </w:p>
        </w:tc>
        <w:tc>
          <w:tcPr>
            <w:tcW w:w="1300" w:type="dxa"/>
            <w:vAlign w:val="bottom"/>
            <w:gridSpan w:val="2"/>
          </w:tcPr>
          <w:p>
            <w:pPr>
              <w:ind w:left="160"/>
              <w:spacing w:after="0"/>
              <w:rPr>
                <w:sz w:val="20"/>
                <w:szCs w:val="20"/>
                <w:color w:val="auto"/>
              </w:rPr>
            </w:pPr>
            <w:r>
              <w:rPr>
                <w:rFonts w:ascii="Arial" w:cs="Arial" w:eastAsia="Arial" w:hAnsi="Arial"/>
                <w:sz w:val="18"/>
                <w:szCs w:val="18"/>
                <w:b w:val="1"/>
                <w:bCs w:val="1"/>
                <w:color w:val="auto"/>
              </w:rPr>
              <w:t xml:space="preserve">2015 </w:t>
            </w:r>
            <w:r>
              <w:rPr>
                <w:rFonts w:ascii="Arial" w:cs="Arial" w:eastAsia="Arial" w:hAnsi="Arial"/>
                <w:sz w:val="21"/>
                <w:szCs w:val="21"/>
                <w:b w:val="1"/>
                <w:bCs w:val="1"/>
                <w:color w:val="auto"/>
                <w:vertAlign w:val="superscript"/>
              </w:rPr>
              <w:t>(a)</w:t>
            </w:r>
          </w:p>
        </w:tc>
        <w:tc>
          <w:tcPr>
            <w:tcW w:w="260" w:type="dxa"/>
            <w:vAlign w:val="bottom"/>
          </w:tcPr>
          <w:p>
            <w:pPr>
              <w:spacing w:after="0"/>
              <w:rPr>
                <w:sz w:val="23"/>
                <w:szCs w:val="23"/>
                <w:color w:val="auto"/>
              </w:rPr>
            </w:pPr>
          </w:p>
        </w:tc>
        <w:tc>
          <w:tcPr>
            <w:tcW w:w="1220" w:type="dxa"/>
            <w:vAlign w:val="bottom"/>
          </w:tcPr>
          <w:p>
            <w:pPr>
              <w:jc w:val="right"/>
              <w:ind w:right="330"/>
              <w:spacing w:after="0"/>
              <w:rPr>
                <w:sz w:val="20"/>
                <w:szCs w:val="20"/>
                <w:color w:val="auto"/>
              </w:rPr>
            </w:pPr>
            <w:r>
              <w:rPr>
                <w:rFonts w:ascii="Arial" w:cs="Arial" w:eastAsia="Arial" w:hAnsi="Arial"/>
                <w:sz w:val="18"/>
                <w:szCs w:val="18"/>
                <w:b w:val="1"/>
                <w:bCs w:val="1"/>
                <w:color w:val="auto"/>
              </w:rPr>
              <w:t>Change</w:t>
            </w:r>
          </w:p>
        </w:tc>
      </w:tr>
      <w:tr>
        <w:trPr>
          <w:trHeight w:val="223"/>
        </w:trPr>
        <w:tc>
          <w:tcPr>
            <w:tcW w:w="6740" w:type="dxa"/>
            <w:vAlign w:val="bottom"/>
          </w:tcPr>
          <w:p>
            <w:pPr>
              <w:ind w:left="40"/>
              <w:spacing w:after="0"/>
              <w:rPr>
                <w:sz w:val="20"/>
                <w:szCs w:val="20"/>
                <w:color w:val="auto"/>
              </w:rPr>
            </w:pPr>
            <w:r>
              <w:rPr>
                <w:rFonts w:ascii="Arial" w:cs="Arial" w:eastAsia="Arial" w:hAnsi="Arial"/>
                <w:sz w:val="18"/>
                <w:szCs w:val="18"/>
                <w:color w:val="auto"/>
              </w:rPr>
              <w:t>Cash provided by (used in):</w:t>
            </w:r>
          </w:p>
        </w:tc>
        <w:tc>
          <w:tcPr>
            <w:tcW w:w="30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r>
      <w:tr>
        <w:trPr>
          <w:trHeight w:val="297"/>
        </w:trPr>
        <w:tc>
          <w:tcPr>
            <w:tcW w:w="6740" w:type="dxa"/>
            <w:vAlign w:val="bottom"/>
          </w:tcPr>
          <w:p>
            <w:pPr>
              <w:ind w:left="180"/>
              <w:spacing w:after="0"/>
              <w:rPr>
                <w:sz w:val="20"/>
                <w:szCs w:val="20"/>
                <w:color w:val="auto"/>
              </w:rPr>
            </w:pPr>
            <w:r>
              <w:rPr>
                <w:rFonts w:ascii="Arial" w:cs="Arial" w:eastAsia="Arial" w:hAnsi="Arial"/>
                <w:sz w:val="18"/>
                <w:szCs w:val="18"/>
                <w:color w:val="auto"/>
              </w:rPr>
              <w:t>Operating activities</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2,640</w:t>
            </w:r>
          </w:p>
        </w:tc>
        <w:tc>
          <w:tcPr>
            <w:tcW w:w="100" w:type="dxa"/>
            <w:vAlign w:val="bottom"/>
          </w:tcPr>
          <w:p>
            <w:pPr>
              <w:spacing w:after="0"/>
              <w:rPr>
                <w:sz w:val="24"/>
                <w:szCs w:val="24"/>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2,627</w:t>
            </w:r>
          </w:p>
        </w:tc>
        <w:tc>
          <w:tcPr>
            <w:tcW w:w="120" w:type="dxa"/>
            <w:vAlign w:val="bottom"/>
          </w:tcPr>
          <w:p>
            <w:pPr>
              <w:spacing w:after="0"/>
              <w:rPr>
                <w:sz w:val="24"/>
                <w:szCs w:val="24"/>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13</w:t>
            </w:r>
          </w:p>
        </w:tc>
      </w:tr>
      <w:tr>
        <w:trPr>
          <w:trHeight w:val="270"/>
        </w:trPr>
        <w:tc>
          <w:tcPr>
            <w:tcW w:w="6740" w:type="dxa"/>
            <w:vAlign w:val="bottom"/>
          </w:tcPr>
          <w:p>
            <w:pPr>
              <w:ind w:left="180"/>
              <w:spacing w:after="0"/>
              <w:rPr>
                <w:sz w:val="20"/>
                <w:szCs w:val="20"/>
                <w:color w:val="auto"/>
              </w:rPr>
            </w:pPr>
            <w:r>
              <w:rPr>
                <w:rFonts w:ascii="Arial" w:cs="Arial" w:eastAsia="Arial" w:hAnsi="Arial"/>
                <w:sz w:val="18"/>
                <w:szCs w:val="18"/>
                <w:color w:val="auto"/>
              </w:rPr>
              <w:t>Investing activities</w:t>
            </w:r>
          </w:p>
        </w:tc>
        <w:tc>
          <w:tcPr>
            <w:tcW w:w="30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(2,182)</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(2,685)</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503</w:t>
            </w:r>
          </w:p>
        </w:tc>
      </w:tr>
      <w:tr>
        <w:trPr>
          <w:trHeight w:val="270"/>
        </w:trPr>
        <w:tc>
          <w:tcPr>
            <w:tcW w:w="6740" w:type="dxa"/>
            <w:vAlign w:val="bottom"/>
          </w:tcPr>
          <w:p>
            <w:pPr>
              <w:ind w:left="180"/>
              <w:spacing w:after="0"/>
              <w:rPr>
                <w:sz w:val="20"/>
                <w:szCs w:val="20"/>
                <w:color w:val="auto"/>
              </w:rPr>
            </w:pPr>
            <w:r>
              <w:rPr>
                <w:rFonts w:ascii="Arial" w:cs="Arial" w:eastAsia="Arial" w:hAnsi="Arial"/>
                <w:sz w:val="18"/>
                <w:szCs w:val="18"/>
                <w:color w:val="auto"/>
              </w:rPr>
              <w:t>Financing activities</w:t>
            </w:r>
          </w:p>
        </w:tc>
        <w:tc>
          <w:tcPr>
            <w:tcW w:w="30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(449)</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(521)</w:t>
            </w:r>
          </w:p>
        </w:tc>
      </w:tr>
      <w:tr>
        <w:trPr>
          <w:trHeight w:val="277"/>
        </w:trPr>
        <w:tc>
          <w:tcPr>
            <w:tcW w:w="6740" w:type="dxa"/>
            <w:vAlign w:val="bottom"/>
          </w:tcPr>
          <w:p>
            <w:pPr>
              <w:ind w:left="40"/>
              <w:spacing w:after="0"/>
              <w:rPr>
                <w:sz w:val="20"/>
                <w:szCs w:val="20"/>
                <w:color w:val="auto"/>
              </w:rPr>
            </w:pPr>
            <w:r>
              <w:rPr>
                <w:rFonts w:ascii="Arial" w:cs="Arial" w:eastAsia="Arial" w:hAnsi="Arial"/>
                <w:sz w:val="18"/>
                <w:szCs w:val="18"/>
                <w:color w:val="auto"/>
              </w:rPr>
              <w:t>Effects of exchange rate changes</w:t>
            </w:r>
          </w:p>
        </w:tc>
        <w:tc>
          <w:tcPr>
            <w:tcW w:w="3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44</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Net change in cash and cash equivalents, program and restricted cash</w:t>
            </w:r>
          </w:p>
        </w:tc>
        <w:tc>
          <w:tcPr>
            <w:tcW w:w="30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39</w:t>
            </w:r>
          </w:p>
        </w:tc>
      </w:tr>
      <w:tr>
        <w:trPr>
          <w:trHeight w:val="277"/>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Cash and cash equivalents, program and restricted cash, beginning of period</w:t>
            </w:r>
          </w:p>
        </w:tc>
        <w:tc>
          <w:tcPr>
            <w:tcW w:w="3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717</w:t>
            </w: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753</w:t>
            </w: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r>
      <w:tr>
        <w:trPr>
          <w:trHeight w:val="250"/>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Cash and cash equivalents, program and restricted cash, end of period</w:t>
            </w:r>
          </w:p>
        </w:tc>
        <w:tc>
          <w:tcPr>
            <w:tcW w:w="3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720</w:t>
            </w:r>
          </w:p>
        </w:tc>
        <w:tc>
          <w:tcPr>
            <w:tcW w:w="100" w:type="dxa"/>
            <w:vAlign w:val="bottom"/>
          </w:tcPr>
          <w:p>
            <w:pPr>
              <w:spacing w:after="0"/>
              <w:rPr>
                <w:sz w:val="21"/>
                <w:szCs w:val="21"/>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717</w:t>
            </w:r>
          </w:p>
        </w:tc>
        <w:tc>
          <w:tcPr>
            <w:tcW w:w="120" w:type="dxa"/>
            <w:vAlign w:val="bottom"/>
          </w:tcPr>
          <w:p>
            <w:pPr>
              <w:spacing w:after="0"/>
              <w:rPr>
                <w:sz w:val="21"/>
                <w:szCs w:val="21"/>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w:t>
            </w:r>
          </w:p>
        </w:tc>
      </w:tr>
      <w:tr>
        <w:trPr>
          <w:trHeight w:val="20"/>
        </w:trPr>
        <w:tc>
          <w:tcPr>
            <w:tcW w:w="67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59"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20" w:lineRule="exact"/>
        <w:rPr>
          <w:sz w:val="20"/>
          <w:szCs w:val="20"/>
          <w:color w:val="auto"/>
        </w:rPr>
      </w:pPr>
    </w:p>
    <w:p>
      <w:pPr>
        <w:ind w:left="340" w:hanging="332"/>
        <w:spacing w:after="0"/>
        <w:tabs>
          <w:tab w:leader="none" w:pos="340" w:val="left"/>
        </w:tabs>
        <w:numPr>
          <w:ilvl w:val="0"/>
          <w:numId w:val="48"/>
        </w:numPr>
        <w:rPr>
          <w:rFonts w:ascii="Arial" w:cs="Arial" w:eastAsia="Arial" w:hAnsi="Arial"/>
          <w:sz w:val="18"/>
          <w:szCs w:val="18"/>
          <w:color w:val="auto"/>
          <w:vertAlign w:val="superscript"/>
        </w:rPr>
      </w:pPr>
      <w:r>
        <w:rPr>
          <w:rFonts w:ascii="Arial" w:cs="Arial" w:eastAsia="Arial" w:hAnsi="Arial"/>
          <w:sz w:val="14"/>
          <w:szCs w:val="14"/>
          <w:color w:val="auto"/>
        </w:rPr>
        <w:t>See Note 2 to our Consolidated Financial Statements for the impact of adoption of ASU 2016-18 and ASU 2016-09.</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Cash provided by operating activities during 2016 was substantially unchanged compared with 2015.</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108" w:right="23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The decrease in cash used in investing activities during 2016 compared with 2015 is primarily due to a net decrease in investment in vehicles and reduced business acquisition activity.</w:t>
      </w:r>
    </w:p>
    <w:p>
      <w:pPr>
        <w:spacing w:after="0" w:line="196"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The increase in cash used in financing activities during 2016 compared with 2015 is primarily due to an increase in net payments under vehicle programs.</w:t>
      </w: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and Financing Arrangements</w:t>
      </w:r>
    </w:p>
    <w:p>
      <w:pPr>
        <w:spacing w:after="0" w:line="19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At December 31, 2017, we had approximately $12.8 billion of indebtedness (including corporate indebtedness of approximately $3.6 billion and debt under vehicle programs of approximately $9.2 billion). For detailed information regarding our debt and borrowing arrangements, see Notes 12 and 13 to our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54875" cy="1803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4875" cy="180340"/>
                    </a:xfrm>
                    <a:prstGeom prst="rect">
                      <a:avLst/>
                    </a:prstGeom>
                    <a:noFill/>
                  </pic:spPr>
                </pic:pic>
              </a:graphicData>
            </a:graphic>
          </wp:anchor>
        </w:drawing>
      </w:r>
    </w:p>
    <w:p>
      <w:pPr>
        <w:spacing w:after="0" w:line="119"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highlight w:val="lightGray"/>
        </w:rPr>
        <w:t>LIQUIDITY RISK</w:t>
      </w:r>
    </w:p>
    <w:p>
      <w:pPr>
        <w:spacing w:after="0" w:line="220" w:lineRule="exact"/>
        <w:rPr>
          <w:sz w:val="20"/>
          <w:szCs w:val="20"/>
          <w:color w:val="auto"/>
        </w:rPr>
      </w:pPr>
    </w:p>
    <w:p>
      <w:pPr>
        <w:jc w:val="both"/>
        <w:ind w:right="160"/>
        <w:spacing w:after="0" w:line="256" w:lineRule="auto"/>
        <w:rPr>
          <w:sz w:val="20"/>
          <w:szCs w:val="20"/>
          <w:color w:val="auto"/>
        </w:rPr>
      </w:pPr>
      <w:r>
        <w:rPr>
          <w:rFonts w:ascii="Arial" w:cs="Arial" w:eastAsia="Arial" w:hAnsi="Arial"/>
          <w:sz w:val="18"/>
          <w:szCs w:val="18"/>
          <w:color w:val="auto"/>
        </w:rPr>
        <w:t>Our primary liquidity needs include the procurement of rental vehicles to be used in our operations, servicing of corporate and vehicle-related debt and the payment of operating expenses. Our primary sources of funding are operating revenue, cash received upon the sale of vehicles, borrowings under our vehicle-backed borrowing arrangements and our senior revolving credit facility, and other financing activities.</w:t>
      </w:r>
    </w:p>
    <w:p>
      <w:pPr>
        <w:spacing w:after="0" w:line="148"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As a result of the Tax Act, we are subject to a one-time transition tax on cumulative earnings of foreign subsidiaries. We recorded a provisional charge for the one-time transition tax of $104 million in the fourth quarter of 2017. The Tax Act provides companies the ability to offset the one-time transition tax with available tax attributes or elect to pay the tax over an eight year period. Although the Tax Act generally eliminates U.S. federal income taxes on dividends from foreign subsidiaries effective for years beginning January 1, 2018, we continue to evaluate the expected manner of recovery to determine whether or not to continue to assert indefinite reinvestment on a part or all of our undistributed foreign earnings. This requires us to analyze our global working capital and cash requirements in light of the Tax Act and the potential tax liabilities attributable to a repatriation to the U.S., such as foreign withholding taxes and U.S. tax on currency transaction gains or losses. We did not provide for U.S. taxes related to our undistributed earnings of approximately $1.3 billion as of December 31, 2017. We will record the tax effects of any change in our assertion in the period that the analysis is complete.</w:t>
      </w:r>
    </w:p>
    <w:p>
      <w:pPr>
        <w:spacing w:after="0" w:line="159" w:lineRule="exact"/>
        <w:rPr>
          <w:sz w:val="20"/>
          <w:szCs w:val="20"/>
          <w:color w:val="auto"/>
        </w:rPr>
      </w:pPr>
    </w:p>
    <w:p>
      <w:pPr>
        <w:ind w:right="440"/>
        <w:spacing w:after="0" w:line="262" w:lineRule="auto"/>
        <w:rPr>
          <w:sz w:val="20"/>
          <w:szCs w:val="20"/>
          <w:color w:val="auto"/>
        </w:rPr>
      </w:pPr>
      <w:r>
        <w:rPr>
          <w:rFonts w:ascii="Arial" w:cs="Arial" w:eastAsia="Arial" w:hAnsi="Arial"/>
          <w:sz w:val="18"/>
          <w:szCs w:val="18"/>
          <w:color w:val="auto"/>
        </w:rPr>
        <w:t>As discussed above, as of December 31, 2017, we have cash and cash equivalents of $0.6 billion, available borrowing capacity under our committed credit facilities of $1.0 billion, and available capacity under our vehicle programs of approximately $4.1 billion.</w:t>
      </w:r>
    </w:p>
    <w:p>
      <w:pPr>
        <w:spacing w:after="0" w:line="142" w:lineRule="exact"/>
        <w:rPr>
          <w:sz w:val="20"/>
          <w:szCs w:val="20"/>
          <w:color w:val="auto"/>
        </w:rPr>
      </w:pPr>
    </w:p>
    <w:p>
      <w:pPr>
        <w:ind w:right="60"/>
        <w:spacing w:after="0" w:line="250" w:lineRule="auto"/>
        <w:rPr>
          <w:sz w:val="20"/>
          <w:szCs w:val="20"/>
          <w:color w:val="auto"/>
        </w:rPr>
      </w:pPr>
      <w:r>
        <w:rPr>
          <w:rFonts w:ascii="Arial" w:cs="Arial" w:eastAsia="Arial" w:hAnsi="Arial"/>
          <w:sz w:val="18"/>
          <w:szCs w:val="18"/>
          <w:color w:val="auto"/>
        </w:rPr>
        <w:t>Our liquidity position could be negatively affected by financial market disruptions or a downturn in the U.S. and worldwide economies, which may result in unfavorable conditions in the mobility industry, in the asset-backed financing market and in the credit markets, generally. We believe these factors have in the past affected and could in the future affect the debt ratings assigned to us by credit rating agencies and the cost of our borrowings. Additionally, a downturn in the worldwide economy or a disruption in the credit markets could impact our liquidity due to</w:t>
      </w:r>
    </w:p>
    <w:p>
      <w:pPr>
        <w:spacing w:after="0" w:line="2" w:lineRule="exact"/>
        <w:rPr>
          <w:sz w:val="20"/>
          <w:szCs w:val="20"/>
          <w:color w:val="auto"/>
        </w:rPr>
      </w:pPr>
    </w:p>
    <w:p>
      <w:pPr>
        <w:jc w:val="both"/>
        <w:ind w:right="60" w:firstLine="8"/>
        <w:spacing w:after="0" w:line="254" w:lineRule="auto"/>
        <w:tabs>
          <w:tab w:leader="none" w:pos="210" w:val="left"/>
        </w:tabs>
        <w:numPr>
          <w:ilvl w:val="0"/>
          <w:numId w:val="49"/>
        </w:numPr>
        <w:rPr>
          <w:rFonts w:ascii="Arial" w:cs="Arial" w:eastAsia="Arial" w:hAnsi="Arial"/>
          <w:sz w:val="18"/>
          <w:szCs w:val="18"/>
          <w:color w:val="auto"/>
        </w:rPr>
      </w:pPr>
      <w:r>
        <w:rPr>
          <w:rFonts w:ascii="Arial" w:cs="Arial" w:eastAsia="Arial" w:hAnsi="Arial"/>
          <w:sz w:val="18"/>
          <w:szCs w:val="18"/>
          <w:color w:val="auto"/>
        </w:rPr>
        <w:t>decreased demand and pricing for vehicles in the used vehicle market, (ii) increased costs associated with, and/or reduced capacity or increased collateral needs under, our financings, (iii) the adverse impact of vehicle manufacturers being unable or unwilling to honor their obligations to repurchase or guarantee the depreciation on the related program vehicles and (iv) disruption in our ability to obtain financing due to negative credit events specific to us or affecting the overall debt market (see Item 1A. Risk Factors for further discussion).</w:t>
      </w:r>
    </w:p>
    <w:p>
      <w:pPr>
        <w:spacing w:after="0" w:line="150" w:lineRule="exact"/>
        <w:rPr>
          <w:sz w:val="20"/>
          <w:szCs w:val="20"/>
          <w:color w:val="auto"/>
        </w:rPr>
      </w:pPr>
    </w:p>
    <w:p>
      <w:pPr>
        <w:ind w:right="360"/>
        <w:spacing w:after="0" w:line="256" w:lineRule="auto"/>
        <w:rPr>
          <w:sz w:val="20"/>
          <w:szCs w:val="20"/>
          <w:color w:val="auto"/>
        </w:rPr>
      </w:pPr>
      <w:r>
        <w:rPr>
          <w:rFonts w:ascii="Arial" w:cs="Arial" w:eastAsia="Arial" w:hAnsi="Arial"/>
          <w:sz w:val="18"/>
          <w:szCs w:val="18"/>
          <w:color w:val="auto"/>
        </w:rPr>
        <w:t>Our liquidity position could also be negatively impacted if we are unable to remain in compliance with the financial and other covenants associated with our senior revolving credit facility and other borrowings, including a maximum leverage ratio. As of December 31, 2017, we were in compliance with the financial covenants governing our indebtedness.</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00"/>
          </w:cols>
          <w:pgMar w:left="240" w:top="140" w:right="25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CONTRACTUAL OBLIGATIONS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principal future contractual obligations as of December 31, 2017:</w:t>
      </w:r>
    </w:p>
    <w:p>
      <w:pPr>
        <w:spacing w:after="0" w:line="181" w:lineRule="exact"/>
        <w:rPr>
          <w:sz w:val="20"/>
          <w:szCs w:val="20"/>
          <w:color w:val="auto"/>
        </w:rPr>
      </w:pPr>
    </w:p>
    <w:tbl>
      <w:tblPr>
        <w:tblLayout w:type="fixed"/>
        <w:tblInd w:w="40" w:type="dxa"/>
        <w:tblCellMar>
          <w:top w:w="0" w:type="dxa"/>
          <w:left w:w="0" w:type="dxa"/>
          <w:bottom w:w="0" w:type="dxa"/>
          <w:right w:w="0" w:type="dxa"/>
        </w:tblCellMar>
      </w:tblPr>
      <w:tr>
        <w:trPr>
          <w:trHeight w:val="228"/>
        </w:trPr>
        <w:tc>
          <w:tcPr>
            <w:tcW w:w="2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ind w:right="33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ind w:right="29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ind w:right="299"/>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ind w:right="299"/>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ind w:right="31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ind w:left="60"/>
              <w:spacing w:after="0"/>
              <w:rPr>
                <w:sz w:val="20"/>
                <w:szCs w:val="20"/>
                <w:color w:val="auto"/>
              </w:rPr>
            </w:pPr>
            <w:r>
              <w:rPr>
                <w:rFonts w:ascii="Arial" w:cs="Arial" w:eastAsia="Arial" w:hAnsi="Arial"/>
                <w:sz w:val="16"/>
                <w:szCs w:val="16"/>
                <w:b w:val="1"/>
                <w:bCs w:val="1"/>
                <w:color w:val="auto"/>
              </w:rPr>
              <w:t>Thereafter</w:t>
            </w:r>
          </w:p>
        </w:tc>
        <w:tc>
          <w:tcPr>
            <w:tcW w:w="280" w:type="dxa"/>
            <w:vAlign w:val="bottom"/>
          </w:tcPr>
          <w:p>
            <w:pPr>
              <w:spacing w:after="0"/>
              <w:rPr>
                <w:sz w:val="19"/>
                <w:szCs w:val="19"/>
                <w:color w:val="auto"/>
              </w:rPr>
            </w:pPr>
          </w:p>
        </w:tc>
        <w:tc>
          <w:tcPr>
            <w:tcW w:w="980" w:type="dxa"/>
            <w:vAlign w:val="bottom"/>
          </w:tcPr>
          <w:p>
            <w:pPr>
              <w:jc w:val="right"/>
              <w:ind w:right="35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37"/>
        </w:trPr>
        <w:tc>
          <w:tcPr>
            <w:tcW w:w="2480" w:type="dxa"/>
            <w:vAlign w:val="bottom"/>
          </w:tcPr>
          <w:p>
            <w:pPr>
              <w:spacing w:after="0"/>
              <w:rPr>
                <w:sz w:val="20"/>
                <w:szCs w:val="20"/>
                <w:color w:val="auto"/>
              </w:rPr>
            </w:pPr>
            <w:r>
              <w:rPr>
                <w:rFonts w:ascii="Arial" w:cs="Arial" w:eastAsia="Arial" w:hAnsi="Arial"/>
                <w:sz w:val="16"/>
                <w:szCs w:val="16"/>
                <w:color w:val="auto"/>
              </w:rPr>
              <w:t>Corporate debt</w:t>
            </w:r>
          </w:p>
        </w:tc>
        <w:tc>
          <w:tcPr>
            <w:tcW w:w="2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26</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1,493</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2,076</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3,645</w:t>
            </w:r>
          </w:p>
        </w:tc>
        <w:tc>
          <w:tcPr>
            <w:tcW w:w="0" w:type="dxa"/>
            <w:vAlign w:val="bottom"/>
          </w:tcPr>
          <w:p>
            <w:pPr>
              <w:spacing w:after="0"/>
              <w:rPr>
                <w:sz w:val="1"/>
                <w:szCs w:val="1"/>
                <w:color w:val="auto"/>
              </w:rPr>
            </w:pPr>
          </w:p>
        </w:tc>
      </w:tr>
      <w:tr>
        <w:trPr>
          <w:trHeight w:val="237"/>
        </w:trPr>
        <w:tc>
          <w:tcPr>
            <w:tcW w:w="2480" w:type="dxa"/>
            <w:vAlign w:val="bottom"/>
          </w:tcPr>
          <w:p>
            <w:pPr>
              <w:spacing w:after="0"/>
              <w:rPr>
                <w:sz w:val="20"/>
                <w:szCs w:val="20"/>
                <w:color w:val="auto"/>
              </w:rPr>
            </w:pPr>
            <w:r>
              <w:rPr>
                <w:rFonts w:ascii="Arial" w:cs="Arial" w:eastAsia="Arial" w:hAnsi="Arial"/>
                <w:sz w:val="16"/>
                <w:szCs w:val="16"/>
                <w:color w:val="auto"/>
              </w:rPr>
              <w:t>Debt under vehicle</w:t>
            </w: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2480" w:type="dxa"/>
            <w:vAlign w:val="bottom"/>
          </w:tcPr>
          <w:p>
            <w:pPr>
              <w:spacing w:after="0"/>
              <w:rPr>
                <w:sz w:val="20"/>
                <w:szCs w:val="20"/>
                <w:color w:val="auto"/>
              </w:rPr>
            </w:pPr>
            <w:r>
              <w:rPr>
                <w:rFonts w:ascii="Arial" w:cs="Arial" w:eastAsia="Arial" w:hAnsi="Arial"/>
                <w:sz w:val="16"/>
                <w:szCs w:val="16"/>
                <w:color w:val="auto"/>
              </w:rPr>
              <w:t>programs</w:t>
            </w:r>
          </w:p>
        </w:tc>
        <w:tc>
          <w:tcPr>
            <w:tcW w:w="260" w:type="dxa"/>
            <w:vAlign w:val="bottom"/>
          </w:tcPr>
          <w:p>
            <w:pPr>
              <w:spacing w:after="0"/>
              <w:rPr>
                <w:sz w:val="16"/>
                <w:szCs w:val="16"/>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1,886</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3,170</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1,868</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1,019</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883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439</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9,265</w:t>
            </w:r>
          </w:p>
        </w:tc>
        <w:tc>
          <w:tcPr>
            <w:tcW w:w="0" w:type="dxa"/>
            <w:vAlign w:val="bottom"/>
          </w:tcPr>
          <w:p>
            <w:pPr>
              <w:spacing w:after="0"/>
              <w:rPr>
                <w:sz w:val="1"/>
                <w:szCs w:val="1"/>
                <w:color w:val="auto"/>
              </w:rPr>
            </w:pPr>
          </w:p>
        </w:tc>
      </w:tr>
      <w:tr>
        <w:trPr>
          <w:trHeight w:val="270"/>
        </w:trPr>
        <w:tc>
          <w:tcPr>
            <w:tcW w:w="2480" w:type="dxa"/>
            <w:vAlign w:val="bottom"/>
          </w:tcPr>
          <w:p>
            <w:pPr>
              <w:spacing w:after="0"/>
              <w:rPr>
                <w:sz w:val="20"/>
                <w:szCs w:val="20"/>
                <w:color w:val="auto"/>
              </w:rPr>
            </w:pPr>
            <w:r>
              <w:rPr>
                <w:rFonts w:ascii="Arial" w:cs="Arial" w:eastAsia="Arial" w:hAnsi="Arial"/>
                <w:sz w:val="16"/>
                <w:szCs w:val="16"/>
                <w:color w:val="auto"/>
              </w:rPr>
              <w:t>Debt interest</w:t>
            </w:r>
          </w:p>
        </w:tc>
        <w:tc>
          <w:tcPr>
            <w:tcW w:w="260" w:type="dxa"/>
            <w:vAlign w:val="bottom"/>
          </w:tcPr>
          <w:p>
            <w:pPr>
              <w:spacing w:after="0"/>
              <w:rPr>
                <w:sz w:val="23"/>
                <w:szCs w:val="23"/>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412</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341</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264</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224</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152</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145</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1,538</w:t>
            </w:r>
          </w:p>
        </w:tc>
        <w:tc>
          <w:tcPr>
            <w:tcW w:w="0" w:type="dxa"/>
            <w:vAlign w:val="bottom"/>
          </w:tcPr>
          <w:p>
            <w:pPr>
              <w:spacing w:after="0"/>
              <w:rPr>
                <w:sz w:val="1"/>
                <w:szCs w:val="1"/>
                <w:color w:val="auto"/>
              </w:rPr>
            </w:pPr>
          </w:p>
        </w:tc>
      </w:tr>
      <w:tr>
        <w:trPr>
          <w:trHeight w:val="319"/>
        </w:trPr>
        <w:tc>
          <w:tcPr>
            <w:tcW w:w="2480" w:type="dxa"/>
            <w:vAlign w:val="bottom"/>
          </w:tcPr>
          <w:p>
            <w:pPr>
              <w:spacing w:after="0"/>
              <w:rPr>
                <w:sz w:val="20"/>
                <w:szCs w:val="20"/>
                <w:color w:val="auto"/>
              </w:rPr>
            </w:pPr>
            <w:r>
              <w:rPr>
                <w:rFonts w:ascii="Arial" w:cs="Arial" w:eastAsia="Arial" w:hAnsi="Arial"/>
                <w:sz w:val="16"/>
                <w:szCs w:val="16"/>
                <w:color w:val="auto"/>
              </w:rPr>
              <w:t xml:space="preserve">Operating leases </w:t>
            </w:r>
            <w:r>
              <w:rPr>
                <w:rFonts w:ascii="Arial" w:cs="Arial" w:eastAsia="Arial" w:hAnsi="Arial"/>
                <w:sz w:val="21"/>
                <w:szCs w:val="21"/>
                <w:color w:val="auto"/>
                <w:vertAlign w:val="superscript"/>
              </w:rPr>
              <w:t>(a)</w:t>
            </w:r>
          </w:p>
        </w:tc>
        <w:tc>
          <w:tcPr>
            <w:tcW w:w="260" w:type="dxa"/>
            <w:vAlign w:val="bottom"/>
          </w:tcPr>
          <w:p>
            <w:pPr>
              <w:spacing w:after="0"/>
              <w:rPr>
                <w:sz w:val="24"/>
                <w:szCs w:val="24"/>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729</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611</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401</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291</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183</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549</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2,764</w:t>
            </w:r>
          </w:p>
        </w:tc>
        <w:tc>
          <w:tcPr>
            <w:tcW w:w="0" w:type="dxa"/>
            <w:vAlign w:val="bottom"/>
          </w:tcPr>
          <w:p>
            <w:pPr>
              <w:spacing w:after="0"/>
              <w:rPr>
                <w:sz w:val="1"/>
                <w:szCs w:val="1"/>
                <w:color w:val="auto"/>
              </w:rPr>
            </w:pPr>
          </w:p>
        </w:tc>
      </w:tr>
      <w:tr>
        <w:trPr>
          <w:trHeight w:val="184"/>
        </w:trPr>
        <w:tc>
          <w:tcPr>
            <w:tcW w:w="2480" w:type="dxa"/>
            <w:vAlign w:val="bottom"/>
          </w:tcPr>
          <w:p>
            <w:pPr>
              <w:spacing w:after="0"/>
              <w:rPr>
                <w:sz w:val="20"/>
                <w:szCs w:val="20"/>
                <w:color w:val="auto"/>
              </w:rPr>
            </w:pPr>
            <w:r>
              <w:rPr>
                <w:rFonts w:ascii="Arial" w:cs="Arial" w:eastAsia="Arial" w:hAnsi="Arial"/>
                <w:sz w:val="16"/>
                <w:szCs w:val="16"/>
                <w:color w:val="auto"/>
              </w:rPr>
              <w:t>Commitments to purchase</w:t>
            </w: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8"/>
        </w:trPr>
        <w:tc>
          <w:tcPr>
            <w:tcW w:w="2480" w:type="dxa"/>
            <w:vAlign w:val="bottom"/>
          </w:tcPr>
          <w:p>
            <w:pPr>
              <w:spacing w:after="0"/>
              <w:rPr>
                <w:sz w:val="20"/>
                <w:szCs w:val="20"/>
                <w:color w:val="auto"/>
              </w:rPr>
            </w:pPr>
            <w:r>
              <w:rPr>
                <w:rFonts w:ascii="Arial" w:cs="Arial" w:eastAsia="Arial" w:hAnsi="Arial"/>
                <w:sz w:val="16"/>
                <w:szCs w:val="16"/>
                <w:color w:val="auto"/>
              </w:rPr>
              <w:t xml:space="preserve">vehicles </w:t>
            </w:r>
            <w:r>
              <w:rPr>
                <w:rFonts w:ascii="Arial" w:cs="Arial" w:eastAsia="Arial" w:hAnsi="Arial"/>
                <w:sz w:val="21"/>
                <w:szCs w:val="21"/>
                <w:color w:val="auto"/>
                <w:vertAlign w:val="superscript"/>
              </w:rPr>
              <w:t>(b)</w:t>
            </w:r>
          </w:p>
        </w:tc>
        <w:tc>
          <w:tcPr>
            <w:tcW w:w="260" w:type="dxa"/>
            <w:vAlign w:val="bottom"/>
          </w:tcPr>
          <w:p>
            <w:pPr>
              <w:spacing w:after="0"/>
              <w:rPr>
                <w:sz w:val="21"/>
                <w:szCs w:val="21"/>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8,146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1"/>
                <w:szCs w:val="21"/>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8,146</w:t>
            </w:r>
          </w:p>
        </w:tc>
        <w:tc>
          <w:tcPr>
            <w:tcW w:w="0" w:type="dxa"/>
            <w:vAlign w:val="bottom"/>
          </w:tcPr>
          <w:p>
            <w:pPr>
              <w:spacing w:after="0"/>
              <w:rPr>
                <w:sz w:val="1"/>
                <w:szCs w:val="1"/>
                <w:color w:val="auto"/>
              </w:rPr>
            </w:pPr>
          </w:p>
        </w:tc>
      </w:tr>
      <w:tr>
        <w:trPr>
          <w:trHeight w:val="184"/>
        </w:trPr>
        <w:tc>
          <w:tcPr>
            <w:tcW w:w="2480" w:type="dxa"/>
            <w:vAlign w:val="bottom"/>
          </w:tcPr>
          <w:p>
            <w:pPr>
              <w:spacing w:after="0"/>
              <w:rPr>
                <w:sz w:val="20"/>
                <w:szCs w:val="20"/>
                <w:color w:val="auto"/>
              </w:rPr>
            </w:pPr>
            <w:r>
              <w:rPr>
                <w:rFonts w:ascii="Arial" w:cs="Arial" w:eastAsia="Arial" w:hAnsi="Arial"/>
                <w:sz w:val="16"/>
                <w:szCs w:val="16"/>
                <w:color w:val="auto"/>
              </w:rPr>
              <w:t>Defined benefit pension plan</w:t>
            </w: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8"/>
        </w:trPr>
        <w:tc>
          <w:tcPr>
            <w:tcW w:w="2480" w:type="dxa"/>
            <w:vAlign w:val="bottom"/>
          </w:tcPr>
          <w:p>
            <w:pPr>
              <w:spacing w:after="0"/>
              <w:rPr>
                <w:sz w:val="20"/>
                <w:szCs w:val="20"/>
                <w:color w:val="auto"/>
              </w:rPr>
            </w:pPr>
            <w:r>
              <w:rPr>
                <w:rFonts w:ascii="Arial" w:cs="Arial" w:eastAsia="Arial" w:hAnsi="Arial"/>
                <w:sz w:val="16"/>
                <w:szCs w:val="16"/>
                <w:color w:val="auto"/>
              </w:rPr>
              <w:t xml:space="preserve">contributions </w:t>
            </w:r>
            <w:r>
              <w:rPr>
                <w:rFonts w:ascii="Arial" w:cs="Arial" w:eastAsia="Arial" w:hAnsi="Arial"/>
                <w:sz w:val="21"/>
                <w:szCs w:val="21"/>
                <w:color w:val="auto"/>
                <w:vertAlign w:val="superscript"/>
              </w:rPr>
              <w:t>(c)</w:t>
            </w:r>
          </w:p>
        </w:tc>
        <w:tc>
          <w:tcPr>
            <w:tcW w:w="260" w:type="dxa"/>
            <w:vAlign w:val="bottom"/>
          </w:tcPr>
          <w:p>
            <w:pPr>
              <w:spacing w:after="0"/>
              <w:rPr>
                <w:sz w:val="21"/>
                <w:szCs w:val="21"/>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1"/>
                <w:szCs w:val="21"/>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184"/>
        </w:trPr>
        <w:tc>
          <w:tcPr>
            <w:tcW w:w="2480" w:type="dxa"/>
            <w:vAlign w:val="bottom"/>
          </w:tcPr>
          <w:p>
            <w:pPr>
              <w:spacing w:after="0"/>
              <w:rPr>
                <w:sz w:val="20"/>
                <w:szCs w:val="20"/>
                <w:color w:val="auto"/>
              </w:rPr>
            </w:pPr>
            <w:r>
              <w:rPr>
                <w:rFonts w:ascii="Arial" w:cs="Arial" w:eastAsia="Arial" w:hAnsi="Arial"/>
                <w:sz w:val="16"/>
                <w:szCs w:val="16"/>
                <w:color w:val="auto"/>
              </w:rPr>
              <w:t>Other purchase</w:t>
            </w: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2480" w:type="dxa"/>
            <w:vAlign w:val="bottom"/>
          </w:tcPr>
          <w:p>
            <w:pPr>
              <w:spacing w:after="0" w:line="219" w:lineRule="exact"/>
              <w:rPr>
                <w:sz w:val="20"/>
                <w:szCs w:val="20"/>
                <w:color w:val="auto"/>
              </w:rPr>
            </w:pPr>
            <w:r>
              <w:rPr>
                <w:rFonts w:ascii="Arial" w:cs="Arial" w:eastAsia="Arial" w:hAnsi="Arial"/>
                <w:sz w:val="16"/>
                <w:szCs w:val="16"/>
                <w:color w:val="auto"/>
              </w:rPr>
              <w:t xml:space="preserve">commitments </w:t>
            </w:r>
            <w:r>
              <w:rPr>
                <w:rFonts w:ascii="Arial" w:cs="Arial" w:eastAsia="Arial" w:hAnsi="Arial"/>
                <w:sz w:val="21"/>
                <w:szCs w:val="21"/>
                <w:color w:val="auto"/>
                <w:vertAlign w:val="superscript"/>
              </w:rPr>
              <w:t>(d)</w:t>
            </w:r>
          </w:p>
        </w:tc>
        <w:tc>
          <w:tcPr>
            <w:tcW w:w="260" w:type="dxa"/>
            <w:vAlign w:val="bottom"/>
          </w:tcPr>
          <w:p>
            <w:pPr>
              <w:spacing w:after="0"/>
              <w:rPr>
                <w:sz w:val="19"/>
                <w:szCs w:val="19"/>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89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49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224</w:t>
            </w:r>
          </w:p>
        </w:tc>
        <w:tc>
          <w:tcPr>
            <w:tcW w:w="0" w:type="dxa"/>
            <w:vAlign w:val="bottom"/>
          </w:tcPr>
          <w:p>
            <w:pPr>
              <w:spacing w:after="0"/>
              <w:rPr>
                <w:sz w:val="1"/>
                <w:szCs w:val="1"/>
                <w:color w:val="auto"/>
              </w:rPr>
            </w:pPr>
          </w:p>
        </w:tc>
      </w:tr>
      <w:tr>
        <w:trPr>
          <w:trHeight w:val="237"/>
        </w:trPr>
        <w:tc>
          <w:tcPr>
            <w:tcW w:w="2480" w:type="dxa"/>
            <w:vAlign w:val="bottom"/>
          </w:tcPr>
          <w:p>
            <w:pPr>
              <w:spacing w:after="0" w:line="237" w:lineRule="exact"/>
              <w:rPr>
                <w:sz w:val="20"/>
                <w:szCs w:val="20"/>
                <w:color w:val="auto"/>
              </w:rPr>
            </w:pPr>
            <w:r>
              <w:rPr>
                <w:rFonts w:ascii="Arial" w:cs="Arial" w:eastAsia="Arial" w:hAnsi="Arial"/>
                <w:sz w:val="16"/>
                <w:szCs w:val="16"/>
                <w:color w:val="auto"/>
              </w:rPr>
              <w:t xml:space="preserve">Total </w:t>
            </w:r>
            <w:r>
              <w:rPr>
                <w:rFonts w:ascii="Arial" w:cs="Arial" w:eastAsia="Arial" w:hAnsi="Arial"/>
                <w:sz w:val="21"/>
                <w:szCs w:val="21"/>
                <w:color w:val="auto"/>
                <w:vertAlign w:val="superscript"/>
              </w:rPr>
              <w:t>(e)</w:t>
            </w:r>
          </w:p>
        </w:tc>
        <w:tc>
          <w:tcPr>
            <w:tcW w:w="2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11,297</w:t>
            </w:r>
          </w:p>
        </w:tc>
        <w:tc>
          <w:tcPr>
            <w:tcW w:w="120" w:type="dxa"/>
            <w:vAlign w:val="bottom"/>
          </w:tcPr>
          <w:p>
            <w:pPr>
              <w:spacing w:after="0"/>
              <w:rPr>
                <w:sz w:val="20"/>
                <w:szCs w:val="20"/>
                <w:color w:val="auto"/>
              </w:rPr>
            </w:pPr>
          </w:p>
        </w:tc>
        <w:tc>
          <w:tcPr>
            <w:tcW w:w="2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4,191</w:t>
            </w:r>
          </w:p>
        </w:tc>
        <w:tc>
          <w:tcPr>
            <w:tcW w:w="120" w:type="dxa"/>
            <w:vAlign w:val="bottom"/>
          </w:tcPr>
          <w:p>
            <w:pPr>
              <w:spacing w:after="0"/>
              <w:rPr>
                <w:sz w:val="20"/>
                <w:szCs w:val="20"/>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2,585</w:t>
            </w:r>
          </w:p>
        </w:tc>
        <w:tc>
          <w:tcPr>
            <w:tcW w:w="120" w:type="dxa"/>
            <w:vAlign w:val="bottom"/>
          </w:tcPr>
          <w:p>
            <w:pPr>
              <w:spacing w:after="0"/>
              <w:rPr>
                <w:sz w:val="20"/>
                <w:szCs w:val="20"/>
                <w:color w:val="auto"/>
              </w:rPr>
            </w:pP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1,580</w:t>
            </w:r>
          </w:p>
        </w:tc>
        <w:tc>
          <w:tcPr>
            <w:tcW w:w="120" w:type="dxa"/>
            <w:vAlign w:val="bottom"/>
          </w:tcPr>
          <w:p>
            <w:pPr>
              <w:spacing w:after="0"/>
              <w:rPr>
                <w:sz w:val="20"/>
                <w:szCs w:val="20"/>
                <w:color w:val="auto"/>
              </w:rPr>
            </w:pP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2,729</w:t>
            </w:r>
          </w:p>
        </w:tc>
        <w:tc>
          <w:tcPr>
            <w:tcW w:w="10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3,209</w:t>
            </w:r>
          </w:p>
        </w:tc>
        <w:tc>
          <w:tcPr>
            <w:tcW w:w="100" w:type="dxa"/>
            <w:vAlign w:val="bottom"/>
          </w:tcPr>
          <w:p>
            <w:pPr>
              <w:spacing w:after="0"/>
              <w:rPr>
                <w:sz w:val="20"/>
                <w:szCs w:val="20"/>
                <w:color w:val="auto"/>
              </w:rPr>
            </w:pPr>
          </w:p>
        </w:tc>
        <w:tc>
          <w:tcPr>
            <w:tcW w:w="2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25,591</w:t>
            </w:r>
          </w:p>
        </w:tc>
        <w:tc>
          <w:tcPr>
            <w:tcW w:w="0" w:type="dxa"/>
            <w:vAlign w:val="bottom"/>
          </w:tcPr>
          <w:p>
            <w:pPr>
              <w:spacing w:after="0"/>
              <w:rPr>
                <w:sz w:val="1"/>
                <w:szCs w:val="1"/>
                <w:color w:val="auto"/>
              </w:rPr>
            </w:pPr>
          </w:p>
        </w:tc>
      </w:tr>
      <w:tr>
        <w:trPr>
          <w:trHeight w:val="20"/>
        </w:trPr>
        <w:tc>
          <w:tcPr>
            <w:tcW w:w="2480" w:type="dxa"/>
            <w:vAlign w:val="bottom"/>
            <w:vMerge w:val="restart"/>
          </w:tcPr>
          <w:p>
            <w:pPr>
              <w:ind w:left="20"/>
              <w:spacing w:after="0"/>
              <w:rPr>
                <w:sz w:val="20"/>
                <w:szCs w:val="20"/>
                <w:color w:val="auto"/>
              </w:rPr>
            </w:pPr>
            <w:r>
              <w:rPr>
                <w:rFonts w:ascii="Arial" w:cs="Arial" w:eastAsia="Arial" w:hAnsi="Arial"/>
                <w:sz w:val="16"/>
                <w:szCs w:val="16"/>
                <w:color w:val="auto"/>
              </w:rPr>
              <w:t>__________</w:t>
            </w: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48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5" w:lineRule="exact"/>
        <w:rPr>
          <w:sz w:val="20"/>
          <w:szCs w:val="20"/>
          <w:color w:val="auto"/>
        </w:rPr>
      </w:pPr>
    </w:p>
    <w:p>
      <w:pPr>
        <w:ind w:left="340" w:right="200" w:hanging="332"/>
        <w:spacing w:after="0" w:line="211" w:lineRule="auto"/>
        <w:tabs>
          <w:tab w:leader="none" w:pos="340" w:val="left"/>
        </w:tabs>
        <w:numPr>
          <w:ilvl w:val="0"/>
          <w:numId w:val="50"/>
        </w:numPr>
        <w:rPr>
          <w:rFonts w:ascii="Arial" w:cs="Arial" w:eastAsia="Arial" w:hAnsi="Arial"/>
          <w:sz w:val="18"/>
          <w:szCs w:val="18"/>
          <w:color w:val="auto"/>
          <w:vertAlign w:val="superscript"/>
        </w:rPr>
      </w:pPr>
      <w:r>
        <w:rPr>
          <w:rFonts w:ascii="Arial" w:cs="Arial" w:eastAsia="Arial" w:hAnsi="Arial"/>
          <w:sz w:val="14"/>
          <w:szCs w:val="14"/>
          <w:color w:val="auto"/>
        </w:rPr>
        <w:t>Operating lease obligations are presented net of sublease rentals to be received (see Note 14 to our Consolidated Financial Statements) and include commitments to enter into operating leases.</w:t>
      </w:r>
    </w:p>
    <w:p>
      <w:pPr>
        <w:ind w:left="340" w:hanging="332"/>
        <w:spacing w:after="0" w:line="225" w:lineRule="auto"/>
        <w:tabs>
          <w:tab w:leader="none" w:pos="340" w:val="left"/>
        </w:tabs>
        <w:numPr>
          <w:ilvl w:val="0"/>
          <w:numId w:val="50"/>
        </w:numPr>
        <w:rPr>
          <w:rFonts w:ascii="Arial" w:cs="Arial" w:eastAsia="Arial" w:hAnsi="Arial"/>
          <w:sz w:val="18"/>
          <w:szCs w:val="18"/>
          <w:color w:val="auto"/>
          <w:vertAlign w:val="superscript"/>
        </w:rPr>
      </w:pPr>
      <w:r>
        <w:rPr>
          <w:rFonts w:ascii="Arial" w:cs="Arial" w:eastAsia="Arial" w:hAnsi="Arial"/>
          <w:sz w:val="14"/>
          <w:szCs w:val="14"/>
          <w:color w:val="auto"/>
        </w:rPr>
        <w:t>Represents commitments to purchase vehicles, the majority of which are from Ford, Fiat Chrysler and General Motors. These commitments are generally subject to the vehicle manufacturers satisfying their obligations under the repurchase and guaranteed depreciation agreements. The purchase of such vehicles is generally financed through borrowings under vehicle programs in addition to cash received upon the sale of vehicles, many of which were purchased under repurchase and guaranteed depreciation programs (see Note 14 to our Consolidated Financial Statements).</w:t>
      </w:r>
    </w:p>
    <w:p>
      <w:pPr>
        <w:spacing w:after="0" w:line="1" w:lineRule="exact"/>
        <w:rPr>
          <w:rFonts w:ascii="Arial" w:cs="Arial" w:eastAsia="Arial" w:hAnsi="Arial"/>
          <w:sz w:val="18"/>
          <w:szCs w:val="18"/>
          <w:color w:val="auto"/>
          <w:vertAlign w:val="superscript"/>
        </w:rPr>
      </w:pPr>
    </w:p>
    <w:p>
      <w:pPr>
        <w:ind w:left="340" w:hanging="332"/>
        <w:spacing w:after="0" w:line="211" w:lineRule="auto"/>
        <w:tabs>
          <w:tab w:leader="none" w:pos="340" w:val="left"/>
        </w:tabs>
        <w:numPr>
          <w:ilvl w:val="0"/>
          <w:numId w:val="50"/>
        </w:numPr>
        <w:rPr>
          <w:rFonts w:ascii="Arial" w:cs="Arial" w:eastAsia="Arial" w:hAnsi="Arial"/>
          <w:sz w:val="18"/>
          <w:szCs w:val="18"/>
          <w:color w:val="auto"/>
          <w:vertAlign w:val="superscript"/>
        </w:rPr>
      </w:pPr>
      <w:r>
        <w:rPr>
          <w:rFonts w:ascii="Arial" w:cs="Arial" w:eastAsia="Arial" w:hAnsi="Arial"/>
          <w:sz w:val="14"/>
          <w:szCs w:val="14"/>
          <w:color w:val="auto"/>
        </w:rPr>
        <w:t>Represents the expected contributions to our defined benefit pension plans in 2018. The amount of future contributions to our defined benefit pension plans will depend on the rates of return generated from plan assets and other factors (see Note 17 to our Consolidated Financial Statements) and are not included above.</w:t>
      </w:r>
    </w:p>
    <w:p>
      <w:pPr>
        <w:ind w:left="340" w:hanging="332"/>
        <w:spacing w:after="0" w:line="187" w:lineRule="auto"/>
        <w:tabs>
          <w:tab w:leader="none" w:pos="340" w:val="left"/>
        </w:tabs>
        <w:numPr>
          <w:ilvl w:val="0"/>
          <w:numId w:val="50"/>
        </w:numPr>
        <w:rPr>
          <w:rFonts w:ascii="Arial" w:cs="Arial" w:eastAsia="Arial" w:hAnsi="Arial"/>
          <w:sz w:val="18"/>
          <w:szCs w:val="18"/>
          <w:color w:val="auto"/>
          <w:vertAlign w:val="superscript"/>
        </w:rPr>
      </w:pPr>
      <w:r>
        <w:rPr>
          <w:rFonts w:ascii="Arial" w:cs="Arial" w:eastAsia="Arial" w:hAnsi="Arial"/>
          <w:sz w:val="14"/>
          <w:szCs w:val="14"/>
          <w:color w:val="auto"/>
        </w:rPr>
        <w:t>Primarily represents commitments under service contracts for information technology, telecommunications and marketing agreements with travel service companies.</w:t>
      </w:r>
    </w:p>
    <w:p>
      <w:pPr>
        <w:ind w:left="340" w:right="160" w:hanging="332"/>
        <w:spacing w:after="0" w:line="218" w:lineRule="auto"/>
        <w:tabs>
          <w:tab w:leader="none" w:pos="340" w:val="left"/>
        </w:tabs>
        <w:numPr>
          <w:ilvl w:val="0"/>
          <w:numId w:val="50"/>
        </w:numPr>
        <w:rPr>
          <w:rFonts w:ascii="Arial" w:cs="Arial" w:eastAsia="Arial" w:hAnsi="Arial"/>
          <w:sz w:val="18"/>
          <w:szCs w:val="18"/>
          <w:color w:val="auto"/>
          <w:vertAlign w:val="superscript"/>
        </w:rPr>
      </w:pPr>
      <w:r>
        <w:rPr>
          <w:rFonts w:ascii="Arial" w:cs="Arial" w:eastAsia="Arial" w:hAnsi="Arial"/>
          <w:sz w:val="14"/>
          <w:szCs w:val="14"/>
          <w:color w:val="auto"/>
        </w:rPr>
        <w:t>Excludes income tax uncertainties of $46 million, $13 million of which is subject to indemnification by Realogy and Wyndham. We are unable to estimate the period in which these income tax uncertainties are expected to be settled.</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For more information regarding guarantees and indemnifications, see Note 14 to our Consolidated Financial Statements.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ACCOUNTING POLICIES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w:t>
      </w:r>
    </w:p>
    <w:p>
      <w:pPr>
        <w:spacing w:after="0" w:line="193" w:lineRule="exact"/>
        <w:rPr>
          <w:sz w:val="20"/>
          <w:szCs w:val="20"/>
          <w:color w:val="auto"/>
        </w:rPr>
      </w:pPr>
    </w:p>
    <w:p>
      <w:pPr>
        <w:ind w:right="200"/>
        <w:spacing w:after="0" w:line="252" w:lineRule="auto"/>
        <w:rPr>
          <w:sz w:val="20"/>
          <w:szCs w:val="20"/>
          <w:color w:val="auto"/>
        </w:rPr>
      </w:pPr>
      <w:r>
        <w:rPr>
          <w:rFonts w:ascii="Arial" w:cs="Arial" w:eastAsia="Arial" w:hAnsi="Arial"/>
          <w:sz w:val="18"/>
          <w:szCs w:val="18"/>
          <w:color w:val="auto"/>
        </w:rPr>
        <w:t>In presenting our financial statements in conformity with GAAP, we are required to make estimates and assumptions that affect the amounts reported therein. Several of the estimates and assumptions we are required to make relate to matters that are inherently uncertain as they pertain to future events and/or events that are outside of our control. If there is a significant unfavorable change to current conditions, it could result in a material adverse impact to our consolidated results of operations, financial position and liquidity. We believe that the estimates and assumptions we used when preparing our financial statements were the most appropriate at that time. Presented below are those accounting policies that we believe require subjective and complex judgments that could potentially affect reported results. However, our businesses operate in environments where we are paid a fee for a service performed, and therefore the results of the majority of our recurring operations are recorded in our financial statements using accounting policies that are not particularly subjective, nor complex.</w:t>
      </w:r>
    </w:p>
    <w:p>
      <w:pPr>
        <w:spacing w:after="0" w:line="134"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i w:val="1"/>
          <w:iCs w:val="1"/>
          <w:color w:val="auto"/>
        </w:rPr>
        <w:t xml:space="preserve">Goodwill and Other Indefinite-lived Intangible Assets. </w:t>
      </w:r>
      <w:r>
        <w:rPr>
          <w:rFonts w:ascii="Arial" w:cs="Arial" w:eastAsia="Arial" w:hAnsi="Arial"/>
          <w:sz w:val="18"/>
          <w:szCs w:val="18"/>
          <w:color w:val="auto"/>
        </w:rPr>
        <w:t>We have reviewed the carrying value of our goodwill and other indefinite-lived intangible</w:t>
      </w:r>
      <w:r>
        <w:rPr>
          <w:rFonts w:ascii="Arial" w:cs="Arial" w:eastAsia="Arial" w:hAnsi="Arial"/>
          <w:sz w:val="18"/>
          <w:szCs w:val="18"/>
          <w:i w:val="1"/>
          <w:iCs w:val="1"/>
          <w:color w:val="auto"/>
        </w:rPr>
        <w:t xml:space="preserve"> </w:t>
      </w:r>
      <w:r>
        <w:rPr>
          <w:rFonts w:ascii="Arial" w:cs="Arial" w:eastAsia="Arial" w:hAnsi="Arial"/>
          <w:sz w:val="18"/>
          <w:szCs w:val="18"/>
          <w:color w:val="auto"/>
        </w:rPr>
        <w:t>assets for impairment. In performing this review, we are required to make an assessment of fair value for our goodwill and other indefinite-lived intangible assets. When determining fair value, we utilize various assumptions, including the fair market trading price of our common stock and management’s projections of future cash flows. A change in these underlying assumptions will cause a change in the results of the tests and, as such, could cause the fair value to be less than the respective carrying amount. In such event, we would then be required to record a charge, which would impact earnings. We review the carrying value of goodwill and other indefinite-lived intangible assets for impairment annually, or more frequently if circumstances indicate that an impairment may have occurred.</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140" w:right="23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3"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Our goodwill and other indefinite-lived intangible assets are allocated among our reporting units. During 2017, 2016 and 2015, there was no impairment of goodwill and no material impairment of other intangible assets, see Note 6 to our Consolidated Financial Statements. In the future, failure to achieve our business plans, a significant deterioration of the macroeconomic conditions of the countries in which we operate, or significant changes in the assumptions and estimates that are used in our impairment testing for goodwill and indefinite-lived intangible assets (such as the discount rate) could result in significantly different estimates of fair value that could trigger an impairment of the goodwill of our reporting units or intangible assets.</w:t>
      </w:r>
    </w:p>
    <w:p>
      <w:pPr>
        <w:spacing w:after="0" w:line="13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i w:val="1"/>
          <w:iCs w:val="1"/>
          <w:color w:val="auto"/>
        </w:rPr>
        <w:t xml:space="preserve">Vehicles. </w:t>
      </w:r>
      <w:r>
        <w:rPr>
          <w:rFonts w:ascii="Arial" w:cs="Arial" w:eastAsia="Arial" w:hAnsi="Arial"/>
          <w:sz w:val="18"/>
          <w:szCs w:val="18"/>
          <w:color w:val="auto"/>
        </w:rPr>
        <w:t>We present vehicles at cost, net of accumulated depreciation, on the Consolidated Balance Sheets. We record the initial cost of the</w:t>
      </w:r>
      <w:r>
        <w:rPr>
          <w:rFonts w:ascii="Arial" w:cs="Arial" w:eastAsia="Arial" w:hAnsi="Arial"/>
          <w:sz w:val="18"/>
          <w:szCs w:val="18"/>
          <w:i w:val="1"/>
          <w:iCs w:val="1"/>
          <w:color w:val="auto"/>
        </w:rPr>
        <w:t xml:space="preserve"> </w:t>
      </w:r>
      <w:r>
        <w:rPr>
          <w:rFonts w:ascii="Arial" w:cs="Arial" w:eastAsia="Arial" w:hAnsi="Arial"/>
          <w:sz w:val="18"/>
          <w:szCs w:val="18"/>
          <w:color w:val="auto"/>
        </w:rPr>
        <w:t>vehicle, net of incentives and allowances from manufactures. We acquire our rental vehicles either through repurchase and guaranteed depreciation programs with certain automobile manufacturers or outside of such programs. For rental vehicles purchased under such programs, we depreciate the vehicles such that the net book value on the date of sale or return to the manufacturers is intended to equal the contractual guaranteed residual values. For risk vehicles, acquired outside of manufacturer repurchase and guaranteed depreciation programs, we depreciate based on the vehicles’ estimated residual market values and their expected dates of disposition. The estimation of residual values requires the Company to make assumptions regarding the age and mileage of the vehicle at the time of disposal, as well as expected used vehicle market conditions. The Company periodically evaluates estimated residual values and adjusts depreciation rates as appropriate. Differences between actual residual values and those estimated result in a gain or loss on disposal and are recorded as part of vehicle depreciation and lease charges, net, at the time of sale. See Note 2 to our Consolidated Financial Statements.</w:t>
      </w:r>
    </w:p>
    <w:p>
      <w:pPr>
        <w:spacing w:after="0" w:line="132"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i w:val="1"/>
          <w:iCs w:val="1"/>
          <w:color w:val="auto"/>
        </w:rPr>
        <w:t xml:space="preserve">Income Taxes. </w:t>
      </w:r>
      <w:r>
        <w:rPr>
          <w:rFonts w:ascii="Arial" w:cs="Arial" w:eastAsia="Arial" w:hAnsi="Arial"/>
          <w:sz w:val="18"/>
          <w:szCs w:val="18"/>
          <w:color w:val="auto"/>
        </w:rPr>
        <w:t>We account for income taxes under the asset and liability method, which requires the recognition of deferred tax assets and</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liabilities for the expected future tax consequences of events that have been reflected in the financial statements. Under this method, deferred tax assets and liabilities are determined based on the differences between the financial statement and tax bases of assets and liabilities using enacted tax rates in effect for the year in which the differences are expected to reverse. The effect of a change in tax rates on deferred tax assets and liabilities is recognized in income in the period that includes the enactment date. The Tax Act enacted in the fourth quarter of 2017 included a change in the U.S. federal corporate income tax rate. For more information regarding the accounting for the effects of the Tax Act, see Note 8 of our Consolidated Financial Statements.</w:t>
      </w:r>
    </w:p>
    <w:p>
      <w:pPr>
        <w:spacing w:after="0" w:line="15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record net deferred tax assets to the extent we believe these assets will more likely than not be realized. In making such determination, we consider all available positive and negative evidence, including scheduled reversals of deferred tax liabilities, projected future taxable income, tax planning strategies and recent results of operations. In the event we were to determine that we would be able to realize deferred income tax assets in the future in excess of their net recorded amount, we would make an adjustment to the valuation allowance which would reduce the provision for income taxes. Currently we do not record valuation allowances on the majority of our tax loss carryforwards as there are adequate deferred tax liabilities that could be realized within the carryforward period.</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See Notes 2 and 8 to our Consolidated Financial Statements for more information regarding income taxes.</w:t>
      </w:r>
    </w:p>
    <w:p>
      <w:pPr>
        <w:spacing w:after="0" w:line="153"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i w:val="1"/>
          <w:iCs w:val="1"/>
          <w:color w:val="auto"/>
        </w:rPr>
        <w:t xml:space="preserve">Public Liability, Property Damage and Other Insurance Liabilities. </w:t>
      </w:r>
      <w:r>
        <w:rPr>
          <w:rFonts w:ascii="Arial" w:cs="Arial" w:eastAsia="Arial" w:hAnsi="Arial"/>
          <w:sz w:val="18"/>
          <w:szCs w:val="18"/>
          <w:color w:val="auto"/>
        </w:rPr>
        <w:t>Insurance liabilities on our Consolidated Balance Sheets include</w:t>
      </w:r>
      <w:r>
        <w:rPr>
          <w:rFonts w:ascii="Arial" w:cs="Arial" w:eastAsia="Arial" w:hAnsi="Arial"/>
          <w:sz w:val="18"/>
          <w:szCs w:val="18"/>
          <w:i w:val="1"/>
          <w:iCs w:val="1"/>
          <w:color w:val="auto"/>
        </w:rPr>
        <w:t xml:space="preserve"> </w:t>
      </w:r>
      <w:r>
        <w:rPr>
          <w:rFonts w:ascii="Arial" w:cs="Arial" w:eastAsia="Arial" w:hAnsi="Arial"/>
          <w:sz w:val="18"/>
          <w:szCs w:val="18"/>
          <w:color w:val="auto"/>
        </w:rPr>
        <w:t>supplemental liability insurance, personal effects protection insurance, public liability, property damage and personal accident insurance claims for which we are self-insured. We estimate the required liability of such claims on an undiscounted basis utilizing an actuarial method that is based upon various assumptions which include, but are not limited to, our historical loss experience and projected loss development factors. The required liability is also subject to adjustment in the future based upon changes in claims experience, including changes in the number of incidents for which we are ultimately liable and changes in the cost per incident.</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Adoption of New Accounting Pronouncements</w:t>
      </w:r>
    </w:p>
    <w:p>
      <w:pPr>
        <w:spacing w:after="0" w:line="193"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For a description of our adoption of new accounting pronouncements and the impact thereof on our business, see Note 2 to our Consolidated Financial Statements.</w:t>
      </w: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00"/>
          </w:cols>
          <w:pgMar w:left="240" w:top="140" w:right="25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193" w:lineRule="exact"/>
        <w:rPr>
          <w:sz w:val="20"/>
          <w:szCs w:val="20"/>
          <w:color w:val="auto"/>
        </w:rPr>
      </w:pPr>
    </w:p>
    <w:p>
      <w:pPr>
        <w:ind w:right="560"/>
        <w:spacing w:after="0" w:line="262" w:lineRule="auto"/>
        <w:rPr>
          <w:sz w:val="20"/>
          <w:szCs w:val="20"/>
          <w:color w:val="auto"/>
        </w:rPr>
      </w:pPr>
      <w:r>
        <w:rPr>
          <w:rFonts w:ascii="Arial" w:cs="Arial" w:eastAsia="Arial" w:hAnsi="Arial"/>
          <w:sz w:val="18"/>
          <w:szCs w:val="18"/>
          <w:color w:val="auto"/>
        </w:rPr>
        <w:t>For a description of recently issued accounting pronouncements and the impact thereof on our business, see Note 2 to our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254875" cy="1803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4875" cy="180340"/>
                    </a:xfrm>
                    <a:prstGeom prst="rect">
                      <a:avLst/>
                    </a:prstGeom>
                    <a:noFill/>
                  </pic:spPr>
                </pic:pic>
              </a:graphicData>
            </a:graphic>
          </wp:anchor>
        </w:drawing>
      </w:r>
    </w:p>
    <w:p>
      <w:pPr>
        <w:spacing w:after="0" w:line="114"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74"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We are exposed to a variety of market risks, including changes in currency exchange rates, interest rates and gasoline prices. We manage our exposure to market risks through our regular operating and financing activities and, when deemed appropriate, through the use of derivative financial instruments, particularly currency forward contracts to manage and reduce currency exchange rate risk; swap contracts, futures and options contracts, to manage and reduce the interest rate risk related to our debt; and derivative commodity instruments to manage and reduce the risk of changing unleaded gasoline prices.</w:t>
      </w:r>
    </w:p>
    <w:p>
      <w:pPr>
        <w:spacing w:after="0" w:line="152" w:lineRule="exact"/>
        <w:rPr>
          <w:sz w:val="20"/>
          <w:szCs w:val="20"/>
          <w:color w:val="auto"/>
        </w:rPr>
      </w:pPr>
    </w:p>
    <w:p>
      <w:pPr>
        <w:ind w:right="480"/>
        <w:spacing w:after="0" w:line="254" w:lineRule="auto"/>
        <w:rPr>
          <w:sz w:val="20"/>
          <w:szCs w:val="20"/>
          <w:color w:val="auto"/>
        </w:rPr>
      </w:pPr>
      <w:r>
        <w:rPr>
          <w:rFonts w:ascii="Arial" w:cs="Arial" w:eastAsia="Arial" w:hAnsi="Arial"/>
          <w:sz w:val="18"/>
          <w:szCs w:val="18"/>
          <w:color w:val="auto"/>
        </w:rPr>
        <w:t>We are exclusively an end user of these instruments. We do not engage in trading, market-making or other speculative activities in the derivatives markets. We manage our exposure to counterparty credit risk related to our use of derivatives through specific minimum credit standards, diversification of counterparties, and procedures to monitor concentrations of credit risk. Our counterparties are substantial investment and commercial banks with significant experience providing such derivative instruments.</w:t>
      </w:r>
    </w:p>
    <w:p>
      <w:pPr>
        <w:spacing w:after="0" w:line="150"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Our total market risk is influenced by a wide variety of factors including the volatility present within the markets and the liquidity of the markets. There are certain limitations inherent in the sensitivity analyses discussed below. These “shock tests” are constrained by several factors, including the necessity to conduct the analysis based on a single point in time and the inability to include the complex market reactions that normally would arise from the market shifts modeled. For additional information regarding our borrowings and financial instruments, see Notes 12, 13 and 18 to our Consolidated Financial Statements.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Currency Risk Management</w:t>
      </w:r>
    </w:p>
    <w:p>
      <w:pPr>
        <w:spacing w:after="0" w:line="19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have exposure to currency exchange rate fluctuations worldwide and particularly with respect to the Australian, Canadian and New Zealand dollars, the euro and British pound sterling. We use currency forward contracts and currency swap contracts to manage exchange rate risk that arises from certain intercompany transactions and from non-functional currency denominated assets and liabilities and earnings denominated in non-U.S. dollar currencies. Our currency forward contracts are often not designated as hedges and therefore changes in the fair value of these derivatives are recognized in earnings as they occur. We anticipate that such currency exchange rate risk will remain a market risk exposure for the foreseeable future.</w:t>
      </w:r>
    </w:p>
    <w:p>
      <w:pPr>
        <w:spacing w:after="0" w:line="155"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We assess our market risk based on changes in currency exchange rates utilizing a sensitivity analysis. The sensitivity analysis measures the potential impact on earnings, cash flows and fair values based on a hypothetical 10% appreciation or depreciation in the value of the underlying currencies being hedged, against the U.S. dollar at December 31, 2017. With all other variables held constant, a hypothetical 10% change (increase or decrease) in currency exchange rates would not have a material impact on our 2017 earnings. Because unrealized gains or losses related to foreign currency forward and swap contracts are expected to be offset by corresponding gains or losses on the underlying exposures being hedged, when combined, these foreign currency contracts and the offsetting underlying commitments do not create a material impact on our Consolidated Financial Statements.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 Management</w:t>
      </w:r>
    </w:p>
    <w:p>
      <w:pPr>
        <w:spacing w:after="0" w:line="193"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Our primary interest rate exposure at December 31, 2017 was interest rate fluctuations in the U.S., specifically LIBOR and commercial paper interest rates due to their impact on variable rate borrowings and other interest rate sensitive liabilities. We use interest rate swaps and caps to manage our exposure to interest rate movements. We anticipate that LIBOR and commercial paper rates will remain a primary market risk exposure for the foreseeable future.</w:t>
      </w:r>
    </w:p>
    <w:p>
      <w:pPr>
        <w:spacing w:after="0" w:line="150"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We assess our market risk based on changes in interest rates utilizing a sensitivity analysis. Based on our interest rate exposures and derivatives as of December 31, 2017, we estimate that a 10% change in interest rates would not have a material impact on our 2017 earnings. Because gains or losses related to interest rate derivatives are expected to be offset by corresponding gains or losses on the underlying exposures being hedged, when combined, these interest rate contracts and the offsetting underlying commitments do not create a material impact on our Consolidated Financial Statements.</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140" w:right="23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Commodity Risk Management</w:t>
      </w:r>
    </w:p>
    <w:p>
      <w:pPr>
        <w:spacing w:after="0" w:line="193"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We have commodity price exposure related to fluctuations in the price of gasoline. We anticipate that such commodity risk will remain a market risk exposure for the foreseeable future. We determined that a hypothetical 10% change in the price of gasoline would not have a material impact on our earnings as of December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54875" cy="1803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4875" cy="180340"/>
                    </a:xfrm>
                    <a:prstGeom prst="rect">
                      <a:avLst/>
                    </a:prstGeom>
                    <a:noFill/>
                  </pic:spPr>
                </pic:pic>
              </a:graphicData>
            </a:graphic>
          </wp:anchor>
        </w:drawing>
      </w:r>
    </w:p>
    <w:p>
      <w:pPr>
        <w:spacing w:after="0" w:line="119"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See Consolidated Financial Statements and Consolidated Financial Statement Index commencing on Page F-1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254875" cy="1803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4875" cy="180340"/>
                    </a:xfrm>
                    <a:prstGeom prst="rect">
                      <a:avLst/>
                    </a:prstGeom>
                    <a:noFill/>
                  </pic:spPr>
                </pic:pic>
              </a:graphicData>
            </a:graphic>
          </wp:anchor>
        </w:drawing>
      </w:r>
    </w:p>
    <w:p>
      <w:pPr>
        <w:spacing w:after="0" w:line="14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254875" cy="1803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4875" cy="180340"/>
                    </a:xfrm>
                    <a:prstGeom prst="rect">
                      <a:avLst/>
                    </a:prstGeom>
                    <a:noFill/>
                  </pic:spPr>
                </pic:pic>
              </a:graphicData>
            </a:graphic>
          </wp:anchor>
        </w:drawing>
      </w:r>
    </w:p>
    <w:p>
      <w:pPr>
        <w:spacing w:after="0" w:line="143"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ITEM 9A. CONTROLS AND PROCEDURES</w:t>
      </w:r>
    </w:p>
    <w:p>
      <w:pPr>
        <w:spacing w:after="0" w:line="256" w:lineRule="exact"/>
        <w:rPr>
          <w:sz w:val="20"/>
          <w:szCs w:val="20"/>
          <w:color w:val="auto"/>
        </w:rPr>
      </w:pPr>
    </w:p>
    <w:p>
      <w:pPr>
        <w:ind w:left="340" w:hanging="332"/>
        <w:spacing w:after="0" w:line="258" w:lineRule="auto"/>
        <w:tabs>
          <w:tab w:leader="none" w:pos="340" w:val="left"/>
        </w:tabs>
        <w:numPr>
          <w:ilvl w:val="0"/>
          <w:numId w:val="51"/>
        </w:numPr>
        <w:rPr>
          <w:rFonts w:ascii="Arial" w:cs="Arial" w:eastAsia="Arial" w:hAnsi="Arial"/>
          <w:sz w:val="18"/>
          <w:szCs w:val="18"/>
          <w:color w:val="auto"/>
        </w:rPr>
      </w:pPr>
      <w:r>
        <w:rPr>
          <w:rFonts w:ascii="Arial" w:cs="Arial" w:eastAsia="Arial" w:hAnsi="Arial"/>
          <w:sz w:val="18"/>
          <w:szCs w:val="18"/>
          <w:i w:val="1"/>
          <w:iCs w:val="1"/>
          <w:color w:val="auto"/>
        </w:rPr>
        <w:t>Disclosure Controls and Procedures</w:t>
      </w:r>
      <w:r>
        <w:rPr>
          <w:rFonts w:ascii="Arial" w:cs="Arial" w:eastAsia="Arial" w:hAnsi="Arial"/>
          <w:sz w:val="18"/>
          <w:szCs w:val="18"/>
          <w:color w:val="auto"/>
        </w:rPr>
        <w:t>. Under the supervision and with the participation of our Chief Executive Officer and Chief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Officer, our management conducted an evaluation of the effectiveness of our disclosure controls and procedures (as such term is defined in Rules 13a-15(e) and 15d-15(e) under the Securities Exchange Act of 1934, as amended (the “Exchange Act”)). Based on such evaluation, our Chief Executive Officer and Chief Financial Officer have concluded that our disclosure controls and procedures were effective as of the end of the period covered by this annual report.</w:t>
      </w:r>
    </w:p>
    <w:p>
      <w:pPr>
        <w:spacing w:after="0" w:line="183" w:lineRule="exact"/>
        <w:rPr>
          <w:rFonts w:ascii="Arial" w:cs="Arial" w:eastAsia="Arial" w:hAnsi="Arial"/>
          <w:sz w:val="18"/>
          <w:szCs w:val="18"/>
          <w:color w:val="auto"/>
        </w:rPr>
      </w:pPr>
    </w:p>
    <w:p>
      <w:pPr>
        <w:ind w:left="340" w:right="80" w:hanging="332"/>
        <w:spacing w:after="0" w:line="255" w:lineRule="auto"/>
        <w:tabs>
          <w:tab w:leader="none" w:pos="340" w:val="left"/>
        </w:tabs>
        <w:numPr>
          <w:ilvl w:val="0"/>
          <w:numId w:val="51"/>
        </w:numPr>
        <w:rPr>
          <w:rFonts w:ascii="Arial" w:cs="Arial" w:eastAsia="Arial" w:hAnsi="Arial"/>
          <w:sz w:val="18"/>
          <w:szCs w:val="18"/>
          <w:color w:val="auto"/>
        </w:rPr>
      </w:pPr>
      <w:r>
        <w:rPr>
          <w:rFonts w:ascii="Arial" w:cs="Arial" w:eastAsia="Arial" w:hAnsi="Arial"/>
          <w:sz w:val="18"/>
          <w:szCs w:val="18"/>
          <w:i w:val="1"/>
          <w:iCs w:val="1"/>
          <w:color w:val="auto"/>
        </w:rPr>
        <w:t>Management’s Annual Report on Internal Control Over Financial Reporting</w:t>
      </w:r>
      <w:r>
        <w:rPr>
          <w:rFonts w:ascii="Arial" w:cs="Arial" w:eastAsia="Arial" w:hAnsi="Arial"/>
          <w:sz w:val="18"/>
          <w:szCs w:val="18"/>
          <w:color w:val="auto"/>
        </w:rPr>
        <w:t>. Our management is responsible for establishing and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maintaining adequate internal control over financial reporting, as defined in Rules 13a-15(f) and 15d-15(f) under the Exchange Act. Our management assessed the effectiveness of our internal control over financial reporting as of December 31, 2017. In making this assessment, management used the criteria set forth by the Committee of Sponsoring Organizations of the Treadway Commission (COSO)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Based on this assessment, our management believes that, as of December 31, 2017, our internal control over financial reporting was effective. The effectiveness of the Company’s internal control over financial reporting as of December 31, 2017, has been audited by Deloitte &amp; Touche LLP, an independent registered public accounting firm. Their attestation report is included below.</w:t>
      </w:r>
    </w:p>
    <w:p>
      <w:pPr>
        <w:spacing w:after="0" w:line="185" w:lineRule="exact"/>
        <w:rPr>
          <w:rFonts w:ascii="Arial" w:cs="Arial" w:eastAsia="Arial" w:hAnsi="Arial"/>
          <w:sz w:val="18"/>
          <w:szCs w:val="18"/>
          <w:color w:val="auto"/>
        </w:rPr>
      </w:pPr>
    </w:p>
    <w:p>
      <w:pPr>
        <w:ind w:left="340" w:right="20" w:hanging="332"/>
        <w:spacing w:after="0" w:line="266" w:lineRule="auto"/>
        <w:tabs>
          <w:tab w:leader="none" w:pos="340" w:val="left"/>
        </w:tabs>
        <w:numPr>
          <w:ilvl w:val="0"/>
          <w:numId w:val="51"/>
        </w:numPr>
        <w:rPr>
          <w:rFonts w:ascii="Arial" w:cs="Arial" w:eastAsia="Arial" w:hAnsi="Arial"/>
          <w:sz w:val="18"/>
          <w:szCs w:val="18"/>
          <w:color w:val="auto"/>
        </w:rPr>
      </w:pPr>
      <w:r>
        <w:rPr>
          <w:rFonts w:ascii="Arial" w:cs="Arial" w:eastAsia="Arial" w:hAnsi="Arial"/>
          <w:sz w:val="18"/>
          <w:szCs w:val="18"/>
          <w:i w:val="1"/>
          <w:iCs w:val="1"/>
          <w:color w:val="auto"/>
        </w:rPr>
        <w:t>Changes in Internal Control Over Financial Reporting</w:t>
      </w:r>
      <w:r>
        <w:rPr>
          <w:rFonts w:ascii="Arial" w:cs="Arial" w:eastAsia="Arial" w:hAnsi="Arial"/>
          <w:sz w:val="18"/>
          <w:szCs w:val="18"/>
          <w:color w:val="auto"/>
        </w:rPr>
        <w:t>. During the fiscal quarter to which this report relates, there has been no change in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Company’s internal control over financial reporting (as such term is defined in Rules 13a-15(f) and 15d-15(f) under the Exchange Act) that has materially affected, or is reasonably likely to materially affect, the Company’s internal control over financial reporting.</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140" w:right="23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REPORT OF INDEPENDENT REGISTERED PUBLIC ACCOUNTING FIRM</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To the Stockholders and the Board of Directors of</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Avis Budget Group, Inc.</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Parsippany, New Jersey</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Opinion on Internal Control over Financial Reporting</w:t>
      </w:r>
    </w:p>
    <w:p>
      <w:pPr>
        <w:spacing w:after="0" w:line="214"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We have audited the internal control over financial reporting of Avis Budget Group, Inc. and subsidiaries (the "Company") as of December 31, 2017, based on criteria established in Internal Control - Integrated Framework (2013) issued by the Committee of Sponsoring Organizations of the Treadway Commission (COSO). In our opinion, the Company maintained, in all material respects, effective internal control over financial reporting as of December 31, 2017, based on criteria established in Internal Control - Integrated Framework (2013) issued by COSO.</w:t>
      </w:r>
    </w:p>
    <w:p>
      <w:pPr>
        <w:spacing w:after="0" w:line="176" w:lineRule="exact"/>
        <w:rPr>
          <w:sz w:val="20"/>
          <w:szCs w:val="20"/>
          <w:color w:val="auto"/>
        </w:rPr>
      </w:pPr>
    </w:p>
    <w:p>
      <w:pPr>
        <w:ind w:right="300"/>
        <w:spacing w:after="0" w:line="253" w:lineRule="auto"/>
        <w:rPr>
          <w:sz w:val="20"/>
          <w:szCs w:val="20"/>
          <w:color w:val="auto"/>
        </w:rPr>
      </w:pPr>
      <w:r>
        <w:rPr>
          <w:rFonts w:ascii="Arial" w:cs="Arial" w:eastAsia="Arial" w:hAnsi="Arial"/>
          <w:sz w:val="16"/>
          <w:szCs w:val="16"/>
          <w:color w:val="auto"/>
        </w:rPr>
        <w:t>We have also audited, in accordance with the standards of the Public Company Accounting Oversight Board (United States) (PCAOB), the consolidated financial statements and financial statement schedule as of and for the year ended December 31, 2017 of the Company and our report dated February 22, 2018 expressed an unqualified opinion on those consolidated financial statements and financial statement schedule.</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Basis for Opinion</w:t>
      </w:r>
    </w:p>
    <w:p>
      <w:pPr>
        <w:spacing w:after="0" w:line="214"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76" w:lineRule="exact"/>
        <w:rPr>
          <w:sz w:val="20"/>
          <w:szCs w:val="20"/>
          <w:color w:val="auto"/>
        </w:rPr>
      </w:pPr>
    </w:p>
    <w:p>
      <w:pPr>
        <w:ind w:right="180"/>
        <w:spacing w:after="0" w:line="250" w:lineRule="auto"/>
        <w:rPr>
          <w:sz w:val="20"/>
          <w:szCs w:val="20"/>
          <w:color w:val="auto"/>
        </w:rPr>
      </w:pPr>
      <w:r>
        <w:rPr>
          <w:rFonts w:ascii="Arial" w:cs="Arial" w:eastAsia="Arial" w:hAnsi="Arial"/>
          <w:sz w:val="16"/>
          <w:szCs w:val="16"/>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Definition and Limitations of Internal Control over Financial Reporting</w:t>
      </w:r>
    </w:p>
    <w:p>
      <w:pPr>
        <w:spacing w:after="0" w:line="214" w:lineRule="exact"/>
        <w:rPr>
          <w:sz w:val="20"/>
          <w:szCs w:val="20"/>
          <w:color w:val="auto"/>
        </w:rPr>
      </w:pPr>
    </w:p>
    <w:p>
      <w:pPr>
        <w:ind w:right="80"/>
        <w:spacing w:after="0" w:line="248"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82"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auto"/>
        </w:rPr>
        <w:t>/s/ DELOITTE &amp; TOUCHE LLP</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New York, New York</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February 22, 2018</w:t>
      </w:r>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360"/>
          </w:cols>
          <w:pgMar w:left="240" w:top="140" w:right="29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245745</wp:posOffset>
            </wp:positionV>
            <wp:extent cx="7254875" cy="1803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4875" cy="180340"/>
                    </a:xfrm>
                    <a:prstGeom prst="rect">
                      <a:avLst/>
                    </a:prstGeom>
                    <a:noFill/>
                  </pic:spPr>
                </pic:pic>
              </a:graphicData>
            </a:graphic>
          </wp:anchor>
        </w:drawing>
      </w:r>
    </w:p>
    <w:p>
      <w:pPr>
        <w:spacing w:after="0" w:line="38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9B. OTHER INFORMATION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jc w:val="right"/>
        <w:ind w:right="439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0219"/>
          </w:cols>
          <w:pgMar w:left="240" w:top="140" w:right="1440"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ind w:left="5380"/>
        <w:spacing w:after="0"/>
        <w:rPr>
          <w:sz w:val="20"/>
          <w:szCs w:val="20"/>
          <w:color w:val="auto"/>
        </w:rPr>
      </w:pPr>
      <w:r>
        <w:rPr>
          <w:rFonts w:ascii="Arial" w:cs="Arial" w:eastAsia="Arial" w:hAnsi="Arial"/>
          <w:sz w:val="18"/>
          <w:szCs w:val="18"/>
          <w:b w:val="1"/>
          <w:bCs w:val="1"/>
          <w:color w:val="auto"/>
        </w:rPr>
        <w:t>PART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254875" cy="1803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4875" cy="180340"/>
                    </a:xfrm>
                    <a:prstGeom prst="rect">
                      <a:avLst/>
                    </a:prstGeom>
                    <a:noFill/>
                  </pic:spPr>
                </pic:pic>
              </a:graphicData>
            </a:graphic>
          </wp:anchor>
        </w:drawing>
      </w:r>
    </w:p>
    <w:p>
      <w:pPr>
        <w:spacing w:after="0" w:line="165"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74"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The information required under this item is incorporated by reference to our proxy statement relating to our 2018 annual meeting of stockholders, to be filed with the Securities and Exchange Commission (“SEC”) not later than 120 days after the end of fiscal 2017, under the sections titled “Corporate Governance - Board of Directors,” “Corporate Governance - Functions and Meetings of the Board of Directors,” “Corporate Governance - Functions and Meetings of the Board of Directors - Codes of Conduct,” “Corporate Governance - Committees of the Board of Directors,” “Executive Officers” and “Section 16(a) Beneficial Ownership Reporting Compliance.”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254875" cy="1803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4875" cy="180340"/>
                    </a:xfrm>
                    <a:prstGeom prst="rect">
                      <a:avLst/>
                    </a:prstGeom>
                    <a:noFill/>
                  </pic:spPr>
                </pic:pic>
              </a:graphicData>
            </a:graphic>
          </wp:anchor>
        </w:drawing>
      </w:r>
    </w:p>
    <w:p>
      <w:pPr>
        <w:spacing w:after="0" w:line="123"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ITEM 11. EXECUTIVE COMPENSATION</w:t>
      </w:r>
    </w:p>
    <w:p>
      <w:pPr>
        <w:spacing w:after="0" w:line="274"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color w:val="auto"/>
        </w:rPr>
        <w:t>The information required under this item is incorporated by reference to our proxy statement relating to our 2018 annual meeting of stockholders, to be filed with the SEC no later than 120 days after the end of fiscal 2017, under the section titled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254875" cy="3086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4875" cy="308610"/>
                    </a:xfrm>
                    <a:prstGeom prst="rect">
                      <a:avLst/>
                    </a:prstGeom>
                    <a:noFill/>
                  </pic:spPr>
                </pic:pic>
              </a:graphicData>
            </a:graphic>
          </wp:anchor>
        </w:drawing>
      </w:r>
    </w:p>
    <w:p>
      <w:pPr>
        <w:spacing w:after="0" w:line="114" w:lineRule="exact"/>
        <w:rPr>
          <w:sz w:val="20"/>
          <w:szCs w:val="20"/>
          <w:color w:val="auto"/>
        </w:rPr>
      </w:pPr>
    </w:p>
    <w:p>
      <w:pPr>
        <w:ind w:left="40" w:right="820"/>
        <w:spacing w:after="0" w:line="271"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21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information required under this item is incorporated by reference to our proxy statement relating to our 2018 annual meeting of stockholders, to be filed with the SEC no later than 120 days after the end of fiscal 2017, under the section titled “Security Ownership of Certain Beneficial Owners.”</w:t>
      </w:r>
    </w:p>
    <w:p>
      <w:pPr>
        <w:spacing w:after="0" w:line="148"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Information concerning our equity compensation plans is included in Part II of this report under the caption “Securities Authorized for Issuance under Equity Compensation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254875" cy="1803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4875" cy="180340"/>
                    </a:xfrm>
                    <a:prstGeom prst="rect">
                      <a:avLst/>
                    </a:prstGeom>
                    <a:noFill/>
                  </pic:spPr>
                </pic:pic>
              </a:graphicData>
            </a:graphic>
          </wp:anchor>
        </w:drawing>
      </w:r>
    </w:p>
    <w:p>
      <w:pPr>
        <w:spacing w:after="0" w:line="114"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74" w:lineRule="exact"/>
        <w:rPr>
          <w:sz w:val="20"/>
          <w:szCs w:val="20"/>
          <w:color w:val="auto"/>
        </w:rPr>
      </w:pPr>
    </w:p>
    <w:p>
      <w:pPr>
        <w:ind w:right="400"/>
        <w:spacing w:after="0" w:line="256" w:lineRule="auto"/>
        <w:rPr>
          <w:sz w:val="20"/>
          <w:szCs w:val="20"/>
          <w:color w:val="auto"/>
        </w:rPr>
      </w:pPr>
      <w:r>
        <w:rPr>
          <w:rFonts w:ascii="Arial" w:cs="Arial" w:eastAsia="Arial" w:hAnsi="Arial"/>
          <w:sz w:val="18"/>
          <w:szCs w:val="18"/>
          <w:color w:val="auto"/>
        </w:rPr>
        <w:t>The information required under this item is incorporated by reference to our proxy statement relating to our 2018 annual meeting of stockholders, to be filed with the SEC not later than 120 days after the end of fiscal 2017, under the section titled “Corporate Governance - Related Person Transactions” and “Corporate Governance - Functions and Meetings of the Board of Directors - Director Independence.”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54875" cy="1803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4875" cy="180340"/>
                    </a:xfrm>
                    <a:prstGeom prst="rect">
                      <a:avLst/>
                    </a:prstGeom>
                    <a:noFill/>
                  </pic:spPr>
                </pic:pic>
              </a:graphicData>
            </a:graphic>
          </wp:anchor>
        </w:drawing>
      </w:r>
    </w:p>
    <w:p>
      <w:pPr>
        <w:spacing w:after="0" w:line="119"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274"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information required under this item is incorporated by reference to our proxy statement relating to our 2018 annual meeting of stockholders, to be filed with the SEC not later than 120 days after the end of fiscal 2017, under the section titled “Proposals To Be Voted On At Meeting-Proposal No. 2: Ratification of Appointment of Auditors.”</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00"/>
          </w:cols>
          <w:pgMar w:left="240" w:top="140" w:right="25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PART 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254875" cy="1803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4875" cy="180340"/>
                    </a:xfrm>
                    <a:prstGeom prst="rect">
                      <a:avLst/>
                    </a:prstGeom>
                    <a:noFill/>
                  </pic:spPr>
                </pic:pic>
              </a:graphicData>
            </a:graphic>
          </wp:anchor>
        </w:drawing>
      </w:r>
    </w:p>
    <w:p>
      <w:pPr>
        <w:spacing w:after="0" w:line="165"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254875" cy="1803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4875" cy="18034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ITEM 15(A)(1). FINANCIAL STATEMENTS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See Consolidated Financial Statements and Consolidated Financial Statements Index commencing on page F-1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254875" cy="1803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4875" cy="180340"/>
                    </a:xfrm>
                    <a:prstGeom prst="rect">
                      <a:avLst/>
                    </a:prstGeom>
                    <a:noFill/>
                  </pic:spPr>
                </pic:pic>
              </a:graphicData>
            </a:graphic>
          </wp:anchor>
        </w:drawing>
      </w:r>
    </w:p>
    <w:p>
      <w:pPr>
        <w:spacing w:after="0" w:line="143"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ITEM 15(A)(2). FINANCIAL STATEMENT SCHEDULES</w:t>
      </w:r>
    </w:p>
    <w:p>
      <w:pPr>
        <w:spacing w:after="0" w:line="274"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See Schedule II – Valuation and Qualifying Accounts for the years ended December 31, 2017, 2016 and 2015 commencing on page G-1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254875" cy="1803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4875" cy="180340"/>
                    </a:xfrm>
                    <a:prstGeom prst="rect">
                      <a:avLst/>
                    </a:prstGeom>
                    <a:noFill/>
                  </pic:spPr>
                </pic:pic>
              </a:graphicData>
            </a:graphic>
          </wp:anchor>
        </w:drawing>
      </w:r>
    </w:p>
    <w:p>
      <w:pPr>
        <w:spacing w:after="0" w:line="114"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ITEM 15(A)(3). EXHIBITS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See Exhibit Index commencing on page H-1 hereof.</w:t>
      </w:r>
    </w:p>
    <w:p>
      <w:pPr>
        <w:spacing w:after="0" w:line="252" w:lineRule="exact"/>
        <w:rPr>
          <w:sz w:val="20"/>
          <w:szCs w:val="20"/>
          <w:color w:val="auto"/>
        </w:rPr>
      </w:pPr>
    </w:p>
    <w:p>
      <w:pPr>
        <w:jc w:val="center"/>
        <w:ind w:right="-55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0860"/>
          </w:cols>
          <w:pgMar w:left="240" w:top="140" w:right="79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SIGNATURES</w:t>
      </w:r>
    </w:p>
    <w:p>
      <w:pPr>
        <w:spacing w:after="0" w:line="193"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358"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AVIS BUDGET GROUP, INC.</w:t>
      </w:r>
    </w:p>
    <w:p>
      <w:pPr>
        <w:spacing w:after="0" w:line="387" w:lineRule="exact"/>
        <w:rPr>
          <w:sz w:val="20"/>
          <w:szCs w:val="20"/>
          <w:color w:val="auto"/>
        </w:rPr>
      </w:pPr>
    </w:p>
    <w:p>
      <w:pPr>
        <w:ind w:left="6080"/>
        <w:spacing w:after="0"/>
        <w:tabs>
          <w:tab w:leader="none" w:pos="81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DAVID T. CALABRIA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23495</wp:posOffset>
            </wp:positionV>
            <wp:extent cx="289877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57" w:lineRule="exact"/>
        <w:rPr>
          <w:sz w:val="20"/>
          <w:szCs w:val="20"/>
          <w:color w:val="auto"/>
        </w:rPr>
      </w:pPr>
    </w:p>
    <w:p>
      <w:pPr>
        <w:ind w:left="8460"/>
        <w:spacing w:after="0"/>
        <w:rPr>
          <w:sz w:val="20"/>
          <w:szCs w:val="20"/>
          <w:color w:val="auto"/>
        </w:rPr>
      </w:pPr>
      <w:r>
        <w:rPr>
          <w:rFonts w:ascii="Arial" w:cs="Arial" w:eastAsia="Arial" w:hAnsi="Arial"/>
          <w:sz w:val="18"/>
          <w:szCs w:val="18"/>
          <w:color w:val="auto"/>
        </w:rPr>
        <w:t>David T. Calabria</w:t>
      </w:r>
    </w:p>
    <w:p>
      <w:pPr>
        <w:spacing w:after="0" w:line="32" w:lineRule="exact"/>
        <w:rPr>
          <w:sz w:val="20"/>
          <w:szCs w:val="20"/>
          <w:color w:val="auto"/>
        </w:rPr>
      </w:pPr>
    </w:p>
    <w:p>
      <w:pPr>
        <w:ind w:left="6080"/>
        <w:spacing w:after="0"/>
        <w:rPr>
          <w:sz w:val="20"/>
          <w:szCs w:val="20"/>
          <w:color w:val="auto"/>
        </w:rPr>
      </w:pPr>
      <w:r>
        <w:rPr>
          <w:rFonts w:ascii="Arial" w:cs="Arial" w:eastAsia="Arial" w:hAnsi="Arial"/>
          <w:sz w:val="18"/>
          <w:szCs w:val="18"/>
          <w:i w:val="1"/>
          <w:iCs w:val="1"/>
          <w:color w:val="auto"/>
        </w:rPr>
        <w:t>Senior Vice President and Chief Accounting Officer</w:t>
      </w:r>
    </w:p>
    <w:p>
      <w:pPr>
        <w:spacing w:after="0" w:line="81" w:lineRule="exact"/>
        <w:rPr>
          <w:sz w:val="20"/>
          <w:szCs w:val="20"/>
          <w:color w:val="auto"/>
        </w:rPr>
      </w:pPr>
    </w:p>
    <w:p>
      <w:pPr>
        <w:ind w:left="6080"/>
        <w:spacing w:after="0"/>
        <w:tabs>
          <w:tab w:leader="none" w:pos="68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February 22, 2018</w:t>
      </w:r>
    </w:p>
    <w:p>
      <w:pPr>
        <w:spacing w:after="0" w:line="200" w:lineRule="exact"/>
        <w:rPr>
          <w:sz w:val="20"/>
          <w:szCs w:val="20"/>
          <w:color w:val="auto"/>
        </w:rPr>
      </w:pPr>
    </w:p>
    <w:p>
      <w:pPr>
        <w:spacing w:after="0" w:line="295"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060"/>
          </w:cols>
          <w:pgMar w:left="240" w:top="140" w:right="59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ectPr>
          <w:pgSz w:w="11900" w:h="16838" w:orient="portrait"/>
          <w:cols w:equalWidth="0" w:num="1">
            <w:col w:w="11240"/>
          </w:cols>
          <w:pgMar w:left="240" w:top="140" w:right="419" w:bottom="1440" w:gutter="0" w:footer="0" w:header="0"/>
        </w:sectPr>
      </w:pPr>
    </w:p>
    <w:p>
      <w:pPr>
        <w:spacing w:after="0" w:line="200" w:lineRule="exact"/>
        <w:rPr>
          <w:sz w:val="20"/>
          <w:szCs w:val="20"/>
          <w:color w:val="auto"/>
        </w:rPr>
      </w:pPr>
    </w:p>
    <w:p>
      <w:pPr>
        <w:spacing w:after="0" w:line="276" w:lineRule="exact"/>
        <w:rPr>
          <w:sz w:val="20"/>
          <w:szCs w:val="20"/>
          <w:color w:val="auto"/>
        </w:rPr>
      </w:pPr>
    </w:p>
    <w:p>
      <w:pPr>
        <w:ind w:left="1580"/>
        <w:spacing w:after="0"/>
        <w:rPr>
          <w:sz w:val="20"/>
          <w:szCs w:val="20"/>
          <w:color w:val="auto"/>
        </w:rPr>
      </w:pPr>
      <w:r>
        <w:rPr>
          <w:rFonts w:ascii="Arial" w:cs="Arial" w:eastAsia="Arial" w:hAnsi="Arial"/>
          <w:sz w:val="16"/>
          <w:szCs w:val="16"/>
          <w:b w:val="1"/>
          <w:bCs w:val="1"/>
          <w:color w:val="auto"/>
        </w:rPr>
        <w:t>Signature</w:t>
      </w:r>
    </w:p>
    <w:p>
      <w:pPr>
        <w:spacing w:after="0" w:line="200" w:lineRule="exact"/>
        <w:rPr>
          <w:sz w:val="20"/>
          <w:szCs w:val="20"/>
          <w:color w:val="auto"/>
        </w:rPr>
      </w:pPr>
    </w:p>
    <w:p>
      <w:pPr>
        <w:spacing w:after="0" w:line="230" w:lineRule="exact"/>
        <w:rPr>
          <w:sz w:val="20"/>
          <w:szCs w:val="20"/>
          <w:color w:val="auto"/>
        </w:rPr>
      </w:pPr>
    </w:p>
    <w:p>
      <w:pPr>
        <w:jc w:val="center"/>
        <w:ind w:right="1040"/>
        <w:spacing w:after="0"/>
        <w:rPr>
          <w:sz w:val="20"/>
          <w:szCs w:val="20"/>
          <w:color w:val="auto"/>
        </w:rPr>
      </w:pPr>
      <w:r>
        <w:rPr>
          <w:rFonts w:ascii="Arial" w:cs="Arial" w:eastAsia="Arial" w:hAnsi="Arial"/>
          <w:sz w:val="16"/>
          <w:szCs w:val="16"/>
          <w:color w:val="auto"/>
        </w:rPr>
        <w:t>/s/ LARRY D. DE SHON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247015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66" w:lineRule="exact"/>
        <w:rPr>
          <w:sz w:val="20"/>
          <w:szCs w:val="20"/>
          <w:color w:val="auto"/>
        </w:rPr>
      </w:pPr>
    </w:p>
    <w:p>
      <w:pPr>
        <w:jc w:val="center"/>
        <w:ind w:right="1040"/>
        <w:spacing w:after="0"/>
        <w:rPr>
          <w:sz w:val="20"/>
          <w:szCs w:val="20"/>
          <w:color w:val="auto"/>
        </w:rPr>
      </w:pPr>
      <w:r>
        <w:rPr>
          <w:rFonts w:ascii="Arial" w:cs="Arial" w:eastAsia="Arial" w:hAnsi="Arial"/>
          <w:sz w:val="16"/>
          <w:szCs w:val="16"/>
          <w:color w:val="auto"/>
        </w:rPr>
        <w:t>(Larry D. De Shon)</w:t>
      </w:r>
    </w:p>
    <w:p>
      <w:pPr>
        <w:spacing w:after="0" w:line="208" w:lineRule="exact"/>
        <w:rPr>
          <w:sz w:val="20"/>
          <w:szCs w:val="20"/>
          <w:color w:val="auto"/>
        </w:rPr>
      </w:pPr>
    </w:p>
    <w:p>
      <w:pPr>
        <w:jc w:val="center"/>
        <w:ind w:right="1040"/>
        <w:spacing w:after="0"/>
        <w:rPr>
          <w:sz w:val="20"/>
          <w:szCs w:val="20"/>
          <w:color w:val="auto"/>
        </w:rPr>
      </w:pPr>
      <w:r>
        <w:rPr>
          <w:rFonts w:ascii="Arial" w:cs="Arial" w:eastAsia="Arial" w:hAnsi="Arial"/>
          <w:sz w:val="16"/>
          <w:szCs w:val="16"/>
          <w:color w:val="auto"/>
        </w:rPr>
        <w:t>/s/ MARTYN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247015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66" w:lineRule="exact"/>
        <w:rPr>
          <w:sz w:val="20"/>
          <w:szCs w:val="20"/>
          <w:color w:val="auto"/>
        </w:rPr>
      </w:pPr>
    </w:p>
    <w:p>
      <w:pPr>
        <w:jc w:val="center"/>
        <w:ind w:right="1040"/>
        <w:spacing w:after="0"/>
        <w:rPr>
          <w:sz w:val="20"/>
          <w:szCs w:val="20"/>
          <w:color w:val="auto"/>
        </w:rPr>
      </w:pPr>
      <w:r>
        <w:rPr>
          <w:rFonts w:ascii="Arial" w:cs="Arial" w:eastAsia="Arial" w:hAnsi="Arial"/>
          <w:sz w:val="16"/>
          <w:szCs w:val="16"/>
          <w:color w:val="auto"/>
        </w:rPr>
        <w:t>(Martyn Smith)</w:t>
      </w:r>
    </w:p>
    <w:p>
      <w:pPr>
        <w:spacing w:after="0" w:line="208" w:lineRule="exact"/>
        <w:rPr>
          <w:sz w:val="20"/>
          <w:szCs w:val="20"/>
          <w:color w:val="auto"/>
        </w:rPr>
      </w:pPr>
    </w:p>
    <w:p>
      <w:pPr>
        <w:jc w:val="center"/>
        <w:ind w:right="1040"/>
        <w:spacing w:after="0"/>
        <w:rPr>
          <w:sz w:val="20"/>
          <w:szCs w:val="20"/>
          <w:color w:val="auto"/>
        </w:rPr>
      </w:pPr>
      <w:r>
        <w:rPr>
          <w:rFonts w:ascii="Arial" w:cs="Arial" w:eastAsia="Arial" w:hAnsi="Arial"/>
          <w:sz w:val="16"/>
          <w:szCs w:val="16"/>
          <w:color w:val="auto"/>
        </w:rPr>
        <w:t>/s/ DAVID T. CALABRIA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247015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66" w:lineRule="exact"/>
        <w:rPr>
          <w:sz w:val="20"/>
          <w:szCs w:val="20"/>
          <w:color w:val="auto"/>
        </w:rPr>
      </w:pPr>
    </w:p>
    <w:p>
      <w:pPr>
        <w:jc w:val="center"/>
        <w:ind w:right="1040"/>
        <w:spacing w:after="0"/>
        <w:rPr>
          <w:sz w:val="20"/>
          <w:szCs w:val="20"/>
          <w:color w:val="auto"/>
        </w:rPr>
      </w:pPr>
      <w:r>
        <w:rPr>
          <w:rFonts w:ascii="Arial" w:cs="Arial" w:eastAsia="Arial" w:hAnsi="Arial"/>
          <w:sz w:val="16"/>
          <w:szCs w:val="16"/>
          <w:color w:val="auto"/>
        </w:rPr>
        <w:t>(David T. Calabria)</w:t>
      </w:r>
    </w:p>
    <w:p>
      <w:pPr>
        <w:spacing w:after="0" w:line="208" w:lineRule="exact"/>
        <w:rPr>
          <w:sz w:val="20"/>
          <w:szCs w:val="20"/>
          <w:color w:val="auto"/>
        </w:rPr>
      </w:pPr>
    </w:p>
    <w:p>
      <w:pPr>
        <w:jc w:val="center"/>
        <w:ind w:right="1040"/>
        <w:spacing w:after="0"/>
        <w:rPr>
          <w:sz w:val="20"/>
          <w:szCs w:val="20"/>
          <w:color w:val="auto"/>
        </w:rPr>
      </w:pPr>
      <w:r>
        <w:rPr>
          <w:rFonts w:ascii="Arial" w:cs="Arial" w:eastAsia="Arial" w:hAnsi="Arial"/>
          <w:sz w:val="16"/>
          <w:szCs w:val="16"/>
          <w:color w:val="auto"/>
        </w:rPr>
        <w:t>/s/ BRIAN CHOI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247015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66" w:lineRule="exact"/>
        <w:rPr>
          <w:sz w:val="20"/>
          <w:szCs w:val="20"/>
          <w:color w:val="auto"/>
        </w:rPr>
      </w:pPr>
    </w:p>
    <w:p>
      <w:pPr>
        <w:jc w:val="center"/>
        <w:ind w:right="1040"/>
        <w:spacing w:after="0"/>
        <w:rPr>
          <w:sz w:val="20"/>
          <w:szCs w:val="20"/>
          <w:color w:val="auto"/>
        </w:rPr>
      </w:pPr>
      <w:r>
        <w:rPr>
          <w:rFonts w:ascii="Arial" w:cs="Arial" w:eastAsia="Arial" w:hAnsi="Arial"/>
          <w:sz w:val="16"/>
          <w:szCs w:val="16"/>
          <w:color w:val="auto"/>
        </w:rPr>
        <w:t>(Brian Choi)</w:t>
      </w:r>
    </w:p>
    <w:p>
      <w:pPr>
        <w:spacing w:after="0" w:line="262" w:lineRule="exact"/>
        <w:rPr>
          <w:sz w:val="20"/>
          <w:szCs w:val="20"/>
          <w:color w:val="auto"/>
        </w:rPr>
      </w:pPr>
    </w:p>
    <w:p>
      <w:pPr>
        <w:jc w:val="center"/>
        <w:ind w:right="1040"/>
        <w:spacing w:after="0"/>
        <w:rPr>
          <w:sz w:val="20"/>
          <w:szCs w:val="20"/>
          <w:color w:val="auto"/>
        </w:rPr>
      </w:pPr>
      <w:r>
        <w:rPr>
          <w:rFonts w:ascii="Arial" w:cs="Arial" w:eastAsia="Arial" w:hAnsi="Arial"/>
          <w:sz w:val="16"/>
          <w:szCs w:val="16"/>
          <w:color w:val="auto"/>
        </w:rPr>
        <w:t>/s/ MARY C. CHOKSI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247015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66" w:lineRule="exact"/>
        <w:rPr>
          <w:sz w:val="20"/>
          <w:szCs w:val="20"/>
          <w:color w:val="auto"/>
        </w:rPr>
      </w:pPr>
    </w:p>
    <w:p>
      <w:pPr>
        <w:jc w:val="center"/>
        <w:ind w:right="1040"/>
        <w:spacing w:after="0"/>
        <w:rPr>
          <w:sz w:val="20"/>
          <w:szCs w:val="20"/>
          <w:color w:val="auto"/>
        </w:rPr>
      </w:pPr>
      <w:r>
        <w:rPr>
          <w:rFonts w:ascii="Arial" w:cs="Arial" w:eastAsia="Arial" w:hAnsi="Arial"/>
          <w:sz w:val="16"/>
          <w:szCs w:val="16"/>
          <w:color w:val="auto"/>
        </w:rPr>
        <w:t>(Mary C. Choksi)</w:t>
      </w:r>
    </w:p>
    <w:p>
      <w:pPr>
        <w:spacing w:after="0" w:line="208" w:lineRule="exact"/>
        <w:rPr>
          <w:sz w:val="20"/>
          <w:szCs w:val="20"/>
          <w:color w:val="auto"/>
        </w:rPr>
      </w:pPr>
    </w:p>
    <w:p>
      <w:pPr>
        <w:jc w:val="center"/>
        <w:ind w:right="1040"/>
        <w:spacing w:after="0"/>
        <w:rPr>
          <w:sz w:val="20"/>
          <w:szCs w:val="20"/>
          <w:color w:val="auto"/>
        </w:rPr>
      </w:pPr>
      <w:r>
        <w:rPr>
          <w:rFonts w:ascii="Arial" w:cs="Arial" w:eastAsia="Arial" w:hAnsi="Arial"/>
          <w:sz w:val="16"/>
          <w:szCs w:val="16"/>
          <w:color w:val="auto"/>
        </w:rPr>
        <w:t>/s/ LEONARD S. COLEMAN,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247015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66" w:lineRule="exact"/>
        <w:rPr>
          <w:sz w:val="20"/>
          <w:szCs w:val="20"/>
          <w:color w:val="auto"/>
        </w:rPr>
      </w:pPr>
    </w:p>
    <w:p>
      <w:pPr>
        <w:jc w:val="center"/>
        <w:ind w:right="1040"/>
        <w:spacing w:after="0"/>
        <w:rPr>
          <w:sz w:val="20"/>
          <w:szCs w:val="20"/>
          <w:color w:val="auto"/>
        </w:rPr>
      </w:pPr>
      <w:r>
        <w:rPr>
          <w:rFonts w:ascii="Arial" w:cs="Arial" w:eastAsia="Arial" w:hAnsi="Arial"/>
          <w:sz w:val="16"/>
          <w:szCs w:val="16"/>
          <w:color w:val="auto"/>
        </w:rPr>
        <w:t>(Leonard S. Coleman, Jr.)</w:t>
      </w:r>
    </w:p>
    <w:p>
      <w:pPr>
        <w:spacing w:after="0" w:line="208" w:lineRule="exact"/>
        <w:rPr>
          <w:sz w:val="20"/>
          <w:szCs w:val="20"/>
          <w:color w:val="auto"/>
        </w:rPr>
      </w:pPr>
    </w:p>
    <w:p>
      <w:pPr>
        <w:jc w:val="center"/>
        <w:ind w:right="1040"/>
        <w:spacing w:after="0"/>
        <w:rPr>
          <w:sz w:val="20"/>
          <w:szCs w:val="20"/>
          <w:color w:val="auto"/>
        </w:rPr>
      </w:pPr>
      <w:r>
        <w:rPr>
          <w:rFonts w:ascii="Arial" w:cs="Arial" w:eastAsia="Arial" w:hAnsi="Arial"/>
          <w:sz w:val="16"/>
          <w:szCs w:val="16"/>
          <w:color w:val="auto"/>
        </w:rPr>
        <w:t>/s/ JEFFREY H. FOX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247015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66" w:lineRule="exact"/>
        <w:rPr>
          <w:sz w:val="20"/>
          <w:szCs w:val="20"/>
          <w:color w:val="auto"/>
        </w:rPr>
      </w:pPr>
    </w:p>
    <w:p>
      <w:pPr>
        <w:jc w:val="center"/>
        <w:ind w:right="1040"/>
        <w:spacing w:after="0"/>
        <w:rPr>
          <w:sz w:val="20"/>
          <w:szCs w:val="20"/>
          <w:color w:val="auto"/>
        </w:rPr>
      </w:pPr>
      <w:r>
        <w:rPr>
          <w:rFonts w:ascii="Arial" w:cs="Arial" w:eastAsia="Arial" w:hAnsi="Arial"/>
          <w:sz w:val="16"/>
          <w:szCs w:val="16"/>
          <w:color w:val="auto"/>
        </w:rPr>
        <w:t>(Jeffrey H. Fox)</w:t>
      </w:r>
    </w:p>
    <w:p>
      <w:pPr>
        <w:spacing w:after="0" w:line="208" w:lineRule="exact"/>
        <w:rPr>
          <w:sz w:val="20"/>
          <w:szCs w:val="20"/>
          <w:color w:val="auto"/>
        </w:rPr>
      </w:pPr>
    </w:p>
    <w:p>
      <w:pPr>
        <w:jc w:val="center"/>
        <w:ind w:right="1040"/>
        <w:spacing w:after="0"/>
        <w:rPr>
          <w:sz w:val="20"/>
          <w:szCs w:val="20"/>
          <w:color w:val="auto"/>
        </w:rPr>
      </w:pPr>
      <w:r>
        <w:rPr>
          <w:rFonts w:ascii="Arial" w:cs="Arial" w:eastAsia="Arial" w:hAnsi="Arial"/>
          <w:sz w:val="16"/>
          <w:szCs w:val="16"/>
          <w:color w:val="auto"/>
        </w:rPr>
        <w:t>/s/ JOHN D. HARDY,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247015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66" w:lineRule="exact"/>
        <w:rPr>
          <w:sz w:val="20"/>
          <w:szCs w:val="20"/>
          <w:color w:val="auto"/>
        </w:rPr>
      </w:pPr>
    </w:p>
    <w:p>
      <w:pPr>
        <w:jc w:val="center"/>
        <w:ind w:right="1040"/>
        <w:spacing w:after="0"/>
        <w:rPr>
          <w:sz w:val="20"/>
          <w:szCs w:val="20"/>
          <w:color w:val="auto"/>
        </w:rPr>
      </w:pPr>
      <w:r>
        <w:rPr>
          <w:rFonts w:ascii="Arial" w:cs="Arial" w:eastAsia="Arial" w:hAnsi="Arial"/>
          <w:sz w:val="16"/>
          <w:szCs w:val="16"/>
          <w:color w:val="auto"/>
        </w:rPr>
        <w:t>(John D. Hardy, Jr.)</w:t>
      </w:r>
    </w:p>
    <w:p>
      <w:pPr>
        <w:spacing w:after="0" w:line="208" w:lineRule="exact"/>
        <w:rPr>
          <w:sz w:val="20"/>
          <w:szCs w:val="20"/>
          <w:color w:val="auto"/>
        </w:rPr>
      </w:pPr>
    </w:p>
    <w:p>
      <w:pPr>
        <w:jc w:val="center"/>
        <w:ind w:right="1040"/>
        <w:spacing w:after="0"/>
        <w:rPr>
          <w:sz w:val="20"/>
          <w:szCs w:val="20"/>
          <w:color w:val="auto"/>
        </w:rPr>
      </w:pPr>
      <w:r>
        <w:rPr>
          <w:rFonts w:ascii="Arial" w:cs="Arial" w:eastAsia="Arial" w:hAnsi="Arial"/>
          <w:sz w:val="16"/>
          <w:szCs w:val="16"/>
          <w:color w:val="auto"/>
        </w:rPr>
        <w:t>/s/ LYNN KROMINGA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247015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66" w:lineRule="exact"/>
        <w:rPr>
          <w:sz w:val="20"/>
          <w:szCs w:val="20"/>
          <w:color w:val="auto"/>
        </w:rPr>
      </w:pPr>
    </w:p>
    <w:p>
      <w:pPr>
        <w:jc w:val="center"/>
        <w:ind w:right="1040"/>
        <w:spacing w:after="0"/>
        <w:rPr>
          <w:sz w:val="20"/>
          <w:szCs w:val="20"/>
          <w:color w:val="auto"/>
        </w:rPr>
      </w:pPr>
      <w:r>
        <w:rPr>
          <w:rFonts w:ascii="Arial" w:cs="Arial" w:eastAsia="Arial" w:hAnsi="Arial"/>
          <w:sz w:val="16"/>
          <w:szCs w:val="16"/>
          <w:color w:val="auto"/>
        </w:rPr>
        <w:t>(Lynn Krominga)</w:t>
      </w:r>
    </w:p>
    <w:p>
      <w:pPr>
        <w:spacing w:after="0" w:line="208" w:lineRule="exact"/>
        <w:rPr>
          <w:sz w:val="20"/>
          <w:szCs w:val="20"/>
          <w:color w:val="auto"/>
        </w:rPr>
      </w:pPr>
    </w:p>
    <w:p>
      <w:pPr>
        <w:jc w:val="center"/>
        <w:ind w:right="1040"/>
        <w:spacing w:after="0"/>
        <w:rPr>
          <w:sz w:val="20"/>
          <w:szCs w:val="20"/>
          <w:color w:val="auto"/>
        </w:rPr>
      </w:pPr>
      <w:r>
        <w:rPr>
          <w:rFonts w:ascii="Arial" w:cs="Arial" w:eastAsia="Arial" w:hAnsi="Arial"/>
          <w:sz w:val="16"/>
          <w:szCs w:val="16"/>
          <w:color w:val="auto"/>
        </w:rPr>
        <w:t>/s/ EDUARDO G. MESTRE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247015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66" w:lineRule="exact"/>
        <w:rPr>
          <w:sz w:val="20"/>
          <w:szCs w:val="20"/>
          <w:color w:val="auto"/>
        </w:rPr>
      </w:pPr>
    </w:p>
    <w:p>
      <w:pPr>
        <w:jc w:val="center"/>
        <w:ind w:right="1040"/>
        <w:spacing w:after="0"/>
        <w:rPr>
          <w:sz w:val="20"/>
          <w:szCs w:val="20"/>
          <w:color w:val="auto"/>
        </w:rPr>
      </w:pPr>
      <w:r>
        <w:rPr>
          <w:rFonts w:ascii="Arial" w:cs="Arial" w:eastAsia="Arial" w:hAnsi="Arial"/>
          <w:sz w:val="16"/>
          <w:szCs w:val="16"/>
          <w:color w:val="auto"/>
        </w:rPr>
        <w:t>(Eduardo G. Mestre)</w:t>
      </w:r>
    </w:p>
    <w:p>
      <w:pPr>
        <w:spacing w:after="0" w:line="208" w:lineRule="exact"/>
        <w:rPr>
          <w:sz w:val="20"/>
          <w:szCs w:val="20"/>
          <w:color w:val="auto"/>
        </w:rPr>
      </w:pPr>
    </w:p>
    <w:p>
      <w:pPr>
        <w:jc w:val="center"/>
        <w:ind w:right="1040"/>
        <w:spacing w:after="0"/>
        <w:rPr>
          <w:sz w:val="20"/>
          <w:szCs w:val="20"/>
          <w:color w:val="auto"/>
        </w:rPr>
      </w:pPr>
      <w:r>
        <w:rPr>
          <w:rFonts w:ascii="Arial" w:cs="Arial" w:eastAsia="Arial" w:hAnsi="Arial"/>
          <w:sz w:val="16"/>
          <w:szCs w:val="16"/>
          <w:color w:val="auto"/>
        </w:rPr>
        <w:t>/s/ RONALD L. NELSON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247015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66" w:lineRule="exact"/>
        <w:rPr>
          <w:sz w:val="20"/>
          <w:szCs w:val="20"/>
          <w:color w:val="auto"/>
        </w:rPr>
      </w:pPr>
    </w:p>
    <w:p>
      <w:pPr>
        <w:jc w:val="center"/>
        <w:ind w:right="1040"/>
        <w:spacing w:after="0"/>
        <w:rPr>
          <w:sz w:val="20"/>
          <w:szCs w:val="20"/>
          <w:color w:val="auto"/>
        </w:rPr>
      </w:pPr>
      <w:r>
        <w:rPr>
          <w:rFonts w:ascii="Arial" w:cs="Arial" w:eastAsia="Arial" w:hAnsi="Arial"/>
          <w:sz w:val="16"/>
          <w:szCs w:val="16"/>
          <w:color w:val="auto"/>
        </w:rPr>
        <w:t>(Ronald L. Nelson)</w:t>
      </w:r>
    </w:p>
    <w:p>
      <w:pPr>
        <w:spacing w:after="0" w:line="221" w:lineRule="exact"/>
        <w:rPr>
          <w:sz w:val="20"/>
          <w:szCs w:val="20"/>
          <w:color w:val="auto"/>
        </w:rPr>
      </w:pPr>
    </w:p>
    <w:p>
      <w:pPr>
        <w:jc w:val="center"/>
        <w:ind w:right="1040"/>
        <w:spacing w:after="0"/>
        <w:rPr>
          <w:sz w:val="20"/>
          <w:szCs w:val="20"/>
          <w:color w:val="auto"/>
        </w:rPr>
      </w:pPr>
      <w:r>
        <w:rPr>
          <w:rFonts w:ascii="Arial" w:cs="Arial" w:eastAsia="Arial" w:hAnsi="Arial"/>
          <w:sz w:val="16"/>
          <w:szCs w:val="16"/>
          <w:color w:val="auto"/>
        </w:rPr>
        <w:t>/s/ F. ROBERT SALERNO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247015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66" w:lineRule="exact"/>
        <w:rPr>
          <w:sz w:val="20"/>
          <w:szCs w:val="20"/>
          <w:color w:val="auto"/>
        </w:rPr>
      </w:pPr>
    </w:p>
    <w:p>
      <w:pPr>
        <w:jc w:val="center"/>
        <w:ind w:right="1040"/>
        <w:spacing w:after="0"/>
        <w:rPr>
          <w:sz w:val="20"/>
          <w:szCs w:val="20"/>
          <w:color w:val="auto"/>
        </w:rPr>
      </w:pPr>
      <w:r>
        <w:rPr>
          <w:rFonts w:ascii="Arial" w:cs="Arial" w:eastAsia="Arial" w:hAnsi="Arial"/>
          <w:sz w:val="16"/>
          <w:szCs w:val="16"/>
          <w:color w:val="auto"/>
        </w:rPr>
        <w:t>(F. Robert Salerno)</w:t>
      </w:r>
    </w:p>
    <w:p>
      <w:pPr>
        <w:spacing w:after="0" w:line="275" w:lineRule="exact"/>
        <w:rPr>
          <w:sz w:val="20"/>
          <w:szCs w:val="20"/>
          <w:color w:val="auto"/>
        </w:rPr>
      </w:pPr>
    </w:p>
    <w:p>
      <w:pPr>
        <w:jc w:val="center"/>
        <w:ind w:right="1040"/>
        <w:spacing w:after="0"/>
        <w:rPr>
          <w:sz w:val="20"/>
          <w:szCs w:val="20"/>
          <w:color w:val="auto"/>
        </w:rPr>
      </w:pPr>
      <w:r>
        <w:rPr>
          <w:rFonts w:ascii="Arial" w:cs="Arial" w:eastAsia="Arial" w:hAnsi="Arial"/>
          <w:sz w:val="16"/>
          <w:szCs w:val="16"/>
          <w:color w:val="auto"/>
        </w:rPr>
        <w:t>/s/ STENDER E. SWEENEY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247015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66" w:lineRule="exact"/>
        <w:rPr>
          <w:sz w:val="20"/>
          <w:szCs w:val="20"/>
          <w:color w:val="auto"/>
        </w:rPr>
      </w:pPr>
    </w:p>
    <w:p>
      <w:pPr>
        <w:jc w:val="center"/>
        <w:ind w:right="1040"/>
        <w:spacing w:after="0"/>
        <w:rPr>
          <w:sz w:val="20"/>
          <w:szCs w:val="20"/>
          <w:color w:val="auto"/>
        </w:rPr>
      </w:pPr>
      <w:r>
        <w:rPr>
          <w:rFonts w:ascii="Arial" w:cs="Arial" w:eastAsia="Arial" w:hAnsi="Arial"/>
          <w:sz w:val="16"/>
          <w:szCs w:val="16"/>
          <w:color w:val="auto"/>
        </w:rPr>
        <w:t>(Stender E. Sweeney)</w:t>
      </w:r>
    </w:p>
    <w:p>
      <w:pPr>
        <w:spacing w:after="0" w:line="262" w:lineRule="exact"/>
        <w:rPr>
          <w:sz w:val="20"/>
          <w:szCs w:val="20"/>
          <w:color w:val="auto"/>
        </w:rPr>
      </w:pPr>
    </w:p>
    <w:p>
      <w:pPr>
        <w:jc w:val="center"/>
        <w:ind w:right="1040"/>
        <w:spacing w:after="0"/>
        <w:rPr>
          <w:sz w:val="20"/>
          <w:szCs w:val="20"/>
          <w:color w:val="auto"/>
        </w:rPr>
      </w:pPr>
      <w:r>
        <w:rPr>
          <w:rFonts w:ascii="Arial" w:cs="Arial" w:eastAsia="Arial" w:hAnsi="Arial"/>
          <w:sz w:val="16"/>
          <w:szCs w:val="16"/>
          <w:color w:val="auto"/>
        </w:rPr>
        <w:t>/s/ SANOKE VISWANATHAN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247015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66" w:lineRule="exact"/>
        <w:rPr>
          <w:sz w:val="20"/>
          <w:szCs w:val="20"/>
          <w:color w:val="auto"/>
        </w:rPr>
      </w:pPr>
    </w:p>
    <w:p>
      <w:pPr>
        <w:jc w:val="center"/>
        <w:ind w:right="1040"/>
        <w:spacing w:after="0"/>
        <w:rPr>
          <w:sz w:val="20"/>
          <w:szCs w:val="20"/>
          <w:color w:val="auto"/>
        </w:rPr>
      </w:pPr>
      <w:r>
        <w:rPr>
          <w:rFonts w:ascii="Arial" w:cs="Arial" w:eastAsia="Arial" w:hAnsi="Arial"/>
          <w:sz w:val="16"/>
          <w:szCs w:val="16"/>
          <w:color w:val="auto"/>
        </w:rPr>
        <w:t>(Sanoke Viswanathan)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3920" w:type="dxa"/>
            <w:vAlign w:val="bottom"/>
          </w:tcPr>
          <w:p>
            <w:pPr>
              <w:jc w:val="center"/>
              <w:ind w:right="159"/>
              <w:spacing w:after="0"/>
              <w:rPr>
                <w:sz w:val="20"/>
                <w:szCs w:val="20"/>
                <w:color w:val="auto"/>
              </w:rPr>
            </w:pPr>
            <w:r>
              <w:rPr>
                <w:rFonts w:ascii="Arial" w:cs="Arial" w:eastAsia="Arial" w:hAnsi="Arial"/>
                <w:sz w:val="16"/>
                <w:szCs w:val="16"/>
                <w:b w:val="1"/>
                <w:bCs w:val="1"/>
                <w:color w:val="auto"/>
                <w:w w:val="97"/>
              </w:rPr>
              <w:t>Title</w:t>
            </w:r>
          </w:p>
        </w:tc>
        <w:tc>
          <w:tcPr>
            <w:tcW w:w="1600" w:type="dxa"/>
            <w:vAlign w:val="bottom"/>
          </w:tcPr>
          <w:p>
            <w:pPr>
              <w:jc w:val="center"/>
              <w:ind w:left="179"/>
              <w:spacing w:after="0"/>
              <w:rPr>
                <w:sz w:val="20"/>
                <w:szCs w:val="20"/>
                <w:color w:val="auto"/>
              </w:rPr>
            </w:pPr>
            <w:r>
              <w:rPr>
                <w:rFonts w:ascii="Arial" w:cs="Arial" w:eastAsia="Arial" w:hAnsi="Arial"/>
                <w:sz w:val="16"/>
                <w:szCs w:val="16"/>
                <w:b w:val="1"/>
                <w:bCs w:val="1"/>
                <w:color w:val="auto"/>
                <w:w w:val="97"/>
              </w:rPr>
              <w:t>Date</w:t>
            </w:r>
          </w:p>
        </w:tc>
      </w:tr>
      <w:tr>
        <w:trPr>
          <w:trHeight w:val="567"/>
        </w:trPr>
        <w:tc>
          <w:tcPr>
            <w:tcW w:w="3920" w:type="dxa"/>
            <w:vAlign w:val="bottom"/>
          </w:tcPr>
          <w:p>
            <w:pPr>
              <w:jc w:val="center"/>
              <w:ind w:right="159"/>
              <w:spacing w:after="0"/>
              <w:rPr>
                <w:sz w:val="20"/>
                <w:szCs w:val="20"/>
                <w:color w:val="auto"/>
              </w:rPr>
            </w:pPr>
            <w:r>
              <w:rPr>
                <w:rFonts w:ascii="Arial" w:cs="Arial" w:eastAsia="Arial" w:hAnsi="Arial"/>
                <w:sz w:val="16"/>
                <w:szCs w:val="16"/>
                <w:color w:val="auto"/>
              </w:rPr>
              <w:t>President and Chief Executive Officer</w:t>
            </w:r>
          </w:p>
        </w:tc>
        <w:tc>
          <w:tcPr>
            <w:tcW w:w="1600" w:type="dxa"/>
            <w:vAlign w:val="bottom"/>
          </w:tcPr>
          <w:p>
            <w:pPr>
              <w:jc w:val="center"/>
              <w:ind w:left="179"/>
              <w:spacing w:after="0"/>
              <w:rPr>
                <w:sz w:val="20"/>
                <w:szCs w:val="20"/>
                <w:color w:val="auto"/>
              </w:rPr>
            </w:pPr>
            <w:r>
              <w:rPr>
                <w:rFonts w:ascii="Arial" w:cs="Arial" w:eastAsia="Arial" w:hAnsi="Arial"/>
                <w:sz w:val="16"/>
                <w:szCs w:val="16"/>
                <w:color w:val="auto"/>
              </w:rPr>
              <w:t>February 22, 2018</w:t>
            </w:r>
          </w:p>
        </w:tc>
      </w:tr>
      <w:tr>
        <w:trPr>
          <w:trHeight w:val="662"/>
        </w:trPr>
        <w:tc>
          <w:tcPr>
            <w:tcW w:w="3920" w:type="dxa"/>
            <w:vAlign w:val="bottom"/>
          </w:tcPr>
          <w:p>
            <w:pPr>
              <w:jc w:val="center"/>
              <w:ind w:right="159"/>
              <w:spacing w:after="0"/>
              <w:rPr>
                <w:sz w:val="20"/>
                <w:szCs w:val="20"/>
                <w:color w:val="auto"/>
              </w:rPr>
            </w:pPr>
            <w:r>
              <w:rPr>
                <w:rFonts w:ascii="Arial" w:cs="Arial" w:eastAsia="Arial" w:hAnsi="Arial"/>
                <w:sz w:val="16"/>
                <w:szCs w:val="16"/>
                <w:color w:val="auto"/>
              </w:rPr>
              <w:t>Interim Chief Financial Officer</w:t>
            </w:r>
          </w:p>
        </w:tc>
        <w:tc>
          <w:tcPr>
            <w:tcW w:w="1600" w:type="dxa"/>
            <w:vAlign w:val="bottom"/>
          </w:tcPr>
          <w:p>
            <w:pPr>
              <w:jc w:val="center"/>
              <w:ind w:left="179"/>
              <w:spacing w:after="0"/>
              <w:rPr>
                <w:sz w:val="20"/>
                <w:szCs w:val="20"/>
                <w:color w:val="auto"/>
              </w:rPr>
            </w:pPr>
            <w:r>
              <w:rPr>
                <w:rFonts w:ascii="Arial" w:cs="Arial" w:eastAsia="Arial" w:hAnsi="Arial"/>
                <w:sz w:val="16"/>
                <w:szCs w:val="16"/>
                <w:color w:val="auto"/>
              </w:rPr>
              <w:t>February 22, 2018</w:t>
            </w:r>
          </w:p>
        </w:tc>
      </w:tr>
      <w:tr>
        <w:trPr>
          <w:trHeight w:val="662"/>
        </w:trPr>
        <w:tc>
          <w:tcPr>
            <w:tcW w:w="3920" w:type="dxa"/>
            <w:vAlign w:val="bottom"/>
          </w:tcPr>
          <w:p>
            <w:pPr>
              <w:jc w:val="center"/>
              <w:ind w:right="179"/>
              <w:spacing w:after="0"/>
              <w:rPr>
                <w:sz w:val="20"/>
                <w:szCs w:val="20"/>
                <w:color w:val="auto"/>
              </w:rPr>
            </w:pPr>
            <w:r>
              <w:rPr>
                <w:rFonts w:ascii="Arial" w:cs="Arial" w:eastAsia="Arial" w:hAnsi="Arial"/>
                <w:sz w:val="16"/>
                <w:szCs w:val="16"/>
                <w:color w:val="auto"/>
              </w:rPr>
              <w:t>Senior Vice President and Chief Accounting Officer</w:t>
            </w:r>
          </w:p>
        </w:tc>
        <w:tc>
          <w:tcPr>
            <w:tcW w:w="1600" w:type="dxa"/>
            <w:vAlign w:val="bottom"/>
          </w:tcPr>
          <w:p>
            <w:pPr>
              <w:jc w:val="center"/>
              <w:ind w:left="179"/>
              <w:spacing w:after="0"/>
              <w:rPr>
                <w:sz w:val="20"/>
                <w:szCs w:val="20"/>
                <w:color w:val="auto"/>
              </w:rPr>
            </w:pPr>
            <w:r>
              <w:rPr>
                <w:rFonts w:ascii="Arial" w:cs="Arial" w:eastAsia="Arial" w:hAnsi="Arial"/>
                <w:sz w:val="16"/>
                <w:szCs w:val="16"/>
                <w:color w:val="auto"/>
              </w:rPr>
              <w:t>February 22, 2018</w:t>
            </w:r>
          </w:p>
        </w:tc>
      </w:tr>
      <w:tr>
        <w:trPr>
          <w:trHeight w:val="662"/>
        </w:trPr>
        <w:tc>
          <w:tcPr>
            <w:tcW w:w="3920" w:type="dxa"/>
            <w:vAlign w:val="bottom"/>
          </w:tcPr>
          <w:p>
            <w:pPr>
              <w:jc w:val="center"/>
              <w:ind w:right="159"/>
              <w:spacing w:after="0"/>
              <w:rPr>
                <w:sz w:val="20"/>
                <w:szCs w:val="20"/>
                <w:color w:val="auto"/>
              </w:rPr>
            </w:pPr>
            <w:r>
              <w:rPr>
                <w:rFonts w:ascii="Arial" w:cs="Arial" w:eastAsia="Arial" w:hAnsi="Arial"/>
                <w:sz w:val="16"/>
                <w:szCs w:val="16"/>
                <w:color w:val="auto"/>
                <w:w w:val="99"/>
              </w:rPr>
              <w:t>Director</w:t>
            </w:r>
          </w:p>
        </w:tc>
        <w:tc>
          <w:tcPr>
            <w:tcW w:w="1600" w:type="dxa"/>
            <w:vAlign w:val="bottom"/>
          </w:tcPr>
          <w:p>
            <w:pPr>
              <w:jc w:val="center"/>
              <w:ind w:left="179"/>
              <w:spacing w:after="0"/>
              <w:rPr>
                <w:sz w:val="20"/>
                <w:szCs w:val="20"/>
                <w:color w:val="auto"/>
              </w:rPr>
            </w:pPr>
            <w:r>
              <w:rPr>
                <w:rFonts w:ascii="Arial" w:cs="Arial" w:eastAsia="Arial" w:hAnsi="Arial"/>
                <w:sz w:val="16"/>
                <w:szCs w:val="16"/>
                <w:color w:val="auto"/>
              </w:rPr>
              <w:t>February 22, 2018</w:t>
            </w:r>
          </w:p>
        </w:tc>
      </w:tr>
      <w:tr>
        <w:trPr>
          <w:trHeight w:val="716"/>
        </w:trPr>
        <w:tc>
          <w:tcPr>
            <w:tcW w:w="3920" w:type="dxa"/>
            <w:vAlign w:val="bottom"/>
          </w:tcPr>
          <w:p>
            <w:pPr>
              <w:jc w:val="center"/>
              <w:ind w:right="159"/>
              <w:spacing w:after="0"/>
              <w:rPr>
                <w:sz w:val="20"/>
                <w:szCs w:val="20"/>
                <w:color w:val="auto"/>
              </w:rPr>
            </w:pPr>
            <w:r>
              <w:rPr>
                <w:rFonts w:ascii="Arial" w:cs="Arial" w:eastAsia="Arial" w:hAnsi="Arial"/>
                <w:sz w:val="16"/>
                <w:szCs w:val="16"/>
                <w:color w:val="auto"/>
                <w:w w:val="99"/>
              </w:rPr>
              <w:t>Director</w:t>
            </w:r>
          </w:p>
        </w:tc>
        <w:tc>
          <w:tcPr>
            <w:tcW w:w="1600" w:type="dxa"/>
            <w:vAlign w:val="bottom"/>
          </w:tcPr>
          <w:p>
            <w:pPr>
              <w:jc w:val="center"/>
              <w:ind w:left="179"/>
              <w:spacing w:after="0"/>
              <w:rPr>
                <w:sz w:val="20"/>
                <w:szCs w:val="20"/>
                <w:color w:val="auto"/>
              </w:rPr>
            </w:pPr>
            <w:r>
              <w:rPr>
                <w:rFonts w:ascii="Arial" w:cs="Arial" w:eastAsia="Arial" w:hAnsi="Arial"/>
                <w:sz w:val="16"/>
                <w:szCs w:val="16"/>
                <w:color w:val="auto"/>
              </w:rPr>
              <w:t>February 22, 2018</w:t>
            </w:r>
          </w:p>
        </w:tc>
      </w:tr>
      <w:tr>
        <w:trPr>
          <w:trHeight w:val="662"/>
        </w:trPr>
        <w:tc>
          <w:tcPr>
            <w:tcW w:w="3920" w:type="dxa"/>
            <w:vAlign w:val="bottom"/>
          </w:tcPr>
          <w:p>
            <w:pPr>
              <w:jc w:val="center"/>
              <w:ind w:right="159"/>
              <w:spacing w:after="0"/>
              <w:rPr>
                <w:sz w:val="20"/>
                <w:szCs w:val="20"/>
                <w:color w:val="auto"/>
              </w:rPr>
            </w:pPr>
            <w:r>
              <w:rPr>
                <w:rFonts w:ascii="Arial" w:cs="Arial" w:eastAsia="Arial" w:hAnsi="Arial"/>
                <w:sz w:val="16"/>
                <w:szCs w:val="16"/>
                <w:color w:val="auto"/>
                <w:w w:val="99"/>
              </w:rPr>
              <w:t>Director</w:t>
            </w:r>
          </w:p>
        </w:tc>
        <w:tc>
          <w:tcPr>
            <w:tcW w:w="1600" w:type="dxa"/>
            <w:vAlign w:val="bottom"/>
          </w:tcPr>
          <w:p>
            <w:pPr>
              <w:jc w:val="center"/>
              <w:ind w:left="179"/>
              <w:spacing w:after="0"/>
              <w:rPr>
                <w:sz w:val="20"/>
                <w:szCs w:val="20"/>
                <w:color w:val="auto"/>
              </w:rPr>
            </w:pPr>
            <w:r>
              <w:rPr>
                <w:rFonts w:ascii="Arial" w:cs="Arial" w:eastAsia="Arial" w:hAnsi="Arial"/>
                <w:sz w:val="16"/>
                <w:szCs w:val="16"/>
                <w:color w:val="auto"/>
              </w:rPr>
              <w:t>February 22, 2018</w:t>
            </w:r>
          </w:p>
        </w:tc>
      </w:tr>
      <w:tr>
        <w:trPr>
          <w:trHeight w:val="662"/>
        </w:trPr>
        <w:tc>
          <w:tcPr>
            <w:tcW w:w="3920" w:type="dxa"/>
            <w:vAlign w:val="bottom"/>
          </w:tcPr>
          <w:p>
            <w:pPr>
              <w:jc w:val="center"/>
              <w:ind w:right="159"/>
              <w:spacing w:after="0"/>
              <w:rPr>
                <w:sz w:val="20"/>
                <w:szCs w:val="20"/>
                <w:color w:val="auto"/>
              </w:rPr>
            </w:pPr>
            <w:r>
              <w:rPr>
                <w:rFonts w:ascii="Arial" w:cs="Arial" w:eastAsia="Arial" w:hAnsi="Arial"/>
                <w:sz w:val="16"/>
                <w:szCs w:val="16"/>
                <w:color w:val="auto"/>
                <w:w w:val="99"/>
              </w:rPr>
              <w:t>Director</w:t>
            </w:r>
          </w:p>
        </w:tc>
        <w:tc>
          <w:tcPr>
            <w:tcW w:w="1600" w:type="dxa"/>
            <w:vAlign w:val="bottom"/>
          </w:tcPr>
          <w:p>
            <w:pPr>
              <w:jc w:val="center"/>
              <w:ind w:left="179"/>
              <w:spacing w:after="0"/>
              <w:rPr>
                <w:sz w:val="20"/>
                <w:szCs w:val="20"/>
                <w:color w:val="auto"/>
              </w:rPr>
            </w:pPr>
            <w:r>
              <w:rPr>
                <w:rFonts w:ascii="Arial" w:cs="Arial" w:eastAsia="Arial" w:hAnsi="Arial"/>
                <w:sz w:val="16"/>
                <w:szCs w:val="16"/>
                <w:color w:val="auto"/>
              </w:rPr>
              <w:t>February 22, 2018</w:t>
            </w:r>
          </w:p>
        </w:tc>
      </w:tr>
      <w:tr>
        <w:trPr>
          <w:trHeight w:val="662"/>
        </w:trPr>
        <w:tc>
          <w:tcPr>
            <w:tcW w:w="3920" w:type="dxa"/>
            <w:vAlign w:val="bottom"/>
          </w:tcPr>
          <w:p>
            <w:pPr>
              <w:jc w:val="center"/>
              <w:ind w:right="159"/>
              <w:spacing w:after="0"/>
              <w:rPr>
                <w:sz w:val="20"/>
                <w:szCs w:val="20"/>
                <w:color w:val="auto"/>
              </w:rPr>
            </w:pPr>
            <w:r>
              <w:rPr>
                <w:rFonts w:ascii="Arial" w:cs="Arial" w:eastAsia="Arial" w:hAnsi="Arial"/>
                <w:sz w:val="16"/>
                <w:szCs w:val="16"/>
                <w:color w:val="auto"/>
                <w:w w:val="99"/>
              </w:rPr>
              <w:t>Director</w:t>
            </w:r>
          </w:p>
        </w:tc>
        <w:tc>
          <w:tcPr>
            <w:tcW w:w="1600" w:type="dxa"/>
            <w:vAlign w:val="bottom"/>
          </w:tcPr>
          <w:p>
            <w:pPr>
              <w:jc w:val="center"/>
              <w:ind w:left="179"/>
              <w:spacing w:after="0"/>
              <w:rPr>
                <w:sz w:val="20"/>
                <w:szCs w:val="20"/>
                <w:color w:val="auto"/>
              </w:rPr>
            </w:pPr>
            <w:r>
              <w:rPr>
                <w:rFonts w:ascii="Arial" w:cs="Arial" w:eastAsia="Arial" w:hAnsi="Arial"/>
                <w:sz w:val="16"/>
                <w:szCs w:val="16"/>
                <w:color w:val="auto"/>
              </w:rPr>
              <w:t>February 22, 2018</w:t>
            </w:r>
          </w:p>
        </w:tc>
      </w:tr>
      <w:tr>
        <w:trPr>
          <w:trHeight w:val="662"/>
        </w:trPr>
        <w:tc>
          <w:tcPr>
            <w:tcW w:w="3920" w:type="dxa"/>
            <w:vAlign w:val="bottom"/>
          </w:tcPr>
          <w:p>
            <w:pPr>
              <w:jc w:val="center"/>
              <w:ind w:right="159"/>
              <w:spacing w:after="0"/>
              <w:rPr>
                <w:sz w:val="20"/>
                <w:szCs w:val="20"/>
                <w:color w:val="auto"/>
              </w:rPr>
            </w:pPr>
            <w:r>
              <w:rPr>
                <w:rFonts w:ascii="Arial" w:cs="Arial" w:eastAsia="Arial" w:hAnsi="Arial"/>
                <w:sz w:val="16"/>
                <w:szCs w:val="16"/>
                <w:color w:val="auto"/>
                <w:w w:val="99"/>
              </w:rPr>
              <w:t>Director</w:t>
            </w:r>
          </w:p>
        </w:tc>
        <w:tc>
          <w:tcPr>
            <w:tcW w:w="1600" w:type="dxa"/>
            <w:vAlign w:val="bottom"/>
          </w:tcPr>
          <w:p>
            <w:pPr>
              <w:jc w:val="center"/>
              <w:ind w:left="179"/>
              <w:spacing w:after="0"/>
              <w:rPr>
                <w:sz w:val="20"/>
                <w:szCs w:val="20"/>
                <w:color w:val="auto"/>
              </w:rPr>
            </w:pPr>
            <w:r>
              <w:rPr>
                <w:rFonts w:ascii="Arial" w:cs="Arial" w:eastAsia="Arial" w:hAnsi="Arial"/>
                <w:sz w:val="16"/>
                <w:szCs w:val="16"/>
                <w:color w:val="auto"/>
              </w:rPr>
              <w:t>February 22, 2018</w:t>
            </w:r>
          </w:p>
        </w:tc>
      </w:tr>
      <w:tr>
        <w:trPr>
          <w:trHeight w:val="662"/>
        </w:trPr>
        <w:tc>
          <w:tcPr>
            <w:tcW w:w="3920" w:type="dxa"/>
            <w:vAlign w:val="bottom"/>
          </w:tcPr>
          <w:p>
            <w:pPr>
              <w:jc w:val="center"/>
              <w:ind w:right="159"/>
              <w:spacing w:after="0"/>
              <w:rPr>
                <w:sz w:val="20"/>
                <w:szCs w:val="20"/>
                <w:color w:val="auto"/>
              </w:rPr>
            </w:pPr>
            <w:r>
              <w:rPr>
                <w:rFonts w:ascii="Arial" w:cs="Arial" w:eastAsia="Arial" w:hAnsi="Arial"/>
                <w:sz w:val="16"/>
                <w:szCs w:val="16"/>
                <w:color w:val="auto"/>
                <w:w w:val="99"/>
              </w:rPr>
              <w:t>Director</w:t>
            </w:r>
          </w:p>
        </w:tc>
        <w:tc>
          <w:tcPr>
            <w:tcW w:w="1600" w:type="dxa"/>
            <w:vAlign w:val="bottom"/>
          </w:tcPr>
          <w:p>
            <w:pPr>
              <w:jc w:val="center"/>
              <w:ind w:left="179"/>
              <w:spacing w:after="0"/>
              <w:rPr>
                <w:sz w:val="20"/>
                <w:szCs w:val="20"/>
                <w:color w:val="auto"/>
              </w:rPr>
            </w:pPr>
            <w:r>
              <w:rPr>
                <w:rFonts w:ascii="Arial" w:cs="Arial" w:eastAsia="Arial" w:hAnsi="Arial"/>
                <w:sz w:val="16"/>
                <w:szCs w:val="16"/>
                <w:color w:val="auto"/>
              </w:rPr>
              <w:t>February 22, 2018</w:t>
            </w:r>
          </w:p>
        </w:tc>
      </w:tr>
      <w:tr>
        <w:trPr>
          <w:trHeight w:val="662"/>
        </w:trPr>
        <w:tc>
          <w:tcPr>
            <w:tcW w:w="3920" w:type="dxa"/>
            <w:vAlign w:val="bottom"/>
          </w:tcPr>
          <w:p>
            <w:pPr>
              <w:jc w:val="center"/>
              <w:ind w:right="159"/>
              <w:spacing w:after="0"/>
              <w:rPr>
                <w:sz w:val="20"/>
                <w:szCs w:val="20"/>
                <w:color w:val="auto"/>
              </w:rPr>
            </w:pPr>
            <w:r>
              <w:rPr>
                <w:rFonts w:ascii="Arial" w:cs="Arial" w:eastAsia="Arial" w:hAnsi="Arial"/>
                <w:sz w:val="16"/>
                <w:szCs w:val="16"/>
                <w:color w:val="auto"/>
              </w:rPr>
              <w:t>Executive Chairman of the Board of Directors</w:t>
            </w:r>
          </w:p>
        </w:tc>
        <w:tc>
          <w:tcPr>
            <w:tcW w:w="1600" w:type="dxa"/>
            <w:vAlign w:val="bottom"/>
          </w:tcPr>
          <w:p>
            <w:pPr>
              <w:jc w:val="center"/>
              <w:ind w:left="179"/>
              <w:spacing w:after="0"/>
              <w:rPr>
                <w:sz w:val="20"/>
                <w:szCs w:val="20"/>
                <w:color w:val="auto"/>
              </w:rPr>
            </w:pPr>
            <w:r>
              <w:rPr>
                <w:rFonts w:ascii="Arial" w:cs="Arial" w:eastAsia="Arial" w:hAnsi="Arial"/>
                <w:sz w:val="16"/>
                <w:szCs w:val="16"/>
                <w:color w:val="auto"/>
              </w:rPr>
              <w:t>February 22, 2018</w:t>
            </w:r>
          </w:p>
        </w:tc>
      </w:tr>
      <w:tr>
        <w:trPr>
          <w:trHeight w:val="675"/>
        </w:trPr>
        <w:tc>
          <w:tcPr>
            <w:tcW w:w="3920" w:type="dxa"/>
            <w:vAlign w:val="bottom"/>
          </w:tcPr>
          <w:p>
            <w:pPr>
              <w:jc w:val="center"/>
              <w:ind w:right="159"/>
              <w:spacing w:after="0"/>
              <w:rPr>
                <w:sz w:val="20"/>
                <w:szCs w:val="20"/>
                <w:color w:val="auto"/>
              </w:rPr>
            </w:pPr>
            <w:r>
              <w:rPr>
                <w:rFonts w:ascii="Arial" w:cs="Arial" w:eastAsia="Arial" w:hAnsi="Arial"/>
                <w:sz w:val="16"/>
                <w:szCs w:val="16"/>
                <w:color w:val="auto"/>
                <w:w w:val="99"/>
              </w:rPr>
              <w:t>Director</w:t>
            </w:r>
          </w:p>
        </w:tc>
        <w:tc>
          <w:tcPr>
            <w:tcW w:w="1600" w:type="dxa"/>
            <w:vAlign w:val="bottom"/>
          </w:tcPr>
          <w:p>
            <w:pPr>
              <w:jc w:val="center"/>
              <w:ind w:left="179"/>
              <w:spacing w:after="0"/>
              <w:rPr>
                <w:sz w:val="20"/>
                <w:szCs w:val="20"/>
                <w:color w:val="auto"/>
              </w:rPr>
            </w:pPr>
            <w:r>
              <w:rPr>
                <w:rFonts w:ascii="Arial" w:cs="Arial" w:eastAsia="Arial" w:hAnsi="Arial"/>
                <w:sz w:val="16"/>
                <w:szCs w:val="16"/>
                <w:color w:val="auto"/>
              </w:rPr>
              <w:t>February 22, 2018</w:t>
            </w:r>
          </w:p>
        </w:tc>
      </w:tr>
      <w:tr>
        <w:trPr>
          <w:trHeight w:val="729"/>
        </w:trPr>
        <w:tc>
          <w:tcPr>
            <w:tcW w:w="3920" w:type="dxa"/>
            <w:vAlign w:val="bottom"/>
          </w:tcPr>
          <w:p>
            <w:pPr>
              <w:jc w:val="center"/>
              <w:ind w:right="159"/>
              <w:spacing w:after="0"/>
              <w:rPr>
                <w:sz w:val="20"/>
                <w:szCs w:val="20"/>
                <w:color w:val="auto"/>
              </w:rPr>
            </w:pPr>
            <w:r>
              <w:rPr>
                <w:rFonts w:ascii="Arial" w:cs="Arial" w:eastAsia="Arial" w:hAnsi="Arial"/>
                <w:sz w:val="16"/>
                <w:szCs w:val="16"/>
                <w:color w:val="auto"/>
                <w:w w:val="99"/>
              </w:rPr>
              <w:t>Director</w:t>
            </w:r>
          </w:p>
        </w:tc>
        <w:tc>
          <w:tcPr>
            <w:tcW w:w="1600" w:type="dxa"/>
            <w:vAlign w:val="bottom"/>
          </w:tcPr>
          <w:p>
            <w:pPr>
              <w:jc w:val="center"/>
              <w:ind w:left="179"/>
              <w:spacing w:after="0"/>
              <w:rPr>
                <w:sz w:val="20"/>
                <w:szCs w:val="20"/>
                <w:color w:val="auto"/>
              </w:rPr>
            </w:pPr>
            <w:r>
              <w:rPr>
                <w:rFonts w:ascii="Arial" w:cs="Arial" w:eastAsia="Arial" w:hAnsi="Arial"/>
                <w:sz w:val="16"/>
                <w:szCs w:val="16"/>
                <w:color w:val="auto"/>
              </w:rPr>
              <w:t>February 22, 2018</w:t>
            </w:r>
          </w:p>
        </w:tc>
      </w:tr>
      <w:tr>
        <w:trPr>
          <w:trHeight w:val="716"/>
        </w:trPr>
        <w:tc>
          <w:tcPr>
            <w:tcW w:w="3920" w:type="dxa"/>
            <w:vAlign w:val="bottom"/>
          </w:tcPr>
          <w:p>
            <w:pPr>
              <w:jc w:val="center"/>
              <w:ind w:right="159"/>
              <w:spacing w:after="0"/>
              <w:rPr>
                <w:sz w:val="20"/>
                <w:szCs w:val="20"/>
                <w:color w:val="auto"/>
              </w:rPr>
            </w:pPr>
            <w:r>
              <w:rPr>
                <w:rFonts w:ascii="Arial" w:cs="Arial" w:eastAsia="Arial" w:hAnsi="Arial"/>
                <w:sz w:val="16"/>
                <w:szCs w:val="16"/>
                <w:color w:val="auto"/>
                <w:w w:val="99"/>
              </w:rPr>
              <w:t>Director</w:t>
            </w:r>
          </w:p>
        </w:tc>
        <w:tc>
          <w:tcPr>
            <w:tcW w:w="1600" w:type="dxa"/>
            <w:vAlign w:val="bottom"/>
          </w:tcPr>
          <w:p>
            <w:pPr>
              <w:jc w:val="center"/>
              <w:ind w:left="179"/>
              <w:spacing w:after="0"/>
              <w:rPr>
                <w:sz w:val="20"/>
                <w:szCs w:val="20"/>
                <w:color w:val="auto"/>
              </w:rPr>
            </w:pPr>
            <w:r>
              <w:rPr>
                <w:rFonts w:ascii="Arial" w:cs="Arial" w:eastAsia="Arial" w:hAnsi="Arial"/>
                <w:sz w:val="16"/>
                <w:szCs w:val="16"/>
                <w:color w:val="auto"/>
              </w:rPr>
              <w:t>February 22, 2018</w:t>
            </w:r>
          </w:p>
        </w:tc>
      </w:tr>
    </w:tbl>
    <w:p>
      <w:pPr>
        <w:spacing w:after="0" w:line="486" w:lineRule="exact"/>
        <w:rPr>
          <w:sz w:val="20"/>
          <w:szCs w:val="20"/>
          <w:color w:val="auto"/>
        </w:rPr>
      </w:pPr>
    </w:p>
    <w:p>
      <w:pPr>
        <w:sectPr>
          <w:pgSz w:w="11900" w:h="16838" w:orient="portrait"/>
          <w:cols w:equalWidth="0" w:num="2">
            <w:col w:w="4940" w:space="720"/>
            <w:col w:w="5580"/>
          </w:cols>
          <w:pgMar w:left="240" w:top="140" w:right="419" w:bottom="1440" w:gutter="0" w:footer="0" w:header="0"/>
          <w:type w:val="continuous"/>
        </w:sectPr>
      </w:pPr>
    </w:p>
    <w:p>
      <w:pPr>
        <w:spacing w:after="0" w:line="72" w:lineRule="exact"/>
        <w:rPr>
          <w:sz w:val="20"/>
          <w:szCs w:val="20"/>
          <w:color w:val="auto"/>
        </w:rPr>
      </w:pPr>
    </w:p>
    <w:p>
      <w:pPr>
        <w:jc w:val="center"/>
        <w:ind w:right="-199"/>
        <w:spacing w:after="0"/>
        <w:rPr>
          <w:sz w:val="20"/>
          <w:szCs w:val="20"/>
          <w:color w:val="auto"/>
        </w:rPr>
      </w:pPr>
      <w:r>
        <w:rPr>
          <w:rFonts w:ascii="Arial" w:cs="Arial" w:eastAsia="Arial" w:hAnsi="Arial"/>
          <w:sz w:val="17"/>
          <w:szCs w:val="17"/>
          <w:color w:val="auto"/>
        </w:rPr>
        <w:t>64</w:t>
      </w:r>
    </w:p>
    <w:p>
      <w:pPr>
        <w:sectPr>
          <w:pgSz w:w="11900" w:h="16838" w:orient="portrait"/>
          <w:cols w:equalWidth="0" w:num="1">
            <w:col w:w="11240"/>
          </w:cols>
          <w:pgMar w:left="240" w:top="140" w:right="419" w:bottom="1440" w:gutter="0" w:footer="0" w:header="0"/>
          <w:type w:val="continuous"/>
        </w:sectPr>
      </w:pPr>
    </w:p>
    <w:bookmarkStart w:id="66" w:name="page67"/>
    <w:bookmarkEnd w:id="6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0"/>
        <w:spacing w:after="0"/>
        <w:rPr>
          <w:rFonts w:ascii="Arial" w:cs="Arial" w:eastAsia="Arial" w:hAnsi="Arial"/>
          <w:sz w:val="18"/>
          <w:szCs w:val="18"/>
          <w:u w:val="single" w:color="auto"/>
          <w:color w:val="0000EE"/>
        </w:rPr>
      </w:pPr>
      <w:hyperlink w:anchor="page68">
        <w:r>
          <w:rPr>
            <w:rFonts w:ascii="Arial" w:cs="Arial" w:eastAsia="Arial" w:hAnsi="Arial"/>
            <w:sz w:val="18"/>
            <w:szCs w:val="18"/>
            <w:u w:val="single" w:color="auto"/>
            <w:color w:val="0000EE"/>
          </w:rPr>
          <w:t>Report of Independent Registered Public Accounting Firm</w:t>
        </w:r>
      </w:hyperlink>
    </w:p>
    <w:p>
      <w:pPr>
        <w:spacing w:after="0" w:line="374" w:lineRule="exact"/>
        <w:rPr>
          <w:sz w:val="20"/>
          <w:szCs w:val="20"/>
          <w:color w:val="auto"/>
        </w:rPr>
      </w:pPr>
    </w:p>
    <w:p>
      <w:pPr>
        <w:ind w:left="40"/>
        <w:spacing w:after="0"/>
        <w:rPr>
          <w:rFonts w:ascii="Arial" w:cs="Arial" w:eastAsia="Arial" w:hAnsi="Arial"/>
          <w:sz w:val="18"/>
          <w:szCs w:val="18"/>
          <w:u w:val="single" w:color="auto"/>
          <w:color w:val="0000EE"/>
        </w:rPr>
      </w:pPr>
      <w:hyperlink w:anchor="page69">
        <w:r>
          <w:rPr>
            <w:rFonts w:ascii="Arial" w:cs="Arial" w:eastAsia="Arial" w:hAnsi="Arial"/>
            <w:sz w:val="18"/>
            <w:szCs w:val="18"/>
            <w:u w:val="single" w:color="auto"/>
            <w:color w:val="0000EE"/>
          </w:rPr>
          <w:t>Consolidated Statements of Operations for the years ended December 31, 2017, 2016 and 2015</w:t>
        </w:r>
      </w:hyperlink>
    </w:p>
    <w:p>
      <w:pPr>
        <w:spacing w:after="0" w:line="374" w:lineRule="exact"/>
        <w:rPr>
          <w:sz w:val="20"/>
          <w:szCs w:val="20"/>
          <w:color w:val="auto"/>
        </w:rPr>
      </w:pPr>
    </w:p>
    <w:p>
      <w:pPr>
        <w:ind w:left="40"/>
        <w:spacing w:after="0"/>
        <w:rPr>
          <w:rFonts w:ascii="Arial" w:cs="Arial" w:eastAsia="Arial" w:hAnsi="Arial"/>
          <w:sz w:val="18"/>
          <w:szCs w:val="18"/>
          <w:u w:val="single" w:color="auto"/>
          <w:color w:val="0000EE"/>
        </w:rPr>
      </w:pPr>
      <w:hyperlink w:anchor="page70">
        <w:r>
          <w:rPr>
            <w:rFonts w:ascii="Arial" w:cs="Arial" w:eastAsia="Arial" w:hAnsi="Arial"/>
            <w:sz w:val="18"/>
            <w:szCs w:val="18"/>
            <w:u w:val="single" w:color="auto"/>
            <w:color w:val="0000EE"/>
          </w:rPr>
          <w:t>Consolidated Statements of Comprehensive Income for the years ended December 31, 2017, 2016 and 2015</w:t>
        </w:r>
      </w:hyperlink>
    </w:p>
    <w:p>
      <w:pPr>
        <w:spacing w:after="0" w:line="374" w:lineRule="exact"/>
        <w:rPr>
          <w:sz w:val="20"/>
          <w:szCs w:val="20"/>
          <w:color w:val="auto"/>
        </w:rPr>
      </w:pPr>
    </w:p>
    <w:p>
      <w:pPr>
        <w:ind w:left="40"/>
        <w:spacing w:after="0"/>
        <w:rPr>
          <w:rFonts w:ascii="Arial" w:cs="Arial" w:eastAsia="Arial" w:hAnsi="Arial"/>
          <w:sz w:val="18"/>
          <w:szCs w:val="18"/>
          <w:u w:val="single" w:color="auto"/>
          <w:color w:val="0000EE"/>
        </w:rPr>
      </w:pPr>
      <w:hyperlink w:anchor="page71">
        <w:r>
          <w:rPr>
            <w:rFonts w:ascii="Arial" w:cs="Arial" w:eastAsia="Arial" w:hAnsi="Arial"/>
            <w:sz w:val="18"/>
            <w:szCs w:val="18"/>
            <w:u w:val="single" w:color="auto"/>
            <w:color w:val="0000EE"/>
          </w:rPr>
          <w:t>Consolidated Balance Sheets as of December 31, 2017 and 2016</w:t>
        </w:r>
      </w:hyperlink>
    </w:p>
    <w:p>
      <w:pPr>
        <w:spacing w:after="0" w:line="374" w:lineRule="exact"/>
        <w:rPr>
          <w:sz w:val="20"/>
          <w:szCs w:val="20"/>
          <w:color w:val="auto"/>
        </w:rPr>
      </w:pPr>
    </w:p>
    <w:p>
      <w:pPr>
        <w:ind w:left="40"/>
        <w:spacing w:after="0"/>
        <w:rPr>
          <w:rFonts w:ascii="Arial" w:cs="Arial" w:eastAsia="Arial" w:hAnsi="Arial"/>
          <w:sz w:val="18"/>
          <w:szCs w:val="18"/>
          <w:u w:val="single" w:color="auto"/>
          <w:color w:val="0000EE"/>
        </w:rPr>
      </w:pPr>
      <w:hyperlink w:anchor="page72">
        <w:r>
          <w:rPr>
            <w:rFonts w:ascii="Arial" w:cs="Arial" w:eastAsia="Arial" w:hAnsi="Arial"/>
            <w:sz w:val="18"/>
            <w:szCs w:val="18"/>
            <w:u w:val="single" w:color="auto"/>
            <w:color w:val="0000EE"/>
          </w:rPr>
          <w:t>Consolidated Statements of Cash Flows for the years ended December 31, 2017, 2016 and 2015</w:t>
        </w:r>
      </w:hyperlink>
    </w:p>
    <w:p>
      <w:pPr>
        <w:spacing w:after="0" w:line="374" w:lineRule="exact"/>
        <w:rPr>
          <w:sz w:val="20"/>
          <w:szCs w:val="20"/>
          <w:color w:val="auto"/>
        </w:rPr>
      </w:pPr>
    </w:p>
    <w:p>
      <w:pPr>
        <w:ind w:left="40"/>
        <w:spacing w:after="0"/>
        <w:rPr>
          <w:rFonts w:ascii="Arial" w:cs="Arial" w:eastAsia="Arial" w:hAnsi="Arial"/>
          <w:sz w:val="18"/>
          <w:szCs w:val="18"/>
          <w:u w:val="single" w:color="auto"/>
          <w:color w:val="0000EE"/>
        </w:rPr>
      </w:pPr>
      <w:hyperlink w:anchor="page74">
        <w:r>
          <w:rPr>
            <w:rFonts w:ascii="Arial" w:cs="Arial" w:eastAsia="Arial" w:hAnsi="Arial"/>
            <w:sz w:val="18"/>
            <w:szCs w:val="18"/>
            <w:u w:val="single" w:color="auto"/>
            <w:color w:val="0000EE"/>
          </w:rPr>
          <w:t>Consolidated Statements of Stockholders’ Equity for the years ended December 31, 2017, 2016 and 2015</w:t>
        </w:r>
      </w:hyperlink>
    </w:p>
    <w:p>
      <w:pPr>
        <w:spacing w:after="0" w:line="374" w:lineRule="exact"/>
        <w:rPr>
          <w:sz w:val="20"/>
          <w:szCs w:val="20"/>
          <w:color w:val="auto"/>
        </w:rPr>
      </w:pPr>
    </w:p>
    <w:p>
      <w:pPr>
        <w:ind w:left="40"/>
        <w:spacing w:after="0"/>
        <w:rPr>
          <w:rFonts w:ascii="Arial" w:cs="Arial" w:eastAsia="Arial" w:hAnsi="Arial"/>
          <w:sz w:val="18"/>
          <w:szCs w:val="18"/>
          <w:u w:val="single" w:color="auto"/>
          <w:color w:val="0000EE"/>
        </w:rPr>
      </w:pPr>
      <w:hyperlink w:anchor="page75">
        <w:r>
          <w:rPr>
            <w:rFonts w:ascii="Arial" w:cs="Arial" w:eastAsia="Arial" w:hAnsi="Arial"/>
            <w:sz w:val="18"/>
            <w:szCs w:val="18"/>
            <w:u w:val="single" w:color="auto"/>
            <w:color w:val="0000EE"/>
          </w:rPr>
          <w:t>Notes to Consolidated Financial Statements</w:t>
        </w:r>
      </w:hyperlink>
    </w:p>
    <w:p>
      <w:pPr>
        <w:spacing w:after="0" w:line="266"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-324485</wp:posOffset>
            </wp:positionH>
            <wp:positionV relativeFrom="paragraph">
              <wp:posOffset>28575</wp:posOffset>
            </wp:positionV>
            <wp:extent cx="9347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934720" cy="8890"/>
                    </a:xfrm>
                    <a:prstGeom prst="rect">
                      <a:avLst/>
                    </a:prstGeom>
                    <a:noFill/>
                  </pic:spPr>
                </pic:pic>
              </a:graphicData>
            </a:graphic>
          </wp:anchor>
        </w:drawing>
      </w:r>
    </w:p>
    <w:p>
      <w:pPr>
        <w:spacing w:after="0" w:line="389" w:lineRule="exact"/>
        <w:rPr>
          <w:sz w:val="20"/>
          <w:szCs w:val="20"/>
          <w:color w:val="auto"/>
        </w:rPr>
      </w:pPr>
    </w:p>
    <w:p>
      <w:pPr>
        <w:jc w:val="right"/>
        <w:spacing w:after="0"/>
        <w:rPr>
          <w:rFonts w:ascii="Arial" w:cs="Arial" w:eastAsia="Arial" w:hAnsi="Arial"/>
          <w:sz w:val="18"/>
          <w:szCs w:val="18"/>
          <w:u w:val="single" w:color="auto"/>
          <w:color w:val="0000EE"/>
        </w:rPr>
      </w:pPr>
      <w:hyperlink w:anchor="page68">
        <w:r>
          <w:rPr>
            <w:rFonts w:ascii="Arial" w:cs="Arial" w:eastAsia="Arial" w:hAnsi="Arial"/>
            <w:sz w:val="18"/>
            <w:szCs w:val="18"/>
            <w:u w:val="single" w:color="auto"/>
            <w:color w:val="0000EE"/>
          </w:rPr>
          <w:t>F-2</w:t>
        </w:r>
      </w:hyperlink>
    </w:p>
    <w:p>
      <w:pPr>
        <w:spacing w:after="0" w:line="374" w:lineRule="exact"/>
        <w:rPr>
          <w:sz w:val="20"/>
          <w:szCs w:val="20"/>
          <w:color w:val="auto"/>
        </w:rPr>
      </w:pPr>
    </w:p>
    <w:p>
      <w:pPr>
        <w:jc w:val="right"/>
        <w:spacing w:after="0"/>
        <w:rPr>
          <w:rFonts w:ascii="Arial" w:cs="Arial" w:eastAsia="Arial" w:hAnsi="Arial"/>
          <w:sz w:val="18"/>
          <w:szCs w:val="18"/>
          <w:u w:val="single" w:color="auto"/>
          <w:color w:val="0000EE"/>
        </w:rPr>
      </w:pPr>
      <w:hyperlink w:anchor="page69">
        <w:r>
          <w:rPr>
            <w:rFonts w:ascii="Arial" w:cs="Arial" w:eastAsia="Arial" w:hAnsi="Arial"/>
            <w:sz w:val="18"/>
            <w:szCs w:val="18"/>
            <w:u w:val="single" w:color="auto"/>
            <w:color w:val="0000EE"/>
          </w:rPr>
          <w:t>F-3</w:t>
        </w:r>
      </w:hyperlink>
    </w:p>
    <w:p>
      <w:pPr>
        <w:spacing w:after="0" w:line="374" w:lineRule="exact"/>
        <w:rPr>
          <w:sz w:val="20"/>
          <w:szCs w:val="20"/>
          <w:color w:val="auto"/>
        </w:rPr>
      </w:pPr>
    </w:p>
    <w:p>
      <w:pPr>
        <w:jc w:val="right"/>
        <w:spacing w:after="0"/>
        <w:rPr>
          <w:rFonts w:ascii="Arial" w:cs="Arial" w:eastAsia="Arial" w:hAnsi="Arial"/>
          <w:sz w:val="18"/>
          <w:szCs w:val="18"/>
          <w:u w:val="single" w:color="auto"/>
          <w:color w:val="0000EE"/>
        </w:rPr>
      </w:pPr>
      <w:hyperlink w:anchor="page70">
        <w:r>
          <w:rPr>
            <w:rFonts w:ascii="Arial" w:cs="Arial" w:eastAsia="Arial" w:hAnsi="Arial"/>
            <w:sz w:val="18"/>
            <w:szCs w:val="18"/>
            <w:u w:val="single" w:color="auto"/>
            <w:color w:val="0000EE"/>
          </w:rPr>
          <w:t>F-4</w:t>
        </w:r>
      </w:hyperlink>
    </w:p>
    <w:p>
      <w:pPr>
        <w:spacing w:after="0" w:line="374" w:lineRule="exact"/>
        <w:rPr>
          <w:sz w:val="20"/>
          <w:szCs w:val="20"/>
          <w:color w:val="auto"/>
        </w:rPr>
      </w:pPr>
    </w:p>
    <w:p>
      <w:pPr>
        <w:jc w:val="right"/>
        <w:spacing w:after="0"/>
        <w:rPr>
          <w:rFonts w:ascii="Arial" w:cs="Arial" w:eastAsia="Arial" w:hAnsi="Arial"/>
          <w:sz w:val="18"/>
          <w:szCs w:val="18"/>
          <w:u w:val="single" w:color="auto"/>
          <w:color w:val="0000EE"/>
        </w:rPr>
      </w:pPr>
      <w:hyperlink w:anchor="page71">
        <w:r>
          <w:rPr>
            <w:rFonts w:ascii="Arial" w:cs="Arial" w:eastAsia="Arial" w:hAnsi="Arial"/>
            <w:sz w:val="18"/>
            <w:szCs w:val="18"/>
            <w:u w:val="single" w:color="auto"/>
            <w:color w:val="0000EE"/>
          </w:rPr>
          <w:t>F-5</w:t>
        </w:r>
      </w:hyperlink>
    </w:p>
    <w:p>
      <w:pPr>
        <w:spacing w:after="0" w:line="374" w:lineRule="exact"/>
        <w:rPr>
          <w:sz w:val="20"/>
          <w:szCs w:val="20"/>
          <w:color w:val="auto"/>
        </w:rPr>
      </w:pPr>
    </w:p>
    <w:p>
      <w:pPr>
        <w:jc w:val="right"/>
        <w:spacing w:after="0"/>
        <w:rPr>
          <w:rFonts w:ascii="Arial" w:cs="Arial" w:eastAsia="Arial" w:hAnsi="Arial"/>
          <w:sz w:val="18"/>
          <w:szCs w:val="18"/>
          <w:u w:val="single" w:color="auto"/>
          <w:color w:val="0000EE"/>
        </w:rPr>
      </w:pPr>
      <w:hyperlink w:anchor="page72">
        <w:r>
          <w:rPr>
            <w:rFonts w:ascii="Arial" w:cs="Arial" w:eastAsia="Arial" w:hAnsi="Arial"/>
            <w:sz w:val="18"/>
            <w:szCs w:val="18"/>
            <w:u w:val="single" w:color="auto"/>
            <w:color w:val="0000EE"/>
          </w:rPr>
          <w:t>F-6</w:t>
        </w:r>
      </w:hyperlink>
    </w:p>
    <w:p>
      <w:pPr>
        <w:spacing w:after="0" w:line="374" w:lineRule="exact"/>
        <w:rPr>
          <w:sz w:val="20"/>
          <w:szCs w:val="20"/>
          <w:color w:val="auto"/>
        </w:rPr>
      </w:pPr>
    </w:p>
    <w:p>
      <w:pPr>
        <w:jc w:val="right"/>
        <w:spacing w:after="0"/>
        <w:rPr>
          <w:rFonts w:ascii="Arial" w:cs="Arial" w:eastAsia="Arial" w:hAnsi="Arial"/>
          <w:sz w:val="18"/>
          <w:szCs w:val="18"/>
          <w:u w:val="single" w:color="auto"/>
          <w:color w:val="0000EE"/>
        </w:rPr>
      </w:pPr>
      <w:hyperlink w:anchor="page74">
        <w:r>
          <w:rPr>
            <w:rFonts w:ascii="Arial" w:cs="Arial" w:eastAsia="Arial" w:hAnsi="Arial"/>
            <w:sz w:val="18"/>
            <w:szCs w:val="18"/>
            <w:u w:val="single" w:color="auto"/>
            <w:color w:val="0000EE"/>
          </w:rPr>
          <w:t>F-8</w:t>
        </w:r>
      </w:hyperlink>
    </w:p>
    <w:p>
      <w:pPr>
        <w:spacing w:after="0" w:line="374" w:lineRule="exact"/>
        <w:rPr>
          <w:sz w:val="20"/>
          <w:szCs w:val="20"/>
          <w:color w:val="auto"/>
        </w:rPr>
      </w:pPr>
    </w:p>
    <w:p>
      <w:pPr>
        <w:jc w:val="right"/>
        <w:spacing w:after="0"/>
        <w:rPr>
          <w:rFonts w:ascii="Arial" w:cs="Arial" w:eastAsia="Arial" w:hAnsi="Arial"/>
          <w:sz w:val="18"/>
          <w:szCs w:val="18"/>
          <w:u w:val="single" w:color="auto"/>
          <w:color w:val="0000EE"/>
        </w:rPr>
      </w:pPr>
      <w:hyperlink w:anchor="page75">
        <w:r>
          <w:rPr>
            <w:rFonts w:ascii="Arial" w:cs="Arial" w:eastAsia="Arial" w:hAnsi="Arial"/>
            <w:sz w:val="18"/>
            <w:szCs w:val="18"/>
            <w:u w:val="single" w:color="auto"/>
            <w:color w:val="0000EE"/>
          </w:rPr>
          <w:t>F-9</w:t>
        </w:r>
      </w:hyperlink>
    </w:p>
    <w:p>
      <w:pPr>
        <w:sectPr>
          <w:pgSz w:w="11900" w:h="16838" w:orient="portrait"/>
          <w:cols w:equalWidth="0" w:num="2">
            <w:col w:w="9740" w:space="720"/>
            <w:col w:w="940"/>
          </w:cols>
          <w:pgMar w:left="240" w:top="140" w:right="25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Avis Budget Group,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Parsippany, New Jersey</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4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have audited the accompanying consolidated balance sheets of Avis Budget Group, Inc. and subsidiaries (the "Company") as of December 31, 2017 and 2016, and the related consolidated statements of operations, comprehensive income, stockholders' equity, and cash flows for each of the three years in the period ended December 31, 2017, and the related notes and the schedule listed in the Index at Item 15 (collectively referred to as the “financial statements”). In our opinion, the financial statements present fairly, in all material respects, the financial position of the Company as of December 31, 2017 and 2016, and the results of its operations and its cash flows for each of the three years in the period ended December 31, 2017, in conformity with accounting principles generally accepted in the United States of America.</w:t>
      </w:r>
    </w:p>
    <w:p>
      <w:pPr>
        <w:spacing w:after="0" w:line="209" w:lineRule="exact"/>
        <w:rPr>
          <w:sz w:val="20"/>
          <w:szCs w:val="20"/>
          <w:color w:val="auto"/>
        </w:rPr>
      </w:pPr>
    </w:p>
    <w:p>
      <w:pPr>
        <w:ind w:right="360"/>
        <w:spacing w:after="0" w:line="254" w:lineRule="auto"/>
        <w:rPr>
          <w:sz w:val="20"/>
          <w:szCs w:val="20"/>
          <w:color w:val="auto"/>
        </w:rPr>
      </w:pPr>
      <w:r>
        <w:rPr>
          <w:rFonts w:ascii="Arial" w:cs="Arial" w:eastAsia="Arial" w:hAnsi="Arial"/>
          <w:sz w:val="18"/>
          <w:szCs w:val="18"/>
          <w:color w:val="auto"/>
        </w:rPr>
        <w:t xml:space="preserve">We have also audited, in accordance with the standards of the Public Company Accounting Oversight Board (United States) (PCAOB), the Company's internal control over financial reporting as of December 31, 2017, based on criteria established in </w:t>
      </w:r>
      <w:r>
        <w:rPr>
          <w:rFonts w:ascii="Arial" w:cs="Arial" w:eastAsia="Arial" w:hAnsi="Arial"/>
          <w:sz w:val="18"/>
          <w:szCs w:val="18"/>
          <w:i w:val="1"/>
          <w:iCs w:val="1"/>
          <w:color w:val="auto"/>
        </w:rPr>
        <w:t>Internal Control - Integrated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Framework (2013) </w:t>
      </w:r>
      <w:r>
        <w:rPr>
          <w:rFonts w:ascii="Arial" w:cs="Arial" w:eastAsia="Arial" w:hAnsi="Arial"/>
          <w:sz w:val="18"/>
          <w:szCs w:val="18"/>
          <w:color w:val="auto"/>
        </w:rPr>
        <w:t>issued by the Committee of Sponsoring Organizations of the Treadway Commission and our report dated February 22,</w:t>
      </w:r>
      <w:r>
        <w:rPr>
          <w:rFonts w:ascii="Arial" w:cs="Arial" w:eastAsia="Arial" w:hAnsi="Arial"/>
          <w:sz w:val="18"/>
          <w:szCs w:val="18"/>
          <w:i w:val="1"/>
          <w:iCs w:val="1"/>
          <w:color w:val="auto"/>
        </w:rPr>
        <w:t xml:space="preserve"> </w:t>
      </w:r>
      <w:r>
        <w:rPr>
          <w:rFonts w:ascii="Arial" w:cs="Arial" w:eastAsia="Arial" w:hAnsi="Arial"/>
          <w:sz w:val="18"/>
          <w:szCs w:val="18"/>
          <w:color w:val="auto"/>
        </w:rPr>
        <w:t>2018, expressed an unqualified opinion on the Company's internal control over financial reporting.</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47"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04"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22,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1997.</w:t>
      </w: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380"/>
          </w:cols>
          <w:pgMar w:left="240" w:top="140" w:right="27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jc w:val="center"/>
        <w:ind w:right="-419"/>
        <w:spacing w:after="0"/>
        <w:rPr>
          <w:sz w:val="20"/>
          <w:szCs w:val="20"/>
          <w:color w:val="auto"/>
        </w:rPr>
      </w:pPr>
      <w:r>
        <w:rPr>
          <w:rFonts w:ascii="Arial" w:cs="Arial" w:eastAsia="Arial" w:hAnsi="Arial"/>
          <w:sz w:val="18"/>
          <w:szCs w:val="18"/>
          <w:b w:val="1"/>
          <w:bCs w:val="1"/>
          <w:color w:val="auto"/>
        </w:rPr>
        <w:t>Avis Budget Group, Inc.</w:t>
      </w:r>
    </w:p>
    <w:p>
      <w:pPr>
        <w:spacing w:after="0" w:line="31" w:lineRule="exact"/>
        <w:rPr>
          <w:sz w:val="20"/>
          <w:szCs w:val="20"/>
          <w:color w:val="auto"/>
        </w:rPr>
      </w:pPr>
    </w:p>
    <w:p>
      <w:pPr>
        <w:jc w:val="center"/>
        <w:ind w:right="-419"/>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ind w:right="-419"/>
        <w:spacing w:after="0"/>
        <w:rPr>
          <w:sz w:val="20"/>
          <w:szCs w:val="20"/>
          <w:color w:val="auto"/>
        </w:rPr>
      </w:pPr>
      <w:r>
        <w:rPr>
          <w:rFonts w:ascii="Arial" w:cs="Arial" w:eastAsia="Arial" w:hAnsi="Arial"/>
          <w:sz w:val="18"/>
          <w:szCs w:val="18"/>
          <w:b w:val="1"/>
          <w:bCs w:val="1"/>
          <w:color w:val="auto"/>
        </w:rPr>
        <w:t>(In millions, except per share data)</w:t>
      </w:r>
    </w:p>
    <w:p>
      <w:pPr>
        <w:spacing w:after="0" w:line="379" w:lineRule="exact"/>
        <w:rPr>
          <w:sz w:val="20"/>
          <w:szCs w:val="20"/>
          <w:color w:val="auto"/>
        </w:rPr>
      </w:pPr>
    </w:p>
    <w:tbl>
      <w:tblPr>
        <w:tblLayout w:type="fixed"/>
        <w:tblInd w:w="40" w:type="dxa"/>
        <w:tblCellMar>
          <w:top w:w="0" w:type="dxa"/>
          <w:left w:w="0" w:type="dxa"/>
          <w:bottom w:w="0" w:type="dxa"/>
          <w:right w:w="0" w:type="dxa"/>
        </w:tblCellMar>
      </w:tblPr>
      <w:tr>
        <w:trPr>
          <w:trHeight w:val="246"/>
        </w:trPr>
        <w:tc>
          <w:tcPr>
            <w:tcW w:w="728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3420" w:type="dxa"/>
            <w:vAlign w:val="bottom"/>
            <w:tcBorders>
              <w:bottom w:val="single" w:sz="8" w:color="auto"/>
            </w:tcBorders>
            <w:gridSpan w:val="7"/>
          </w:tcPr>
          <w:p>
            <w:pPr>
              <w:jc w:val="right"/>
              <w:ind w:right="630"/>
              <w:spacing w:after="0"/>
              <w:rPr>
                <w:sz w:val="20"/>
                <w:szCs w:val="20"/>
                <w:color w:val="auto"/>
              </w:rPr>
            </w:pPr>
            <w:r>
              <w:rPr>
                <w:rFonts w:ascii="Arial" w:cs="Arial" w:eastAsia="Arial" w:hAnsi="Arial"/>
                <w:sz w:val="18"/>
                <w:szCs w:val="18"/>
                <w:b w:val="1"/>
                <w:bCs w:val="1"/>
                <w:color w:val="auto"/>
              </w:rPr>
              <w:t>Year Ended December 31,</w:t>
            </w:r>
          </w:p>
        </w:tc>
        <w:tc>
          <w:tcPr>
            <w:tcW w:w="0" w:type="dxa"/>
            <w:vAlign w:val="bottom"/>
          </w:tcPr>
          <w:p>
            <w:pPr>
              <w:spacing w:after="0"/>
              <w:rPr>
                <w:sz w:val="1"/>
                <w:szCs w:val="1"/>
                <w:color w:val="auto"/>
              </w:rPr>
            </w:pPr>
          </w:p>
        </w:tc>
      </w:tr>
      <w:tr>
        <w:trPr>
          <w:trHeight w:val="264"/>
        </w:trPr>
        <w:tc>
          <w:tcPr>
            <w:tcW w:w="728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2015</w:t>
            </w:r>
          </w:p>
        </w:tc>
        <w:tc>
          <w:tcPr>
            <w:tcW w:w="0" w:type="dxa"/>
            <w:vAlign w:val="bottom"/>
          </w:tcPr>
          <w:p>
            <w:pPr>
              <w:spacing w:after="0"/>
              <w:rPr>
                <w:sz w:val="1"/>
                <w:szCs w:val="1"/>
                <w:color w:val="auto"/>
              </w:rPr>
            </w:pPr>
          </w:p>
        </w:tc>
      </w:tr>
      <w:tr>
        <w:trPr>
          <w:trHeight w:val="230"/>
        </w:trPr>
        <w:tc>
          <w:tcPr>
            <w:tcW w:w="7280" w:type="dxa"/>
            <w:vAlign w:val="bottom"/>
          </w:tcPr>
          <w:p>
            <w:pPr>
              <w:spacing w:after="0"/>
              <w:rPr>
                <w:sz w:val="20"/>
                <w:szCs w:val="20"/>
                <w:color w:val="auto"/>
              </w:rPr>
            </w:pPr>
            <w:r>
              <w:rPr>
                <w:rFonts w:ascii="Arial" w:cs="Arial" w:eastAsia="Arial" w:hAnsi="Arial"/>
                <w:sz w:val="18"/>
                <w:szCs w:val="18"/>
                <w:b w:val="1"/>
                <w:bCs w:val="1"/>
                <w:color w:val="auto"/>
              </w:rPr>
              <w:t>Revenues</w:t>
            </w: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7"/>
        </w:trPr>
        <w:tc>
          <w:tcPr>
            <w:tcW w:w="7280" w:type="dxa"/>
            <w:vAlign w:val="bottom"/>
          </w:tcPr>
          <w:p>
            <w:pPr>
              <w:ind w:left="200"/>
              <w:spacing w:after="0"/>
              <w:rPr>
                <w:sz w:val="20"/>
                <w:szCs w:val="20"/>
                <w:color w:val="auto"/>
              </w:rPr>
            </w:pPr>
            <w:r>
              <w:rPr>
                <w:rFonts w:ascii="Arial" w:cs="Arial" w:eastAsia="Arial" w:hAnsi="Arial"/>
                <w:sz w:val="18"/>
                <w:szCs w:val="18"/>
                <w:color w:val="auto"/>
              </w:rPr>
              <w:t>Vehicle rental</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6,219</w:t>
            </w:r>
          </w:p>
        </w:tc>
        <w:tc>
          <w:tcPr>
            <w:tcW w:w="120" w:type="dxa"/>
            <w:vAlign w:val="bottom"/>
          </w:tcPr>
          <w:p>
            <w:pPr>
              <w:spacing w:after="0"/>
              <w:rPr>
                <w:sz w:val="24"/>
                <w:szCs w:val="24"/>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6,081</w:t>
            </w:r>
          </w:p>
        </w:tc>
        <w:tc>
          <w:tcPr>
            <w:tcW w:w="100" w:type="dxa"/>
            <w:vAlign w:val="bottom"/>
          </w:tcPr>
          <w:p>
            <w:pPr>
              <w:spacing w:after="0"/>
              <w:rPr>
                <w:sz w:val="24"/>
                <w:szCs w:val="24"/>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6,026</w:t>
            </w:r>
          </w:p>
        </w:tc>
        <w:tc>
          <w:tcPr>
            <w:tcW w:w="0" w:type="dxa"/>
            <w:vAlign w:val="bottom"/>
          </w:tcPr>
          <w:p>
            <w:pPr>
              <w:spacing w:after="0"/>
              <w:rPr>
                <w:sz w:val="1"/>
                <w:szCs w:val="1"/>
                <w:color w:val="auto"/>
              </w:rPr>
            </w:pPr>
          </w:p>
        </w:tc>
      </w:tr>
      <w:tr>
        <w:trPr>
          <w:trHeight w:val="277"/>
        </w:trPr>
        <w:tc>
          <w:tcPr>
            <w:tcW w:w="7280" w:type="dxa"/>
            <w:vAlign w:val="bottom"/>
          </w:tcPr>
          <w:p>
            <w:pPr>
              <w:ind w:left="20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2,629</w:t>
            </w: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2,578</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2,476</w:t>
            </w:r>
          </w:p>
        </w:tc>
        <w:tc>
          <w:tcPr>
            <w:tcW w:w="0" w:type="dxa"/>
            <w:vAlign w:val="bottom"/>
          </w:tcPr>
          <w:p>
            <w:pPr>
              <w:spacing w:after="0"/>
              <w:rPr>
                <w:sz w:val="1"/>
                <w:szCs w:val="1"/>
                <w:color w:val="auto"/>
              </w:rPr>
            </w:pPr>
          </w:p>
        </w:tc>
      </w:tr>
      <w:tr>
        <w:trPr>
          <w:trHeight w:val="250"/>
        </w:trPr>
        <w:tc>
          <w:tcPr>
            <w:tcW w:w="7280" w:type="dxa"/>
            <w:vAlign w:val="bottom"/>
          </w:tcPr>
          <w:p>
            <w:pPr>
              <w:spacing w:after="0"/>
              <w:rPr>
                <w:sz w:val="20"/>
                <w:szCs w:val="20"/>
                <w:color w:val="auto"/>
              </w:rPr>
            </w:pPr>
            <w:r>
              <w:rPr>
                <w:rFonts w:ascii="Arial" w:cs="Arial" w:eastAsia="Arial" w:hAnsi="Arial"/>
                <w:sz w:val="18"/>
                <w:szCs w:val="18"/>
                <w:color w:val="auto"/>
              </w:rPr>
              <w:t>Net revenues</w:t>
            </w:r>
          </w:p>
        </w:tc>
        <w:tc>
          <w:tcPr>
            <w:tcW w:w="2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8,848</w:t>
            </w:r>
          </w:p>
        </w:tc>
        <w:tc>
          <w:tcPr>
            <w:tcW w:w="1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8,659</w:t>
            </w:r>
          </w:p>
        </w:tc>
        <w:tc>
          <w:tcPr>
            <w:tcW w:w="1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8,502</w:t>
            </w:r>
          </w:p>
        </w:tc>
        <w:tc>
          <w:tcPr>
            <w:tcW w:w="0" w:type="dxa"/>
            <w:vAlign w:val="bottom"/>
          </w:tcPr>
          <w:p>
            <w:pPr>
              <w:spacing w:after="0"/>
              <w:rPr>
                <w:sz w:val="1"/>
                <w:szCs w:val="1"/>
                <w:color w:val="auto"/>
              </w:rPr>
            </w:pPr>
          </w:p>
        </w:tc>
      </w:tr>
      <w:tr>
        <w:trPr>
          <w:trHeight w:val="513"/>
        </w:trPr>
        <w:tc>
          <w:tcPr>
            <w:tcW w:w="7280" w:type="dxa"/>
            <w:vAlign w:val="bottom"/>
          </w:tcPr>
          <w:p>
            <w:pPr>
              <w:spacing w:after="0"/>
              <w:rPr>
                <w:sz w:val="20"/>
                <w:szCs w:val="20"/>
                <w:color w:val="auto"/>
              </w:rPr>
            </w:pPr>
            <w:r>
              <w:rPr>
                <w:rFonts w:ascii="Arial" w:cs="Arial" w:eastAsia="Arial" w:hAnsi="Arial"/>
                <w:sz w:val="18"/>
                <w:szCs w:val="18"/>
                <w:b w:val="1"/>
                <w:bCs w:val="1"/>
                <w:color w:val="auto"/>
              </w:rPr>
              <w:t>Expenses</w:t>
            </w: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7280" w:type="dxa"/>
            <w:vAlign w:val="bottom"/>
          </w:tcPr>
          <w:p>
            <w:pPr>
              <w:ind w:left="200"/>
              <w:spacing w:after="0"/>
              <w:rPr>
                <w:sz w:val="20"/>
                <w:szCs w:val="20"/>
                <w:color w:val="auto"/>
              </w:rPr>
            </w:pPr>
            <w:r>
              <w:rPr>
                <w:rFonts w:ascii="Arial" w:cs="Arial" w:eastAsia="Arial" w:hAnsi="Arial"/>
                <w:sz w:val="18"/>
                <w:szCs w:val="18"/>
                <w:color w:val="auto"/>
              </w:rPr>
              <w:t>Operating</w:t>
            </w:r>
          </w:p>
        </w:tc>
        <w:tc>
          <w:tcPr>
            <w:tcW w:w="260" w:type="dxa"/>
            <w:vAlign w:val="bottom"/>
          </w:tcPr>
          <w:p>
            <w:pPr>
              <w:spacing w:after="0"/>
              <w:rPr>
                <w:sz w:val="24"/>
                <w:szCs w:val="24"/>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4,472</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4,382</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4,284</w:t>
            </w:r>
          </w:p>
        </w:tc>
        <w:tc>
          <w:tcPr>
            <w:tcW w:w="0" w:type="dxa"/>
            <w:vAlign w:val="bottom"/>
          </w:tcPr>
          <w:p>
            <w:pPr>
              <w:spacing w:after="0"/>
              <w:rPr>
                <w:sz w:val="1"/>
                <w:szCs w:val="1"/>
                <w:color w:val="auto"/>
              </w:rPr>
            </w:pPr>
          </w:p>
        </w:tc>
      </w:tr>
      <w:tr>
        <w:trPr>
          <w:trHeight w:val="270"/>
        </w:trPr>
        <w:tc>
          <w:tcPr>
            <w:tcW w:w="7280" w:type="dxa"/>
            <w:vAlign w:val="bottom"/>
          </w:tcPr>
          <w:p>
            <w:pPr>
              <w:ind w:left="200"/>
              <w:spacing w:after="0"/>
              <w:rPr>
                <w:sz w:val="20"/>
                <w:szCs w:val="20"/>
                <w:color w:val="auto"/>
              </w:rPr>
            </w:pPr>
            <w:r>
              <w:rPr>
                <w:rFonts w:ascii="Arial" w:cs="Arial" w:eastAsia="Arial" w:hAnsi="Arial"/>
                <w:sz w:val="18"/>
                <w:szCs w:val="18"/>
                <w:color w:val="auto"/>
              </w:rPr>
              <w:t>Vehicle depreciation and lease charges, net</w:t>
            </w:r>
          </w:p>
        </w:tc>
        <w:tc>
          <w:tcPr>
            <w:tcW w:w="26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2,221</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2,047</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1,933</w:t>
            </w:r>
          </w:p>
        </w:tc>
        <w:tc>
          <w:tcPr>
            <w:tcW w:w="0" w:type="dxa"/>
            <w:vAlign w:val="bottom"/>
          </w:tcPr>
          <w:p>
            <w:pPr>
              <w:spacing w:after="0"/>
              <w:rPr>
                <w:sz w:val="1"/>
                <w:szCs w:val="1"/>
                <w:color w:val="auto"/>
              </w:rPr>
            </w:pPr>
          </w:p>
        </w:tc>
      </w:tr>
      <w:tr>
        <w:trPr>
          <w:trHeight w:val="270"/>
        </w:trPr>
        <w:tc>
          <w:tcPr>
            <w:tcW w:w="7280" w:type="dxa"/>
            <w:vAlign w:val="bottom"/>
          </w:tcPr>
          <w:p>
            <w:pPr>
              <w:ind w:left="200"/>
              <w:spacing w:after="0"/>
              <w:rPr>
                <w:sz w:val="20"/>
                <w:szCs w:val="20"/>
                <w:color w:val="auto"/>
              </w:rPr>
            </w:pPr>
            <w:r>
              <w:rPr>
                <w:rFonts w:ascii="Arial" w:cs="Arial" w:eastAsia="Arial" w:hAnsi="Arial"/>
                <w:sz w:val="18"/>
                <w:szCs w:val="18"/>
                <w:color w:val="auto"/>
              </w:rPr>
              <w:t>Selling, general and administrative</w:t>
            </w:r>
          </w:p>
        </w:tc>
        <w:tc>
          <w:tcPr>
            <w:tcW w:w="26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1,120</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1,134</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1,093</w:t>
            </w:r>
          </w:p>
        </w:tc>
        <w:tc>
          <w:tcPr>
            <w:tcW w:w="0" w:type="dxa"/>
            <w:vAlign w:val="bottom"/>
          </w:tcPr>
          <w:p>
            <w:pPr>
              <w:spacing w:after="0"/>
              <w:rPr>
                <w:sz w:val="1"/>
                <w:szCs w:val="1"/>
                <w:color w:val="auto"/>
              </w:rPr>
            </w:pPr>
          </w:p>
        </w:tc>
      </w:tr>
      <w:tr>
        <w:trPr>
          <w:trHeight w:val="270"/>
        </w:trPr>
        <w:tc>
          <w:tcPr>
            <w:tcW w:w="7280" w:type="dxa"/>
            <w:vAlign w:val="bottom"/>
          </w:tcPr>
          <w:p>
            <w:pPr>
              <w:ind w:left="200"/>
              <w:spacing w:after="0"/>
              <w:rPr>
                <w:sz w:val="20"/>
                <w:szCs w:val="20"/>
                <w:color w:val="auto"/>
              </w:rPr>
            </w:pPr>
            <w:r>
              <w:rPr>
                <w:rFonts w:ascii="Arial" w:cs="Arial" w:eastAsia="Arial" w:hAnsi="Arial"/>
                <w:sz w:val="18"/>
                <w:szCs w:val="18"/>
                <w:color w:val="auto"/>
              </w:rPr>
              <w:t>Vehicle interest, net</w:t>
            </w:r>
          </w:p>
        </w:tc>
        <w:tc>
          <w:tcPr>
            <w:tcW w:w="26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286</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284</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70"/>
        </w:trPr>
        <w:tc>
          <w:tcPr>
            <w:tcW w:w="7280" w:type="dxa"/>
            <w:vAlign w:val="bottom"/>
          </w:tcPr>
          <w:p>
            <w:pPr>
              <w:ind w:left="200"/>
              <w:spacing w:after="0"/>
              <w:rPr>
                <w:sz w:val="20"/>
                <w:szCs w:val="20"/>
                <w:color w:val="auto"/>
              </w:rPr>
            </w:pPr>
            <w:r>
              <w:rPr>
                <w:rFonts w:ascii="Arial" w:cs="Arial" w:eastAsia="Arial" w:hAnsi="Arial"/>
                <w:sz w:val="18"/>
                <w:szCs w:val="18"/>
                <w:color w:val="auto"/>
              </w:rPr>
              <w:t>Non-vehicle related depreciation and amortization</w:t>
            </w:r>
          </w:p>
        </w:tc>
        <w:tc>
          <w:tcPr>
            <w:tcW w:w="26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259</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253</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57"/>
        </w:trPr>
        <w:tc>
          <w:tcPr>
            <w:tcW w:w="7280" w:type="dxa"/>
            <w:vAlign w:val="bottom"/>
          </w:tcPr>
          <w:p>
            <w:pPr>
              <w:ind w:left="200"/>
              <w:spacing w:after="0"/>
              <w:rPr>
                <w:sz w:val="20"/>
                <w:szCs w:val="20"/>
                <w:color w:val="auto"/>
              </w:rPr>
            </w:pPr>
            <w:r>
              <w:rPr>
                <w:rFonts w:ascii="Arial" w:cs="Arial" w:eastAsia="Arial" w:hAnsi="Arial"/>
                <w:sz w:val="18"/>
                <w:szCs w:val="18"/>
                <w:color w:val="auto"/>
              </w:rPr>
              <w:t>Interest expense related to corporate debt, net:</w:t>
            </w:r>
          </w:p>
        </w:tc>
        <w:tc>
          <w:tcPr>
            <w:tcW w:w="2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4"/>
        </w:trPr>
        <w:tc>
          <w:tcPr>
            <w:tcW w:w="7280" w:type="dxa"/>
            <w:vAlign w:val="bottom"/>
          </w:tcPr>
          <w:p>
            <w:pPr>
              <w:ind w:left="420"/>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24"/>
                <w:szCs w:val="24"/>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188</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203</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70"/>
        </w:trPr>
        <w:tc>
          <w:tcPr>
            <w:tcW w:w="7280" w:type="dxa"/>
            <w:vAlign w:val="bottom"/>
          </w:tcPr>
          <w:p>
            <w:pPr>
              <w:ind w:left="420"/>
              <w:spacing w:after="0"/>
              <w:rPr>
                <w:sz w:val="20"/>
                <w:szCs w:val="20"/>
                <w:color w:val="auto"/>
              </w:rPr>
            </w:pPr>
            <w:r>
              <w:rPr>
                <w:rFonts w:ascii="Arial" w:cs="Arial" w:eastAsia="Arial" w:hAnsi="Arial"/>
                <w:sz w:val="18"/>
                <w:szCs w:val="18"/>
                <w:color w:val="auto"/>
              </w:rPr>
              <w:t>Early extinguishment of debt</w:t>
            </w:r>
          </w:p>
        </w:tc>
        <w:tc>
          <w:tcPr>
            <w:tcW w:w="26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0"/>
        </w:trPr>
        <w:tc>
          <w:tcPr>
            <w:tcW w:w="7280" w:type="dxa"/>
            <w:vAlign w:val="bottom"/>
          </w:tcPr>
          <w:p>
            <w:pPr>
              <w:ind w:left="200"/>
              <w:spacing w:after="0"/>
              <w:rPr>
                <w:sz w:val="20"/>
                <w:szCs w:val="20"/>
                <w:color w:val="auto"/>
              </w:rPr>
            </w:pPr>
            <w:r>
              <w:rPr>
                <w:rFonts w:ascii="Arial" w:cs="Arial" w:eastAsia="Arial" w:hAnsi="Arial"/>
                <w:sz w:val="18"/>
                <w:szCs w:val="18"/>
                <w:color w:val="auto"/>
              </w:rPr>
              <w:t>Restructuring and other related charges</w:t>
            </w:r>
          </w:p>
        </w:tc>
        <w:tc>
          <w:tcPr>
            <w:tcW w:w="26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0"/>
        </w:trPr>
        <w:tc>
          <w:tcPr>
            <w:tcW w:w="7280" w:type="dxa"/>
            <w:vAlign w:val="bottom"/>
          </w:tcPr>
          <w:p>
            <w:pPr>
              <w:ind w:left="200"/>
              <w:spacing w:after="0"/>
              <w:rPr>
                <w:sz w:val="20"/>
                <w:szCs w:val="20"/>
                <w:color w:val="auto"/>
              </w:rPr>
            </w:pPr>
            <w:r>
              <w:rPr>
                <w:rFonts w:ascii="Arial" w:cs="Arial" w:eastAsia="Arial" w:hAnsi="Arial"/>
                <w:sz w:val="18"/>
                <w:szCs w:val="18"/>
                <w:color w:val="auto"/>
              </w:rPr>
              <w:t>Transaction-related costs, net</w:t>
            </w:r>
          </w:p>
        </w:tc>
        <w:tc>
          <w:tcPr>
            <w:tcW w:w="26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77"/>
        </w:trPr>
        <w:tc>
          <w:tcPr>
            <w:tcW w:w="7280" w:type="dxa"/>
            <w:vAlign w:val="bottom"/>
          </w:tcPr>
          <w:p>
            <w:pPr>
              <w:ind w:left="200"/>
              <w:spacing w:after="0"/>
              <w:rPr>
                <w:sz w:val="20"/>
                <w:szCs w:val="20"/>
                <w:color w:val="auto"/>
              </w:rPr>
            </w:pPr>
            <w:r>
              <w:rPr>
                <w:rFonts w:ascii="Arial" w:cs="Arial" w:eastAsia="Arial" w:hAnsi="Arial"/>
                <w:sz w:val="18"/>
                <w:szCs w:val="18"/>
                <w:color w:val="auto"/>
              </w:rPr>
              <w:t>Impairment</w:t>
            </w:r>
          </w:p>
        </w:tc>
        <w:tc>
          <w:tcPr>
            <w:tcW w:w="260" w:type="dxa"/>
            <w:vAlign w:val="bottom"/>
          </w:tcPr>
          <w:p>
            <w:pPr>
              <w:spacing w:after="0"/>
              <w:rPr>
                <w:sz w:val="24"/>
                <w:szCs w:val="24"/>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7280" w:type="dxa"/>
            <w:vAlign w:val="bottom"/>
          </w:tcPr>
          <w:p>
            <w:pPr>
              <w:spacing w:after="0"/>
              <w:rPr>
                <w:sz w:val="20"/>
                <w:szCs w:val="20"/>
                <w:color w:val="auto"/>
              </w:rPr>
            </w:pPr>
            <w:r>
              <w:rPr>
                <w:rFonts w:ascii="Arial" w:cs="Arial" w:eastAsia="Arial" w:hAnsi="Arial"/>
                <w:sz w:val="18"/>
                <w:szCs w:val="18"/>
                <w:color w:val="auto"/>
              </w:rPr>
              <w:t>Total expenses</w:t>
            </w:r>
          </w:p>
        </w:tc>
        <w:tc>
          <w:tcPr>
            <w:tcW w:w="26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8,637</w:t>
            </w: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8,380</w:t>
            </w:r>
          </w:p>
        </w:tc>
        <w:tc>
          <w:tcPr>
            <w:tcW w:w="10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8,120</w:t>
            </w:r>
          </w:p>
        </w:tc>
        <w:tc>
          <w:tcPr>
            <w:tcW w:w="0" w:type="dxa"/>
            <w:vAlign w:val="bottom"/>
          </w:tcPr>
          <w:p>
            <w:pPr>
              <w:spacing w:after="0"/>
              <w:rPr>
                <w:sz w:val="1"/>
                <w:szCs w:val="1"/>
                <w:color w:val="auto"/>
              </w:rPr>
            </w:pPr>
          </w:p>
        </w:tc>
      </w:tr>
      <w:tr>
        <w:trPr>
          <w:trHeight w:val="527"/>
        </w:trPr>
        <w:tc>
          <w:tcPr>
            <w:tcW w:w="7280" w:type="dxa"/>
            <w:vAlign w:val="bottom"/>
          </w:tcPr>
          <w:p>
            <w:pPr>
              <w:spacing w:after="0"/>
              <w:rPr>
                <w:sz w:val="20"/>
                <w:szCs w:val="20"/>
                <w:color w:val="auto"/>
              </w:rPr>
            </w:pPr>
            <w:r>
              <w:rPr>
                <w:rFonts w:ascii="Arial" w:cs="Arial" w:eastAsia="Arial" w:hAnsi="Arial"/>
                <w:sz w:val="18"/>
                <w:szCs w:val="18"/>
                <w:b w:val="1"/>
                <w:bCs w:val="1"/>
                <w:color w:val="auto"/>
              </w:rPr>
              <w:t>Income before income taxes</w:t>
            </w:r>
          </w:p>
        </w:tc>
        <w:tc>
          <w:tcPr>
            <w:tcW w:w="260" w:type="dxa"/>
            <w:vAlign w:val="bottom"/>
          </w:tcPr>
          <w:p>
            <w:pPr>
              <w:spacing w:after="0"/>
              <w:rPr>
                <w:sz w:val="24"/>
                <w:szCs w:val="24"/>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211</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279</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382</w:t>
            </w:r>
          </w:p>
        </w:tc>
        <w:tc>
          <w:tcPr>
            <w:tcW w:w="0" w:type="dxa"/>
            <w:vAlign w:val="bottom"/>
          </w:tcPr>
          <w:p>
            <w:pPr>
              <w:spacing w:after="0"/>
              <w:rPr>
                <w:sz w:val="1"/>
                <w:szCs w:val="1"/>
                <w:color w:val="auto"/>
              </w:rPr>
            </w:pPr>
          </w:p>
        </w:tc>
      </w:tr>
      <w:tr>
        <w:trPr>
          <w:trHeight w:val="277"/>
        </w:trPr>
        <w:tc>
          <w:tcPr>
            <w:tcW w:w="7280" w:type="dxa"/>
            <w:vAlign w:val="bottom"/>
          </w:tcPr>
          <w:p>
            <w:pPr>
              <w:spacing w:after="0"/>
              <w:rPr>
                <w:sz w:val="20"/>
                <w:szCs w:val="20"/>
                <w:color w:val="auto"/>
              </w:rPr>
            </w:pPr>
            <w:r>
              <w:rPr>
                <w:rFonts w:ascii="Arial" w:cs="Arial" w:eastAsia="Arial" w:hAnsi="Arial"/>
                <w:sz w:val="18"/>
                <w:szCs w:val="18"/>
                <w:color w:val="auto"/>
              </w:rPr>
              <w:t>Provision for (benefit from) income taxes</w:t>
            </w: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w:t>
            </w: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520"/>
        </w:trPr>
        <w:tc>
          <w:tcPr>
            <w:tcW w:w="7280" w:type="dxa"/>
            <w:vAlign w:val="bottom"/>
          </w:tcPr>
          <w:p>
            <w:pPr>
              <w:spacing w:after="0"/>
              <w:rPr>
                <w:sz w:val="20"/>
                <w:szCs w:val="20"/>
                <w:color w:val="auto"/>
              </w:rPr>
            </w:pPr>
            <w:r>
              <w:rPr>
                <w:rFonts w:ascii="Arial" w:cs="Arial" w:eastAsia="Arial" w:hAnsi="Arial"/>
                <w:sz w:val="18"/>
                <w:szCs w:val="18"/>
                <w:b w:val="1"/>
                <w:bCs w:val="1"/>
                <w:color w:val="auto"/>
              </w:rPr>
              <w:t>Net income</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361</w:t>
            </w:r>
          </w:p>
        </w:tc>
        <w:tc>
          <w:tcPr>
            <w:tcW w:w="120" w:type="dxa"/>
            <w:vAlign w:val="bottom"/>
          </w:tcPr>
          <w:p>
            <w:pPr>
              <w:spacing w:after="0"/>
              <w:rPr>
                <w:sz w:val="24"/>
                <w:szCs w:val="24"/>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163</w:t>
            </w:r>
          </w:p>
        </w:tc>
        <w:tc>
          <w:tcPr>
            <w:tcW w:w="100" w:type="dxa"/>
            <w:vAlign w:val="bottom"/>
          </w:tcPr>
          <w:p>
            <w:pPr>
              <w:spacing w:after="0"/>
              <w:rPr>
                <w:sz w:val="24"/>
                <w:szCs w:val="24"/>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313</w:t>
            </w:r>
          </w:p>
        </w:tc>
        <w:tc>
          <w:tcPr>
            <w:tcW w:w="0" w:type="dxa"/>
            <w:vAlign w:val="bottom"/>
          </w:tcPr>
          <w:p>
            <w:pPr>
              <w:spacing w:after="0"/>
              <w:rPr>
                <w:sz w:val="1"/>
                <w:szCs w:val="1"/>
                <w:color w:val="auto"/>
              </w:rPr>
            </w:pPr>
          </w:p>
        </w:tc>
      </w:tr>
      <w:tr>
        <w:trPr>
          <w:trHeight w:val="20"/>
        </w:trPr>
        <w:tc>
          <w:tcPr>
            <w:tcW w:w="7280" w:type="dxa"/>
            <w:vAlign w:val="bottom"/>
            <w:vMerge w:val="restart"/>
          </w:tcPr>
          <w:p>
            <w:pPr>
              <w:spacing w:after="0"/>
              <w:rPr>
                <w:sz w:val="20"/>
                <w:szCs w:val="20"/>
                <w:color w:val="auto"/>
              </w:rPr>
            </w:pPr>
            <w:r>
              <w:rPr>
                <w:rFonts w:ascii="Arial" w:cs="Arial" w:eastAsia="Arial" w:hAnsi="Arial"/>
                <w:sz w:val="18"/>
                <w:szCs w:val="18"/>
                <w:b w:val="1"/>
                <w:bCs w:val="1"/>
                <w:color w:val="auto"/>
              </w:rPr>
              <w:t>Earnings per share</w:t>
            </w: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0"/>
        </w:trPr>
        <w:tc>
          <w:tcPr>
            <w:tcW w:w="728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7280" w:type="dxa"/>
            <w:vAlign w:val="bottom"/>
          </w:tcPr>
          <w:p>
            <w:pPr>
              <w:ind w:left="200"/>
              <w:spacing w:after="0"/>
              <w:rPr>
                <w:sz w:val="20"/>
                <w:szCs w:val="20"/>
                <w:color w:val="auto"/>
              </w:rPr>
            </w:pPr>
            <w:r>
              <w:rPr>
                <w:rFonts w:ascii="Arial" w:cs="Arial" w:eastAsia="Arial" w:hAnsi="Arial"/>
                <w:sz w:val="18"/>
                <w:szCs w:val="18"/>
                <w:color w:val="auto"/>
              </w:rPr>
              <w:t>Basic</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4.32</w:t>
            </w:r>
          </w:p>
        </w:tc>
        <w:tc>
          <w:tcPr>
            <w:tcW w:w="120" w:type="dxa"/>
            <w:vAlign w:val="bottom"/>
          </w:tcPr>
          <w:p>
            <w:pPr>
              <w:spacing w:after="0"/>
              <w:rPr>
                <w:sz w:val="24"/>
                <w:szCs w:val="24"/>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1.78</w:t>
            </w:r>
          </w:p>
        </w:tc>
        <w:tc>
          <w:tcPr>
            <w:tcW w:w="100" w:type="dxa"/>
            <w:vAlign w:val="bottom"/>
          </w:tcPr>
          <w:p>
            <w:pPr>
              <w:spacing w:after="0"/>
              <w:rPr>
                <w:sz w:val="24"/>
                <w:szCs w:val="24"/>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3.02</w:t>
            </w:r>
          </w:p>
        </w:tc>
        <w:tc>
          <w:tcPr>
            <w:tcW w:w="0" w:type="dxa"/>
            <w:vAlign w:val="bottom"/>
          </w:tcPr>
          <w:p>
            <w:pPr>
              <w:spacing w:after="0"/>
              <w:rPr>
                <w:sz w:val="1"/>
                <w:szCs w:val="1"/>
                <w:color w:val="auto"/>
              </w:rPr>
            </w:pPr>
          </w:p>
        </w:tc>
      </w:tr>
      <w:tr>
        <w:trPr>
          <w:trHeight w:val="270"/>
        </w:trPr>
        <w:tc>
          <w:tcPr>
            <w:tcW w:w="7280" w:type="dxa"/>
            <w:vAlign w:val="bottom"/>
          </w:tcPr>
          <w:p>
            <w:pPr>
              <w:ind w:left="200"/>
              <w:spacing w:after="0"/>
              <w:rPr>
                <w:sz w:val="20"/>
                <w:szCs w:val="20"/>
                <w:color w:val="auto"/>
              </w:rPr>
            </w:pPr>
            <w:r>
              <w:rPr>
                <w:rFonts w:ascii="Arial" w:cs="Arial" w:eastAsia="Arial" w:hAnsi="Arial"/>
                <w:sz w:val="18"/>
                <w:szCs w:val="18"/>
                <w:color w:val="auto"/>
              </w:rPr>
              <w:t>Diluted</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4.25</w:t>
            </w:r>
          </w:p>
        </w:tc>
        <w:tc>
          <w:tcPr>
            <w:tcW w:w="120" w:type="dxa"/>
            <w:vAlign w:val="bottom"/>
          </w:tcPr>
          <w:p>
            <w:pPr>
              <w:spacing w:after="0"/>
              <w:rPr>
                <w:sz w:val="23"/>
                <w:szCs w:val="23"/>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23"/>
                <w:szCs w:val="23"/>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See Notes to Consolidated Financial Statements.</w:t>
      </w:r>
    </w:p>
    <w:p>
      <w:pPr>
        <w:spacing w:after="0" w:line="252"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000"/>
          </w:cols>
          <w:pgMar w:left="240" w:top="140" w:right="659" w:bottom="95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Avis Budget Group, Inc.</w:t>
      </w:r>
    </w:p>
    <w:p>
      <w:pPr>
        <w:spacing w:after="0" w:line="3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millions)</w:t>
      </w:r>
    </w:p>
    <w:p>
      <w:pPr>
        <w:spacing w:after="0" w:line="379" w:lineRule="exact"/>
        <w:rPr>
          <w:sz w:val="20"/>
          <w:szCs w:val="20"/>
          <w:color w:val="auto"/>
        </w:rPr>
      </w:pPr>
    </w:p>
    <w:tbl>
      <w:tblPr>
        <w:tblLayout w:type="fixed"/>
        <w:tblInd w:w="40" w:type="dxa"/>
        <w:tblCellMar>
          <w:top w:w="0" w:type="dxa"/>
          <w:left w:w="0" w:type="dxa"/>
          <w:bottom w:w="0" w:type="dxa"/>
          <w:right w:w="0" w:type="dxa"/>
        </w:tblCellMar>
      </w:tblPr>
      <w:tr>
        <w:trPr>
          <w:trHeight w:val="246"/>
        </w:trPr>
        <w:tc>
          <w:tcPr>
            <w:tcW w:w="75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3380" w:type="dxa"/>
            <w:vAlign w:val="bottom"/>
            <w:tcBorders>
              <w:bottom w:val="single" w:sz="8" w:color="auto"/>
            </w:tcBorders>
            <w:gridSpan w:val="7"/>
          </w:tcPr>
          <w:p>
            <w:pPr>
              <w:jc w:val="right"/>
              <w:ind w:right="610"/>
              <w:spacing w:after="0"/>
              <w:rPr>
                <w:sz w:val="20"/>
                <w:szCs w:val="20"/>
                <w:color w:val="auto"/>
              </w:rPr>
            </w:pPr>
            <w:r>
              <w:rPr>
                <w:rFonts w:ascii="Arial" w:cs="Arial" w:eastAsia="Arial" w:hAnsi="Arial"/>
                <w:sz w:val="18"/>
                <w:szCs w:val="18"/>
                <w:b w:val="1"/>
                <w:bCs w:val="1"/>
                <w:color w:val="auto"/>
              </w:rPr>
              <w:t>Year Ended December 31,</w:t>
            </w:r>
          </w:p>
        </w:tc>
      </w:tr>
      <w:tr>
        <w:trPr>
          <w:trHeight w:val="264"/>
        </w:trPr>
        <w:tc>
          <w:tcPr>
            <w:tcW w:w="75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2015</w:t>
            </w:r>
          </w:p>
        </w:tc>
      </w:tr>
      <w:tr>
        <w:trPr>
          <w:trHeight w:val="534"/>
        </w:trPr>
        <w:tc>
          <w:tcPr>
            <w:tcW w:w="7580" w:type="dxa"/>
            <w:vAlign w:val="bottom"/>
          </w:tcPr>
          <w:p>
            <w:pPr>
              <w:spacing w:after="0"/>
              <w:rPr>
                <w:sz w:val="20"/>
                <w:szCs w:val="20"/>
                <w:color w:val="auto"/>
              </w:rPr>
            </w:pPr>
            <w:r>
              <w:rPr>
                <w:rFonts w:ascii="Arial" w:cs="Arial" w:eastAsia="Arial" w:hAnsi="Arial"/>
                <w:sz w:val="18"/>
                <w:szCs w:val="18"/>
                <w:b w:val="1"/>
                <w:bCs w:val="1"/>
                <w:color w:val="auto"/>
              </w:rPr>
              <w:t>Net income</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361</w:t>
            </w:r>
          </w:p>
        </w:tc>
        <w:tc>
          <w:tcPr>
            <w:tcW w:w="120" w:type="dxa"/>
            <w:vAlign w:val="bottom"/>
          </w:tcPr>
          <w:p>
            <w:pPr>
              <w:spacing w:after="0"/>
              <w:rPr>
                <w:sz w:val="24"/>
                <w:szCs w:val="24"/>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163</w:t>
            </w:r>
          </w:p>
        </w:tc>
        <w:tc>
          <w:tcPr>
            <w:tcW w:w="120" w:type="dxa"/>
            <w:vAlign w:val="bottom"/>
          </w:tcPr>
          <w:p>
            <w:pPr>
              <w:spacing w:after="0"/>
              <w:rPr>
                <w:sz w:val="24"/>
                <w:szCs w:val="24"/>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313</w:t>
            </w:r>
          </w:p>
        </w:tc>
      </w:tr>
      <w:tr>
        <w:trPr>
          <w:trHeight w:val="473"/>
        </w:trPr>
        <w:tc>
          <w:tcPr>
            <w:tcW w:w="7580" w:type="dxa"/>
            <w:vAlign w:val="bottom"/>
          </w:tcPr>
          <w:p>
            <w:pPr>
              <w:spacing w:after="0"/>
              <w:rPr>
                <w:sz w:val="20"/>
                <w:szCs w:val="20"/>
                <w:color w:val="auto"/>
              </w:rPr>
            </w:pPr>
            <w:r>
              <w:rPr>
                <w:rFonts w:ascii="Arial" w:cs="Arial" w:eastAsia="Arial" w:hAnsi="Arial"/>
                <w:sz w:val="18"/>
                <w:szCs w:val="18"/>
                <w:b w:val="1"/>
                <w:bCs w:val="1"/>
                <w:color w:val="auto"/>
              </w:rPr>
              <w:t>Other comprehensive income (loss), net of tax</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84"/>
        </w:trPr>
        <w:tc>
          <w:tcPr>
            <w:tcW w:w="7580" w:type="dxa"/>
            <w:vAlign w:val="bottom"/>
          </w:tcPr>
          <w:p>
            <w:pPr>
              <w:ind w:left="100"/>
              <w:spacing w:after="0"/>
              <w:rPr>
                <w:sz w:val="20"/>
                <w:szCs w:val="20"/>
                <w:color w:val="auto"/>
              </w:rPr>
            </w:pPr>
            <w:r>
              <w:rPr>
                <w:rFonts w:ascii="Arial" w:cs="Arial" w:eastAsia="Arial" w:hAnsi="Arial"/>
                <w:sz w:val="18"/>
                <w:szCs w:val="18"/>
                <w:color w:val="auto"/>
              </w:rPr>
              <w:t>Currency translation adjustments, net of tax of $33, $(9) and $(22), respectively</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110</w:t>
            </w:r>
          </w:p>
        </w:tc>
        <w:tc>
          <w:tcPr>
            <w:tcW w:w="120" w:type="dxa"/>
            <w:vAlign w:val="bottom"/>
          </w:tcPr>
          <w:p>
            <w:pPr>
              <w:spacing w:after="0"/>
              <w:rPr>
                <w:sz w:val="24"/>
                <w:szCs w:val="24"/>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4"/>
                <w:szCs w:val="24"/>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(131)</w:t>
            </w:r>
          </w:p>
        </w:tc>
      </w:tr>
      <w:tr>
        <w:trPr>
          <w:trHeight w:val="257"/>
        </w:trPr>
        <w:tc>
          <w:tcPr>
            <w:tcW w:w="7580" w:type="dxa"/>
            <w:vAlign w:val="bottom"/>
          </w:tcPr>
          <w:p>
            <w:pPr>
              <w:ind w:left="100"/>
              <w:spacing w:after="0"/>
              <w:rPr>
                <w:sz w:val="20"/>
                <w:szCs w:val="20"/>
                <w:color w:val="auto"/>
              </w:rPr>
            </w:pPr>
            <w:r>
              <w:rPr>
                <w:rFonts w:ascii="Arial" w:cs="Arial" w:eastAsia="Arial" w:hAnsi="Arial"/>
                <w:sz w:val="18"/>
                <w:szCs w:val="18"/>
                <w:color w:val="auto"/>
              </w:rPr>
              <w:t>Available-for-sale securities:</w:t>
            </w: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56"/>
        </w:trPr>
        <w:tc>
          <w:tcPr>
            <w:tcW w:w="7580" w:type="dxa"/>
            <w:vAlign w:val="bottom"/>
          </w:tcPr>
          <w:p>
            <w:pPr>
              <w:ind w:left="300"/>
              <w:spacing w:after="0"/>
              <w:rPr>
                <w:sz w:val="20"/>
                <w:szCs w:val="20"/>
                <w:color w:val="auto"/>
              </w:rPr>
            </w:pPr>
            <w:r>
              <w:rPr>
                <w:rFonts w:ascii="Arial" w:cs="Arial" w:eastAsia="Arial" w:hAnsi="Arial"/>
                <w:sz w:val="18"/>
                <w:szCs w:val="18"/>
                <w:color w:val="auto"/>
              </w:rPr>
              <w:t>Net unrealized gains (losses) on available-for-sale securities, net of tax of $(1), $(1),and</w:t>
            </w: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17"/>
        </w:trPr>
        <w:tc>
          <w:tcPr>
            <w:tcW w:w="7580" w:type="dxa"/>
            <w:vAlign w:val="bottom"/>
          </w:tcPr>
          <w:p>
            <w:pPr>
              <w:ind w:left="460"/>
              <w:spacing w:after="0"/>
              <w:rPr>
                <w:sz w:val="20"/>
                <w:szCs w:val="20"/>
                <w:color w:val="auto"/>
              </w:rPr>
            </w:pPr>
            <w:r>
              <w:rPr>
                <w:rFonts w:ascii="Arial" w:cs="Arial" w:eastAsia="Arial" w:hAnsi="Arial"/>
                <w:sz w:val="18"/>
                <w:szCs w:val="18"/>
                <w:color w:val="auto"/>
              </w:rPr>
              <w:t>$1, respectively</w:t>
            </w:r>
          </w:p>
        </w:tc>
        <w:tc>
          <w:tcPr>
            <w:tcW w:w="24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57"/>
        </w:trPr>
        <w:tc>
          <w:tcPr>
            <w:tcW w:w="7580" w:type="dxa"/>
            <w:vAlign w:val="bottom"/>
          </w:tcPr>
          <w:p>
            <w:pPr>
              <w:ind w:left="100"/>
              <w:spacing w:after="0"/>
              <w:rPr>
                <w:sz w:val="20"/>
                <w:szCs w:val="20"/>
                <w:color w:val="auto"/>
              </w:rPr>
            </w:pPr>
            <w:r>
              <w:rPr>
                <w:rFonts w:ascii="Arial" w:cs="Arial" w:eastAsia="Arial" w:hAnsi="Arial"/>
                <w:sz w:val="18"/>
                <w:szCs w:val="18"/>
                <w:color w:val="auto"/>
              </w:rPr>
              <w:t>Cash flow hedges:</w:t>
            </w: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84"/>
        </w:trPr>
        <w:tc>
          <w:tcPr>
            <w:tcW w:w="7580" w:type="dxa"/>
            <w:vAlign w:val="bottom"/>
          </w:tcPr>
          <w:p>
            <w:pPr>
              <w:ind w:left="300"/>
              <w:spacing w:after="0"/>
              <w:rPr>
                <w:sz w:val="20"/>
                <w:szCs w:val="20"/>
                <w:color w:val="auto"/>
              </w:rPr>
            </w:pPr>
            <w:r>
              <w:rPr>
                <w:rFonts w:ascii="Arial" w:cs="Arial" w:eastAsia="Arial" w:hAnsi="Arial"/>
                <w:sz w:val="18"/>
                <w:szCs w:val="18"/>
                <w:color w:val="auto"/>
              </w:rPr>
              <w:t>Net unrealized holding gains (losses), net of tax of $0, $(1), and $4, respectively</w:t>
            </w:r>
          </w:p>
        </w:tc>
        <w:tc>
          <w:tcPr>
            <w:tcW w:w="240" w:type="dxa"/>
            <w:vAlign w:val="bottom"/>
          </w:tcPr>
          <w:p>
            <w:pPr>
              <w:spacing w:after="0"/>
              <w:rPr>
                <w:sz w:val="24"/>
                <w:szCs w:val="24"/>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42"/>
        </w:trPr>
        <w:tc>
          <w:tcPr>
            <w:tcW w:w="7580" w:type="dxa"/>
            <w:vAlign w:val="bottom"/>
          </w:tcPr>
          <w:p>
            <w:pPr>
              <w:ind w:left="300"/>
              <w:spacing w:after="0"/>
              <w:rPr>
                <w:sz w:val="20"/>
                <w:szCs w:val="20"/>
                <w:color w:val="auto"/>
              </w:rPr>
            </w:pPr>
            <w:r>
              <w:rPr>
                <w:rFonts w:ascii="Arial" w:cs="Arial" w:eastAsia="Arial" w:hAnsi="Arial"/>
                <w:sz w:val="18"/>
                <w:szCs w:val="18"/>
                <w:color w:val="auto"/>
              </w:rPr>
              <w:t>Reclassification of cash flow hedges to earnings, net of tax of $(2), $(2) and $(3),</w:t>
            </w: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17"/>
        </w:trPr>
        <w:tc>
          <w:tcPr>
            <w:tcW w:w="7580" w:type="dxa"/>
            <w:vAlign w:val="bottom"/>
          </w:tcPr>
          <w:p>
            <w:pPr>
              <w:ind w:left="460"/>
              <w:spacing w:after="0"/>
              <w:rPr>
                <w:sz w:val="20"/>
                <w:szCs w:val="20"/>
                <w:color w:val="auto"/>
              </w:rPr>
            </w:pPr>
            <w:r>
              <w:rPr>
                <w:rFonts w:ascii="Arial" w:cs="Arial" w:eastAsia="Arial" w:hAnsi="Arial"/>
                <w:sz w:val="18"/>
                <w:szCs w:val="18"/>
                <w:color w:val="auto"/>
              </w:rPr>
              <w:t>respectively</w:t>
            </w:r>
          </w:p>
        </w:tc>
        <w:tc>
          <w:tcPr>
            <w:tcW w:w="24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5</w:t>
            </w:r>
          </w:p>
        </w:tc>
      </w:tr>
      <w:tr>
        <w:trPr>
          <w:trHeight w:val="257"/>
        </w:trPr>
        <w:tc>
          <w:tcPr>
            <w:tcW w:w="7580" w:type="dxa"/>
            <w:vAlign w:val="bottom"/>
          </w:tcPr>
          <w:p>
            <w:pPr>
              <w:ind w:left="100"/>
              <w:spacing w:after="0"/>
              <w:rPr>
                <w:sz w:val="20"/>
                <w:szCs w:val="20"/>
                <w:color w:val="auto"/>
              </w:rPr>
            </w:pPr>
            <w:r>
              <w:rPr>
                <w:rFonts w:ascii="Arial" w:cs="Arial" w:eastAsia="Arial" w:hAnsi="Arial"/>
                <w:sz w:val="18"/>
                <w:szCs w:val="18"/>
                <w:color w:val="auto"/>
              </w:rPr>
              <w:t>Minimum pension liability adjustment:</w:t>
            </w: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84"/>
        </w:trPr>
        <w:tc>
          <w:tcPr>
            <w:tcW w:w="7580" w:type="dxa"/>
            <w:vAlign w:val="bottom"/>
          </w:tcPr>
          <w:p>
            <w:pPr>
              <w:ind w:left="300"/>
              <w:spacing w:after="0"/>
              <w:rPr>
                <w:sz w:val="20"/>
                <w:szCs w:val="20"/>
                <w:color w:val="auto"/>
              </w:rPr>
            </w:pPr>
            <w:r>
              <w:rPr>
                <w:rFonts w:ascii="Arial" w:cs="Arial" w:eastAsia="Arial" w:hAnsi="Arial"/>
                <w:sz w:val="18"/>
                <w:szCs w:val="18"/>
                <w:color w:val="auto"/>
              </w:rPr>
              <w:t>Pension and post-retirement benefits, net of tax of $(4), $21 and $(1), respectively</w:t>
            </w:r>
          </w:p>
        </w:tc>
        <w:tc>
          <w:tcPr>
            <w:tcW w:w="240" w:type="dxa"/>
            <w:vAlign w:val="bottom"/>
          </w:tcPr>
          <w:p>
            <w:pPr>
              <w:spacing w:after="0"/>
              <w:rPr>
                <w:sz w:val="24"/>
                <w:szCs w:val="24"/>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6</w:t>
            </w:r>
          </w:p>
        </w:tc>
      </w:tr>
      <w:tr>
        <w:trPr>
          <w:trHeight w:val="242"/>
        </w:trPr>
        <w:tc>
          <w:tcPr>
            <w:tcW w:w="7580" w:type="dxa"/>
            <w:vAlign w:val="bottom"/>
          </w:tcPr>
          <w:p>
            <w:pPr>
              <w:ind w:left="300"/>
              <w:spacing w:after="0"/>
              <w:rPr>
                <w:sz w:val="20"/>
                <w:szCs w:val="20"/>
                <w:color w:val="auto"/>
              </w:rPr>
            </w:pPr>
            <w:r>
              <w:rPr>
                <w:rFonts w:ascii="Arial" w:cs="Arial" w:eastAsia="Arial" w:hAnsi="Arial"/>
                <w:sz w:val="18"/>
                <w:szCs w:val="18"/>
                <w:color w:val="auto"/>
              </w:rPr>
              <w:t>Reclassification of pension and post-retirement benefits to earnings, net of tax of $(3), $(2)</w:t>
            </w: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24"/>
        </w:trPr>
        <w:tc>
          <w:tcPr>
            <w:tcW w:w="7580" w:type="dxa"/>
            <w:vAlign w:val="bottom"/>
          </w:tcPr>
          <w:p>
            <w:pPr>
              <w:ind w:left="460"/>
              <w:spacing w:after="0"/>
              <w:rPr>
                <w:sz w:val="20"/>
                <w:szCs w:val="20"/>
                <w:color w:val="auto"/>
              </w:rPr>
            </w:pPr>
            <w:r>
              <w:rPr>
                <w:rFonts w:ascii="Arial" w:cs="Arial" w:eastAsia="Arial" w:hAnsi="Arial"/>
                <w:sz w:val="18"/>
                <w:szCs w:val="18"/>
                <w:color w:val="auto"/>
              </w:rPr>
              <w:t>and $(2), respectively</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w:t>
            </w:r>
          </w:p>
        </w:tc>
      </w:tr>
      <w:tr>
        <w:trPr>
          <w:trHeight w:val="250"/>
        </w:trPr>
        <w:tc>
          <w:tcPr>
            <w:tcW w:w="75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130</w:t>
            </w:r>
          </w:p>
        </w:tc>
        <w:tc>
          <w:tcPr>
            <w:tcW w:w="1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w:t>
            </w:r>
          </w:p>
        </w:tc>
      </w:tr>
      <w:tr>
        <w:trPr>
          <w:trHeight w:val="250"/>
        </w:trPr>
        <w:tc>
          <w:tcPr>
            <w:tcW w:w="7580" w:type="dxa"/>
            <w:vAlign w:val="bottom"/>
          </w:tcPr>
          <w:p>
            <w:pPr>
              <w:spacing w:after="0"/>
              <w:rPr>
                <w:sz w:val="20"/>
                <w:szCs w:val="20"/>
                <w:color w:val="auto"/>
              </w:rPr>
            </w:pPr>
            <w:r>
              <w:rPr>
                <w:rFonts w:ascii="Arial" w:cs="Arial" w:eastAsia="Arial" w:hAnsi="Arial"/>
                <w:sz w:val="18"/>
                <w:szCs w:val="18"/>
                <w:b w:val="1"/>
                <w:bCs w:val="1"/>
                <w:color w:val="auto"/>
              </w:rPr>
              <w:t>Total comprehensive income</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491</w:t>
            </w:r>
          </w:p>
        </w:tc>
        <w:tc>
          <w:tcPr>
            <w:tcW w:w="120" w:type="dxa"/>
            <w:vAlign w:val="bottom"/>
          </w:tcPr>
          <w:p>
            <w:pPr>
              <w:spacing w:after="0"/>
              <w:rPr>
                <w:sz w:val="21"/>
                <w:szCs w:val="21"/>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156</w:t>
            </w:r>
          </w:p>
        </w:tc>
        <w:tc>
          <w:tcPr>
            <w:tcW w:w="120" w:type="dxa"/>
            <w:vAlign w:val="bottom"/>
          </w:tcPr>
          <w:p>
            <w:pPr>
              <w:spacing w:after="0"/>
              <w:rPr>
                <w:sz w:val="21"/>
                <w:szCs w:val="21"/>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188</w:t>
            </w:r>
          </w:p>
        </w:tc>
      </w:tr>
      <w:tr>
        <w:trPr>
          <w:trHeight w:val="20"/>
        </w:trPr>
        <w:tc>
          <w:tcPr>
            <w:tcW w:w="7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See Notes to Consolidated Financial Statements.</w:t>
      </w:r>
    </w:p>
    <w:p>
      <w:pPr>
        <w:spacing w:after="0" w:line="25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240"/>
          </w:cols>
          <w:pgMar w:left="240" w:top="140" w:right="419" w:bottom="1440" w:gutter="0" w:footer="0" w:header="0"/>
        </w:sectPr>
      </w:pPr>
    </w:p>
    <w:bookmarkStart w:id="70" w:name="page71"/>
    <w:bookmarkEnd w:id="70"/>
    <w:p>
      <w:pPr>
        <w:spacing w:after="0" w:line="4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Avis Budget Group,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BALANCE SHEETS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millions, except par value)</w:t>
      </w:r>
    </w:p>
    <w:p>
      <w:pPr>
        <w:spacing w:after="0" w:line="363" w:lineRule="exact"/>
        <w:rPr>
          <w:sz w:val="20"/>
          <w:szCs w:val="20"/>
          <w:color w:val="auto"/>
        </w:rPr>
      </w:pPr>
    </w:p>
    <w:tbl>
      <w:tblPr>
        <w:tblLayout w:type="fixed"/>
        <w:tblInd w:w="40" w:type="dxa"/>
        <w:tblCellMar>
          <w:top w:w="0" w:type="dxa"/>
          <w:left w:w="0" w:type="dxa"/>
          <w:bottom w:w="0" w:type="dxa"/>
          <w:right w:w="0" w:type="dxa"/>
        </w:tblCellMar>
      </w:tblPr>
      <w:tr>
        <w:trPr>
          <w:trHeight w:val="228"/>
        </w:trPr>
        <w:tc>
          <w:tcPr>
            <w:tcW w:w="90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gridSpan w:val="4"/>
          </w:tcPr>
          <w:p>
            <w:pPr>
              <w:jc w:val="right"/>
              <w:ind w:right="559"/>
              <w:spacing w:after="0"/>
              <w:rPr>
                <w:sz w:val="20"/>
                <w:szCs w:val="20"/>
                <w:color w:val="auto"/>
              </w:rPr>
            </w:pPr>
            <w:r>
              <w:rPr>
                <w:rFonts w:ascii="Arial" w:cs="Arial" w:eastAsia="Arial" w:hAnsi="Arial"/>
                <w:sz w:val="16"/>
                <w:szCs w:val="16"/>
                <w:b w:val="1"/>
                <w:bCs w:val="1"/>
                <w:color w:val="auto"/>
              </w:rPr>
              <w:t>December 31,</w:t>
            </w:r>
          </w:p>
        </w:tc>
      </w:tr>
      <w:tr>
        <w:trPr>
          <w:trHeight w:val="264"/>
        </w:trPr>
        <w:tc>
          <w:tcPr>
            <w:tcW w:w="90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2016</w:t>
            </w:r>
          </w:p>
        </w:tc>
      </w:tr>
      <w:tr>
        <w:trPr>
          <w:trHeight w:val="210"/>
        </w:trPr>
        <w:tc>
          <w:tcPr>
            <w:tcW w:w="9000" w:type="dxa"/>
            <w:vAlign w:val="bottom"/>
          </w:tcPr>
          <w:p>
            <w:pPr>
              <w:spacing w:after="0"/>
              <w:rPr>
                <w:sz w:val="20"/>
                <w:szCs w:val="20"/>
                <w:color w:val="auto"/>
              </w:rPr>
            </w:pPr>
            <w:r>
              <w:rPr>
                <w:rFonts w:ascii="Arial" w:cs="Arial" w:eastAsia="Arial" w:hAnsi="Arial"/>
                <w:sz w:val="16"/>
                <w:szCs w:val="16"/>
                <w:b w:val="1"/>
                <w:bCs w:val="1"/>
                <w:color w:val="auto"/>
              </w:rPr>
              <w:t>Assets</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84"/>
        </w:trPr>
        <w:tc>
          <w:tcPr>
            <w:tcW w:w="9000" w:type="dxa"/>
            <w:vAlign w:val="bottom"/>
          </w:tcPr>
          <w:p>
            <w:pPr>
              <w:spacing w:after="0"/>
              <w:rPr>
                <w:sz w:val="20"/>
                <w:szCs w:val="20"/>
                <w:color w:val="auto"/>
              </w:rPr>
            </w:pPr>
            <w:r>
              <w:rPr>
                <w:rFonts w:ascii="Arial" w:cs="Arial" w:eastAsia="Arial" w:hAnsi="Arial"/>
                <w:sz w:val="16"/>
                <w:szCs w:val="16"/>
                <w:color w:val="auto"/>
              </w:rPr>
              <w:t>Current assets:</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97"/>
        </w:trPr>
        <w:tc>
          <w:tcPr>
            <w:tcW w:w="9000" w:type="dxa"/>
            <w:vAlign w:val="bottom"/>
          </w:tcPr>
          <w:p>
            <w:pPr>
              <w:ind w:left="120"/>
              <w:spacing w:after="0"/>
              <w:rPr>
                <w:sz w:val="20"/>
                <w:szCs w:val="20"/>
                <w:color w:val="auto"/>
              </w:rPr>
            </w:pPr>
            <w:r>
              <w:rPr>
                <w:rFonts w:ascii="Arial" w:cs="Arial" w:eastAsia="Arial" w:hAnsi="Arial"/>
                <w:sz w:val="16"/>
                <w:szCs w:val="16"/>
                <w:color w:val="auto"/>
              </w:rPr>
              <w:t>Cash and cash equivalents</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611</w:t>
            </w:r>
          </w:p>
        </w:tc>
        <w:tc>
          <w:tcPr>
            <w:tcW w:w="100" w:type="dxa"/>
            <w:vAlign w:val="bottom"/>
          </w:tcPr>
          <w:p>
            <w:pPr>
              <w:spacing w:after="0"/>
              <w:rPr>
                <w:sz w:val="24"/>
                <w:szCs w:val="24"/>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490</w:t>
            </w:r>
          </w:p>
        </w:tc>
      </w:tr>
      <w:tr>
        <w:trPr>
          <w:trHeight w:val="270"/>
        </w:trPr>
        <w:tc>
          <w:tcPr>
            <w:tcW w:w="9000" w:type="dxa"/>
            <w:vAlign w:val="bottom"/>
          </w:tcPr>
          <w:p>
            <w:pPr>
              <w:ind w:left="120"/>
              <w:spacing w:after="0"/>
              <w:rPr>
                <w:sz w:val="20"/>
                <w:szCs w:val="20"/>
                <w:color w:val="auto"/>
              </w:rPr>
            </w:pPr>
            <w:r>
              <w:rPr>
                <w:rFonts w:ascii="Arial" w:cs="Arial" w:eastAsia="Arial" w:hAnsi="Arial"/>
                <w:sz w:val="16"/>
                <w:szCs w:val="16"/>
                <w:color w:val="auto"/>
              </w:rPr>
              <w:t>Receivables (net of allowance for doubtful accounts of $36 and $38, respectively)</w:t>
            </w:r>
          </w:p>
        </w:tc>
        <w:tc>
          <w:tcPr>
            <w:tcW w:w="260" w:type="dxa"/>
            <w:vAlign w:val="bottom"/>
          </w:tcPr>
          <w:p>
            <w:pPr>
              <w:spacing w:after="0"/>
              <w:rPr>
                <w:sz w:val="23"/>
                <w:szCs w:val="23"/>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922</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808</w:t>
            </w:r>
          </w:p>
        </w:tc>
      </w:tr>
      <w:tr>
        <w:trPr>
          <w:trHeight w:val="283"/>
        </w:trPr>
        <w:tc>
          <w:tcPr>
            <w:tcW w:w="9000" w:type="dxa"/>
            <w:vAlign w:val="bottom"/>
          </w:tcPr>
          <w:p>
            <w:pPr>
              <w:ind w:left="120"/>
              <w:spacing w:after="0"/>
              <w:rPr>
                <w:sz w:val="20"/>
                <w:szCs w:val="20"/>
                <w:color w:val="auto"/>
              </w:rPr>
            </w:pPr>
            <w:r>
              <w:rPr>
                <w:rFonts w:ascii="Arial" w:cs="Arial" w:eastAsia="Arial" w:hAnsi="Arial"/>
                <w:sz w:val="16"/>
                <w:szCs w:val="16"/>
                <w:color w:val="auto"/>
              </w:rPr>
              <w:t>Other current assets</w:t>
            </w: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533</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519</w:t>
            </w:r>
          </w:p>
        </w:tc>
      </w:tr>
      <w:tr>
        <w:trPr>
          <w:trHeight w:val="237"/>
        </w:trPr>
        <w:tc>
          <w:tcPr>
            <w:tcW w:w="9000" w:type="dxa"/>
            <w:vAlign w:val="bottom"/>
          </w:tcPr>
          <w:p>
            <w:pPr>
              <w:spacing w:after="0"/>
              <w:rPr>
                <w:sz w:val="20"/>
                <w:szCs w:val="20"/>
                <w:color w:val="auto"/>
              </w:rPr>
            </w:pPr>
            <w:r>
              <w:rPr>
                <w:rFonts w:ascii="Arial" w:cs="Arial" w:eastAsia="Arial" w:hAnsi="Arial"/>
                <w:sz w:val="16"/>
                <w:szCs w:val="16"/>
                <w:color w:val="auto"/>
              </w:rPr>
              <w:t>Total current assets</w:t>
            </w:r>
          </w:p>
        </w:tc>
        <w:tc>
          <w:tcPr>
            <w:tcW w:w="26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2,066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1,817</w:t>
            </w:r>
          </w:p>
        </w:tc>
      </w:tr>
      <w:tr>
        <w:trPr>
          <w:trHeight w:val="500"/>
        </w:trPr>
        <w:tc>
          <w:tcPr>
            <w:tcW w:w="9000" w:type="dxa"/>
            <w:vAlign w:val="bottom"/>
          </w:tcPr>
          <w:p>
            <w:pPr>
              <w:spacing w:after="0"/>
              <w:rPr>
                <w:sz w:val="20"/>
                <w:szCs w:val="20"/>
                <w:color w:val="auto"/>
              </w:rPr>
            </w:pPr>
            <w:r>
              <w:rPr>
                <w:rFonts w:ascii="Arial" w:cs="Arial" w:eastAsia="Arial" w:hAnsi="Arial"/>
                <w:sz w:val="16"/>
                <w:szCs w:val="16"/>
                <w:color w:val="auto"/>
              </w:rPr>
              <w:t>Property and equipment, net</w:t>
            </w:r>
          </w:p>
        </w:tc>
        <w:tc>
          <w:tcPr>
            <w:tcW w:w="260" w:type="dxa"/>
            <w:vAlign w:val="bottom"/>
          </w:tcPr>
          <w:p>
            <w:pPr>
              <w:spacing w:after="0"/>
              <w:rPr>
                <w:sz w:val="24"/>
                <w:szCs w:val="24"/>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704</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685</w:t>
            </w:r>
          </w:p>
        </w:tc>
      </w:tr>
      <w:tr>
        <w:trPr>
          <w:trHeight w:val="270"/>
        </w:trPr>
        <w:tc>
          <w:tcPr>
            <w:tcW w:w="9000" w:type="dxa"/>
            <w:vAlign w:val="bottom"/>
          </w:tcPr>
          <w:p>
            <w:pPr>
              <w:spacing w:after="0"/>
              <w:rPr>
                <w:sz w:val="20"/>
                <w:szCs w:val="20"/>
                <w:color w:val="auto"/>
              </w:rPr>
            </w:pPr>
            <w:r>
              <w:rPr>
                <w:rFonts w:ascii="Arial" w:cs="Arial" w:eastAsia="Arial" w:hAnsi="Arial"/>
                <w:sz w:val="16"/>
                <w:szCs w:val="16"/>
                <w:color w:val="auto"/>
              </w:rPr>
              <w:t>Deferred income taxes</w:t>
            </w:r>
          </w:p>
        </w:tc>
        <w:tc>
          <w:tcPr>
            <w:tcW w:w="260" w:type="dxa"/>
            <w:vAlign w:val="bottom"/>
          </w:tcPr>
          <w:p>
            <w:pPr>
              <w:spacing w:after="0"/>
              <w:rPr>
                <w:sz w:val="23"/>
                <w:szCs w:val="23"/>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931</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1,493</w:t>
            </w:r>
          </w:p>
        </w:tc>
      </w:tr>
      <w:tr>
        <w:trPr>
          <w:trHeight w:val="270"/>
        </w:trPr>
        <w:tc>
          <w:tcPr>
            <w:tcW w:w="9000" w:type="dxa"/>
            <w:vAlign w:val="bottom"/>
          </w:tcPr>
          <w:p>
            <w:pPr>
              <w:spacing w:after="0"/>
              <w:rPr>
                <w:sz w:val="20"/>
                <w:szCs w:val="20"/>
                <w:color w:val="auto"/>
              </w:rPr>
            </w:pPr>
            <w:r>
              <w:rPr>
                <w:rFonts w:ascii="Arial" w:cs="Arial" w:eastAsia="Arial" w:hAnsi="Arial"/>
                <w:sz w:val="16"/>
                <w:szCs w:val="16"/>
                <w:color w:val="auto"/>
              </w:rPr>
              <w:t>Goodwill</w:t>
            </w:r>
          </w:p>
        </w:tc>
        <w:tc>
          <w:tcPr>
            <w:tcW w:w="260" w:type="dxa"/>
            <w:vAlign w:val="bottom"/>
          </w:tcPr>
          <w:p>
            <w:pPr>
              <w:spacing w:after="0"/>
              <w:rPr>
                <w:sz w:val="23"/>
                <w:szCs w:val="23"/>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1,073</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1,007</w:t>
            </w:r>
          </w:p>
        </w:tc>
      </w:tr>
      <w:tr>
        <w:trPr>
          <w:trHeight w:val="270"/>
        </w:trPr>
        <w:tc>
          <w:tcPr>
            <w:tcW w:w="9000" w:type="dxa"/>
            <w:vAlign w:val="bottom"/>
          </w:tcPr>
          <w:p>
            <w:pPr>
              <w:spacing w:after="0"/>
              <w:rPr>
                <w:sz w:val="20"/>
                <w:szCs w:val="20"/>
                <w:color w:val="auto"/>
              </w:rPr>
            </w:pPr>
            <w:r>
              <w:rPr>
                <w:rFonts w:ascii="Arial" w:cs="Arial" w:eastAsia="Arial" w:hAnsi="Arial"/>
                <w:sz w:val="16"/>
                <w:szCs w:val="16"/>
                <w:color w:val="auto"/>
              </w:rPr>
              <w:t>Other intangibles, net</w:t>
            </w:r>
          </w:p>
        </w:tc>
        <w:tc>
          <w:tcPr>
            <w:tcW w:w="260" w:type="dxa"/>
            <w:vAlign w:val="bottom"/>
          </w:tcPr>
          <w:p>
            <w:pPr>
              <w:spacing w:after="0"/>
              <w:rPr>
                <w:sz w:val="23"/>
                <w:szCs w:val="23"/>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850</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870</w:t>
            </w:r>
          </w:p>
        </w:tc>
      </w:tr>
      <w:tr>
        <w:trPr>
          <w:trHeight w:val="283"/>
        </w:trPr>
        <w:tc>
          <w:tcPr>
            <w:tcW w:w="9000" w:type="dxa"/>
            <w:vAlign w:val="bottom"/>
          </w:tcPr>
          <w:p>
            <w:pPr>
              <w:spacing w:after="0"/>
              <w:rPr>
                <w:sz w:val="20"/>
                <w:szCs w:val="20"/>
                <w:color w:val="auto"/>
              </w:rPr>
            </w:pPr>
            <w:r>
              <w:rPr>
                <w:rFonts w:ascii="Arial" w:cs="Arial" w:eastAsia="Arial" w:hAnsi="Arial"/>
                <w:sz w:val="16"/>
                <w:szCs w:val="16"/>
                <w:color w:val="auto"/>
              </w:rPr>
              <w:t>Other non-current assets</w:t>
            </w: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196</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193</w:t>
            </w:r>
          </w:p>
        </w:tc>
      </w:tr>
      <w:tr>
        <w:trPr>
          <w:trHeight w:val="250"/>
        </w:trPr>
        <w:tc>
          <w:tcPr>
            <w:tcW w:w="9000" w:type="dxa"/>
            <w:vAlign w:val="bottom"/>
          </w:tcPr>
          <w:p>
            <w:pPr>
              <w:spacing w:after="0"/>
              <w:rPr>
                <w:sz w:val="20"/>
                <w:szCs w:val="20"/>
                <w:color w:val="auto"/>
              </w:rPr>
            </w:pPr>
            <w:r>
              <w:rPr>
                <w:rFonts w:ascii="Arial" w:cs="Arial" w:eastAsia="Arial" w:hAnsi="Arial"/>
                <w:sz w:val="16"/>
                <w:szCs w:val="16"/>
                <w:color w:val="auto"/>
              </w:rPr>
              <w:t>Total assets exclusive of assets under vehicle programs</w:t>
            </w: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5,820</w:t>
            </w:r>
          </w:p>
        </w:tc>
        <w:tc>
          <w:tcPr>
            <w:tcW w:w="1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6,065</w:t>
            </w:r>
          </w:p>
        </w:tc>
      </w:tr>
      <w:tr>
        <w:trPr>
          <w:trHeight w:val="453"/>
        </w:trPr>
        <w:tc>
          <w:tcPr>
            <w:tcW w:w="9000" w:type="dxa"/>
            <w:vAlign w:val="bottom"/>
          </w:tcPr>
          <w:p>
            <w:pPr>
              <w:spacing w:after="0"/>
              <w:rPr>
                <w:sz w:val="20"/>
                <w:szCs w:val="20"/>
                <w:color w:val="auto"/>
              </w:rPr>
            </w:pPr>
            <w:r>
              <w:rPr>
                <w:rFonts w:ascii="Arial" w:cs="Arial" w:eastAsia="Arial" w:hAnsi="Arial"/>
                <w:sz w:val="16"/>
                <w:szCs w:val="16"/>
                <w:color w:val="auto"/>
              </w:rPr>
              <w:t>Assets under vehicle programs:</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97"/>
        </w:trPr>
        <w:tc>
          <w:tcPr>
            <w:tcW w:w="9000" w:type="dxa"/>
            <w:vAlign w:val="bottom"/>
          </w:tcPr>
          <w:p>
            <w:pPr>
              <w:ind w:left="120"/>
              <w:spacing w:after="0"/>
              <w:rPr>
                <w:sz w:val="20"/>
                <w:szCs w:val="20"/>
                <w:color w:val="auto"/>
              </w:rPr>
            </w:pPr>
            <w:r>
              <w:rPr>
                <w:rFonts w:ascii="Arial" w:cs="Arial" w:eastAsia="Arial" w:hAnsi="Arial"/>
                <w:sz w:val="16"/>
                <w:szCs w:val="16"/>
                <w:color w:val="auto"/>
              </w:rPr>
              <w:t>Program cash</w:t>
            </w:r>
          </w:p>
        </w:tc>
        <w:tc>
          <w:tcPr>
            <w:tcW w:w="260" w:type="dxa"/>
            <w:vAlign w:val="bottom"/>
          </w:tcPr>
          <w:p>
            <w:pPr>
              <w:spacing w:after="0"/>
              <w:rPr>
                <w:sz w:val="24"/>
                <w:szCs w:val="24"/>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283</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225</w:t>
            </w:r>
          </w:p>
        </w:tc>
      </w:tr>
      <w:tr>
        <w:trPr>
          <w:trHeight w:val="270"/>
        </w:trPr>
        <w:tc>
          <w:tcPr>
            <w:tcW w:w="9000" w:type="dxa"/>
            <w:vAlign w:val="bottom"/>
          </w:tcPr>
          <w:p>
            <w:pPr>
              <w:ind w:left="120"/>
              <w:spacing w:after="0"/>
              <w:rPr>
                <w:sz w:val="20"/>
                <w:szCs w:val="20"/>
                <w:color w:val="auto"/>
              </w:rPr>
            </w:pPr>
            <w:r>
              <w:rPr>
                <w:rFonts w:ascii="Arial" w:cs="Arial" w:eastAsia="Arial" w:hAnsi="Arial"/>
                <w:sz w:val="16"/>
                <w:szCs w:val="16"/>
                <w:color w:val="auto"/>
              </w:rPr>
              <w:t>Vehicles, net</w:t>
            </w:r>
          </w:p>
        </w:tc>
        <w:tc>
          <w:tcPr>
            <w:tcW w:w="260" w:type="dxa"/>
            <w:vAlign w:val="bottom"/>
          </w:tcPr>
          <w:p>
            <w:pPr>
              <w:spacing w:after="0"/>
              <w:rPr>
                <w:sz w:val="23"/>
                <w:szCs w:val="23"/>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10,626</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10,464</w:t>
            </w:r>
          </w:p>
        </w:tc>
      </w:tr>
      <w:tr>
        <w:trPr>
          <w:trHeight w:val="270"/>
        </w:trPr>
        <w:tc>
          <w:tcPr>
            <w:tcW w:w="9000" w:type="dxa"/>
            <w:vAlign w:val="bottom"/>
          </w:tcPr>
          <w:p>
            <w:pPr>
              <w:ind w:left="120"/>
              <w:spacing w:after="0"/>
              <w:rPr>
                <w:sz w:val="20"/>
                <w:szCs w:val="20"/>
                <w:color w:val="auto"/>
              </w:rPr>
            </w:pPr>
            <w:r>
              <w:rPr>
                <w:rFonts w:ascii="Arial" w:cs="Arial" w:eastAsia="Arial" w:hAnsi="Arial"/>
                <w:sz w:val="16"/>
                <w:szCs w:val="16"/>
                <w:color w:val="auto"/>
              </w:rPr>
              <w:t>Receivables from vehicle manufacturers and other</w:t>
            </w:r>
          </w:p>
        </w:tc>
        <w:tc>
          <w:tcPr>
            <w:tcW w:w="260" w:type="dxa"/>
            <w:vAlign w:val="bottom"/>
          </w:tcPr>
          <w:p>
            <w:pPr>
              <w:spacing w:after="0"/>
              <w:rPr>
                <w:sz w:val="23"/>
                <w:szCs w:val="23"/>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547</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527</w:t>
            </w:r>
          </w:p>
        </w:tc>
      </w:tr>
      <w:tr>
        <w:trPr>
          <w:trHeight w:val="283"/>
        </w:trPr>
        <w:tc>
          <w:tcPr>
            <w:tcW w:w="9000" w:type="dxa"/>
            <w:vAlign w:val="bottom"/>
          </w:tcPr>
          <w:p>
            <w:pPr>
              <w:ind w:left="120"/>
              <w:spacing w:after="0"/>
              <w:rPr>
                <w:sz w:val="20"/>
                <w:szCs w:val="20"/>
                <w:color w:val="auto"/>
              </w:rPr>
            </w:pPr>
            <w:r>
              <w:rPr>
                <w:rFonts w:ascii="Arial" w:cs="Arial" w:eastAsia="Arial" w:hAnsi="Arial"/>
                <w:sz w:val="16"/>
                <w:szCs w:val="16"/>
                <w:color w:val="auto"/>
              </w:rPr>
              <w:t>Investment in Avis Budget Rental Car Funding (AESOP) LLC—related party</w:t>
            </w: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423</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362</w:t>
            </w:r>
          </w:p>
        </w:tc>
      </w:tr>
      <w:tr>
        <w:trPr>
          <w:trHeight w:val="250"/>
        </w:trPr>
        <w:tc>
          <w:tcPr>
            <w:tcW w:w="90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11,879</w:t>
            </w:r>
          </w:p>
        </w:tc>
        <w:tc>
          <w:tcPr>
            <w:tcW w:w="1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11,578</w:t>
            </w:r>
          </w:p>
        </w:tc>
      </w:tr>
      <w:tr>
        <w:trPr>
          <w:trHeight w:val="237"/>
        </w:trPr>
        <w:tc>
          <w:tcPr>
            <w:tcW w:w="9000" w:type="dxa"/>
            <w:vAlign w:val="bottom"/>
          </w:tcPr>
          <w:p>
            <w:pPr>
              <w:spacing w:after="0"/>
              <w:rPr>
                <w:sz w:val="20"/>
                <w:szCs w:val="20"/>
                <w:color w:val="auto"/>
              </w:rPr>
            </w:pPr>
            <w:r>
              <w:rPr>
                <w:rFonts w:ascii="Arial" w:cs="Arial" w:eastAsia="Arial" w:hAnsi="Arial"/>
                <w:sz w:val="16"/>
                <w:szCs w:val="16"/>
                <w:b w:val="1"/>
                <w:bCs w:val="1"/>
                <w:color w:val="auto"/>
              </w:rPr>
              <w:t>Total assets</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17,699</w:t>
            </w:r>
          </w:p>
        </w:tc>
        <w:tc>
          <w:tcPr>
            <w:tcW w:w="100" w:type="dxa"/>
            <w:vAlign w:val="bottom"/>
          </w:tcPr>
          <w:p>
            <w:pPr>
              <w:spacing w:after="0"/>
              <w:rPr>
                <w:sz w:val="20"/>
                <w:szCs w:val="20"/>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17,643</w:t>
            </w:r>
          </w:p>
        </w:tc>
      </w:tr>
      <w:tr>
        <w:trPr>
          <w:trHeight w:val="20"/>
        </w:trPr>
        <w:tc>
          <w:tcPr>
            <w:tcW w:w="90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87" w:orient="portrait"/>
          <w:cols w:equalWidth="0" w:num="1">
            <w:col w:w="11420"/>
          </w:cols>
          <w:pgMar w:left="240" w:top="140" w:right="239" w:bottom="0" w:gutter="0" w:footer="0" w:header="0"/>
        </w:sectPr>
      </w:pPr>
    </w:p>
    <w:p>
      <w:pPr>
        <w:spacing w:after="0" w:line="38"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Liabilities and stockholders’ equity</w:t>
      </w:r>
    </w:p>
    <w:p>
      <w:pPr>
        <w:spacing w:after="0" w:line="106" w:lineRule="exact"/>
        <w:rPr>
          <w:sz w:val="20"/>
          <w:szCs w:val="20"/>
          <w:color w:val="auto"/>
        </w:rPr>
      </w:pPr>
    </w:p>
    <w:p>
      <w:pPr>
        <w:ind w:left="40"/>
        <w:spacing w:after="0"/>
        <w:rPr>
          <w:sz w:val="20"/>
          <w:szCs w:val="20"/>
          <w:color w:val="auto"/>
        </w:rPr>
      </w:pPr>
      <w:r>
        <w:rPr>
          <w:rFonts w:ascii="Arial" w:cs="Arial" w:eastAsia="Arial" w:hAnsi="Arial"/>
          <w:sz w:val="16"/>
          <w:szCs w:val="16"/>
          <w:color w:val="auto"/>
        </w:rPr>
        <w:t>Current liabilities:</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6"/>
          <w:szCs w:val="16"/>
          <w:color w:val="auto"/>
        </w:rPr>
        <w:t>Accounts payable and other current liabilities</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6"/>
          <w:szCs w:val="16"/>
          <w:color w:val="auto"/>
        </w:rPr>
        <w:t>Short-term debt and current portion of long-term debt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Total current liabilities</w:t>
      </w:r>
    </w:p>
    <w:p>
      <w:pPr>
        <w:spacing w:after="0" w:line="316" w:lineRule="exact"/>
        <w:rPr>
          <w:sz w:val="20"/>
          <w:szCs w:val="20"/>
          <w:color w:val="auto"/>
        </w:rPr>
      </w:pPr>
    </w:p>
    <w:p>
      <w:pPr>
        <w:ind w:left="40"/>
        <w:spacing w:after="0"/>
        <w:rPr>
          <w:sz w:val="20"/>
          <w:szCs w:val="20"/>
          <w:color w:val="auto"/>
        </w:rPr>
      </w:pPr>
      <w:r>
        <w:rPr>
          <w:rFonts w:ascii="Arial" w:cs="Arial" w:eastAsia="Arial" w:hAnsi="Arial"/>
          <w:sz w:val="16"/>
          <w:szCs w:val="16"/>
          <w:color w:val="auto"/>
        </w:rPr>
        <w:t>Long-term debt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Other non-current liabilities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Total liabilities exclusive of liabilities under vehicle programs</w:t>
      </w:r>
    </w:p>
    <w:p>
      <w:pPr>
        <w:spacing w:after="0" w:line="329" w:lineRule="exact"/>
        <w:rPr>
          <w:sz w:val="20"/>
          <w:szCs w:val="20"/>
          <w:color w:val="auto"/>
        </w:rPr>
      </w:pPr>
    </w:p>
    <w:p>
      <w:pPr>
        <w:ind w:left="40"/>
        <w:spacing w:after="0"/>
        <w:rPr>
          <w:sz w:val="20"/>
          <w:szCs w:val="20"/>
          <w:color w:val="auto"/>
        </w:rPr>
      </w:pPr>
      <w:r>
        <w:rPr>
          <w:rFonts w:ascii="Arial" w:cs="Arial" w:eastAsia="Arial" w:hAnsi="Arial"/>
          <w:sz w:val="16"/>
          <w:szCs w:val="16"/>
          <w:color w:val="auto"/>
        </w:rPr>
        <w:t>Liabilities under vehicle programs:</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6"/>
          <w:szCs w:val="16"/>
          <w:color w:val="auto"/>
        </w:rPr>
        <w:t>Debt</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6"/>
          <w:szCs w:val="16"/>
          <w:color w:val="auto"/>
        </w:rPr>
        <w:t>Debt due to Avis Budget Rental Car Funding (AESOP) LLC—related party</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6"/>
          <w:szCs w:val="16"/>
          <w:color w:val="auto"/>
        </w:rPr>
        <w:t>Deferred income taxes</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6"/>
          <w:szCs w:val="16"/>
          <w:color w:val="auto"/>
        </w:rPr>
        <w:t>Other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560" w:val="left"/>
          <w:tab w:leader="none" w:pos="1220" w:val="left"/>
          <w:tab w:leader="none" w:pos="180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1,619</w:t>
        <w:tab/>
        <w:t>$</w:t>
      </w:r>
      <w:r>
        <w:rPr>
          <w:sz w:val="20"/>
          <w:szCs w:val="20"/>
          <w:color w:val="auto"/>
        </w:rPr>
        <w:tab/>
      </w:r>
      <w:r>
        <w:rPr>
          <w:rFonts w:ascii="Arial" w:cs="Arial" w:eastAsia="Arial" w:hAnsi="Arial"/>
          <w:sz w:val="16"/>
          <w:szCs w:val="16"/>
          <w:color w:val="auto"/>
        </w:rPr>
        <w:t>1,488</w:t>
      </w:r>
    </w:p>
    <w:p>
      <w:pPr>
        <w:spacing w:after="0" w:line="86" w:lineRule="exact"/>
        <w:rPr>
          <w:sz w:val="20"/>
          <w:szCs w:val="20"/>
          <w:color w:val="auto"/>
        </w:rPr>
      </w:pPr>
    </w:p>
    <w:p>
      <w:pPr>
        <w:ind w:left="1960" w:hanging="1151"/>
        <w:spacing w:after="0"/>
        <w:tabs>
          <w:tab w:leader="none" w:pos="1960" w:val="left"/>
        </w:tabs>
        <w:numPr>
          <w:ilvl w:val="0"/>
          <w:numId w:val="52"/>
        </w:numPr>
        <w:rPr>
          <w:rFonts w:ascii="Arial" w:cs="Arial" w:eastAsia="Arial" w:hAnsi="Arial"/>
          <w:sz w:val="16"/>
          <w:szCs w:val="16"/>
          <w:color w:val="auto"/>
        </w:rPr>
      </w:pPr>
      <w:r>
        <w:rPr>
          <w:rFonts w:ascii="Arial" w:cs="Arial" w:eastAsia="Arial" w:hAnsi="Arial"/>
          <w:sz w:val="16"/>
          <w:szCs w:val="16"/>
          <w:color w:val="auto"/>
        </w:rPr>
        <w:t>279</w:t>
      </w:r>
    </w:p>
    <w:p>
      <w:pPr>
        <w:spacing w:after="0" w:line="86" w:lineRule="exact"/>
        <w:rPr>
          <w:rFonts w:ascii="Arial" w:cs="Arial" w:eastAsia="Arial" w:hAnsi="Arial"/>
          <w:sz w:val="16"/>
          <w:szCs w:val="16"/>
          <w:color w:val="auto"/>
        </w:rPr>
      </w:pPr>
    </w:p>
    <w:p>
      <w:pPr>
        <w:ind w:left="580"/>
        <w:spacing w:after="0"/>
        <w:rPr>
          <w:rFonts w:ascii="Arial" w:cs="Arial" w:eastAsia="Arial" w:hAnsi="Arial"/>
          <w:sz w:val="16"/>
          <w:szCs w:val="16"/>
          <w:color w:val="auto"/>
        </w:rPr>
      </w:pPr>
      <w:r>
        <w:rPr>
          <w:rFonts w:ascii="Arial" w:cs="Arial" w:eastAsia="Arial" w:hAnsi="Arial"/>
          <w:sz w:val="16"/>
          <w:szCs w:val="16"/>
          <w:color w:val="auto"/>
        </w:rPr>
        <w:t>1,6451,767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-151765</wp:posOffset>
            </wp:positionV>
            <wp:extent cx="150939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509395" cy="8890"/>
                    </a:xfrm>
                    <a:prstGeom prst="rect">
                      <a:avLst/>
                    </a:prstGeom>
                    <a:noFill/>
                  </pic:spPr>
                </pic:pic>
              </a:graphicData>
            </a:graphic>
          </wp:anchor>
        </w:drawing>
      </w:r>
    </w:p>
    <w:p>
      <w:pPr>
        <w:spacing w:after="0" w:line="296" w:lineRule="exact"/>
        <w:rPr>
          <w:sz w:val="20"/>
          <w:szCs w:val="20"/>
          <w:color w:val="auto"/>
        </w:rPr>
      </w:pPr>
    </w:p>
    <w:p>
      <w:pPr>
        <w:jc w:val="both"/>
        <w:ind w:left="580"/>
        <w:spacing w:after="0"/>
        <w:tabs>
          <w:tab w:leader="none" w:pos="1800" w:val="left"/>
        </w:tabs>
        <w:rPr>
          <w:sz w:val="20"/>
          <w:szCs w:val="20"/>
          <w:color w:val="auto"/>
        </w:rPr>
      </w:pPr>
      <w:r>
        <w:rPr>
          <w:rFonts w:ascii="Arial" w:cs="Arial" w:eastAsia="Arial" w:hAnsi="Arial"/>
          <w:sz w:val="16"/>
          <w:szCs w:val="16"/>
          <w:color w:val="auto"/>
        </w:rPr>
        <w:t>3,573</w:t>
      </w:r>
      <w:r>
        <w:rPr>
          <w:sz w:val="20"/>
          <w:szCs w:val="20"/>
          <w:color w:val="auto"/>
        </w:rPr>
        <w:tab/>
      </w:r>
      <w:r>
        <w:rPr>
          <w:rFonts w:ascii="Arial" w:cs="Arial" w:eastAsia="Arial" w:hAnsi="Arial"/>
          <w:sz w:val="16"/>
          <w:szCs w:val="16"/>
          <w:color w:val="auto"/>
        </w:rPr>
        <w:t>3,244</w:t>
      </w:r>
    </w:p>
    <w:p>
      <w:pPr>
        <w:spacing w:after="0" w:line="86" w:lineRule="exact"/>
        <w:rPr>
          <w:sz w:val="20"/>
          <w:szCs w:val="20"/>
          <w:color w:val="auto"/>
        </w:rPr>
      </w:pPr>
    </w:p>
    <w:p>
      <w:pPr>
        <w:ind w:left="1960" w:hanging="1241"/>
        <w:spacing w:after="0"/>
        <w:tabs>
          <w:tab w:leader="none" w:pos="1960" w:val="left"/>
        </w:tabs>
        <w:numPr>
          <w:ilvl w:val="0"/>
          <w:numId w:val="53"/>
        </w:numPr>
        <w:rPr>
          <w:rFonts w:ascii="Arial" w:cs="Arial" w:eastAsia="Arial" w:hAnsi="Arial"/>
          <w:sz w:val="16"/>
          <w:szCs w:val="16"/>
          <w:color w:val="auto"/>
        </w:rPr>
      </w:pPr>
      <w:r>
        <w:rPr>
          <w:rFonts w:ascii="Arial" w:cs="Arial" w:eastAsia="Arial" w:hAnsi="Arial"/>
          <w:sz w:val="16"/>
          <w:szCs w:val="16"/>
          <w:color w:val="auto"/>
        </w:rPr>
        <w:t>764</w:t>
      </w:r>
    </w:p>
    <w:p>
      <w:pPr>
        <w:spacing w:after="0" w:line="86" w:lineRule="exact"/>
        <w:rPr>
          <w:rFonts w:ascii="Arial" w:cs="Arial" w:eastAsia="Arial" w:hAnsi="Arial"/>
          <w:sz w:val="16"/>
          <w:szCs w:val="16"/>
          <w:color w:val="auto"/>
        </w:rPr>
      </w:pPr>
    </w:p>
    <w:p>
      <w:pPr>
        <w:ind w:left="580"/>
        <w:spacing w:after="0"/>
        <w:rPr>
          <w:rFonts w:ascii="Arial" w:cs="Arial" w:eastAsia="Arial" w:hAnsi="Arial"/>
          <w:sz w:val="16"/>
          <w:szCs w:val="16"/>
          <w:color w:val="auto"/>
        </w:rPr>
      </w:pPr>
      <w:r>
        <w:rPr>
          <w:rFonts w:ascii="Arial" w:cs="Arial" w:eastAsia="Arial" w:hAnsi="Arial"/>
          <w:sz w:val="16"/>
          <w:szCs w:val="16"/>
          <w:color w:val="auto"/>
        </w:rPr>
        <w:t>5,9355,775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19050</wp:posOffset>
            </wp:positionV>
            <wp:extent cx="150939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509395" cy="8890"/>
                    </a:xfrm>
                    <a:prstGeom prst="rect">
                      <a:avLst/>
                    </a:prstGeom>
                    <a:noFill/>
                  </pic:spPr>
                </pic:pic>
              </a:graphicData>
            </a:graphic>
          </wp:anchor>
        </w:drawing>
        <w:drawing>
          <wp:anchor simplePos="0" relativeHeight="251657728" behindDoc="1" locked="0" layoutInCell="0" allowOverlap="1">
            <wp:simplePos x="0" y="0"/>
            <wp:positionH relativeFrom="column">
              <wp:posOffset>-22860</wp:posOffset>
            </wp:positionH>
            <wp:positionV relativeFrom="paragraph">
              <wp:posOffset>-151765</wp:posOffset>
            </wp:positionV>
            <wp:extent cx="150939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509395" cy="8890"/>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p>
      <w:pPr>
        <w:jc w:val="both"/>
        <w:ind w:left="580"/>
        <w:spacing w:after="0"/>
        <w:tabs>
          <w:tab w:leader="none" w:pos="1800" w:val="left"/>
        </w:tabs>
        <w:rPr>
          <w:sz w:val="20"/>
          <w:szCs w:val="20"/>
          <w:color w:val="auto"/>
        </w:rPr>
      </w:pPr>
      <w:r>
        <w:rPr>
          <w:rFonts w:ascii="Arial" w:cs="Arial" w:eastAsia="Arial" w:hAnsi="Arial"/>
          <w:sz w:val="16"/>
          <w:szCs w:val="16"/>
          <w:color w:val="auto"/>
        </w:rPr>
        <w:t>2,741</w:t>
      </w:r>
      <w:r>
        <w:rPr>
          <w:sz w:val="20"/>
          <w:szCs w:val="20"/>
          <w:color w:val="auto"/>
        </w:rPr>
        <w:tab/>
      </w:r>
      <w:r>
        <w:rPr>
          <w:rFonts w:ascii="Arial" w:cs="Arial" w:eastAsia="Arial" w:hAnsi="Arial"/>
          <w:sz w:val="16"/>
          <w:szCs w:val="16"/>
          <w:color w:val="auto"/>
        </w:rPr>
        <w:t>2,183</w:t>
      </w:r>
    </w:p>
    <w:p>
      <w:pPr>
        <w:spacing w:after="0" w:line="86" w:lineRule="exact"/>
        <w:rPr>
          <w:sz w:val="20"/>
          <w:szCs w:val="20"/>
          <w:color w:val="auto"/>
        </w:rPr>
      </w:pPr>
    </w:p>
    <w:p>
      <w:pPr>
        <w:jc w:val="both"/>
        <w:ind w:left="580"/>
        <w:spacing w:after="0"/>
        <w:tabs>
          <w:tab w:leader="none" w:pos="1800" w:val="left"/>
        </w:tabs>
        <w:rPr>
          <w:sz w:val="20"/>
          <w:szCs w:val="20"/>
          <w:color w:val="auto"/>
        </w:rPr>
      </w:pPr>
      <w:r>
        <w:rPr>
          <w:rFonts w:ascii="Arial" w:cs="Arial" w:eastAsia="Arial" w:hAnsi="Arial"/>
          <w:sz w:val="16"/>
          <w:szCs w:val="16"/>
          <w:color w:val="auto"/>
        </w:rPr>
        <w:t>6,480</w:t>
      </w:r>
      <w:r>
        <w:rPr>
          <w:sz w:val="20"/>
          <w:szCs w:val="20"/>
          <w:color w:val="auto"/>
        </w:rPr>
        <w:tab/>
      </w:r>
      <w:r>
        <w:rPr>
          <w:rFonts w:ascii="Arial" w:cs="Arial" w:eastAsia="Arial" w:hAnsi="Arial"/>
          <w:sz w:val="16"/>
          <w:szCs w:val="16"/>
          <w:color w:val="auto"/>
        </w:rPr>
        <w:t>6,695</w:t>
      </w:r>
    </w:p>
    <w:p>
      <w:pPr>
        <w:spacing w:after="0" w:line="86" w:lineRule="exact"/>
        <w:rPr>
          <w:sz w:val="20"/>
          <w:szCs w:val="20"/>
          <w:color w:val="auto"/>
        </w:rPr>
      </w:pPr>
    </w:p>
    <w:p>
      <w:pPr>
        <w:jc w:val="both"/>
        <w:ind w:left="580"/>
        <w:spacing w:after="0"/>
        <w:tabs>
          <w:tab w:leader="none" w:pos="1800" w:val="left"/>
        </w:tabs>
        <w:rPr>
          <w:sz w:val="20"/>
          <w:szCs w:val="20"/>
          <w:color w:val="auto"/>
        </w:rPr>
      </w:pPr>
      <w:r>
        <w:rPr>
          <w:rFonts w:ascii="Arial" w:cs="Arial" w:eastAsia="Arial" w:hAnsi="Arial"/>
          <w:sz w:val="16"/>
          <w:szCs w:val="16"/>
          <w:color w:val="auto"/>
        </w:rPr>
        <w:t>1,594</w:t>
      </w:r>
      <w:r>
        <w:rPr>
          <w:sz w:val="20"/>
          <w:szCs w:val="20"/>
          <w:color w:val="auto"/>
        </w:rPr>
        <w:tab/>
      </w:r>
      <w:r>
        <w:rPr>
          <w:rFonts w:ascii="Arial" w:cs="Arial" w:eastAsia="Arial" w:hAnsi="Arial"/>
          <w:sz w:val="16"/>
          <w:szCs w:val="16"/>
          <w:color w:val="auto"/>
        </w:rPr>
        <w:t>2,429</w:t>
      </w:r>
    </w:p>
    <w:p>
      <w:pPr>
        <w:spacing w:after="0" w:line="86" w:lineRule="exact"/>
        <w:rPr>
          <w:sz w:val="20"/>
          <w:szCs w:val="20"/>
          <w:color w:val="auto"/>
        </w:rPr>
      </w:pPr>
    </w:p>
    <w:p>
      <w:pPr>
        <w:ind w:left="1960" w:hanging="1241"/>
        <w:spacing w:after="0"/>
        <w:tabs>
          <w:tab w:leader="none" w:pos="1960" w:val="left"/>
        </w:tabs>
        <w:numPr>
          <w:ilvl w:val="0"/>
          <w:numId w:val="54"/>
        </w:numPr>
        <w:rPr>
          <w:rFonts w:ascii="Arial" w:cs="Arial" w:eastAsia="Arial" w:hAnsi="Arial"/>
          <w:sz w:val="16"/>
          <w:szCs w:val="16"/>
          <w:color w:val="auto"/>
        </w:rPr>
      </w:pPr>
      <w:r>
        <w:rPr>
          <w:rFonts w:ascii="Arial" w:cs="Arial" w:eastAsia="Arial" w:hAnsi="Arial"/>
          <w:sz w:val="16"/>
          <w:szCs w:val="16"/>
          <w:color w:val="auto"/>
        </w:rPr>
        <w:t>340</w:t>
      </w:r>
    </w:p>
    <w:p>
      <w:pPr>
        <w:spacing w:after="0" w:line="86" w:lineRule="exact"/>
        <w:rPr>
          <w:rFonts w:ascii="Arial" w:cs="Arial" w:eastAsia="Arial" w:hAnsi="Arial"/>
          <w:sz w:val="16"/>
          <w:szCs w:val="16"/>
          <w:color w:val="auto"/>
        </w:rPr>
      </w:pPr>
    </w:p>
    <w:p>
      <w:pPr>
        <w:ind w:left="500"/>
        <w:spacing w:after="0"/>
        <w:rPr>
          <w:rFonts w:ascii="Arial" w:cs="Arial" w:eastAsia="Arial" w:hAnsi="Arial"/>
          <w:sz w:val="16"/>
          <w:szCs w:val="16"/>
          <w:color w:val="auto"/>
        </w:rPr>
      </w:pPr>
      <w:r>
        <w:rPr>
          <w:rFonts w:ascii="Arial" w:cs="Arial" w:eastAsia="Arial" w:hAnsi="Arial"/>
          <w:sz w:val="16"/>
          <w:szCs w:val="16"/>
          <w:color w:val="auto"/>
        </w:rPr>
        <w:t>11,19111,647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19050</wp:posOffset>
            </wp:positionV>
            <wp:extent cx="150939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509395" cy="8890"/>
                    </a:xfrm>
                    <a:prstGeom prst="rect">
                      <a:avLst/>
                    </a:prstGeom>
                    <a:noFill/>
                  </pic:spPr>
                </pic:pic>
              </a:graphicData>
            </a:graphic>
          </wp:anchor>
        </w:drawing>
        <w:drawing>
          <wp:anchor simplePos="0" relativeHeight="251657728" behindDoc="1" locked="0" layoutInCell="0" allowOverlap="1">
            <wp:simplePos x="0" y="0"/>
            <wp:positionH relativeFrom="column">
              <wp:posOffset>-22860</wp:posOffset>
            </wp:positionH>
            <wp:positionV relativeFrom="paragraph">
              <wp:posOffset>-151765</wp:posOffset>
            </wp:positionV>
            <wp:extent cx="150939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509395" cy="8890"/>
                    </a:xfrm>
                    <a:prstGeom prst="rect">
                      <a:avLst/>
                    </a:prstGeom>
                    <a:noFill/>
                  </pic:spPr>
                </pic:pic>
              </a:graphicData>
            </a:graphic>
          </wp:anchor>
        </w:drawing>
      </w:r>
    </w:p>
    <w:p>
      <w:pPr>
        <w:spacing w:after="0" w:line="200" w:lineRule="exact"/>
        <w:rPr>
          <w:sz w:val="20"/>
          <w:szCs w:val="20"/>
          <w:color w:val="auto"/>
        </w:rPr>
      </w:pPr>
    </w:p>
    <w:p>
      <w:pPr>
        <w:sectPr>
          <w:pgSz w:w="11900" w:h="16887" w:orient="portrait"/>
          <w:cols w:equalWidth="0" w:num="2">
            <w:col w:w="8360" w:space="720"/>
            <w:col w:w="2340"/>
          </w:cols>
          <w:pgMar w:left="240" w:top="140" w:right="239" w:bottom="0" w:gutter="0" w:footer="0" w:header="0"/>
          <w:type w:val="continuous"/>
        </w:sectPr>
      </w:pPr>
    </w:p>
    <w:p>
      <w:pPr>
        <w:spacing w:after="0" w:line="102" w:lineRule="exact"/>
        <w:rPr>
          <w:sz w:val="20"/>
          <w:szCs w:val="20"/>
          <w:color w:val="auto"/>
        </w:rPr>
      </w:pPr>
    </w:p>
    <w:p>
      <w:pPr>
        <w:ind w:left="40"/>
        <w:spacing w:after="0"/>
        <w:rPr>
          <w:sz w:val="20"/>
          <w:szCs w:val="20"/>
          <w:color w:val="auto"/>
        </w:rPr>
      </w:pPr>
      <w:r>
        <w:rPr>
          <w:rFonts w:ascii="Arial" w:cs="Arial" w:eastAsia="Arial" w:hAnsi="Arial"/>
          <w:sz w:val="16"/>
          <w:szCs w:val="16"/>
          <w:color w:val="auto"/>
        </w:rPr>
        <w:t>Commitments and contingencies (Note 14)</w:t>
      </w:r>
    </w:p>
    <w:p>
      <w:pPr>
        <w:sectPr>
          <w:pgSz w:w="11900" w:h="16887" w:orient="portrait"/>
          <w:cols w:equalWidth="0" w:num="1">
            <w:col w:w="11420"/>
          </w:cols>
          <w:pgMar w:left="240" w:top="140" w:right="239" w:bottom="0" w:gutter="0" w:footer="0" w:header="0"/>
          <w:type w:val="continuous"/>
        </w:sectPr>
      </w:pPr>
    </w:p>
    <w:p>
      <w:pPr>
        <w:spacing w:after="0" w:line="316" w:lineRule="exact"/>
        <w:rPr>
          <w:sz w:val="20"/>
          <w:szCs w:val="20"/>
          <w:color w:val="auto"/>
        </w:rPr>
      </w:pPr>
    </w:p>
    <w:p>
      <w:pPr>
        <w:ind w:left="40"/>
        <w:spacing w:after="0"/>
        <w:rPr>
          <w:sz w:val="20"/>
          <w:szCs w:val="20"/>
          <w:color w:val="auto"/>
        </w:rPr>
      </w:pPr>
      <w:r>
        <w:rPr>
          <w:rFonts w:ascii="Arial" w:cs="Arial" w:eastAsia="Arial" w:hAnsi="Arial"/>
          <w:sz w:val="16"/>
          <w:szCs w:val="16"/>
          <w:color w:val="auto"/>
        </w:rPr>
        <w:t>Stockholders’ equity:</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6"/>
          <w:szCs w:val="16"/>
          <w:color w:val="auto"/>
        </w:rPr>
        <w:t>Preferred stock, $.01 par value—authorized 10 shares; none issued and outstanding</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6"/>
          <w:szCs w:val="16"/>
          <w:color w:val="auto"/>
        </w:rPr>
        <w:t>Common stock, $.01 par value—authorized 250 shares; issued 137 shares, respectively</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6"/>
          <w:szCs w:val="16"/>
          <w:color w:val="auto"/>
        </w:rPr>
        <w:t>Additional paid-in capital</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6"/>
          <w:szCs w:val="16"/>
          <w:color w:val="auto"/>
        </w:rPr>
        <w:t>Accumulated deficit</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6"/>
          <w:szCs w:val="16"/>
          <w:color w:val="auto"/>
        </w:rPr>
        <w:t>Accumulated other comprehensive loss</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6"/>
          <w:szCs w:val="16"/>
          <w:color w:val="auto"/>
        </w:rPr>
        <w:t>Treasury stock, at cost—56 and 51 shares, respectively</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Total stockholders’ equity</w:t>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Total liabilities and stockholders’ equity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3" w:lineRule="exact"/>
        <w:rPr>
          <w:sz w:val="20"/>
          <w:szCs w:val="20"/>
          <w:color w:val="auto"/>
        </w:rPr>
      </w:pPr>
    </w:p>
    <w:p>
      <w:pPr>
        <w:spacing w:after="0" w:line="1" w:lineRule="exact"/>
        <w:rPr>
          <w:sz w:val="1"/>
          <w:szCs w:val="1"/>
          <w:color w:val="auto"/>
        </w:rPr>
      </w:pPr>
    </w:p>
    <w:tbl>
      <w:tblPr>
        <w:tblLayout w:type="fixed"/>
        <w:tblInd w:w="540" w:type="dxa"/>
        <w:tblCellMar>
          <w:top w:w="0" w:type="dxa"/>
          <w:left w:w="0" w:type="dxa"/>
          <w:bottom w:w="0" w:type="dxa"/>
          <w:right w:w="0" w:type="dxa"/>
        </w:tblCellMar>
      </w:tblPr>
      <w:tr>
        <w:trPr>
          <w:trHeight w:val="195"/>
        </w:trPr>
        <w:tc>
          <w:tcPr>
            <w:tcW w:w="860" w:type="dxa"/>
            <w:vAlign w:val="bottom"/>
          </w:tcPr>
          <w:p>
            <w:pPr>
              <w:jc w:val="right"/>
              <w:ind w:right="33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70"/>
        </w:trPr>
        <w:tc>
          <w:tcPr>
            <w:tcW w:w="860" w:type="dxa"/>
            <w:vAlign w:val="bottom"/>
          </w:tcPr>
          <w:p>
            <w:pPr>
              <w:jc w:val="right"/>
              <w:ind w:right="339"/>
              <w:spacing w:after="0"/>
              <w:rPr>
                <w:sz w:val="20"/>
                <w:szCs w:val="20"/>
                <w:color w:val="auto"/>
              </w:rPr>
            </w:pPr>
            <w:r>
              <w:rPr>
                <w:rFonts w:ascii="Arial" w:cs="Arial" w:eastAsia="Arial" w:hAnsi="Arial"/>
                <w:sz w:val="16"/>
                <w:szCs w:val="16"/>
                <w:color w:val="auto"/>
              </w:rPr>
              <w:t>1</w:t>
            </w:r>
          </w:p>
        </w:tc>
        <w:tc>
          <w:tcPr>
            <w:tcW w:w="88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70"/>
        </w:trPr>
        <w:tc>
          <w:tcPr>
            <w:tcW w:w="860" w:type="dxa"/>
            <w:vAlign w:val="bottom"/>
          </w:tcPr>
          <w:p>
            <w:pPr>
              <w:jc w:val="right"/>
              <w:ind w:right="339"/>
              <w:spacing w:after="0"/>
              <w:rPr>
                <w:sz w:val="20"/>
                <w:szCs w:val="20"/>
                <w:color w:val="auto"/>
              </w:rPr>
            </w:pPr>
            <w:r>
              <w:rPr>
                <w:rFonts w:ascii="Arial" w:cs="Arial" w:eastAsia="Arial" w:hAnsi="Arial"/>
                <w:sz w:val="16"/>
                <w:szCs w:val="16"/>
                <w:color w:val="auto"/>
              </w:rPr>
              <w:t>6,820</w:t>
            </w:r>
          </w:p>
        </w:tc>
        <w:tc>
          <w:tcPr>
            <w:tcW w:w="880" w:type="dxa"/>
            <w:vAlign w:val="bottom"/>
          </w:tcPr>
          <w:p>
            <w:pPr>
              <w:jc w:val="right"/>
              <w:spacing w:after="0"/>
              <w:rPr>
                <w:sz w:val="20"/>
                <w:szCs w:val="20"/>
                <w:color w:val="auto"/>
              </w:rPr>
            </w:pPr>
            <w:r>
              <w:rPr>
                <w:rFonts w:ascii="Arial" w:cs="Arial" w:eastAsia="Arial" w:hAnsi="Arial"/>
                <w:sz w:val="16"/>
                <w:szCs w:val="16"/>
                <w:color w:val="auto"/>
              </w:rPr>
              <w:t>6,918</w:t>
            </w:r>
          </w:p>
        </w:tc>
      </w:tr>
      <w:tr>
        <w:trPr>
          <w:trHeight w:val="270"/>
        </w:trPr>
        <w:tc>
          <w:tcPr>
            <w:tcW w:w="860" w:type="dxa"/>
            <w:vAlign w:val="bottom"/>
          </w:tcPr>
          <w:p>
            <w:pPr>
              <w:jc w:val="right"/>
              <w:ind w:right="279"/>
              <w:spacing w:after="0"/>
              <w:rPr>
                <w:sz w:val="20"/>
                <w:szCs w:val="20"/>
                <w:color w:val="auto"/>
              </w:rPr>
            </w:pPr>
            <w:r>
              <w:rPr>
                <w:rFonts w:ascii="Arial" w:cs="Arial" w:eastAsia="Arial" w:hAnsi="Arial"/>
                <w:sz w:val="16"/>
                <w:szCs w:val="16"/>
                <w:color w:val="auto"/>
                <w:w w:val="94"/>
              </w:rPr>
              <w:t>(1,222)</w:t>
            </w:r>
          </w:p>
        </w:tc>
        <w:tc>
          <w:tcPr>
            <w:tcW w:w="880" w:type="dxa"/>
            <w:vAlign w:val="bottom"/>
          </w:tcPr>
          <w:p>
            <w:pPr>
              <w:jc w:val="right"/>
              <w:spacing w:after="0"/>
              <w:rPr>
                <w:sz w:val="20"/>
                <w:szCs w:val="20"/>
                <w:color w:val="auto"/>
              </w:rPr>
            </w:pPr>
            <w:r>
              <w:rPr>
                <w:rFonts w:ascii="Arial" w:cs="Arial" w:eastAsia="Arial" w:hAnsi="Arial"/>
                <w:sz w:val="16"/>
                <w:szCs w:val="16"/>
                <w:color w:val="auto"/>
              </w:rPr>
              <w:t>(1,639)</w:t>
            </w:r>
          </w:p>
        </w:tc>
      </w:tr>
    </w:tbl>
    <w:p>
      <w:pPr>
        <w:spacing w:after="0" w:line="75" w:lineRule="exact"/>
        <w:rPr>
          <w:sz w:val="20"/>
          <w:szCs w:val="20"/>
          <w:color w:val="auto"/>
        </w:rPr>
      </w:pPr>
    </w:p>
    <w:p>
      <w:pPr>
        <w:ind w:left="1900" w:hanging="1145"/>
        <w:spacing w:after="0"/>
        <w:tabs>
          <w:tab w:leader="none" w:pos="1900" w:val="left"/>
        </w:tabs>
        <w:numPr>
          <w:ilvl w:val="0"/>
          <w:numId w:val="55"/>
        </w:numPr>
        <w:rPr>
          <w:rFonts w:ascii="Arial" w:cs="Arial" w:eastAsia="Arial" w:hAnsi="Arial"/>
          <w:sz w:val="16"/>
          <w:szCs w:val="16"/>
          <w:color w:val="auto"/>
        </w:rPr>
      </w:pPr>
      <w:r>
        <w:rPr>
          <w:rFonts w:ascii="Arial" w:cs="Arial" w:eastAsia="Arial" w:hAnsi="Arial"/>
          <w:sz w:val="16"/>
          <w:szCs w:val="16"/>
          <w:color w:val="auto"/>
        </w:rPr>
        <w:t>(154)</w:t>
      </w:r>
    </w:p>
    <w:p>
      <w:pPr>
        <w:spacing w:after="0" w:line="86" w:lineRule="exact"/>
        <w:rPr>
          <w:sz w:val="20"/>
          <w:szCs w:val="20"/>
          <w:color w:val="auto"/>
        </w:rPr>
      </w:pPr>
    </w:p>
    <w:p>
      <w:pPr>
        <w:jc w:val="both"/>
        <w:ind w:left="540"/>
        <w:spacing w:after="0"/>
        <w:tabs>
          <w:tab w:leader="none" w:pos="1760" w:val="left"/>
        </w:tabs>
        <w:rPr>
          <w:sz w:val="20"/>
          <w:szCs w:val="20"/>
          <w:color w:val="auto"/>
        </w:rPr>
      </w:pPr>
      <w:r>
        <w:rPr>
          <w:rFonts w:ascii="Arial" w:cs="Arial" w:eastAsia="Arial" w:hAnsi="Arial"/>
          <w:sz w:val="16"/>
          <w:szCs w:val="16"/>
          <w:color w:val="auto"/>
        </w:rPr>
        <w:t>(5,002)</w:t>
      </w:r>
      <w:r>
        <w:rPr>
          <w:sz w:val="20"/>
          <w:szCs w:val="20"/>
          <w:color w:val="auto"/>
        </w:rPr>
        <w:tab/>
      </w:r>
      <w:r>
        <w:rPr>
          <w:rFonts w:ascii="Arial" w:cs="Arial" w:eastAsia="Arial" w:hAnsi="Arial"/>
          <w:sz w:val="16"/>
          <w:szCs w:val="16"/>
          <w:color w:val="auto"/>
        </w:rPr>
        <w:t>(4,905)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19050</wp:posOffset>
            </wp:positionV>
            <wp:extent cx="150939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509395" cy="8890"/>
                    </a:xfrm>
                    <a:prstGeom prst="rect">
                      <a:avLst/>
                    </a:prstGeom>
                    <a:noFill/>
                  </pic:spPr>
                </pic:pic>
              </a:graphicData>
            </a:graphic>
          </wp:anchor>
        </w:drawing>
      </w:r>
    </w:p>
    <w:p>
      <w:pPr>
        <w:spacing w:after="0" w:line="66" w:lineRule="exact"/>
        <w:rPr>
          <w:sz w:val="20"/>
          <w:szCs w:val="20"/>
          <w:color w:val="auto"/>
        </w:rPr>
      </w:pPr>
    </w:p>
    <w:p>
      <w:pPr>
        <w:ind w:left="1960" w:hanging="1241"/>
        <w:spacing w:after="0"/>
        <w:tabs>
          <w:tab w:leader="none" w:pos="1960" w:val="left"/>
        </w:tabs>
        <w:numPr>
          <w:ilvl w:val="0"/>
          <w:numId w:val="56"/>
        </w:numPr>
        <w:rPr>
          <w:rFonts w:ascii="Arial" w:cs="Arial" w:eastAsia="Arial" w:hAnsi="Arial"/>
          <w:sz w:val="16"/>
          <w:szCs w:val="16"/>
          <w:color w:val="auto"/>
        </w:rPr>
      </w:pPr>
      <w:r>
        <w:rPr>
          <w:rFonts w:ascii="Arial" w:cs="Arial" w:eastAsia="Arial" w:hAnsi="Arial"/>
          <w:sz w:val="16"/>
          <w:szCs w:val="16"/>
          <w:color w:val="auto"/>
        </w:rPr>
        <w:t>221</w:t>
      </w:r>
    </w:p>
    <w:p>
      <w:pPr>
        <w:spacing w:after="0" w:line="7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6"/>
          <w:szCs w:val="16"/>
          <w:color w:val="auto"/>
        </w:rPr>
        <w:t>$17,699   $17,643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19050</wp:posOffset>
            </wp:positionV>
            <wp:extent cx="1509395"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509395" cy="26035"/>
                    </a:xfrm>
                    <a:prstGeom prst="rect">
                      <a:avLst/>
                    </a:prstGeom>
                    <a:noFill/>
                  </pic:spPr>
                </pic:pic>
              </a:graphicData>
            </a:graphic>
          </wp:anchor>
        </w:drawing>
        <w:drawing>
          <wp:anchor simplePos="0" relativeHeight="251657728" behindDoc="1" locked="0" layoutInCell="0" allowOverlap="1">
            <wp:simplePos x="0" y="0"/>
            <wp:positionH relativeFrom="column">
              <wp:posOffset>-22860</wp:posOffset>
            </wp:positionH>
            <wp:positionV relativeFrom="paragraph">
              <wp:posOffset>-142875</wp:posOffset>
            </wp:positionV>
            <wp:extent cx="150939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509395" cy="8890"/>
                    </a:xfrm>
                    <a:prstGeom prst="rect">
                      <a:avLst/>
                    </a:prstGeom>
                    <a:noFill/>
                  </pic:spPr>
                </pic:pic>
              </a:graphicData>
            </a:graphic>
          </wp:anchor>
        </w:drawing>
      </w:r>
    </w:p>
    <w:p>
      <w:pPr>
        <w:spacing w:after="0" w:line="200" w:lineRule="exact"/>
        <w:rPr>
          <w:sz w:val="20"/>
          <w:szCs w:val="20"/>
          <w:color w:val="auto"/>
        </w:rPr>
      </w:pPr>
    </w:p>
    <w:p>
      <w:pPr>
        <w:sectPr>
          <w:pgSz w:w="11900" w:h="16887" w:orient="portrait"/>
          <w:cols w:equalWidth="0" w:num="2">
            <w:col w:w="8360" w:space="720"/>
            <w:col w:w="2340"/>
          </w:cols>
          <w:pgMar w:left="240" w:top="140" w:right="239" w:bottom="0" w:gutter="0" w:footer="0" w:header="0"/>
          <w:type w:val="continuous"/>
        </w:sect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See Notes to Consolidated Financial Statements.</w:t>
      </w: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w:t>
      </w:r>
    </w:p>
    <w:p>
      <w:pPr>
        <w:sectPr>
          <w:pgSz w:w="11900" w:h="16887" w:orient="portrait"/>
          <w:cols w:equalWidth="0" w:num="1">
            <w:col w:w="11420"/>
          </w:cols>
          <w:pgMar w:left="240" w:top="140" w:right="239" w:bottom="0" w:gutter="0" w:footer="0" w:header="0"/>
          <w:type w:val="continuous"/>
        </w:sectPr>
      </w:pPr>
    </w:p>
    <w:bookmarkStart w:id="71" w:name="page72"/>
    <w:bookmarkEnd w:id="7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Avis Budget Group,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397" w:lineRule="exact"/>
        <w:rPr>
          <w:sz w:val="20"/>
          <w:szCs w:val="20"/>
          <w:color w:val="auto"/>
        </w:rPr>
      </w:pPr>
    </w:p>
    <w:tbl>
      <w:tblPr>
        <w:tblLayout w:type="fixed"/>
        <w:tblInd w:w="40" w:type="dxa"/>
        <w:tblCellMar>
          <w:top w:w="0" w:type="dxa"/>
          <w:left w:w="0" w:type="dxa"/>
          <w:bottom w:w="0" w:type="dxa"/>
          <w:right w:w="0" w:type="dxa"/>
        </w:tblCellMar>
      </w:tblPr>
      <w:tr>
        <w:trPr>
          <w:trHeight w:val="228"/>
        </w:trPr>
        <w:tc>
          <w:tcPr>
            <w:tcW w:w="77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580" w:type="dxa"/>
            <w:vAlign w:val="bottom"/>
            <w:tcBorders>
              <w:bottom w:val="single" w:sz="8" w:color="auto"/>
            </w:tcBorders>
            <w:gridSpan w:val="6"/>
          </w:tcPr>
          <w:p>
            <w:pPr>
              <w:jc w:val="right"/>
              <w:spacing w:after="0"/>
              <w:rPr>
                <w:sz w:val="20"/>
                <w:szCs w:val="20"/>
                <w:color w:val="auto"/>
              </w:rPr>
            </w:pPr>
            <w:r>
              <w:rPr>
                <w:rFonts w:ascii="Arial" w:cs="Arial" w:eastAsia="Arial" w:hAnsi="Arial"/>
                <w:sz w:val="16"/>
                <w:szCs w:val="16"/>
                <w:b w:val="1"/>
                <w:bCs w:val="1"/>
                <w:color w:val="auto"/>
              </w:rPr>
              <w:t>Year Ended December 31,</w:t>
            </w:r>
          </w:p>
        </w:tc>
        <w:tc>
          <w:tcPr>
            <w:tcW w:w="760" w:type="dxa"/>
            <w:vAlign w:val="bottom"/>
            <w:tcBorders>
              <w:bottom w:val="single" w:sz="8" w:color="auto"/>
            </w:tcBorders>
          </w:tcPr>
          <w:p>
            <w:pPr>
              <w:spacing w:after="0"/>
              <w:rPr>
                <w:sz w:val="19"/>
                <w:szCs w:val="19"/>
                <w:color w:val="auto"/>
              </w:rPr>
            </w:pPr>
          </w:p>
        </w:tc>
      </w:tr>
      <w:tr>
        <w:trPr>
          <w:trHeight w:val="264"/>
        </w:trPr>
        <w:tc>
          <w:tcPr>
            <w:tcW w:w="778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2015</w:t>
            </w:r>
          </w:p>
        </w:tc>
      </w:tr>
      <w:tr>
        <w:trPr>
          <w:trHeight w:val="210"/>
        </w:trPr>
        <w:tc>
          <w:tcPr>
            <w:tcW w:w="7780" w:type="dxa"/>
            <w:vAlign w:val="bottom"/>
          </w:tcPr>
          <w:p>
            <w:pPr>
              <w:spacing w:after="0"/>
              <w:rPr>
                <w:sz w:val="20"/>
                <w:szCs w:val="20"/>
                <w:color w:val="auto"/>
              </w:rPr>
            </w:pPr>
            <w:r>
              <w:rPr>
                <w:rFonts w:ascii="Arial" w:cs="Arial" w:eastAsia="Arial" w:hAnsi="Arial"/>
                <w:sz w:val="16"/>
                <w:szCs w:val="16"/>
                <w:b w:val="1"/>
                <w:bCs w:val="1"/>
                <w:color w:val="auto"/>
              </w:rPr>
              <w:t>Operating activities</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311"/>
        </w:trPr>
        <w:tc>
          <w:tcPr>
            <w:tcW w:w="7780" w:type="dxa"/>
            <w:vAlign w:val="bottom"/>
          </w:tcPr>
          <w:p>
            <w:pPr>
              <w:spacing w:after="0"/>
              <w:rPr>
                <w:sz w:val="20"/>
                <w:szCs w:val="20"/>
                <w:color w:val="auto"/>
              </w:rPr>
            </w:pPr>
            <w:r>
              <w:rPr>
                <w:rFonts w:ascii="Arial" w:cs="Arial" w:eastAsia="Arial" w:hAnsi="Arial"/>
                <w:sz w:val="16"/>
                <w:szCs w:val="16"/>
                <w:color w:val="auto"/>
              </w:rPr>
              <w:t>Net income</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361</w:t>
            </w:r>
          </w:p>
        </w:tc>
        <w:tc>
          <w:tcPr>
            <w:tcW w:w="120" w:type="dxa"/>
            <w:vAlign w:val="bottom"/>
          </w:tcPr>
          <w:p>
            <w:pPr>
              <w:spacing w:after="0"/>
              <w:rPr>
                <w:sz w:val="24"/>
                <w:szCs w:val="24"/>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163</w:t>
            </w:r>
          </w:p>
        </w:tc>
        <w:tc>
          <w:tcPr>
            <w:tcW w:w="120" w:type="dxa"/>
            <w:vAlign w:val="bottom"/>
          </w:tcPr>
          <w:p>
            <w:pPr>
              <w:spacing w:after="0"/>
              <w:rPr>
                <w:sz w:val="24"/>
                <w:szCs w:val="24"/>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313</w:t>
            </w:r>
          </w:p>
        </w:tc>
      </w:tr>
      <w:tr>
        <w:trPr>
          <w:trHeight w:val="243"/>
        </w:trPr>
        <w:tc>
          <w:tcPr>
            <w:tcW w:w="7780" w:type="dxa"/>
            <w:vAlign w:val="bottom"/>
          </w:tcPr>
          <w:p>
            <w:pPr>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60" w:type="dxa"/>
            <w:vAlign w:val="bottom"/>
          </w:tcPr>
          <w:p>
            <w:pPr>
              <w:spacing w:after="0"/>
              <w:rPr>
                <w:sz w:val="21"/>
                <w:szCs w:val="21"/>
                <w:color w:val="auto"/>
              </w:rPr>
            </w:pPr>
          </w:p>
        </w:tc>
      </w:tr>
      <w:tr>
        <w:trPr>
          <w:trHeight w:val="297"/>
        </w:trPr>
        <w:tc>
          <w:tcPr>
            <w:tcW w:w="7780" w:type="dxa"/>
            <w:vAlign w:val="bottom"/>
          </w:tcPr>
          <w:p>
            <w:pPr>
              <w:ind w:left="100"/>
              <w:spacing w:after="0"/>
              <w:rPr>
                <w:sz w:val="20"/>
                <w:szCs w:val="20"/>
                <w:color w:val="auto"/>
              </w:rPr>
            </w:pPr>
            <w:r>
              <w:rPr>
                <w:rFonts w:ascii="Arial" w:cs="Arial" w:eastAsia="Arial" w:hAnsi="Arial"/>
                <w:sz w:val="16"/>
                <w:szCs w:val="16"/>
                <w:color w:val="auto"/>
              </w:rPr>
              <w:t>Vehicle depreciation</w:t>
            </w:r>
          </w:p>
        </w:tc>
        <w:tc>
          <w:tcPr>
            <w:tcW w:w="260" w:type="dxa"/>
            <w:vAlign w:val="bottom"/>
          </w:tcPr>
          <w:p>
            <w:pPr>
              <w:spacing w:after="0"/>
              <w:rPr>
                <w:sz w:val="24"/>
                <w:szCs w:val="24"/>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1,947</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1,877</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1,837</w:t>
            </w:r>
          </w:p>
        </w:tc>
      </w:tr>
      <w:tr>
        <w:trPr>
          <w:trHeight w:val="270"/>
        </w:trPr>
        <w:tc>
          <w:tcPr>
            <w:tcW w:w="7780" w:type="dxa"/>
            <w:vAlign w:val="bottom"/>
          </w:tcPr>
          <w:p>
            <w:pPr>
              <w:ind w:left="100"/>
              <w:spacing w:after="0"/>
              <w:rPr>
                <w:sz w:val="20"/>
                <w:szCs w:val="20"/>
                <w:color w:val="auto"/>
              </w:rPr>
            </w:pPr>
            <w:r>
              <w:rPr>
                <w:rFonts w:ascii="Arial" w:cs="Arial" w:eastAsia="Arial" w:hAnsi="Arial"/>
                <w:sz w:val="16"/>
                <w:szCs w:val="16"/>
                <w:color w:val="auto"/>
              </w:rPr>
              <w:t>(Gain) loss on sale of vehicles, net</w:t>
            </w:r>
          </w:p>
        </w:tc>
        <w:tc>
          <w:tcPr>
            <w:tcW w:w="26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52</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(60)</w:t>
            </w:r>
          </w:p>
        </w:tc>
      </w:tr>
      <w:tr>
        <w:trPr>
          <w:trHeight w:val="270"/>
        </w:trPr>
        <w:tc>
          <w:tcPr>
            <w:tcW w:w="7780" w:type="dxa"/>
            <w:vAlign w:val="bottom"/>
          </w:tcPr>
          <w:p>
            <w:pPr>
              <w:ind w:left="100"/>
              <w:spacing w:after="0"/>
              <w:rPr>
                <w:sz w:val="20"/>
                <w:szCs w:val="20"/>
                <w:color w:val="auto"/>
              </w:rPr>
            </w:pPr>
            <w:r>
              <w:rPr>
                <w:rFonts w:ascii="Arial" w:cs="Arial" w:eastAsia="Arial" w:hAnsi="Arial"/>
                <w:sz w:val="16"/>
                <w:szCs w:val="16"/>
                <w:color w:val="auto"/>
              </w:rPr>
              <w:t>Non-vehicle related depreciation and amortization</w:t>
            </w:r>
          </w:p>
        </w:tc>
        <w:tc>
          <w:tcPr>
            <w:tcW w:w="26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259</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253</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218</w:t>
            </w:r>
          </w:p>
        </w:tc>
      </w:tr>
      <w:tr>
        <w:trPr>
          <w:trHeight w:val="270"/>
        </w:trPr>
        <w:tc>
          <w:tcPr>
            <w:tcW w:w="7780" w:type="dxa"/>
            <w:vAlign w:val="bottom"/>
          </w:tcPr>
          <w:p>
            <w:pPr>
              <w:ind w:left="100"/>
              <w:spacing w:after="0"/>
              <w:rPr>
                <w:sz w:val="20"/>
                <w:szCs w:val="20"/>
                <w:color w:val="auto"/>
              </w:rPr>
            </w:pPr>
            <w:r>
              <w:rPr>
                <w:rFonts w:ascii="Arial" w:cs="Arial" w:eastAsia="Arial" w:hAnsi="Arial"/>
                <w:sz w:val="16"/>
                <w:szCs w:val="16"/>
                <w:color w:val="auto"/>
              </w:rPr>
              <w:t>Deferred income taxes</w:t>
            </w: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(192)</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51</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58</w:t>
            </w:r>
          </w:p>
        </w:tc>
      </w:tr>
      <w:tr>
        <w:trPr>
          <w:trHeight w:val="270"/>
        </w:trPr>
        <w:tc>
          <w:tcPr>
            <w:tcW w:w="7780" w:type="dxa"/>
            <w:vAlign w:val="bottom"/>
          </w:tcPr>
          <w:p>
            <w:pPr>
              <w:ind w:left="100"/>
              <w:spacing w:after="0"/>
              <w:rPr>
                <w:sz w:val="20"/>
                <w:szCs w:val="20"/>
                <w:color w:val="auto"/>
              </w:rPr>
            </w:pPr>
            <w:r>
              <w:rPr>
                <w:rFonts w:ascii="Arial" w:cs="Arial" w:eastAsia="Arial" w:hAnsi="Arial"/>
                <w:sz w:val="16"/>
                <w:szCs w:val="16"/>
                <w:color w:val="auto"/>
              </w:rPr>
              <w:t>Stock-based compensation</w:t>
            </w:r>
          </w:p>
        </w:tc>
        <w:tc>
          <w:tcPr>
            <w:tcW w:w="26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27</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28</w:t>
            </w:r>
          </w:p>
        </w:tc>
      </w:tr>
      <w:tr>
        <w:trPr>
          <w:trHeight w:val="270"/>
        </w:trPr>
        <w:tc>
          <w:tcPr>
            <w:tcW w:w="7780" w:type="dxa"/>
            <w:vAlign w:val="bottom"/>
          </w:tcPr>
          <w:p>
            <w:pPr>
              <w:ind w:left="100"/>
              <w:spacing w:after="0"/>
              <w:rPr>
                <w:sz w:val="20"/>
                <w:szCs w:val="20"/>
                <w:color w:val="auto"/>
              </w:rPr>
            </w:pPr>
            <w:r>
              <w:rPr>
                <w:rFonts w:ascii="Arial" w:cs="Arial" w:eastAsia="Arial" w:hAnsi="Arial"/>
                <w:sz w:val="16"/>
                <w:szCs w:val="16"/>
                <w:color w:val="auto"/>
              </w:rPr>
              <w:t>Amortization of debt financing fees</w:t>
            </w:r>
          </w:p>
        </w:tc>
        <w:tc>
          <w:tcPr>
            <w:tcW w:w="26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34</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37</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42</w:t>
            </w:r>
          </w:p>
        </w:tc>
      </w:tr>
      <w:tr>
        <w:trPr>
          <w:trHeight w:val="270"/>
        </w:trPr>
        <w:tc>
          <w:tcPr>
            <w:tcW w:w="7780" w:type="dxa"/>
            <w:vAlign w:val="bottom"/>
          </w:tcPr>
          <w:p>
            <w:pPr>
              <w:ind w:left="100"/>
              <w:spacing w:after="0"/>
              <w:rPr>
                <w:sz w:val="20"/>
                <w:szCs w:val="20"/>
                <w:color w:val="auto"/>
              </w:rPr>
            </w:pPr>
            <w:r>
              <w:rPr>
                <w:rFonts w:ascii="Arial" w:cs="Arial" w:eastAsia="Arial" w:hAnsi="Arial"/>
                <w:sz w:val="16"/>
                <w:szCs w:val="16"/>
                <w:color w:val="auto"/>
              </w:rPr>
              <w:t>Early extinguishment of debt costs</w:t>
            </w:r>
          </w:p>
        </w:tc>
        <w:tc>
          <w:tcPr>
            <w:tcW w:w="26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27</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23</w:t>
            </w:r>
          </w:p>
        </w:tc>
      </w:tr>
      <w:tr>
        <w:trPr>
          <w:trHeight w:val="243"/>
        </w:trPr>
        <w:tc>
          <w:tcPr>
            <w:tcW w:w="7780" w:type="dxa"/>
            <w:vAlign w:val="bottom"/>
          </w:tcPr>
          <w:p>
            <w:pPr>
              <w:ind w:left="100"/>
              <w:spacing w:after="0"/>
              <w:rPr>
                <w:sz w:val="20"/>
                <w:szCs w:val="20"/>
                <w:color w:val="auto"/>
              </w:rPr>
            </w:pPr>
            <w:r>
              <w:rPr>
                <w:rFonts w:ascii="Arial" w:cs="Arial" w:eastAsia="Arial" w:hAnsi="Arial"/>
                <w:sz w:val="16"/>
                <w:szCs w:val="16"/>
                <w:color w:val="auto"/>
              </w:rPr>
              <w:t>Net change in assets and liabilities:</w:t>
            </w: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60" w:type="dxa"/>
            <w:vAlign w:val="bottom"/>
          </w:tcPr>
          <w:p>
            <w:pPr>
              <w:spacing w:after="0"/>
              <w:rPr>
                <w:sz w:val="21"/>
                <w:szCs w:val="21"/>
                <w:color w:val="auto"/>
              </w:rPr>
            </w:pPr>
          </w:p>
        </w:tc>
      </w:tr>
      <w:tr>
        <w:trPr>
          <w:trHeight w:val="297"/>
        </w:trPr>
        <w:tc>
          <w:tcPr>
            <w:tcW w:w="7780" w:type="dxa"/>
            <w:vAlign w:val="bottom"/>
          </w:tcPr>
          <w:p>
            <w:pPr>
              <w:ind w:left="300"/>
              <w:spacing w:after="0"/>
              <w:rPr>
                <w:sz w:val="20"/>
                <w:szCs w:val="20"/>
                <w:color w:val="auto"/>
              </w:rPr>
            </w:pPr>
            <w:r>
              <w:rPr>
                <w:rFonts w:ascii="Arial" w:cs="Arial" w:eastAsia="Arial" w:hAnsi="Arial"/>
                <w:sz w:val="16"/>
                <w:szCs w:val="16"/>
                <w:color w:val="auto"/>
              </w:rPr>
              <w:t>Receivables</w:t>
            </w:r>
          </w:p>
        </w:tc>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(59)</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(65)</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(42)</w:t>
            </w:r>
          </w:p>
        </w:tc>
      </w:tr>
      <w:tr>
        <w:trPr>
          <w:trHeight w:val="270"/>
        </w:trPr>
        <w:tc>
          <w:tcPr>
            <w:tcW w:w="7780" w:type="dxa"/>
            <w:vAlign w:val="bottom"/>
          </w:tcPr>
          <w:p>
            <w:pPr>
              <w:ind w:left="300"/>
              <w:spacing w:after="0"/>
              <w:rPr>
                <w:sz w:val="20"/>
                <w:szCs w:val="20"/>
                <w:color w:val="auto"/>
              </w:rPr>
            </w:pPr>
            <w:r>
              <w:rPr>
                <w:rFonts w:ascii="Arial" w:cs="Arial" w:eastAsia="Arial" w:hAnsi="Arial"/>
                <w:sz w:val="16"/>
                <w:szCs w:val="16"/>
                <w:color w:val="auto"/>
              </w:rPr>
              <w:t>Income taxes</w:t>
            </w: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(18)</w:t>
            </w:r>
          </w:p>
        </w:tc>
      </w:tr>
      <w:tr>
        <w:trPr>
          <w:trHeight w:val="270"/>
        </w:trPr>
        <w:tc>
          <w:tcPr>
            <w:tcW w:w="7780" w:type="dxa"/>
            <w:vAlign w:val="bottom"/>
          </w:tcPr>
          <w:p>
            <w:pPr>
              <w:ind w:left="300"/>
              <w:spacing w:after="0"/>
              <w:rPr>
                <w:sz w:val="20"/>
                <w:szCs w:val="20"/>
                <w:color w:val="auto"/>
              </w:rPr>
            </w:pPr>
            <w:r>
              <w:rPr>
                <w:rFonts w:ascii="Arial" w:cs="Arial" w:eastAsia="Arial" w:hAnsi="Arial"/>
                <w:sz w:val="16"/>
                <w:szCs w:val="16"/>
                <w:color w:val="auto"/>
              </w:rPr>
              <w:t>Accounts payable and other current liabilities</w:t>
            </w:r>
          </w:p>
        </w:tc>
        <w:tc>
          <w:tcPr>
            <w:tcW w:w="26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49</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(36)</w:t>
            </w:r>
          </w:p>
        </w:tc>
      </w:tr>
      <w:tr>
        <w:trPr>
          <w:trHeight w:val="283"/>
        </w:trPr>
        <w:tc>
          <w:tcPr>
            <w:tcW w:w="7780" w:type="dxa"/>
            <w:vAlign w:val="bottom"/>
          </w:tcPr>
          <w:p>
            <w:pPr>
              <w:ind w:left="100"/>
              <w:spacing w:after="0"/>
              <w:rPr>
                <w:sz w:val="20"/>
                <w:szCs w:val="20"/>
                <w:color w:val="auto"/>
              </w:rPr>
            </w:pPr>
            <w:r>
              <w:rPr>
                <w:rFonts w:ascii="Arial" w:cs="Arial" w:eastAsia="Arial" w:hAnsi="Arial"/>
                <w:sz w:val="16"/>
                <w:szCs w:val="16"/>
                <w:color w:val="auto"/>
              </w:rPr>
              <w:t>Other, net</w:t>
            </w: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197</w:t>
            </w: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273</w:t>
            </w: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264</w:t>
            </w:r>
          </w:p>
        </w:tc>
      </w:tr>
      <w:tr>
        <w:trPr>
          <w:trHeight w:val="250"/>
        </w:trPr>
        <w:tc>
          <w:tcPr>
            <w:tcW w:w="7780" w:type="dxa"/>
            <w:vAlign w:val="bottom"/>
          </w:tcPr>
          <w:p>
            <w:pPr>
              <w:spacing w:after="0"/>
              <w:rPr>
                <w:sz w:val="20"/>
                <w:szCs w:val="20"/>
                <w:color w:val="auto"/>
              </w:rPr>
            </w:pPr>
            <w:r>
              <w:rPr>
                <w:rFonts w:ascii="Arial" w:cs="Arial" w:eastAsia="Arial" w:hAnsi="Arial"/>
                <w:sz w:val="16"/>
                <w:szCs w:val="16"/>
                <w:b w:val="1"/>
                <w:bCs w:val="1"/>
                <w:color w:val="auto"/>
              </w:rPr>
              <w:t>Net cash provided by operating activities</w:t>
            </w: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2,648</w:t>
            </w:r>
          </w:p>
        </w:tc>
        <w:tc>
          <w:tcPr>
            <w:tcW w:w="1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2,640</w:t>
            </w:r>
          </w:p>
        </w:tc>
        <w:tc>
          <w:tcPr>
            <w:tcW w:w="12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2,627</w:t>
            </w:r>
          </w:p>
        </w:tc>
      </w:tr>
      <w:tr>
        <w:trPr>
          <w:trHeight w:val="453"/>
        </w:trPr>
        <w:tc>
          <w:tcPr>
            <w:tcW w:w="7780" w:type="dxa"/>
            <w:vAlign w:val="bottom"/>
          </w:tcPr>
          <w:p>
            <w:pPr>
              <w:spacing w:after="0"/>
              <w:rPr>
                <w:sz w:val="20"/>
                <w:szCs w:val="20"/>
                <w:color w:val="auto"/>
              </w:rPr>
            </w:pPr>
            <w:r>
              <w:rPr>
                <w:rFonts w:ascii="Arial" w:cs="Arial" w:eastAsia="Arial" w:hAnsi="Arial"/>
                <w:sz w:val="16"/>
                <w:szCs w:val="16"/>
                <w:b w:val="1"/>
                <w:bCs w:val="1"/>
                <w:color w:val="auto"/>
              </w:rPr>
              <w:t>Investing activities</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97"/>
        </w:trPr>
        <w:tc>
          <w:tcPr>
            <w:tcW w:w="7780" w:type="dxa"/>
            <w:vAlign w:val="bottom"/>
          </w:tcPr>
          <w:p>
            <w:pPr>
              <w:spacing w:after="0"/>
              <w:rPr>
                <w:sz w:val="20"/>
                <w:szCs w:val="20"/>
                <w:color w:val="auto"/>
              </w:rPr>
            </w:pPr>
            <w:r>
              <w:rPr>
                <w:rFonts w:ascii="Arial" w:cs="Arial" w:eastAsia="Arial" w:hAnsi="Arial"/>
                <w:sz w:val="16"/>
                <w:szCs w:val="16"/>
                <w:color w:val="auto"/>
              </w:rPr>
              <w:t>Property and equipment additions</w:t>
            </w:r>
          </w:p>
        </w:tc>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(197)</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(190)</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(199)</w:t>
            </w:r>
          </w:p>
        </w:tc>
      </w:tr>
      <w:tr>
        <w:trPr>
          <w:trHeight w:val="270"/>
        </w:trPr>
        <w:tc>
          <w:tcPr>
            <w:tcW w:w="7780" w:type="dxa"/>
            <w:vAlign w:val="bottom"/>
          </w:tcPr>
          <w:p>
            <w:pPr>
              <w:spacing w:after="0"/>
              <w:rPr>
                <w:sz w:val="20"/>
                <w:szCs w:val="20"/>
                <w:color w:val="auto"/>
              </w:rPr>
            </w:pPr>
            <w:r>
              <w:rPr>
                <w:rFonts w:ascii="Arial" w:cs="Arial" w:eastAsia="Arial" w:hAnsi="Arial"/>
                <w:sz w:val="16"/>
                <w:szCs w:val="16"/>
                <w:color w:val="auto"/>
              </w:rPr>
              <w:t>Proceeds received on asset sales</w:t>
            </w:r>
          </w:p>
        </w:tc>
        <w:tc>
          <w:tcPr>
            <w:tcW w:w="26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19</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15</w:t>
            </w:r>
          </w:p>
        </w:tc>
      </w:tr>
      <w:tr>
        <w:trPr>
          <w:trHeight w:val="270"/>
        </w:trPr>
        <w:tc>
          <w:tcPr>
            <w:tcW w:w="7780" w:type="dxa"/>
            <w:vAlign w:val="bottom"/>
          </w:tcPr>
          <w:p>
            <w:pPr>
              <w:spacing w:after="0"/>
              <w:rPr>
                <w:sz w:val="20"/>
                <w:szCs w:val="20"/>
                <w:color w:val="auto"/>
              </w:rPr>
            </w:pPr>
            <w:r>
              <w:rPr>
                <w:rFonts w:ascii="Arial" w:cs="Arial" w:eastAsia="Arial" w:hAnsi="Arial"/>
                <w:sz w:val="16"/>
                <w:szCs w:val="16"/>
                <w:color w:val="auto"/>
              </w:rPr>
              <w:t>Net assets acquired (net of cash acquired)</w:t>
            </w: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(21)</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(55)</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(256)</w:t>
            </w:r>
          </w:p>
        </w:tc>
      </w:tr>
      <w:tr>
        <w:trPr>
          <w:trHeight w:val="283"/>
        </w:trPr>
        <w:tc>
          <w:tcPr>
            <w:tcW w:w="7780" w:type="dxa"/>
            <w:vAlign w:val="bottom"/>
          </w:tcPr>
          <w:p>
            <w:pPr>
              <w:spacing w:after="0"/>
              <w:rPr>
                <w:sz w:val="20"/>
                <w:szCs w:val="20"/>
                <w:color w:val="auto"/>
              </w:rPr>
            </w:pPr>
            <w:r>
              <w:rPr>
                <w:rFonts w:ascii="Arial" w:cs="Arial" w:eastAsia="Arial" w:hAnsi="Arial"/>
                <w:sz w:val="16"/>
                <w:szCs w:val="16"/>
                <w:color w:val="auto"/>
              </w:rPr>
              <w:t>Other, net</w:t>
            </w: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r>
      <w:tr>
        <w:trPr>
          <w:trHeight w:val="250"/>
        </w:trPr>
        <w:tc>
          <w:tcPr>
            <w:tcW w:w="7780" w:type="dxa"/>
            <w:vAlign w:val="bottom"/>
          </w:tcPr>
          <w:p>
            <w:pPr>
              <w:spacing w:after="0"/>
              <w:rPr>
                <w:sz w:val="20"/>
                <w:szCs w:val="20"/>
                <w:color w:val="auto"/>
              </w:rPr>
            </w:pPr>
            <w:r>
              <w:rPr>
                <w:rFonts w:ascii="Arial" w:cs="Arial" w:eastAsia="Arial" w:hAnsi="Arial"/>
                <w:sz w:val="16"/>
                <w:szCs w:val="16"/>
                <w:b w:val="1"/>
                <w:bCs w:val="1"/>
                <w:color w:val="auto"/>
              </w:rPr>
              <w:t>Net cash used in investing activities exclusive of vehicle programs</w:t>
            </w: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(205)</w:t>
            </w:r>
          </w:p>
        </w:tc>
        <w:tc>
          <w:tcPr>
            <w:tcW w:w="1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(225)</w:t>
            </w:r>
          </w:p>
        </w:tc>
        <w:tc>
          <w:tcPr>
            <w:tcW w:w="12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(437)</w:t>
            </w:r>
          </w:p>
        </w:tc>
      </w:tr>
      <w:tr>
        <w:trPr>
          <w:trHeight w:val="453"/>
        </w:trPr>
        <w:tc>
          <w:tcPr>
            <w:tcW w:w="7780" w:type="dxa"/>
            <w:vAlign w:val="bottom"/>
          </w:tcPr>
          <w:p>
            <w:pPr>
              <w:spacing w:after="0"/>
              <w:rPr>
                <w:sz w:val="20"/>
                <w:szCs w:val="20"/>
                <w:color w:val="auto"/>
              </w:rPr>
            </w:pPr>
            <w:r>
              <w:rPr>
                <w:rFonts w:ascii="Arial" w:cs="Arial" w:eastAsia="Arial" w:hAnsi="Arial"/>
                <w:sz w:val="16"/>
                <w:szCs w:val="16"/>
                <w:i w:val="1"/>
                <w:iCs w:val="1"/>
                <w:color w:val="auto"/>
              </w:rPr>
              <w:t>Vehicle programs:</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97"/>
        </w:trPr>
        <w:tc>
          <w:tcPr>
            <w:tcW w:w="7780" w:type="dxa"/>
            <w:vAlign w:val="bottom"/>
          </w:tcPr>
          <w:p>
            <w:pPr>
              <w:ind w:left="100"/>
              <w:spacing w:after="0"/>
              <w:rPr>
                <w:sz w:val="20"/>
                <w:szCs w:val="20"/>
                <w:color w:val="auto"/>
              </w:rPr>
            </w:pPr>
            <w:r>
              <w:rPr>
                <w:rFonts w:ascii="Arial" w:cs="Arial" w:eastAsia="Arial" w:hAnsi="Arial"/>
                <w:sz w:val="16"/>
                <w:szCs w:val="16"/>
                <w:color w:val="auto"/>
              </w:rPr>
              <w:t>Investment in vehicles</w:t>
            </w:r>
          </w:p>
        </w:tc>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(11,538)</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(12,461)</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(11,928)</w:t>
            </w:r>
          </w:p>
        </w:tc>
      </w:tr>
      <w:tr>
        <w:trPr>
          <w:trHeight w:val="270"/>
        </w:trPr>
        <w:tc>
          <w:tcPr>
            <w:tcW w:w="7780" w:type="dxa"/>
            <w:vAlign w:val="bottom"/>
          </w:tcPr>
          <w:p>
            <w:pPr>
              <w:ind w:left="100"/>
              <w:spacing w:after="0"/>
              <w:rPr>
                <w:sz w:val="20"/>
                <w:szCs w:val="20"/>
                <w:color w:val="auto"/>
              </w:rPr>
            </w:pPr>
            <w:r>
              <w:rPr>
                <w:rFonts w:ascii="Arial" w:cs="Arial" w:eastAsia="Arial" w:hAnsi="Arial"/>
                <w:sz w:val="16"/>
                <w:szCs w:val="16"/>
                <w:color w:val="auto"/>
              </w:rPr>
              <w:t>Proceeds received on disposition of vehicles</w:t>
            </w:r>
          </w:p>
        </w:tc>
        <w:tc>
          <w:tcPr>
            <w:tcW w:w="26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9,600</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10,504</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9,680</w:t>
            </w:r>
          </w:p>
        </w:tc>
      </w:tr>
      <w:tr>
        <w:trPr>
          <w:trHeight w:val="283"/>
        </w:trPr>
        <w:tc>
          <w:tcPr>
            <w:tcW w:w="7780" w:type="dxa"/>
            <w:vAlign w:val="bottom"/>
          </w:tcPr>
          <w:p>
            <w:pPr>
              <w:ind w:left="100"/>
              <w:spacing w:after="0"/>
              <w:rPr>
                <w:sz w:val="20"/>
                <w:szCs w:val="20"/>
                <w:color w:val="auto"/>
              </w:rPr>
            </w:pPr>
            <w:r>
              <w:rPr>
                <w:rFonts w:ascii="Arial" w:cs="Arial" w:eastAsia="Arial" w:hAnsi="Arial"/>
                <w:sz w:val="16"/>
                <w:szCs w:val="16"/>
                <w:color w:val="auto"/>
              </w:rPr>
              <w:t>Investment in debt securities of Avis Budget Rental Car Funding (AESOP)—related party</w:t>
            </w:r>
          </w:p>
        </w:tc>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(61)</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50"/>
        </w:trPr>
        <w:tc>
          <w:tcPr>
            <w:tcW w:w="7780" w:type="dxa"/>
            <w:vAlign w:val="bottom"/>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(1,999)</w:t>
            </w: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(1,957)</w:t>
            </w:r>
          </w:p>
        </w:tc>
        <w:tc>
          <w:tcPr>
            <w:tcW w:w="120" w:type="dxa"/>
            <w:vAlign w:val="bottom"/>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(2,248)</w:t>
            </w:r>
          </w:p>
        </w:tc>
      </w:tr>
      <w:tr>
        <w:trPr>
          <w:trHeight w:val="250"/>
        </w:trPr>
        <w:tc>
          <w:tcPr>
            <w:tcW w:w="7780" w:type="dxa"/>
            <w:vAlign w:val="bottom"/>
          </w:tcPr>
          <w:p>
            <w:pPr>
              <w:spacing w:after="0"/>
              <w:rPr>
                <w:sz w:val="20"/>
                <w:szCs w:val="20"/>
                <w:color w:val="auto"/>
              </w:rPr>
            </w:pPr>
            <w:r>
              <w:rPr>
                <w:rFonts w:ascii="Arial" w:cs="Arial" w:eastAsia="Arial" w:hAnsi="Arial"/>
                <w:sz w:val="16"/>
                <w:szCs w:val="16"/>
                <w:b w:val="1"/>
                <w:bCs w:val="1"/>
                <w:color w:val="auto"/>
              </w:rPr>
              <w:t>Net cash used in investing activities</w:t>
            </w: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(2,204)</w:t>
            </w:r>
          </w:p>
        </w:tc>
        <w:tc>
          <w:tcPr>
            <w:tcW w:w="1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(2,182)</w:t>
            </w:r>
          </w:p>
        </w:tc>
        <w:tc>
          <w:tcPr>
            <w:tcW w:w="12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(2,685)</w:t>
            </w:r>
          </w:p>
        </w:tc>
      </w:tr>
      <w:tr>
        <w:trPr>
          <w:trHeight w:val="453"/>
        </w:trPr>
        <w:tc>
          <w:tcPr>
            <w:tcW w:w="7780" w:type="dxa"/>
            <w:vAlign w:val="bottom"/>
          </w:tcPr>
          <w:p>
            <w:pPr>
              <w:spacing w:after="0"/>
              <w:rPr>
                <w:sz w:val="20"/>
                <w:szCs w:val="20"/>
                <w:color w:val="auto"/>
              </w:rPr>
            </w:pPr>
            <w:r>
              <w:rPr>
                <w:rFonts w:ascii="Arial" w:cs="Arial" w:eastAsia="Arial" w:hAnsi="Arial"/>
                <w:sz w:val="16"/>
                <w:szCs w:val="16"/>
                <w:b w:val="1"/>
                <w:bCs w:val="1"/>
                <w:color w:val="auto"/>
              </w:rPr>
              <w:t>Financing activities</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97"/>
        </w:trPr>
        <w:tc>
          <w:tcPr>
            <w:tcW w:w="7780" w:type="dxa"/>
            <w:vAlign w:val="bottom"/>
          </w:tcPr>
          <w:p>
            <w:pPr>
              <w:spacing w:after="0"/>
              <w:rPr>
                <w:sz w:val="20"/>
                <w:szCs w:val="20"/>
                <w:color w:val="auto"/>
              </w:rPr>
            </w:pPr>
            <w:r>
              <w:rPr>
                <w:rFonts w:ascii="Arial" w:cs="Arial" w:eastAsia="Arial" w:hAnsi="Arial"/>
                <w:sz w:val="16"/>
                <w:szCs w:val="16"/>
                <w:color w:val="auto"/>
              </w:rPr>
              <w:t>Proceeds from long-term borrowings</w:t>
            </w:r>
          </w:p>
        </w:tc>
        <w:tc>
          <w:tcPr>
            <w:tcW w:w="260" w:type="dxa"/>
            <w:vAlign w:val="bottom"/>
          </w:tcPr>
          <w:p>
            <w:pPr>
              <w:spacing w:after="0"/>
              <w:rPr>
                <w:sz w:val="24"/>
                <w:szCs w:val="24"/>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589</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894</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377</w:t>
            </w:r>
          </w:p>
        </w:tc>
      </w:tr>
      <w:tr>
        <w:trPr>
          <w:trHeight w:val="270"/>
        </w:trPr>
        <w:tc>
          <w:tcPr>
            <w:tcW w:w="7780" w:type="dxa"/>
            <w:vAlign w:val="bottom"/>
          </w:tcPr>
          <w:p>
            <w:pPr>
              <w:spacing w:after="0"/>
              <w:rPr>
                <w:sz w:val="20"/>
                <w:szCs w:val="20"/>
                <w:color w:val="auto"/>
              </w:rPr>
            </w:pPr>
            <w:r>
              <w:rPr>
                <w:rFonts w:ascii="Arial" w:cs="Arial" w:eastAsia="Arial" w:hAnsi="Arial"/>
                <w:sz w:val="16"/>
                <w:szCs w:val="16"/>
                <w:color w:val="auto"/>
              </w:rPr>
              <w:t>Payments on long-term borrowings</w:t>
            </w: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(602)</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(847)</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(301)</w:t>
            </w:r>
          </w:p>
        </w:tc>
      </w:tr>
      <w:tr>
        <w:trPr>
          <w:trHeight w:val="270"/>
        </w:trPr>
        <w:tc>
          <w:tcPr>
            <w:tcW w:w="7780" w:type="dxa"/>
            <w:vAlign w:val="bottom"/>
          </w:tcPr>
          <w:p>
            <w:pPr>
              <w:spacing w:after="0"/>
              <w:rPr>
                <w:sz w:val="20"/>
                <w:szCs w:val="20"/>
                <w:color w:val="auto"/>
              </w:rPr>
            </w:pPr>
            <w:r>
              <w:rPr>
                <w:rFonts w:ascii="Arial" w:cs="Arial" w:eastAsia="Arial" w:hAnsi="Arial"/>
                <w:sz w:val="16"/>
                <w:szCs w:val="16"/>
                <w:color w:val="auto"/>
              </w:rPr>
              <w:t>Net change in short-term borrowings</w:t>
            </w: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(22)</w:t>
            </w:r>
          </w:p>
        </w:tc>
      </w:tr>
      <w:tr>
        <w:trPr>
          <w:trHeight w:val="270"/>
        </w:trPr>
        <w:tc>
          <w:tcPr>
            <w:tcW w:w="7780" w:type="dxa"/>
            <w:vAlign w:val="bottom"/>
          </w:tcPr>
          <w:p>
            <w:pPr>
              <w:spacing w:after="0"/>
              <w:rPr>
                <w:sz w:val="20"/>
                <w:szCs w:val="20"/>
                <w:color w:val="auto"/>
              </w:rPr>
            </w:pPr>
            <w:r>
              <w:rPr>
                <w:rFonts w:ascii="Arial" w:cs="Arial" w:eastAsia="Arial" w:hAnsi="Arial"/>
                <w:sz w:val="16"/>
                <w:szCs w:val="16"/>
                <w:color w:val="auto"/>
              </w:rPr>
              <w:t>Debt financing fees</w:t>
            </w: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270"/>
        </w:trPr>
        <w:tc>
          <w:tcPr>
            <w:tcW w:w="7780" w:type="dxa"/>
            <w:vAlign w:val="bottom"/>
          </w:tcPr>
          <w:p>
            <w:pPr>
              <w:spacing w:after="0"/>
              <w:rPr>
                <w:sz w:val="20"/>
                <w:szCs w:val="20"/>
                <w:color w:val="auto"/>
              </w:rPr>
            </w:pPr>
            <w:r>
              <w:rPr>
                <w:rFonts w:ascii="Arial" w:cs="Arial" w:eastAsia="Arial" w:hAnsi="Arial"/>
                <w:sz w:val="16"/>
                <w:szCs w:val="16"/>
                <w:color w:val="auto"/>
              </w:rPr>
              <w:t>Repurchases of common stock</w:t>
            </w: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(210)</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(398)</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(436)</w:t>
            </w:r>
          </w:p>
        </w:tc>
      </w:tr>
      <w:tr>
        <w:trPr>
          <w:trHeight w:val="283"/>
        </w:trPr>
        <w:tc>
          <w:tcPr>
            <w:tcW w:w="7780" w:type="dxa"/>
            <w:vAlign w:val="bottom"/>
          </w:tcPr>
          <w:p>
            <w:pPr>
              <w:spacing w:after="0"/>
              <w:rPr>
                <w:sz w:val="20"/>
                <w:szCs w:val="20"/>
                <w:color w:val="auto"/>
              </w:rPr>
            </w:pPr>
            <w:r>
              <w:rPr>
                <w:rFonts w:ascii="Arial" w:cs="Arial" w:eastAsia="Arial" w:hAnsi="Arial"/>
                <w:sz w:val="16"/>
                <w:szCs w:val="16"/>
                <w:color w:val="auto"/>
              </w:rPr>
              <w:t>Other, net</w:t>
            </w:r>
          </w:p>
        </w:tc>
        <w:tc>
          <w:tcPr>
            <w:tcW w:w="260" w:type="dxa"/>
            <w:vAlign w:val="bottom"/>
          </w:tcPr>
          <w:p>
            <w:pPr>
              <w:spacing w:after="0"/>
              <w:rPr>
                <w:sz w:val="24"/>
                <w:szCs w:val="24"/>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250"/>
        </w:trPr>
        <w:tc>
          <w:tcPr>
            <w:tcW w:w="7780" w:type="dxa"/>
            <w:vAlign w:val="bottom"/>
          </w:tcPr>
          <w:p>
            <w:pPr>
              <w:spacing w:after="0"/>
              <w:rPr>
                <w:sz w:val="20"/>
                <w:szCs w:val="20"/>
                <w:color w:val="auto"/>
              </w:rPr>
            </w:pPr>
            <w:r>
              <w:rPr>
                <w:rFonts w:ascii="Arial" w:cs="Arial" w:eastAsia="Arial" w:hAnsi="Arial"/>
                <w:sz w:val="16"/>
                <w:szCs w:val="16"/>
                <w:b w:val="1"/>
                <w:bCs w:val="1"/>
                <w:color w:val="auto"/>
              </w:rPr>
              <w:t>Net cash used in financing activities exclusive of vehicle programs</w:t>
            </w:r>
          </w:p>
        </w:tc>
        <w:tc>
          <w:tcPr>
            <w:tcW w:w="26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(235)</w:t>
            </w: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(367)</w:t>
            </w:r>
          </w:p>
        </w:tc>
        <w:tc>
          <w:tcPr>
            <w:tcW w:w="120" w:type="dxa"/>
            <w:vAlign w:val="bottom"/>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(396)</w:t>
            </w:r>
          </w:p>
        </w:tc>
      </w:tr>
    </w:tbl>
    <w:p>
      <w:pPr>
        <w:spacing w:after="0" w:line="200" w:lineRule="exact"/>
        <w:rPr>
          <w:sz w:val="20"/>
          <w:szCs w:val="20"/>
          <w:color w:val="auto"/>
        </w:rPr>
      </w:pPr>
    </w:p>
    <w:p>
      <w:pPr>
        <w:sectPr>
          <w:pgSz w:w="11900" w:h="16838" w:orient="portrait"/>
          <w:cols w:equalWidth="0" w:num="1">
            <w:col w:w="11420"/>
          </w:cols>
          <w:pgMar w:left="240" w:top="140" w:right="239" w:bottom="61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F-6</w:t>
      </w:r>
    </w:p>
    <w:p>
      <w:pPr>
        <w:sectPr>
          <w:pgSz w:w="11900" w:h="16838" w:orient="portrait"/>
          <w:cols w:equalWidth="0" w:num="1">
            <w:col w:w="11420"/>
          </w:cols>
          <w:pgMar w:left="240" w:top="140" w:right="239" w:bottom="611" w:gutter="0" w:footer="0" w:header="0"/>
          <w:type w:val="continuous"/>
        </w:sectPr>
      </w:pPr>
    </w:p>
    <w:bookmarkStart w:id="72" w:name="page73"/>
    <w:bookmarkEnd w:id="7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Avis Budget Group,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397" w:lineRule="exact"/>
        <w:rPr>
          <w:sz w:val="20"/>
          <w:szCs w:val="20"/>
          <w:color w:val="auto"/>
        </w:rPr>
      </w:pPr>
    </w:p>
    <w:tbl>
      <w:tblPr>
        <w:tblLayout w:type="fixed"/>
        <w:tblInd w:w="40" w:type="dxa"/>
        <w:tblCellMar>
          <w:top w:w="0" w:type="dxa"/>
          <w:left w:w="0" w:type="dxa"/>
          <w:bottom w:w="0" w:type="dxa"/>
          <w:right w:w="0" w:type="dxa"/>
        </w:tblCellMar>
      </w:tblPr>
      <w:tr>
        <w:trPr>
          <w:trHeight w:val="228"/>
        </w:trPr>
        <w:tc>
          <w:tcPr>
            <w:tcW w:w="77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580" w:type="dxa"/>
            <w:vAlign w:val="bottom"/>
            <w:tcBorders>
              <w:bottom w:val="single" w:sz="8" w:color="auto"/>
            </w:tcBorders>
            <w:gridSpan w:val="6"/>
          </w:tcPr>
          <w:p>
            <w:pPr>
              <w:jc w:val="right"/>
              <w:spacing w:after="0"/>
              <w:rPr>
                <w:sz w:val="20"/>
                <w:szCs w:val="20"/>
                <w:color w:val="auto"/>
              </w:rPr>
            </w:pPr>
            <w:r>
              <w:rPr>
                <w:rFonts w:ascii="Arial" w:cs="Arial" w:eastAsia="Arial" w:hAnsi="Arial"/>
                <w:sz w:val="16"/>
                <w:szCs w:val="16"/>
                <w:b w:val="1"/>
                <w:bCs w:val="1"/>
                <w:color w:val="auto"/>
              </w:rPr>
              <w:t>Year Ended December 31,</w:t>
            </w:r>
          </w:p>
        </w:tc>
        <w:tc>
          <w:tcPr>
            <w:tcW w:w="7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776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2015</w:t>
            </w:r>
          </w:p>
        </w:tc>
        <w:tc>
          <w:tcPr>
            <w:tcW w:w="0" w:type="dxa"/>
            <w:vAlign w:val="bottom"/>
          </w:tcPr>
          <w:p>
            <w:pPr>
              <w:spacing w:after="0"/>
              <w:rPr>
                <w:sz w:val="1"/>
                <w:szCs w:val="1"/>
                <w:color w:val="auto"/>
              </w:rPr>
            </w:pPr>
          </w:p>
        </w:tc>
      </w:tr>
      <w:tr>
        <w:trPr>
          <w:trHeight w:val="210"/>
        </w:trPr>
        <w:tc>
          <w:tcPr>
            <w:tcW w:w="7760" w:type="dxa"/>
            <w:vAlign w:val="bottom"/>
          </w:tcPr>
          <w:p>
            <w:pPr>
              <w:spacing w:after="0"/>
              <w:rPr>
                <w:sz w:val="20"/>
                <w:szCs w:val="20"/>
                <w:color w:val="auto"/>
              </w:rPr>
            </w:pPr>
            <w:r>
              <w:rPr>
                <w:rFonts w:ascii="Arial" w:cs="Arial" w:eastAsia="Arial" w:hAnsi="Arial"/>
                <w:sz w:val="16"/>
                <w:szCs w:val="16"/>
                <w:i w:val="1"/>
                <w:iCs w:val="1"/>
                <w:color w:val="auto"/>
              </w:rPr>
              <w:t>Vehicle programs:</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1"/>
        </w:trPr>
        <w:tc>
          <w:tcPr>
            <w:tcW w:w="7760" w:type="dxa"/>
            <w:vAlign w:val="bottom"/>
          </w:tcPr>
          <w:p>
            <w:pPr>
              <w:ind w:left="100"/>
              <w:spacing w:after="0"/>
              <w:rPr>
                <w:sz w:val="20"/>
                <w:szCs w:val="20"/>
                <w:color w:val="auto"/>
              </w:rPr>
            </w:pPr>
            <w:r>
              <w:rPr>
                <w:rFonts w:ascii="Arial" w:cs="Arial" w:eastAsia="Arial" w:hAnsi="Arial"/>
                <w:sz w:val="16"/>
                <w:szCs w:val="16"/>
                <w:color w:val="auto"/>
              </w:rPr>
              <w:t>Proceeds from borrowings</w:t>
            </w:r>
          </w:p>
        </w:tc>
        <w:tc>
          <w:tcPr>
            <w:tcW w:w="260" w:type="dxa"/>
            <w:vAlign w:val="bottom"/>
          </w:tcPr>
          <w:p>
            <w:pPr>
              <w:spacing w:after="0"/>
              <w:rPr>
                <w:sz w:val="24"/>
                <w:szCs w:val="24"/>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17,212</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15,769</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14,138</w:t>
            </w:r>
          </w:p>
        </w:tc>
        <w:tc>
          <w:tcPr>
            <w:tcW w:w="0" w:type="dxa"/>
            <w:vAlign w:val="bottom"/>
          </w:tcPr>
          <w:p>
            <w:pPr>
              <w:spacing w:after="0"/>
              <w:rPr>
                <w:sz w:val="1"/>
                <w:szCs w:val="1"/>
                <w:color w:val="auto"/>
              </w:rPr>
            </w:pPr>
          </w:p>
        </w:tc>
      </w:tr>
      <w:tr>
        <w:trPr>
          <w:trHeight w:val="270"/>
        </w:trPr>
        <w:tc>
          <w:tcPr>
            <w:tcW w:w="7760" w:type="dxa"/>
            <w:vAlign w:val="bottom"/>
          </w:tcPr>
          <w:p>
            <w:pPr>
              <w:ind w:left="100"/>
              <w:spacing w:after="0"/>
              <w:rPr>
                <w:sz w:val="20"/>
                <w:szCs w:val="20"/>
                <w:color w:val="auto"/>
              </w:rPr>
            </w:pPr>
            <w:r>
              <w:rPr>
                <w:rFonts w:ascii="Arial" w:cs="Arial" w:eastAsia="Arial" w:hAnsi="Arial"/>
                <w:sz w:val="16"/>
                <w:szCs w:val="16"/>
                <w:color w:val="auto"/>
              </w:rPr>
              <w:t>Payments on borrowings</w:t>
            </w: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(17,269)</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(15,826)</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(13,648)</w:t>
            </w:r>
          </w:p>
        </w:tc>
        <w:tc>
          <w:tcPr>
            <w:tcW w:w="0" w:type="dxa"/>
            <w:vAlign w:val="bottom"/>
          </w:tcPr>
          <w:p>
            <w:pPr>
              <w:spacing w:after="0"/>
              <w:rPr>
                <w:sz w:val="1"/>
                <w:szCs w:val="1"/>
                <w:color w:val="auto"/>
              </w:rPr>
            </w:pPr>
          </w:p>
        </w:tc>
      </w:tr>
      <w:tr>
        <w:trPr>
          <w:trHeight w:val="283"/>
        </w:trPr>
        <w:tc>
          <w:tcPr>
            <w:tcW w:w="7760" w:type="dxa"/>
            <w:vAlign w:val="bottom"/>
          </w:tcPr>
          <w:p>
            <w:pPr>
              <w:ind w:left="100"/>
              <w:spacing w:after="0"/>
              <w:rPr>
                <w:sz w:val="20"/>
                <w:szCs w:val="20"/>
                <w:color w:val="auto"/>
              </w:rPr>
            </w:pPr>
            <w:r>
              <w:rPr>
                <w:rFonts w:ascii="Arial" w:cs="Arial" w:eastAsia="Arial" w:hAnsi="Arial"/>
                <w:sz w:val="16"/>
                <w:szCs w:val="16"/>
                <w:color w:val="auto"/>
              </w:rPr>
              <w:t>Debt financing fees</w:t>
            </w: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50"/>
        </w:trPr>
        <w:tc>
          <w:tcPr>
            <w:tcW w:w="77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w:t>
            </w:r>
          </w:p>
        </w:tc>
        <w:tc>
          <w:tcPr>
            <w:tcW w:w="1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w:t>
            </w:r>
          </w:p>
        </w:tc>
        <w:tc>
          <w:tcPr>
            <w:tcW w:w="10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468</w:t>
            </w:r>
          </w:p>
        </w:tc>
        <w:tc>
          <w:tcPr>
            <w:tcW w:w="0" w:type="dxa"/>
            <w:vAlign w:val="bottom"/>
          </w:tcPr>
          <w:p>
            <w:pPr>
              <w:spacing w:after="0"/>
              <w:rPr>
                <w:sz w:val="1"/>
                <w:szCs w:val="1"/>
                <w:color w:val="auto"/>
              </w:rPr>
            </w:pPr>
          </w:p>
        </w:tc>
      </w:tr>
      <w:tr>
        <w:trPr>
          <w:trHeight w:val="250"/>
        </w:trPr>
        <w:tc>
          <w:tcPr>
            <w:tcW w:w="7760" w:type="dxa"/>
            <w:vAlign w:val="bottom"/>
          </w:tcPr>
          <w:p>
            <w:pPr>
              <w:spacing w:after="0"/>
              <w:rPr>
                <w:sz w:val="20"/>
                <w:szCs w:val="20"/>
                <w:color w:val="auto"/>
              </w:rPr>
            </w:pPr>
            <w:r>
              <w:rPr>
                <w:rFonts w:ascii="Arial" w:cs="Arial" w:eastAsia="Arial" w:hAnsi="Arial"/>
                <w:sz w:val="16"/>
                <w:szCs w:val="16"/>
                <w:b w:val="1"/>
                <w:bCs w:val="1"/>
                <w:color w:val="auto"/>
              </w:rPr>
              <w:t>Net cash (used in) provided by financing activities</w:t>
            </w: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(308)</w:t>
            </w:r>
          </w:p>
        </w:tc>
        <w:tc>
          <w:tcPr>
            <w:tcW w:w="1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(449)</w:t>
            </w:r>
          </w:p>
        </w:tc>
        <w:tc>
          <w:tcPr>
            <w:tcW w:w="10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72</w:t>
            </w:r>
          </w:p>
        </w:tc>
        <w:tc>
          <w:tcPr>
            <w:tcW w:w="0" w:type="dxa"/>
            <w:vAlign w:val="bottom"/>
          </w:tcPr>
          <w:p>
            <w:pPr>
              <w:spacing w:after="0"/>
              <w:rPr>
                <w:sz w:val="1"/>
                <w:szCs w:val="1"/>
                <w:color w:val="auto"/>
              </w:rPr>
            </w:pPr>
          </w:p>
        </w:tc>
      </w:tr>
      <w:tr>
        <w:trPr>
          <w:trHeight w:val="493"/>
        </w:trPr>
        <w:tc>
          <w:tcPr>
            <w:tcW w:w="7760" w:type="dxa"/>
            <w:vAlign w:val="bottom"/>
          </w:tcPr>
          <w:p>
            <w:pPr>
              <w:spacing w:after="0"/>
              <w:rPr>
                <w:sz w:val="20"/>
                <w:szCs w:val="20"/>
                <w:color w:val="auto"/>
              </w:rPr>
            </w:pPr>
            <w:r>
              <w:rPr>
                <w:rFonts w:ascii="Arial" w:cs="Arial" w:eastAsia="Arial" w:hAnsi="Arial"/>
                <w:sz w:val="16"/>
                <w:szCs w:val="16"/>
                <w:color w:val="auto"/>
              </w:rPr>
              <w:t>Effect of changes in exchange rates on cash and cash equivalents, program and restricted cash</w:t>
            </w: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45</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521"/>
        </w:trPr>
        <w:tc>
          <w:tcPr>
            <w:tcW w:w="7760" w:type="dxa"/>
            <w:vAlign w:val="bottom"/>
          </w:tcPr>
          <w:p>
            <w:pPr>
              <w:spacing w:after="0"/>
              <w:rPr>
                <w:sz w:val="20"/>
                <w:szCs w:val="20"/>
                <w:color w:val="auto"/>
              </w:rPr>
            </w:pPr>
            <w:r>
              <w:rPr>
                <w:rFonts w:ascii="Arial" w:cs="Arial" w:eastAsia="Arial" w:hAnsi="Arial"/>
                <w:sz w:val="16"/>
                <w:szCs w:val="16"/>
                <w:color w:val="auto"/>
              </w:rPr>
              <w:t>Net increase (decrease) in cash and cash equivalents, program and restricted cash</w:t>
            </w:r>
          </w:p>
        </w:tc>
        <w:tc>
          <w:tcPr>
            <w:tcW w:w="260" w:type="dxa"/>
            <w:vAlign w:val="bottom"/>
          </w:tcPr>
          <w:p>
            <w:pPr>
              <w:spacing w:after="0"/>
              <w:rPr>
                <w:sz w:val="24"/>
                <w:szCs w:val="24"/>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181</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283"/>
        </w:trPr>
        <w:tc>
          <w:tcPr>
            <w:tcW w:w="7760" w:type="dxa"/>
            <w:vAlign w:val="bottom"/>
          </w:tcPr>
          <w:p>
            <w:pPr>
              <w:spacing w:after="0"/>
              <w:rPr>
                <w:sz w:val="20"/>
                <w:szCs w:val="20"/>
                <w:color w:val="auto"/>
              </w:rPr>
            </w:pPr>
            <w:r>
              <w:rPr>
                <w:rFonts w:ascii="Arial" w:cs="Arial" w:eastAsia="Arial" w:hAnsi="Arial"/>
                <w:sz w:val="16"/>
                <w:szCs w:val="16"/>
                <w:color w:val="auto"/>
              </w:rPr>
              <w:t>Cash and cash equivalents, program and restricted cash, beginning of period</w:t>
            </w: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720</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717</w:t>
            </w:r>
          </w:p>
        </w:tc>
        <w:tc>
          <w:tcPr>
            <w:tcW w:w="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753</w:t>
            </w:r>
          </w:p>
        </w:tc>
        <w:tc>
          <w:tcPr>
            <w:tcW w:w="0" w:type="dxa"/>
            <w:vAlign w:val="bottom"/>
          </w:tcPr>
          <w:p>
            <w:pPr>
              <w:spacing w:after="0"/>
              <w:rPr>
                <w:sz w:val="1"/>
                <w:szCs w:val="1"/>
                <w:color w:val="auto"/>
              </w:rPr>
            </w:pPr>
          </w:p>
        </w:tc>
      </w:tr>
      <w:tr>
        <w:trPr>
          <w:trHeight w:val="237"/>
        </w:trPr>
        <w:tc>
          <w:tcPr>
            <w:tcW w:w="7760" w:type="dxa"/>
            <w:vAlign w:val="bottom"/>
          </w:tcPr>
          <w:p>
            <w:pPr>
              <w:spacing w:after="0"/>
              <w:rPr>
                <w:sz w:val="20"/>
                <w:szCs w:val="20"/>
                <w:color w:val="auto"/>
              </w:rPr>
            </w:pPr>
            <w:r>
              <w:rPr>
                <w:rFonts w:ascii="Arial" w:cs="Arial" w:eastAsia="Arial" w:hAnsi="Arial"/>
                <w:sz w:val="16"/>
                <w:szCs w:val="16"/>
                <w:b w:val="1"/>
                <w:bCs w:val="1"/>
                <w:color w:val="auto"/>
              </w:rPr>
              <w:t>Cash and cash equivalents, program and restricted cash, end of period</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901</w:t>
            </w:r>
          </w:p>
        </w:tc>
        <w:tc>
          <w:tcPr>
            <w:tcW w:w="100" w:type="dxa"/>
            <w:vAlign w:val="bottom"/>
          </w:tcPr>
          <w:p>
            <w:pPr>
              <w:spacing w:after="0"/>
              <w:rPr>
                <w:sz w:val="20"/>
                <w:szCs w:val="20"/>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720</w:t>
            </w:r>
          </w:p>
        </w:tc>
        <w:tc>
          <w:tcPr>
            <w:tcW w:w="100" w:type="dxa"/>
            <w:vAlign w:val="bottom"/>
          </w:tcPr>
          <w:p>
            <w:pPr>
              <w:spacing w:after="0"/>
              <w:rPr>
                <w:sz w:val="20"/>
                <w:szCs w:val="20"/>
                <w:color w:val="auto"/>
              </w:rPr>
            </w:pP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717</w:t>
            </w:r>
          </w:p>
        </w:tc>
        <w:tc>
          <w:tcPr>
            <w:tcW w:w="0" w:type="dxa"/>
            <w:vAlign w:val="bottom"/>
          </w:tcPr>
          <w:p>
            <w:pPr>
              <w:spacing w:after="0"/>
              <w:rPr>
                <w:sz w:val="1"/>
                <w:szCs w:val="1"/>
                <w:color w:val="auto"/>
              </w:rPr>
            </w:pPr>
          </w:p>
        </w:tc>
      </w:tr>
      <w:tr>
        <w:trPr>
          <w:trHeight w:val="20"/>
        </w:trPr>
        <w:tc>
          <w:tcPr>
            <w:tcW w:w="7760" w:type="dxa"/>
            <w:vAlign w:val="bottom"/>
            <w:vMerge w:val="restart"/>
          </w:tcPr>
          <w:p>
            <w:pPr>
              <w:spacing w:after="0"/>
              <w:rPr>
                <w:sz w:val="20"/>
                <w:szCs w:val="20"/>
                <w:color w:val="auto"/>
              </w:rPr>
            </w:pPr>
            <w:r>
              <w:rPr>
                <w:rFonts w:ascii="Arial" w:cs="Arial" w:eastAsia="Arial" w:hAnsi="Arial"/>
                <w:sz w:val="16"/>
                <w:szCs w:val="16"/>
                <w:b w:val="1"/>
                <w:bCs w:val="1"/>
                <w:color w:val="auto"/>
              </w:rPr>
              <w:t>Supplemental disclosure</w:t>
            </w: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776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7760" w:type="dxa"/>
            <w:vAlign w:val="bottom"/>
          </w:tcPr>
          <w:p>
            <w:pPr>
              <w:spacing w:after="0"/>
              <w:rPr>
                <w:sz w:val="20"/>
                <w:szCs w:val="20"/>
                <w:color w:val="auto"/>
              </w:rPr>
            </w:pPr>
            <w:r>
              <w:rPr>
                <w:rFonts w:ascii="Arial" w:cs="Arial" w:eastAsia="Arial" w:hAnsi="Arial"/>
                <w:sz w:val="16"/>
                <w:szCs w:val="16"/>
                <w:color w:val="auto"/>
              </w:rPr>
              <w:t>Interest payments</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460</w:t>
            </w:r>
          </w:p>
        </w:tc>
        <w:tc>
          <w:tcPr>
            <w:tcW w:w="100" w:type="dxa"/>
            <w:vAlign w:val="bottom"/>
          </w:tcPr>
          <w:p>
            <w:pPr>
              <w:spacing w:after="0"/>
              <w:rPr>
                <w:sz w:val="24"/>
                <w:szCs w:val="24"/>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461</w:t>
            </w:r>
          </w:p>
        </w:tc>
        <w:tc>
          <w:tcPr>
            <w:tcW w:w="100" w:type="dxa"/>
            <w:vAlign w:val="bottom"/>
          </w:tcPr>
          <w:p>
            <w:pPr>
              <w:spacing w:after="0"/>
              <w:rPr>
                <w:sz w:val="24"/>
                <w:szCs w:val="24"/>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454</w:t>
            </w:r>
          </w:p>
        </w:tc>
        <w:tc>
          <w:tcPr>
            <w:tcW w:w="0" w:type="dxa"/>
            <w:vAlign w:val="bottom"/>
          </w:tcPr>
          <w:p>
            <w:pPr>
              <w:spacing w:after="0"/>
              <w:rPr>
                <w:sz w:val="1"/>
                <w:szCs w:val="1"/>
                <w:color w:val="auto"/>
              </w:rPr>
            </w:pPr>
          </w:p>
        </w:tc>
      </w:tr>
      <w:tr>
        <w:trPr>
          <w:trHeight w:val="270"/>
        </w:trPr>
        <w:tc>
          <w:tcPr>
            <w:tcW w:w="7760" w:type="dxa"/>
            <w:vAlign w:val="bottom"/>
          </w:tcPr>
          <w:p>
            <w:pPr>
              <w:spacing w:after="0"/>
              <w:rPr>
                <w:sz w:val="20"/>
                <w:szCs w:val="20"/>
                <w:color w:val="auto"/>
              </w:rPr>
            </w:pPr>
            <w:r>
              <w:rPr>
                <w:rFonts w:ascii="Arial" w:cs="Arial" w:eastAsia="Arial" w:hAnsi="Arial"/>
                <w:sz w:val="16"/>
                <w:szCs w:val="16"/>
                <w:color w:val="auto"/>
              </w:rPr>
              <w:t>Income tax payments, net</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58</w:t>
            </w:r>
          </w:p>
        </w:tc>
        <w:tc>
          <w:tcPr>
            <w:tcW w:w="100" w:type="dxa"/>
            <w:vAlign w:val="bottom"/>
          </w:tcPr>
          <w:p>
            <w:pPr>
              <w:spacing w:after="0"/>
              <w:rPr>
                <w:sz w:val="23"/>
                <w:szCs w:val="23"/>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60</w:t>
            </w:r>
          </w:p>
        </w:tc>
        <w:tc>
          <w:tcPr>
            <w:tcW w:w="100" w:type="dxa"/>
            <w:vAlign w:val="bottom"/>
          </w:tcPr>
          <w:p>
            <w:pPr>
              <w:spacing w:after="0"/>
              <w:rPr>
                <w:sz w:val="23"/>
                <w:szCs w:val="23"/>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420"/>
          </w:cols>
          <w:pgMar w:left="240" w:top="140" w:right="239"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Avis Budget Group,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STOCKHOLDERS’ EQUITY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ectPr>
          <w:pgSz w:w="11900" w:h="16838" w:orient="portrait"/>
          <w:cols w:equalWidth="0" w:num="1">
            <w:col w:w="11420"/>
          </w:cols>
          <w:pgMar w:left="240" w:top="140" w:right="239" w:bottom="111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Balance at January 1, 2015</w:t>
      </w:r>
    </w:p>
    <w:p>
      <w:pPr>
        <w:spacing w:after="0" w:line="24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Comprehensive income:</w:t>
      </w:r>
    </w:p>
    <w:p>
      <w:pPr>
        <w:spacing w:after="0" w:line="137" w:lineRule="exact"/>
        <w:rPr>
          <w:sz w:val="20"/>
          <w:szCs w:val="20"/>
          <w:color w:val="auto"/>
        </w:rPr>
      </w:pPr>
    </w:p>
    <w:p>
      <w:pPr>
        <w:ind w:left="40"/>
        <w:spacing w:after="0"/>
        <w:rPr>
          <w:sz w:val="20"/>
          <w:szCs w:val="20"/>
          <w:color w:val="auto"/>
        </w:rPr>
      </w:pPr>
      <w:r>
        <w:rPr>
          <w:rFonts w:ascii="Arial" w:cs="Arial" w:eastAsia="Arial" w:hAnsi="Arial"/>
          <w:sz w:val="13"/>
          <w:szCs w:val="13"/>
          <w:color w:val="auto"/>
        </w:rPr>
        <w:t>Net income</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3"/>
          <w:szCs w:val="13"/>
          <w:color w:val="auto"/>
        </w:rPr>
        <w:t>Other comprehensive loss</w:t>
      </w:r>
    </w:p>
    <w:p>
      <w:pPr>
        <w:spacing w:after="0" w:line="22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Total comprehensive income</w:t>
      </w:r>
    </w:p>
    <w:p>
      <w:pPr>
        <w:spacing w:after="0" w:line="258" w:lineRule="exact"/>
        <w:rPr>
          <w:sz w:val="20"/>
          <w:szCs w:val="20"/>
          <w:color w:val="auto"/>
        </w:rPr>
      </w:pPr>
    </w:p>
    <w:p>
      <w:pPr>
        <w:ind w:left="40" w:right="60"/>
        <w:spacing w:after="0" w:line="433" w:lineRule="auto"/>
        <w:rPr>
          <w:sz w:val="20"/>
          <w:szCs w:val="20"/>
          <w:color w:val="auto"/>
        </w:rPr>
      </w:pPr>
      <w:r>
        <w:rPr>
          <w:rFonts w:ascii="Arial" w:cs="Arial" w:eastAsia="Arial" w:hAnsi="Arial"/>
          <w:sz w:val="13"/>
          <w:szCs w:val="13"/>
          <w:color w:val="auto"/>
        </w:rPr>
        <w:t>Net activity related to restricted stock units Exercise of stock options</w:t>
      </w:r>
    </w:p>
    <w:p>
      <w:pPr>
        <w:spacing w:after="0" w:line="1" w:lineRule="exact"/>
        <w:rPr>
          <w:sz w:val="20"/>
          <w:szCs w:val="20"/>
          <w:color w:val="auto"/>
        </w:rPr>
      </w:pPr>
    </w:p>
    <w:p>
      <w:pPr>
        <w:ind w:left="200" w:right="260" w:hanging="161"/>
        <w:spacing w:after="0" w:line="230" w:lineRule="auto"/>
        <w:rPr>
          <w:sz w:val="20"/>
          <w:szCs w:val="20"/>
          <w:color w:val="auto"/>
        </w:rPr>
      </w:pPr>
      <w:r>
        <w:rPr>
          <w:rFonts w:ascii="Arial" w:cs="Arial" w:eastAsia="Arial" w:hAnsi="Arial"/>
          <w:sz w:val="13"/>
          <w:szCs w:val="13"/>
          <w:color w:val="auto"/>
        </w:rPr>
        <w:t>Change in excess tax benefit on equity awards</w:t>
      </w:r>
    </w:p>
    <w:p>
      <w:pPr>
        <w:spacing w:after="0" w:line="38" w:lineRule="exact"/>
        <w:rPr>
          <w:sz w:val="20"/>
          <w:szCs w:val="20"/>
          <w:color w:val="auto"/>
        </w:rPr>
      </w:pPr>
    </w:p>
    <w:p>
      <w:pPr>
        <w:ind w:left="200" w:hanging="161"/>
        <w:spacing w:after="0" w:line="230" w:lineRule="auto"/>
        <w:rPr>
          <w:sz w:val="20"/>
          <w:szCs w:val="20"/>
          <w:color w:val="auto"/>
        </w:rPr>
      </w:pPr>
      <w:r>
        <w:rPr>
          <w:rFonts w:ascii="Arial" w:cs="Arial" w:eastAsia="Arial" w:hAnsi="Arial"/>
          <w:sz w:val="13"/>
          <w:szCs w:val="13"/>
          <w:color w:val="auto"/>
        </w:rPr>
        <w:t>Activity related to employee stock purchase plan</w:t>
      </w:r>
    </w:p>
    <w:p>
      <w:pPr>
        <w:spacing w:after="0" w:line="11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Repurchase of common stock</w:t>
      </w:r>
    </w:p>
    <w:p>
      <w:pPr>
        <w:spacing w:after="0" w:line="159"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Balance at December 31, 2015</w:t>
      </w:r>
    </w:p>
    <w:p>
      <w:pPr>
        <w:spacing w:after="0" w:line="24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Comprehensive income:</w:t>
      </w:r>
    </w:p>
    <w:p>
      <w:pPr>
        <w:spacing w:after="0" w:line="137" w:lineRule="exact"/>
        <w:rPr>
          <w:sz w:val="20"/>
          <w:szCs w:val="20"/>
          <w:color w:val="auto"/>
        </w:rPr>
      </w:pPr>
    </w:p>
    <w:p>
      <w:pPr>
        <w:ind w:left="40"/>
        <w:spacing w:after="0"/>
        <w:rPr>
          <w:sz w:val="20"/>
          <w:szCs w:val="20"/>
          <w:color w:val="auto"/>
        </w:rPr>
      </w:pPr>
      <w:r>
        <w:rPr>
          <w:rFonts w:ascii="Arial" w:cs="Arial" w:eastAsia="Arial" w:hAnsi="Arial"/>
          <w:sz w:val="13"/>
          <w:szCs w:val="13"/>
          <w:color w:val="auto"/>
        </w:rPr>
        <w:t>Net income</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3"/>
          <w:szCs w:val="13"/>
          <w:color w:val="auto"/>
        </w:rPr>
        <w:t>Other comprehensive loss</w:t>
      </w:r>
    </w:p>
    <w:p>
      <w:pPr>
        <w:spacing w:after="0" w:line="22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Total comprehensive income</w:t>
      </w:r>
    </w:p>
    <w:p>
      <w:pPr>
        <w:spacing w:after="0" w:line="258" w:lineRule="exact"/>
        <w:rPr>
          <w:sz w:val="20"/>
          <w:szCs w:val="20"/>
          <w:color w:val="auto"/>
        </w:rPr>
      </w:pPr>
    </w:p>
    <w:p>
      <w:pPr>
        <w:ind w:left="40"/>
        <w:spacing w:after="0"/>
        <w:rPr>
          <w:sz w:val="20"/>
          <w:szCs w:val="20"/>
          <w:color w:val="auto"/>
        </w:rPr>
      </w:pPr>
      <w:r>
        <w:rPr>
          <w:rFonts w:ascii="Arial" w:cs="Arial" w:eastAsia="Arial" w:hAnsi="Arial"/>
          <w:sz w:val="13"/>
          <w:szCs w:val="13"/>
          <w:color w:val="auto"/>
        </w:rPr>
        <w:t>Non-controlling interest</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2"/>
          <w:szCs w:val="12"/>
          <w:color w:val="auto"/>
        </w:rPr>
        <w:t>Net activity related to restricted stock units</w:t>
      </w:r>
    </w:p>
    <w:p>
      <w:pPr>
        <w:spacing w:after="0" w:line="132" w:lineRule="exact"/>
        <w:rPr>
          <w:sz w:val="20"/>
          <w:szCs w:val="20"/>
          <w:color w:val="auto"/>
        </w:rPr>
      </w:pPr>
    </w:p>
    <w:p>
      <w:pPr>
        <w:ind w:left="40"/>
        <w:spacing w:after="0"/>
        <w:rPr>
          <w:sz w:val="20"/>
          <w:szCs w:val="20"/>
          <w:color w:val="auto"/>
        </w:rPr>
      </w:pPr>
      <w:r>
        <w:rPr>
          <w:rFonts w:ascii="Arial" w:cs="Arial" w:eastAsia="Arial" w:hAnsi="Arial"/>
          <w:sz w:val="13"/>
          <w:szCs w:val="13"/>
          <w:color w:val="auto"/>
        </w:rPr>
        <w:t>Exercise of stock options</w:t>
      </w:r>
    </w:p>
    <w:p>
      <w:pPr>
        <w:spacing w:after="0" w:line="121" w:lineRule="exact"/>
        <w:rPr>
          <w:sz w:val="20"/>
          <w:szCs w:val="20"/>
          <w:color w:val="auto"/>
        </w:rPr>
      </w:pPr>
    </w:p>
    <w:p>
      <w:pPr>
        <w:ind w:left="200" w:right="260" w:hanging="161"/>
        <w:spacing w:after="0" w:line="230" w:lineRule="auto"/>
        <w:rPr>
          <w:sz w:val="20"/>
          <w:szCs w:val="20"/>
          <w:color w:val="auto"/>
        </w:rPr>
      </w:pPr>
      <w:r>
        <w:rPr>
          <w:rFonts w:ascii="Arial" w:cs="Arial" w:eastAsia="Arial" w:hAnsi="Arial"/>
          <w:sz w:val="13"/>
          <w:szCs w:val="13"/>
          <w:color w:val="auto"/>
        </w:rPr>
        <w:t>Change in excess tax benefit on equity awards</w:t>
      </w:r>
    </w:p>
    <w:p>
      <w:pPr>
        <w:spacing w:after="0" w:line="38" w:lineRule="exact"/>
        <w:rPr>
          <w:sz w:val="20"/>
          <w:szCs w:val="20"/>
          <w:color w:val="auto"/>
        </w:rPr>
      </w:pPr>
    </w:p>
    <w:p>
      <w:pPr>
        <w:ind w:left="200" w:hanging="161"/>
        <w:spacing w:after="0" w:line="230" w:lineRule="auto"/>
        <w:rPr>
          <w:sz w:val="20"/>
          <w:szCs w:val="20"/>
          <w:color w:val="auto"/>
        </w:rPr>
      </w:pPr>
      <w:r>
        <w:rPr>
          <w:rFonts w:ascii="Arial" w:cs="Arial" w:eastAsia="Arial" w:hAnsi="Arial"/>
          <w:sz w:val="13"/>
          <w:szCs w:val="13"/>
          <w:color w:val="auto"/>
        </w:rPr>
        <w:t>Activity related to employee stock purchase plan</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Repurchase of common stock</w:t>
      </w:r>
    </w:p>
    <w:p>
      <w:pPr>
        <w:spacing w:after="0" w:line="240"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Balance at December 31, 2016</w:t>
      </w:r>
    </w:p>
    <w:p>
      <w:pPr>
        <w:spacing w:after="0" w:line="258" w:lineRule="exact"/>
        <w:rPr>
          <w:sz w:val="20"/>
          <w:szCs w:val="20"/>
          <w:color w:val="auto"/>
        </w:rPr>
      </w:pPr>
    </w:p>
    <w:p>
      <w:pPr>
        <w:ind w:left="40"/>
        <w:spacing w:after="0"/>
        <w:rPr>
          <w:sz w:val="20"/>
          <w:szCs w:val="20"/>
          <w:color w:val="auto"/>
        </w:rPr>
      </w:pPr>
      <w:r>
        <w:rPr>
          <w:rFonts w:ascii="Arial" w:cs="Arial" w:eastAsia="Arial" w:hAnsi="Arial"/>
          <w:sz w:val="13"/>
          <w:szCs w:val="13"/>
          <w:color w:val="auto"/>
        </w:rPr>
        <w:t>Cumulative effect of accounting change</w:t>
      </w:r>
    </w:p>
    <w:p>
      <w:pPr>
        <w:spacing w:after="0" w:line="280"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Comprehensive income:</w:t>
      </w:r>
    </w:p>
    <w:p>
      <w:pPr>
        <w:spacing w:after="0" w:line="137" w:lineRule="exact"/>
        <w:rPr>
          <w:sz w:val="20"/>
          <w:szCs w:val="20"/>
          <w:color w:val="auto"/>
        </w:rPr>
      </w:pPr>
    </w:p>
    <w:p>
      <w:pPr>
        <w:ind w:left="40"/>
        <w:spacing w:after="0"/>
        <w:rPr>
          <w:sz w:val="20"/>
          <w:szCs w:val="20"/>
          <w:color w:val="auto"/>
        </w:rPr>
      </w:pPr>
      <w:r>
        <w:rPr>
          <w:rFonts w:ascii="Arial" w:cs="Arial" w:eastAsia="Arial" w:hAnsi="Arial"/>
          <w:sz w:val="13"/>
          <w:szCs w:val="13"/>
          <w:color w:val="auto"/>
        </w:rPr>
        <w:t>Net income</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3"/>
          <w:szCs w:val="13"/>
          <w:color w:val="auto"/>
        </w:rPr>
        <w:t>Other comprehensive income</w:t>
      </w:r>
    </w:p>
    <w:p>
      <w:pPr>
        <w:spacing w:after="0" w:line="226" w:lineRule="exact"/>
        <w:rPr>
          <w:sz w:val="20"/>
          <w:szCs w:val="20"/>
          <w:color w:val="auto"/>
        </w:rPr>
      </w:pPr>
    </w:p>
    <w:p>
      <w:pPr>
        <w:ind w:left="40" w:right="700"/>
        <w:spacing w:after="0" w:line="483" w:lineRule="auto"/>
        <w:rPr>
          <w:sz w:val="20"/>
          <w:szCs w:val="20"/>
          <w:color w:val="auto"/>
        </w:rPr>
      </w:pPr>
      <w:r>
        <w:rPr>
          <w:rFonts w:ascii="Arial" w:cs="Arial" w:eastAsia="Arial" w:hAnsi="Arial"/>
          <w:sz w:val="12"/>
          <w:szCs w:val="12"/>
          <w:b w:val="1"/>
          <w:bCs w:val="1"/>
          <w:color w:val="auto"/>
        </w:rPr>
        <w:t xml:space="preserve">Total comprehensive income </w:t>
      </w:r>
      <w:r>
        <w:rPr>
          <w:rFonts w:ascii="Arial" w:cs="Arial" w:eastAsia="Arial" w:hAnsi="Arial"/>
          <w:sz w:val="12"/>
          <w:szCs w:val="12"/>
          <w:color w:val="auto"/>
        </w:rPr>
        <w:t>Non-controlling interest</w:t>
      </w:r>
    </w:p>
    <w:p>
      <w:pPr>
        <w:spacing w:after="0" w:line="1" w:lineRule="exact"/>
        <w:rPr>
          <w:sz w:val="20"/>
          <w:szCs w:val="20"/>
          <w:color w:val="auto"/>
        </w:rPr>
      </w:pPr>
    </w:p>
    <w:p>
      <w:pPr>
        <w:ind w:left="40" w:right="60"/>
        <w:spacing w:after="0" w:line="433" w:lineRule="auto"/>
        <w:rPr>
          <w:sz w:val="20"/>
          <w:szCs w:val="20"/>
          <w:color w:val="auto"/>
        </w:rPr>
      </w:pPr>
      <w:r>
        <w:rPr>
          <w:rFonts w:ascii="Arial" w:cs="Arial" w:eastAsia="Arial" w:hAnsi="Arial"/>
          <w:sz w:val="13"/>
          <w:szCs w:val="13"/>
          <w:color w:val="auto"/>
        </w:rPr>
        <w:t>Net activity related to restricted stock units Exercise of stock options</w:t>
      </w:r>
    </w:p>
    <w:p>
      <w:pPr>
        <w:spacing w:after="0" w:line="1" w:lineRule="exact"/>
        <w:rPr>
          <w:sz w:val="20"/>
          <w:szCs w:val="20"/>
          <w:color w:val="auto"/>
        </w:rPr>
      </w:pPr>
    </w:p>
    <w:p>
      <w:pPr>
        <w:ind w:left="200" w:hanging="161"/>
        <w:spacing w:after="0" w:line="230" w:lineRule="auto"/>
        <w:rPr>
          <w:sz w:val="20"/>
          <w:szCs w:val="20"/>
          <w:color w:val="auto"/>
        </w:rPr>
      </w:pPr>
      <w:r>
        <w:rPr>
          <w:rFonts w:ascii="Arial" w:cs="Arial" w:eastAsia="Arial" w:hAnsi="Arial"/>
          <w:sz w:val="13"/>
          <w:szCs w:val="13"/>
          <w:color w:val="auto"/>
        </w:rPr>
        <w:t>Activity related to employee stock purchase plan</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Repurchase of common stock</w:t>
      </w:r>
    </w:p>
    <w:p>
      <w:pPr>
        <w:spacing w:after="0" w:line="22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Balance at December 31, 2017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780" w:type="dxa"/>
            <w:vAlign w:val="bottom"/>
            <w:gridSpan w:val="5"/>
          </w:tcPr>
          <w:p>
            <w:pPr>
              <w:ind w:left="380"/>
              <w:spacing w:after="0"/>
              <w:rPr>
                <w:sz w:val="20"/>
                <w:szCs w:val="20"/>
                <w:color w:val="auto"/>
              </w:rPr>
            </w:pPr>
            <w:r>
              <w:rPr>
                <w:rFonts w:ascii="Arial" w:cs="Arial" w:eastAsia="Arial" w:hAnsi="Arial"/>
                <w:sz w:val="13"/>
                <w:szCs w:val="13"/>
                <w:b w:val="1"/>
                <w:bCs w:val="1"/>
                <w:color w:val="auto"/>
              </w:rPr>
              <w:t>Common Stock</w:t>
            </w: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w w:val="96"/>
              </w:rPr>
              <w:t>Accumulated Other</w:t>
            </w:r>
          </w:p>
        </w:tc>
        <w:tc>
          <w:tcPr>
            <w:tcW w:w="1680" w:type="dxa"/>
            <w:vAlign w:val="bottom"/>
            <w:gridSpan w:val="5"/>
          </w:tcPr>
          <w:p>
            <w:pPr>
              <w:ind w:left="340"/>
              <w:spacing w:after="0"/>
              <w:rPr>
                <w:sz w:val="20"/>
                <w:szCs w:val="20"/>
                <w:color w:val="auto"/>
              </w:rPr>
            </w:pPr>
            <w:r>
              <w:rPr>
                <w:rFonts w:ascii="Arial" w:cs="Arial" w:eastAsia="Arial" w:hAnsi="Arial"/>
                <w:sz w:val="13"/>
                <w:szCs w:val="13"/>
                <w:b w:val="1"/>
                <w:bCs w:val="1"/>
                <w:color w:val="auto"/>
              </w:rPr>
              <w:t>Treasury Stock</w:t>
            </w: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5"/>
        </w:trPr>
        <w:tc>
          <w:tcPr>
            <w:tcW w:w="7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1280" w:type="dxa"/>
            <w:vAlign w:val="bottom"/>
            <w:gridSpan w:val="3"/>
            <w:vMerge w:val="restart"/>
          </w:tcPr>
          <w:p>
            <w:pPr>
              <w:ind w:left="40"/>
              <w:spacing w:after="0" w:line="135" w:lineRule="exact"/>
              <w:rPr>
                <w:sz w:val="20"/>
                <w:szCs w:val="20"/>
                <w:color w:val="auto"/>
              </w:rPr>
            </w:pPr>
            <w:r>
              <w:rPr>
                <w:rFonts w:ascii="Arial" w:cs="Arial" w:eastAsia="Arial" w:hAnsi="Arial"/>
                <w:sz w:val="13"/>
                <w:szCs w:val="13"/>
                <w:b w:val="1"/>
                <w:bCs w:val="1"/>
                <w:color w:val="auto"/>
              </w:rPr>
              <w:t>Additional Paid-in</w:t>
            </w:r>
          </w:p>
        </w:tc>
        <w:tc>
          <w:tcPr>
            <w:tcW w:w="160" w:type="dxa"/>
            <w:vAlign w:val="bottom"/>
          </w:tcPr>
          <w:p>
            <w:pPr>
              <w:spacing w:after="0"/>
              <w:rPr>
                <w:sz w:val="3"/>
                <w:szCs w:val="3"/>
                <w:color w:val="auto"/>
              </w:rPr>
            </w:pPr>
          </w:p>
        </w:tc>
        <w:tc>
          <w:tcPr>
            <w:tcW w:w="1180" w:type="dxa"/>
            <w:vAlign w:val="bottom"/>
            <w:gridSpan w:val="2"/>
            <w:vMerge w:val="restart"/>
          </w:tcPr>
          <w:p>
            <w:pPr>
              <w:jc w:val="center"/>
              <w:ind w:right="260"/>
              <w:spacing w:after="0" w:line="135" w:lineRule="exact"/>
              <w:rPr>
                <w:sz w:val="20"/>
                <w:szCs w:val="20"/>
                <w:color w:val="auto"/>
              </w:rPr>
            </w:pPr>
            <w:r>
              <w:rPr>
                <w:rFonts w:ascii="Arial" w:cs="Arial" w:eastAsia="Arial" w:hAnsi="Arial"/>
                <w:sz w:val="13"/>
                <w:szCs w:val="13"/>
                <w:b w:val="1"/>
                <w:bCs w:val="1"/>
                <w:color w:val="auto"/>
                <w:w w:val="97"/>
              </w:rPr>
              <w:t>Accumulated</w:t>
            </w:r>
          </w:p>
        </w:tc>
        <w:tc>
          <w:tcPr>
            <w:tcW w:w="160" w:type="dxa"/>
            <w:vAlign w:val="bottom"/>
          </w:tcPr>
          <w:p>
            <w:pPr>
              <w:spacing w:after="0"/>
              <w:rPr>
                <w:sz w:val="3"/>
                <w:szCs w:val="3"/>
                <w:color w:val="auto"/>
              </w:rPr>
            </w:pPr>
          </w:p>
        </w:tc>
        <w:tc>
          <w:tcPr>
            <w:tcW w:w="1300" w:type="dxa"/>
            <w:vAlign w:val="bottom"/>
            <w:gridSpan w:val="2"/>
            <w:vMerge w:val="restart"/>
          </w:tcPr>
          <w:p>
            <w:pPr>
              <w:jc w:val="center"/>
              <w:ind w:right="260"/>
              <w:spacing w:after="0" w:line="135" w:lineRule="exact"/>
              <w:rPr>
                <w:sz w:val="20"/>
                <w:szCs w:val="20"/>
                <w:color w:val="auto"/>
              </w:rPr>
            </w:pPr>
            <w:r>
              <w:rPr>
                <w:rFonts w:ascii="Arial" w:cs="Arial" w:eastAsia="Arial" w:hAnsi="Arial"/>
                <w:sz w:val="13"/>
                <w:szCs w:val="13"/>
                <w:b w:val="1"/>
                <w:bCs w:val="1"/>
                <w:color w:val="auto"/>
                <w:w w:val="98"/>
              </w:rPr>
              <w:t>Comprehensive</w:t>
            </w:r>
          </w:p>
        </w:tc>
        <w:tc>
          <w:tcPr>
            <w:tcW w:w="6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240" w:type="dxa"/>
            <w:vAlign w:val="bottom"/>
            <w:gridSpan w:val="2"/>
            <w:vMerge w:val="restart"/>
          </w:tcPr>
          <w:p>
            <w:pPr>
              <w:ind w:left="40"/>
              <w:spacing w:after="0" w:line="135" w:lineRule="exact"/>
              <w:rPr>
                <w:sz w:val="20"/>
                <w:szCs w:val="20"/>
                <w:color w:val="auto"/>
              </w:rPr>
            </w:pPr>
            <w:r>
              <w:rPr>
                <w:rFonts w:ascii="Arial" w:cs="Arial" w:eastAsia="Arial" w:hAnsi="Arial"/>
                <w:sz w:val="13"/>
                <w:szCs w:val="13"/>
                <w:b w:val="1"/>
                <w:bCs w:val="1"/>
                <w:color w:val="auto"/>
                <w:w w:val="97"/>
              </w:rPr>
              <w:t>Total Stockholders’</w:t>
            </w:r>
          </w:p>
        </w:tc>
        <w:tc>
          <w:tcPr>
            <w:tcW w:w="0" w:type="dxa"/>
            <w:vAlign w:val="bottom"/>
          </w:tcPr>
          <w:p>
            <w:pPr>
              <w:spacing w:after="0"/>
              <w:rPr>
                <w:sz w:val="1"/>
                <w:szCs w:val="1"/>
                <w:color w:val="auto"/>
              </w:rPr>
            </w:pPr>
          </w:p>
        </w:tc>
      </w:tr>
      <w:tr>
        <w:trPr>
          <w:trHeight w:val="80"/>
        </w:trPr>
        <w:tc>
          <w:tcPr>
            <w:tcW w:w="7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80" w:type="dxa"/>
            <w:vAlign w:val="bottom"/>
            <w:gridSpan w:val="3"/>
            <w:vMerge w:val="continue"/>
          </w:tcPr>
          <w:p>
            <w:pPr>
              <w:spacing w:after="0"/>
              <w:rPr>
                <w:sz w:val="6"/>
                <w:szCs w:val="6"/>
                <w:color w:val="auto"/>
              </w:rPr>
            </w:pPr>
          </w:p>
        </w:tc>
        <w:tc>
          <w:tcPr>
            <w:tcW w:w="160" w:type="dxa"/>
            <w:vAlign w:val="bottom"/>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1300" w:type="dxa"/>
            <w:vAlign w:val="bottom"/>
            <w:gridSpan w:val="2"/>
            <w:vMerge w:val="continue"/>
          </w:tcPr>
          <w:p>
            <w:pPr>
              <w:spacing w:after="0"/>
              <w:rPr>
                <w:sz w:val="6"/>
                <w:szCs w:val="6"/>
                <w:color w:val="auto"/>
              </w:rPr>
            </w:pPr>
          </w:p>
        </w:tc>
        <w:tc>
          <w:tcPr>
            <w:tcW w:w="6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4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8"/>
        </w:trPr>
        <w:tc>
          <w:tcPr>
            <w:tcW w:w="820" w:type="dxa"/>
            <w:vAlign w:val="bottom"/>
            <w:gridSpan w:val="2"/>
          </w:tcPr>
          <w:p>
            <w:pPr>
              <w:ind w:left="140"/>
              <w:spacing w:after="0"/>
              <w:rPr>
                <w:sz w:val="20"/>
                <w:szCs w:val="20"/>
                <w:color w:val="auto"/>
              </w:rPr>
            </w:pPr>
            <w:r>
              <w:rPr>
                <w:rFonts w:ascii="Arial" w:cs="Arial" w:eastAsia="Arial" w:hAnsi="Arial"/>
                <w:sz w:val="13"/>
                <w:szCs w:val="13"/>
                <w:b w:val="1"/>
                <w:bCs w:val="1"/>
                <w:color w:val="auto"/>
              </w:rPr>
              <w:t>Shares</w:t>
            </w:r>
          </w:p>
        </w:tc>
        <w:tc>
          <w:tcPr>
            <w:tcW w:w="140" w:type="dxa"/>
            <w:vAlign w:val="bottom"/>
          </w:tcPr>
          <w:p>
            <w:pPr>
              <w:spacing w:after="0"/>
              <w:rPr>
                <w:sz w:val="15"/>
                <w:szCs w:val="15"/>
                <w:color w:val="auto"/>
              </w:rPr>
            </w:pPr>
          </w:p>
        </w:tc>
        <w:tc>
          <w:tcPr>
            <w:tcW w:w="820" w:type="dxa"/>
            <w:vAlign w:val="bottom"/>
            <w:gridSpan w:val="2"/>
          </w:tcPr>
          <w:p>
            <w:pPr>
              <w:ind w:left="40"/>
              <w:spacing w:after="0"/>
              <w:rPr>
                <w:sz w:val="20"/>
                <w:szCs w:val="20"/>
                <w:color w:val="auto"/>
              </w:rPr>
            </w:pPr>
            <w:r>
              <w:rPr>
                <w:rFonts w:ascii="Arial" w:cs="Arial" w:eastAsia="Arial" w:hAnsi="Arial"/>
                <w:sz w:val="13"/>
                <w:szCs w:val="13"/>
                <w:b w:val="1"/>
                <w:bCs w:val="1"/>
                <w:color w:val="auto"/>
              </w:rPr>
              <w:t>Amount</w:t>
            </w:r>
          </w:p>
        </w:tc>
        <w:tc>
          <w:tcPr>
            <w:tcW w:w="220" w:type="dxa"/>
            <w:vAlign w:val="bottom"/>
          </w:tcPr>
          <w:p>
            <w:pPr>
              <w:spacing w:after="0"/>
              <w:rPr>
                <w:sz w:val="15"/>
                <w:szCs w:val="15"/>
                <w:color w:val="auto"/>
              </w:rPr>
            </w:pPr>
          </w:p>
        </w:tc>
        <w:tc>
          <w:tcPr>
            <w:tcW w:w="1060" w:type="dxa"/>
            <w:vAlign w:val="bottom"/>
            <w:gridSpan w:val="2"/>
          </w:tcPr>
          <w:p>
            <w:pPr>
              <w:ind w:left="140"/>
              <w:spacing w:after="0"/>
              <w:rPr>
                <w:sz w:val="20"/>
                <w:szCs w:val="20"/>
                <w:color w:val="auto"/>
              </w:rPr>
            </w:pPr>
            <w:r>
              <w:rPr>
                <w:rFonts w:ascii="Arial" w:cs="Arial" w:eastAsia="Arial" w:hAnsi="Arial"/>
                <w:sz w:val="13"/>
                <w:szCs w:val="13"/>
                <w:b w:val="1"/>
                <w:bCs w:val="1"/>
                <w:color w:val="auto"/>
              </w:rPr>
              <w:t>Capital</w:t>
            </w:r>
          </w:p>
        </w:tc>
        <w:tc>
          <w:tcPr>
            <w:tcW w:w="160" w:type="dxa"/>
            <w:vAlign w:val="bottom"/>
          </w:tcPr>
          <w:p>
            <w:pPr>
              <w:spacing w:after="0"/>
              <w:rPr>
                <w:sz w:val="15"/>
                <w:szCs w:val="15"/>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5"/>
              </w:rPr>
              <w:t>Deficit</w:t>
            </w:r>
          </w:p>
        </w:tc>
        <w:tc>
          <w:tcPr>
            <w:tcW w:w="160" w:type="dxa"/>
            <w:vAlign w:val="bottom"/>
          </w:tcPr>
          <w:p>
            <w:pPr>
              <w:spacing w:after="0"/>
              <w:rPr>
                <w:sz w:val="15"/>
                <w:szCs w:val="15"/>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5"/>
              </w:rPr>
              <w:t>Income (Loss)</w:t>
            </w:r>
          </w:p>
        </w:tc>
        <w:tc>
          <w:tcPr>
            <w:tcW w:w="780" w:type="dxa"/>
            <w:vAlign w:val="bottom"/>
            <w:gridSpan w:val="2"/>
          </w:tcPr>
          <w:p>
            <w:pPr>
              <w:ind w:left="140"/>
              <w:spacing w:after="0"/>
              <w:rPr>
                <w:sz w:val="20"/>
                <w:szCs w:val="20"/>
                <w:color w:val="auto"/>
              </w:rPr>
            </w:pPr>
            <w:r>
              <w:rPr>
                <w:rFonts w:ascii="Arial" w:cs="Arial" w:eastAsia="Arial" w:hAnsi="Arial"/>
                <w:sz w:val="13"/>
                <w:szCs w:val="13"/>
                <w:b w:val="1"/>
                <w:bCs w:val="1"/>
                <w:color w:val="auto"/>
              </w:rPr>
              <w:t>Shares</w:t>
            </w:r>
          </w:p>
        </w:tc>
        <w:tc>
          <w:tcPr>
            <w:tcW w:w="140" w:type="dxa"/>
            <w:vAlign w:val="bottom"/>
          </w:tcPr>
          <w:p>
            <w:pPr>
              <w:spacing w:after="0"/>
              <w:rPr>
                <w:sz w:val="15"/>
                <w:szCs w:val="15"/>
                <w:color w:val="auto"/>
              </w:rPr>
            </w:pPr>
          </w:p>
        </w:tc>
        <w:tc>
          <w:tcPr>
            <w:tcW w:w="760" w:type="dxa"/>
            <w:vAlign w:val="bottom"/>
            <w:gridSpan w:val="2"/>
          </w:tcPr>
          <w:p>
            <w:pPr>
              <w:ind w:left="20"/>
              <w:spacing w:after="0"/>
              <w:rPr>
                <w:sz w:val="20"/>
                <w:szCs w:val="20"/>
                <w:color w:val="auto"/>
              </w:rPr>
            </w:pPr>
            <w:r>
              <w:rPr>
                <w:rFonts w:ascii="Arial" w:cs="Arial" w:eastAsia="Arial" w:hAnsi="Arial"/>
                <w:sz w:val="13"/>
                <w:szCs w:val="13"/>
                <w:b w:val="1"/>
                <w:bCs w:val="1"/>
                <w:color w:val="auto"/>
              </w:rPr>
              <w:t>Amount</w:t>
            </w:r>
          </w:p>
        </w:tc>
        <w:tc>
          <w:tcPr>
            <w:tcW w:w="260" w:type="dxa"/>
            <w:vAlign w:val="bottom"/>
          </w:tcPr>
          <w:p>
            <w:pPr>
              <w:spacing w:after="0"/>
              <w:rPr>
                <w:sz w:val="15"/>
                <w:szCs w:val="15"/>
                <w:color w:val="auto"/>
              </w:rPr>
            </w:pPr>
          </w:p>
        </w:tc>
        <w:tc>
          <w:tcPr>
            <w:tcW w:w="980" w:type="dxa"/>
            <w:vAlign w:val="bottom"/>
          </w:tcPr>
          <w:p>
            <w:pPr>
              <w:jc w:val="right"/>
              <w:ind w:right="357"/>
              <w:spacing w:after="0"/>
              <w:rPr>
                <w:sz w:val="20"/>
                <w:szCs w:val="20"/>
                <w:color w:val="auto"/>
              </w:rPr>
            </w:pPr>
            <w:r>
              <w:rPr>
                <w:rFonts w:ascii="Arial" w:cs="Arial" w:eastAsia="Arial" w:hAnsi="Arial"/>
                <w:sz w:val="13"/>
                <w:szCs w:val="13"/>
                <w:b w:val="1"/>
                <w:bCs w:val="1"/>
                <w:color w:val="auto"/>
              </w:rPr>
              <w:t>Equity</w:t>
            </w:r>
          </w:p>
        </w:tc>
        <w:tc>
          <w:tcPr>
            <w:tcW w:w="0" w:type="dxa"/>
            <w:vAlign w:val="bottom"/>
          </w:tcPr>
          <w:p>
            <w:pPr>
              <w:spacing w:after="0"/>
              <w:rPr>
                <w:sz w:val="1"/>
                <w:szCs w:val="1"/>
                <w:color w:val="auto"/>
              </w:rPr>
            </w:pPr>
          </w:p>
        </w:tc>
      </w:tr>
      <w:tr>
        <w:trPr>
          <w:trHeight w:val="241"/>
        </w:trPr>
        <w:tc>
          <w:tcPr>
            <w:tcW w:w="70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137.1</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8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1</w:t>
            </w:r>
          </w:p>
        </w:tc>
        <w:tc>
          <w:tcPr>
            <w:tcW w:w="140" w:type="dxa"/>
            <w:vAlign w:val="bottom"/>
          </w:tcPr>
          <w:p>
            <w:pPr>
              <w:spacing w:after="0"/>
              <w:rPr>
                <w:sz w:val="20"/>
                <w:szCs w:val="20"/>
                <w:color w:val="auto"/>
              </w:rPr>
            </w:pPr>
          </w:p>
        </w:tc>
        <w:tc>
          <w:tcPr>
            <w:tcW w:w="220" w:type="dxa"/>
            <w:vAlign w:val="bottom"/>
            <w:tcBorders>
              <w:top w:val="single" w:sz="8" w:color="auto"/>
            </w:tcBorders>
          </w:tcPr>
          <w:p>
            <w:pPr>
              <w:ind w:left="20"/>
              <w:spacing w:after="0"/>
              <w:rPr>
                <w:sz w:val="20"/>
                <w:szCs w:val="20"/>
                <w:color w:val="auto"/>
              </w:rPr>
            </w:pPr>
            <w:r>
              <w:rPr>
                <w:rFonts w:ascii="Arial" w:cs="Arial" w:eastAsia="Arial" w:hAnsi="Arial"/>
                <w:sz w:val="13"/>
                <w:szCs w:val="13"/>
                <w:color w:val="auto"/>
              </w:rPr>
              <w:t>$</w:t>
            </w:r>
          </w:p>
        </w:tc>
        <w:tc>
          <w:tcPr>
            <w:tcW w:w="94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7,212</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(2,115)</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0" w:type="dxa"/>
            <w:vAlign w:val="bottom"/>
            <w:tcBorders>
              <w:top w:val="single" w:sz="8" w:color="auto"/>
            </w:tcBorders>
          </w:tcPr>
          <w:p>
            <w:pPr>
              <w:jc w:val="right"/>
              <w:ind w:right="17"/>
              <w:spacing w:after="0"/>
              <w:rPr>
                <w:sz w:val="20"/>
                <w:szCs w:val="20"/>
                <w:color w:val="auto"/>
              </w:rPr>
            </w:pPr>
            <w:r>
              <w:rPr>
                <w:rFonts w:ascii="Arial" w:cs="Arial" w:eastAsia="Arial" w:hAnsi="Arial"/>
                <w:sz w:val="13"/>
                <w:szCs w:val="13"/>
                <w:color w:val="auto"/>
              </w:rPr>
              <w:t>(22)</w:t>
            </w:r>
          </w:p>
        </w:tc>
        <w:tc>
          <w:tcPr>
            <w:tcW w:w="100" w:type="dxa"/>
            <w:vAlign w:val="bottom"/>
          </w:tcPr>
          <w:p>
            <w:pPr>
              <w:spacing w:after="0"/>
              <w:rPr>
                <w:sz w:val="20"/>
                <w:szCs w:val="20"/>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(31.4)</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(4,411)</w:t>
            </w:r>
          </w:p>
        </w:tc>
        <w:tc>
          <w:tcPr>
            <w:tcW w:w="120" w:type="dxa"/>
            <w:vAlign w:val="bottom"/>
          </w:tcPr>
          <w:p>
            <w:pPr>
              <w:spacing w:after="0"/>
              <w:rPr>
                <w:sz w:val="20"/>
                <w:szCs w:val="20"/>
                <w:color w:val="auto"/>
              </w:rPr>
            </w:pPr>
          </w:p>
        </w:tc>
        <w:tc>
          <w:tcPr>
            <w:tcW w:w="260" w:type="dxa"/>
            <w:vAlign w:val="bottom"/>
            <w:tcBorders>
              <w:top w:val="single" w:sz="8" w:color="auto"/>
            </w:tcBorders>
          </w:tcPr>
          <w:p>
            <w:pPr>
              <w:ind w:left="20"/>
              <w:spacing w:after="0"/>
              <w:rPr>
                <w:sz w:val="20"/>
                <w:szCs w:val="20"/>
                <w:color w:val="auto"/>
              </w:rPr>
            </w:pPr>
            <w:r>
              <w:rPr>
                <w:rFonts w:ascii="Arial" w:cs="Arial" w:eastAsia="Arial" w:hAnsi="Arial"/>
                <w:sz w:val="13"/>
                <w:szCs w:val="13"/>
                <w:color w:val="auto"/>
              </w:rPr>
              <w:t>$</w:t>
            </w:r>
          </w:p>
        </w:tc>
        <w:tc>
          <w:tcPr>
            <w:tcW w:w="98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665</w:t>
            </w:r>
          </w:p>
        </w:tc>
        <w:tc>
          <w:tcPr>
            <w:tcW w:w="0" w:type="dxa"/>
            <w:vAlign w:val="bottom"/>
          </w:tcPr>
          <w:p>
            <w:pPr>
              <w:spacing w:after="0"/>
              <w:rPr>
                <w:sz w:val="1"/>
                <w:szCs w:val="1"/>
                <w:color w:val="auto"/>
              </w:rPr>
            </w:pPr>
          </w:p>
        </w:tc>
      </w:tr>
      <w:tr>
        <w:trPr>
          <w:trHeight w:val="662"/>
        </w:trPr>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4"/>
                <w:szCs w:val="24"/>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1080" w:type="dxa"/>
            <w:vAlign w:val="bottom"/>
          </w:tcPr>
          <w:p>
            <w:pPr>
              <w:jc w:val="right"/>
              <w:ind w:right="57"/>
              <w:spacing w:after="0"/>
              <w:rPr>
                <w:sz w:val="20"/>
                <w:szCs w:val="20"/>
                <w:color w:val="auto"/>
              </w:rPr>
            </w:pPr>
            <w:r>
              <w:rPr>
                <w:rFonts w:ascii="Arial" w:cs="Arial" w:eastAsia="Arial" w:hAnsi="Arial"/>
                <w:sz w:val="13"/>
                <w:szCs w:val="13"/>
                <w:color w:val="auto"/>
              </w:rPr>
              <w:t>313</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3"/>
                <w:szCs w:val="23"/>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3"/>
                <w:szCs w:val="23"/>
                <w:color w:val="auto"/>
              </w:rPr>
            </w:pPr>
          </w:p>
        </w:tc>
        <w:tc>
          <w:tcPr>
            <w:tcW w:w="1200" w:type="dxa"/>
            <w:vAlign w:val="bottom"/>
          </w:tcPr>
          <w:p>
            <w:pPr>
              <w:jc w:val="right"/>
              <w:ind w:right="17"/>
              <w:spacing w:after="0"/>
              <w:rPr>
                <w:sz w:val="20"/>
                <w:szCs w:val="20"/>
                <w:color w:val="auto"/>
              </w:rPr>
            </w:pPr>
            <w:r>
              <w:rPr>
                <w:rFonts w:ascii="Arial" w:cs="Arial" w:eastAsia="Arial" w:hAnsi="Arial"/>
                <w:sz w:val="13"/>
                <w:szCs w:val="13"/>
                <w:color w:val="auto"/>
              </w:rPr>
              <w:t>(125)</w:t>
            </w:r>
          </w:p>
        </w:tc>
        <w:tc>
          <w:tcPr>
            <w:tcW w:w="100" w:type="dxa"/>
            <w:vAlign w:val="bottom"/>
          </w:tcPr>
          <w:p>
            <w:pPr>
              <w:spacing w:after="0"/>
              <w:rPr>
                <w:sz w:val="23"/>
                <w:szCs w:val="23"/>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92"/>
        </w:trPr>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jc w:val="right"/>
              <w:ind w:right="37"/>
              <w:spacing w:after="0"/>
              <w:rPr>
                <w:sz w:val="20"/>
                <w:szCs w:val="20"/>
                <w:color w:val="auto"/>
              </w:rPr>
            </w:pPr>
            <w:r>
              <w:rPr>
                <w:rFonts w:ascii="Arial" w:cs="Arial" w:eastAsia="Arial" w:hAnsi="Arial"/>
                <w:sz w:val="13"/>
                <w:szCs w:val="13"/>
                <w:color w:val="auto"/>
              </w:rPr>
              <w:t>188</w:t>
            </w:r>
          </w:p>
        </w:tc>
        <w:tc>
          <w:tcPr>
            <w:tcW w:w="0" w:type="dxa"/>
            <w:vAlign w:val="bottom"/>
          </w:tcPr>
          <w:p>
            <w:pPr>
              <w:spacing w:after="0"/>
              <w:rPr>
                <w:sz w:val="1"/>
                <w:szCs w:val="1"/>
                <w:color w:val="auto"/>
              </w:rPr>
            </w:pPr>
          </w:p>
        </w:tc>
      </w:tr>
      <w:tr>
        <w:trPr>
          <w:trHeight w:val="392"/>
        </w:trPr>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4"/>
                <w:szCs w:val="24"/>
                <w:color w:val="auto"/>
              </w:rPr>
            </w:pPr>
          </w:p>
        </w:tc>
        <w:tc>
          <w:tcPr>
            <w:tcW w:w="940" w:type="dxa"/>
            <w:vAlign w:val="bottom"/>
          </w:tcPr>
          <w:p>
            <w:pPr>
              <w:jc w:val="right"/>
              <w:ind w:right="17"/>
              <w:spacing w:after="0"/>
              <w:rPr>
                <w:sz w:val="20"/>
                <w:szCs w:val="20"/>
                <w:color w:val="auto"/>
              </w:rPr>
            </w:pPr>
            <w:r>
              <w:rPr>
                <w:rFonts w:ascii="Arial" w:cs="Arial" w:eastAsia="Arial" w:hAnsi="Arial"/>
                <w:sz w:val="13"/>
                <w:szCs w:val="13"/>
                <w:color w:val="auto"/>
              </w:rPr>
              <w:t>(191)</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0.9</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178</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(13)</w:t>
            </w:r>
          </w:p>
        </w:tc>
        <w:tc>
          <w:tcPr>
            <w:tcW w:w="0" w:type="dxa"/>
            <w:vAlign w:val="bottom"/>
          </w:tcPr>
          <w:p>
            <w:pPr>
              <w:spacing w:after="0"/>
              <w:rPr>
                <w:sz w:val="1"/>
                <w:szCs w:val="1"/>
                <w:color w:val="auto"/>
              </w:rPr>
            </w:pPr>
          </w:p>
        </w:tc>
      </w:tr>
      <w:tr>
        <w:trPr>
          <w:trHeight w:val="270"/>
        </w:trPr>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3"/>
                <w:szCs w:val="23"/>
                <w:color w:val="auto"/>
              </w:rPr>
            </w:pPr>
          </w:p>
        </w:tc>
        <w:tc>
          <w:tcPr>
            <w:tcW w:w="940" w:type="dxa"/>
            <w:vAlign w:val="bottom"/>
          </w:tcPr>
          <w:p>
            <w:pPr>
              <w:jc w:val="right"/>
              <w:ind w:right="17"/>
              <w:spacing w:after="0"/>
              <w:rPr>
                <w:sz w:val="20"/>
                <w:szCs w:val="20"/>
                <w:color w:val="auto"/>
              </w:rPr>
            </w:pPr>
            <w:r>
              <w:rPr>
                <w:rFonts w:ascii="Arial" w:cs="Arial" w:eastAsia="Arial" w:hAnsi="Arial"/>
                <w:sz w:val="13"/>
                <w:szCs w:val="13"/>
                <w:color w:val="auto"/>
              </w:rPr>
              <w:t>(3)</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3"/>
                <w:szCs w:val="23"/>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3</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324"/>
        </w:trPr>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4"/>
                <w:szCs w:val="24"/>
                <w:color w:val="auto"/>
              </w:rPr>
            </w:pPr>
          </w:p>
        </w:tc>
        <w:tc>
          <w:tcPr>
            <w:tcW w:w="940" w:type="dxa"/>
            <w:vAlign w:val="bottom"/>
          </w:tcPr>
          <w:p>
            <w:pPr>
              <w:jc w:val="right"/>
              <w:ind w:right="17"/>
              <w:spacing w:after="0"/>
              <w:rPr>
                <w:sz w:val="20"/>
                <w:szCs w:val="20"/>
                <w:color w:val="auto"/>
              </w:rPr>
            </w:pPr>
            <w:r>
              <w:rPr>
                <w:rFonts w:ascii="Arial" w:cs="Arial" w:eastAsia="Arial" w:hAnsi="Arial"/>
                <w:sz w:val="13"/>
                <w:szCs w:val="13"/>
                <w:color w:val="auto"/>
              </w:rPr>
              <w:t>(7)</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(7)</w:t>
            </w:r>
          </w:p>
        </w:tc>
        <w:tc>
          <w:tcPr>
            <w:tcW w:w="0" w:type="dxa"/>
            <w:vAlign w:val="bottom"/>
          </w:tcPr>
          <w:p>
            <w:pPr>
              <w:spacing w:after="0"/>
              <w:rPr>
                <w:sz w:val="1"/>
                <w:szCs w:val="1"/>
                <w:color w:val="auto"/>
              </w:rPr>
            </w:pPr>
          </w:p>
        </w:tc>
      </w:tr>
      <w:tr>
        <w:trPr>
          <w:trHeight w:val="324"/>
        </w:trPr>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4"/>
                <w:szCs w:val="24"/>
                <w:color w:val="auto"/>
              </w:rPr>
            </w:pPr>
          </w:p>
        </w:tc>
        <w:tc>
          <w:tcPr>
            <w:tcW w:w="940" w:type="dxa"/>
            <w:vAlign w:val="bottom"/>
          </w:tcPr>
          <w:p>
            <w:pPr>
              <w:jc w:val="right"/>
              <w:ind w:right="1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80"/>
        </w:trPr>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4"/>
                <w:szCs w:val="24"/>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(8.8)</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(394)</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(394)</w:t>
            </w:r>
          </w:p>
        </w:tc>
        <w:tc>
          <w:tcPr>
            <w:tcW w:w="0" w:type="dxa"/>
            <w:vAlign w:val="bottom"/>
          </w:tcPr>
          <w:p>
            <w:pPr>
              <w:spacing w:after="0"/>
              <w:rPr>
                <w:sz w:val="1"/>
                <w:szCs w:val="1"/>
                <w:color w:val="auto"/>
              </w:rPr>
            </w:pPr>
          </w:p>
        </w:tc>
      </w:tr>
      <w:tr>
        <w:trPr>
          <w:trHeight w:val="376"/>
        </w:trPr>
        <w:tc>
          <w:tcPr>
            <w:tcW w:w="70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137.1</w:t>
            </w:r>
          </w:p>
        </w:tc>
        <w:tc>
          <w:tcPr>
            <w:tcW w:w="120" w:type="dxa"/>
            <w:vAlign w:val="bottom"/>
          </w:tcPr>
          <w:p>
            <w:pPr>
              <w:spacing w:after="0"/>
              <w:rPr>
                <w:sz w:val="24"/>
                <w:szCs w:val="24"/>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8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1</w:t>
            </w:r>
          </w:p>
        </w:tc>
        <w:tc>
          <w:tcPr>
            <w:tcW w:w="140" w:type="dxa"/>
            <w:vAlign w:val="bottom"/>
          </w:tcPr>
          <w:p>
            <w:pPr>
              <w:spacing w:after="0"/>
              <w:rPr>
                <w:sz w:val="24"/>
                <w:szCs w:val="24"/>
                <w:color w:val="auto"/>
              </w:rPr>
            </w:pPr>
          </w:p>
        </w:tc>
        <w:tc>
          <w:tcPr>
            <w:tcW w:w="220" w:type="dxa"/>
            <w:vAlign w:val="bottom"/>
            <w:tcBorders>
              <w:top w:val="single" w:sz="8" w:color="auto"/>
            </w:tcBorders>
          </w:tcPr>
          <w:p>
            <w:pPr>
              <w:ind w:left="20"/>
              <w:spacing w:after="0"/>
              <w:rPr>
                <w:sz w:val="20"/>
                <w:szCs w:val="20"/>
                <w:color w:val="auto"/>
              </w:rPr>
            </w:pPr>
            <w:r>
              <w:rPr>
                <w:rFonts w:ascii="Arial" w:cs="Arial" w:eastAsia="Arial" w:hAnsi="Arial"/>
                <w:sz w:val="13"/>
                <w:szCs w:val="13"/>
                <w:color w:val="auto"/>
              </w:rPr>
              <w:t>$</w:t>
            </w:r>
          </w:p>
        </w:tc>
        <w:tc>
          <w:tcPr>
            <w:tcW w:w="94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7,010</w:t>
            </w:r>
          </w:p>
        </w:tc>
        <w:tc>
          <w:tcPr>
            <w:tcW w:w="120" w:type="dxa"/>
            <w:vAlign w:val="bottom"/>
          </w:tcPr>
          <w:p>
            <w:pPr>
              <w:spacing w:after="0"/>
              <w:rPr>
                <w:sz w:val="24"/>
                <w:szCs w:val="24"/>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(1,802)</w:t>
            </w:r>
          </w:p>
        </w:tc>
        <w:tc>
          <w:tcPr>
            <w:tcW w:w="100" w:type="dxa"/>
            <w:vAlign w:val="bottom"/>
          </w:tcPr>
          <w:p>
            <w:pPr>
              <w:spacing w:after="0"/>
              <w:rPr>
                <w:sz w:val="24"/>
                <w:szCs w:val="24"/>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0" w:type="dxa"/>
            <w:vAlign w:val="bottom"/>
            <w:tcBorders>
              <w:top w:val="single" w:sz="8" w:color="auto"/>
            </w:tcBorders>
          </w:tcPr>
          <w:p>
            <w:pPr>
              <w:jc w:val="right"/>
              <w:ind w:right="17"/>
              <w:spacing w:after="0"/>
              <w:rPr>
                <w:sz w:val="20"/>
                <w:szCs w:val="20"/>
                <w:color w:val="auto"/>
              </w:rPr>
            </w:pPr>
            <w:r>
              <w:rPr>
                <w:rFonts w:ascii="Arial" w:cs="Arial" w:eastAsia="Arial" w:hAnsi="Arial"/>
                <w:sz w:val="13"/>
                <w:szCs w:val="13"/>
                <w:color w:val="auto"/>
              </w:rPr>
              <w:t>(147)</w:t>
            </w:r>
          </w:p>
        </w:tc>
        <w:tc>
          <w:tcPr>
            <w:tcW w:w="100" w:type="dxa"/>
            <w:vAlign w:val="bottom"/>
          </w:tcPr>
          <w:p>
            <w:pPr>
              <w:spacing w:after="0"/>
              <w:rPr>
                <w:sz w:val="24"/>
                <w:szCs w:val="24"/>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(39.3)</w:t>
            </w:r>
          </w:p>
        </w:tc>
        <w:tc>
          <w:tcPr>
            <w:tcW w:w="100" w:type="dxa"/>
            <w:vAlign w:val="bottom"/>
          </w:tcPr>
          <w:p>
            <w:pPr>
              <w:spacing w:after="0"/>
              <w:rPr>
                <w:sz w:val="24"/>
                <w:szCs w:val="24"/>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(4,623)</w:t>
            </w:r>
          </w:p>
        </w:tc>
        <w:tc>
          <w:tcPr>
            <w:tcW w:w="120" w:type="dxa"/>
            <w:vAlign w:val="bottom"/>
          </w:tcPr>
          <w:p>
            <w:pPr>
              <w:spacing w:after="0"/>
              <w:rPr>
                <w:sz w:val="24"/>
                <w:szCs w:val="24"/>
                <w:color w:val="auto"/>
              </w:rPr>
            </w:pPr>
          </w:p>
        </w:tc>
        <w:tc>
          <w:tcPr>
            <w:tcW w:w="260" w:type="dxa"/>
            <w:vAlign w:val="bottom"/>
            <w:tcBorders>
              <w:top w:val="single" w:sz="8" w:color="auto"/>
            </w:tcBorders>
          </w:tcPr>
          <w:p>
            <w:pPr>
              <w:ind w:left="20"/>
              <w:spacing w:after="0"/>
              <w:rPr>
                <w:sz w:val="20"/>
                <w:szCs w:val="20"/>
                <w:color w:val="auto"/>
              </w:rPr>
            </w:pPr>
            <w:r>
              <w:rPr>
                <w:rFonts w:ascii="Arial" w:cs="Arial" w:eastAsia="Arial" w:hAnsi="Arial"/>
                <w:sz w:val="13"/>
                <w:szCs w:val="13"/>
                <w:color w:val="auto"/>
              </w:rPr>
              <w:t>$</w:t>
            </w:r>
          </w:p>
        </w:tc>
        <w:tc>
          <w:tcPr>
            <w:tcW w:w="98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439</w:t>
            </w:r>
          </w:p>
        </w:tc>
        <w:tc>
          <w:tcPr>
            <w:tcW w:w="0" w:type="dxa"/>
            <w:vAlign w:val="bottom"/>
          </w:tcPr>
          <w:p>
            <w:pPr>
              <w:spacing w:after="0"/>
              <w:rPr>
                <w:sz w:val="1"/>
                <w:szCs w:val="1"/>
                <w:color w:val="auto"/>
              </w:rPr>
            </w:pPr>
          </w:p>
        </w:tc>
      </w:tr>
      <w:tr>
        <w:trPr>
          <w:trHeight w:val="662"/>
        </w:trPr>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4"/>
                <w:szCs w:val="24"/>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1080" w:type="dxa"/>
            <w:vAlign w:val="bottom"/>
          </w:tcPr>
          <w:p>
            <w:pPr>
              <w:jc w:val="right"/>
              <w:ind w:right="57"/>
              <w:spacing w:after="0"/>
              <w:rPr>
                <w:sz w:val="20"/>
                <w:szCs w:val="20"/>
                <w:color w:val="auto"/>
              </w:rPr>
            </w:pPr>
            <w:r>
              <w:rPr>
                <w:rFonts w:ascii="Arial" w:cs="Arial" w:eastAsia="Arial" w:hAnsi="Arial"/>
                <w:sz w:val="13"/>
                <w:szCs w:val="13"/>
                <w:color w:val="auto"/>
              </w:rPr>
              <w:t>163</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3"/>
                <w:szCs w:val="23"/>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3"/>
                <w:szCs w:val="23"/>
                <w:color w:val="auto"/>
              </w:rPr>
            </w:pPr>
          </w:p>
        </w:tc>
        <w:tc>
          <w:tcPr>
            <w:tcW w:w="1200" w:type="dxa"/>
            <w:vAlign w:val="bottom"/>
          </w:tcPr>
          <w:p>
            <w:pPr>
              <w:jc w:val="right"/>
              <w:ind w:right="17"/>
              <w:spacing w:after="0"/>
              <w:rPr>
                <w:sz w:val="20"/>
                <w:szCs w:val="20"/>
                <w:color w:val="auto"/>
              </w:rPr>
            </w:pPr>
            <w:r>
              <w:rPr>
                <w:rFonts w:ascii="Arial" w:cs="Arial" w:eastAsia="Arial" w:hAnsi="Arial"/>
                <w:sz w:val="13"/>
                <w:szCs w:val="13"/>
                <w:color w:val="auto"/>
              </w:rPr>
              <w:t>(7)</w:t>
            </w:r>
          </w:p>
        </w:tc>
        <w:tc>
          <w:tcPr>
            <w:tcW w:w="100" w:type="dxa"/>
            <w:vAlign w:val="bottom"/>
          </w:tcPr>
          <w:p>
            <w:pPr>
              <w:spacing w:after="0"/>
              <w:rPr>
                <w:sz w:val="23"/>
                <w:szCs w:val="23"/>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92"/>
        </w:trPr>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jc w:val="right"/>
              <w:ind w:right="37"/>
              <w:spacing w:after="0"/>
              <w:rPr>
                <w:sz w:val="20"/>
                <w:szCs w:val="20"/>
                <w:color w:val="auto"/>
              </w:rPr>
            </w:pPr>
            <w:r>
              <w:rPr>
                <w:rFonts w:ascii="Arial" w:cs="Arial" w:eastAsia="Arial" w:hAnsi="Arial"/>
                <w:sz w:val="13"/>
                <w:szCs w:val="13"/>
                <w:color w:val="auto"/>
              </w:rPr>
              <w:t>156</w:t>
            </w:r>
          </w:p>
        </w:tc>
        <w:tc>
          <w:tcPr>
            <w:tcW w:w="0" w:type="dxa"/>
            <w:vAlign w:val="bottom"/>
          </w:tcPr>
          <w:p>
            <w:pPr>
              <w:spacing w:after="0"/>
              <w:rPr>
                <w:sz w:val="1"/>
                <w:szCs w:val="1"/>
                <w:color w:val="auto"/>
              </w:rPr>
            </w:pPr>
          </w:p>
        </w:tc>
      </w:tr>
      <w:tr>
        <w:trPr>
          <w:trHeight w:val="392"/>
        </w:trPr>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4"/>
                <w:szCs w:val="24"/>
                <w:color w:val="auto"/>
              </w:rPr>
            </w:pPr>
          </w:p>
        </w:tc>
        <w:tc>
          <w:tcPr>
            <w:tcW w:w="940" w:type="dxa"/>
            <w:vAlign w:val="bottom"/>
          </w:tcPr>
          <w:p>
            <w:pPr>
              <w:jc w:val="right"/>
              <w:ind w:right="57"/>
              <w:spacing w:after="0"/>
              <w:rPr>
                <w:sz w:val="20"/>
                <w:szCs w:val="20"/>
                <w:color w:val="auto"/>
              </w:rPr>
            </w:pPr>
            <w:r>
              <w:rPr>
                <w:rFonts w:ascii="Arial" w:cs="Arial" w:eastAsia="Arial" w:hAnsi="Arial"/>
                <w:sz w:val="13"/>
                <w:szCs w:val="13"/>
                <w:color w:val="auto"/>
              </w:rPr>
              <w:t>5</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24"/>
                <w:szCs w:val="24"/>
                <w:color w:val="auto"/>
              </w:rPr>
            </w:pPr>
          </w:p>
        </w:tc>
        <w:tc>
          <w:tcPr>
            <w:tcW w:w="980" w:type="dxa"/>
            <w:vAlign w:val="bottom"/>
          </w:tcPr>
          <w:p>
            <w:pPr>
              <w:jc w:val="right"/>
              <w:ind w:right="37"/>
              <w:spacing w:after="0"/>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270"/>
        </w:trPr>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3"/>
                <w:szCs w:val="23"/>
                <w:color w:val="auto"/>
              </w:rPr>
            </w:pPr>
          </w:p>
        </w:tc>
        <w:tc>
          <w:tcPr>
            <w:tcW w:w="940" w:type="dxa"/>
            <w:vAlign w:val="bottom"/>
          </w:tcPr>
          <w:p>
            <w:pPr>
              <w:jc w:val="right"/>
              <w:ind w:right="17"/>
              <w:spacing w:after="0"/>
              <w:rPr>
                <w:sz w:val="20"/>
                <w:szCs w:val="20"/>
                <w:color w:val="auto"/>
              </w:rPr>
            </w:pPr>
            <w:r>
              <w:rPr>
                <w:rFonts w:ascii="Arial" w:cs="Arial" w:eastAsia="Arial" w:hAnsi="Arial"/>
                <w:sz w:val="13"/>
                <w:szCs w:val="13"/>
                <w:color w:val="auto"/>
              </w:rPr>
              <w:t>(89)</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3"/>
                <w:szCs w:val="23"/>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0.5</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104</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ind w:right="37"/>
              <w:spacing w:after="0"/>
              <w:rPr>
                <w:sz w:val="20"/>
                <w:szCs w:val="20"/>
                <w:color w:val="auto"/>
              </w:rPr>
            </w:pPr>
            <w:r>
              <w:rPr>
                <w:rFonts w:ascii="Arial" w:cs="Arial" w:eastAsia="Arial" w:hAnsi="Arial"/>
                <w:sz w:val="13"/>
                <w:szCs w:val="13"/>
                <w:color w:val="auto"/>
              </w:rPr>
              <w:t>15</w:t>
            </w:r>
          </w:p>
        </w:tc>
        <w:tc>
          <w:tcPr>
            <w:tcW w:w="0" w:type="dxa"/>
            <w:vAlign w:val="bottom"/>
          </w:tcPr>
          <w:p>
            <w:pPr>
              <w:spacing w:after="0"/>
              <w:rPr>
                <w:sz w:val="1"/>
                <w:szCs w:val="1"/>
                <w:color w:val="auto"/>
              </w:rPr>
            </w:pPr>
          </w:p>
        </w:tc>
      </w:tr>
      <w:tr>
        <w:trPr>
          <w:trHeight w:val="270"/>
        </w:trPr>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3"/>
                <w:szCs w:val="23"/>
                <w:color w:val="auto"/>
              </w:rPr>
            </w:pPr>
          </w:p>
        </w:tc>
        <w:tc>
          <w:tcPr>
            <w:tcW w:w="940" w:type="dxa"/>
            <w:vAlign w:val="bottom"/>
          </w:tcPr>
          <w:p>
            <w:pPr>
              <w:jc w:val="right"/>
              <w:ind w:right="17"/>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3"/>
                <w:szCs w:val="23"/>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324"/>
        </w:trPr>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4"/>
                <w:szCs w:val="24"/>
                <w:color w:val="auto"/>
              </w:rPr>
            </w:pPr>
          </w:p>
        </w:tc>
        <w:tc>
          <w:tcPr>
            <w:tcW w:w="940" w:type="dxa"/>
            <w:vAlign w:val="bottom"/>
          </w:tcPr>
          <w:p>
            <w:pPr>
              <w:jc w:val="right"/>
              <w:ind w:right="17"/>
              <w:spacing w:after="0"/>
              <w:rPr>
                <w:sz w:val="20"/>
                <w:szCs w:val="20"/>
                <w:color w:val="auto"/>
              </w:rPr>
            </w:pPr>
            <w:r>
              <w:rPr>
                <w:rFonts w:ascii="Arial" w:cs="Arial" w:eastAsia="Arial" w:hAnsi="Arial"/>
                <w:sz w:val="13"/>
                <w:szCs w:val="13"/>
                <w:color w:val="auto"/>
              </w:rPr>
              <w:t>(5)</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324"/>
        </w:trPr>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4"/>
                <w:szCs w:val="24"/>
                <w:color w:val="auto"/>
              </w:rPr>
            </w:pPr>
          </w:p>
        </w:tc>
        <w:tc>
          <w:tcPr>
            <w:tcW w:w="940" w:type="dxa"/>
            <w:vAlign w:val="bottom"/>
          </w:tcPr>
          <w:p>
            <w:pPr>
              <w:jc w:val="right"/>
              <w:ind w:right="1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jc w:val="right"/>
              <w:ind w:right="37"/>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280"/>
        </w:trPr>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4"/>
                <w:szCs w:val="24"/>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(12.3)</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(390)</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(390)</w:t>
            </w:r>
          </w:p>
        </w:tc>
        <w:tc>
          <w:tcPr>
            <w:tcW w:w="0" w:type="dxa"/>
            <w:vAlign w:val="bottom"/>
          </w:tcPr>
          <w:p>
            <w:pPr>
              <w:spacing w:after="0"/>
              <w:rPr>
                <w:sz w:val="1"/>
                <w:szCs w:val="1"/>
                <w:color w:val="auto"/>
              </w:rPr>
            </w:pPr>
          </w:p>
        </w:tc>
      </w:tr>
      <w:tr>
        <w:trPr>
          <w:trHeight w:val="376"/>
        </w:trPr>
        <w:tc>
          <w:tcPr>
            <w:tcW w:w="70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137.1</w:t>
            </w:r>
          </w:p>
        </w:tc>
        <w:tc>
          <w:tcPr>
            <w:tcW w:w="120" w:type="dxa"/>
            <w:vAlign w:val="bottom"/>
          </w:tcPr>
          <w:p>
            <w:pPr>
              <w:spacing w:after="0"/>
              <w:rPr>
                <w:sz w:val="24"/>
                <w:szCs w:val="24"/>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8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1</w:t>
            </w:r>
          </w:p>
        </w:tc>
        <w:tc>
          <w:tcPr>
            <w:tcW w:w="140" w:type="dxa"/>
            <w:vAlign w:val="bottom"/>
          </w:tcPr>
          <w:p>
            <w:pPr>
              <w:spacing w:after="0"/>
              <w:rPr>
                <w:sz w:val="24"/>
                <w:szCs w:val="24"/>
                <w:color w:val="auto"/>
              </w:rPr>
            </w:pPr>
          </w:p>
        </w:tc>
        <w:tc>
          <w:tcPr>
            <w:tcW w:w="220" w:type="dxa"/>
            <w:vAlign w:val="bottom"/>
            <w:tcBorders>
              <w:top w:val="single" w:sz="8" w:color="auto"/>
            </w:tcBorders>
          </w:tcPr>
          <w:p>
            <w:pPr>
              <w:ind w:left="20"/>
              <w:spacing w:after="0"/>
              <w:rPr>
                <w:sz w:val="20"/>
                <w:szCs w:val="20"/>
                <w:color w:val="auto"/>
              </w:rPr>
            </w:pPr>
            <w:r>
              <w:rPr>
                <w:rFonts w:ascii="Arial" w:cs="Arial" w:eastAsia="Arial" w:hAnsi="Arial"/>
                <w:sz w:val="13"/>
                <w:szCs w:val="13"/>
                <w:color w:val="auto"/>
              </w:rPr>
              <w:t>$</w:t>
            </w:r>
          </w:p>
        </w:tc>
        <w:tc>
          <w:tcPr>
            <w:tcW w:w="94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6,918</w:t>
            </w:r>
          </w:p>
        </w:tc>
        <w:tc>
          <w:tcPr>
            <w:tcW w:w="120" w:type="dxa"/>
            <w:vAlign w:val="bottom"/>
          </w:tcPr>
          <w:p>
            <w:pPr>
              <w:spacing w:after="0"/>
              <w:rPr>
                <w:sz w:val="24"/>
                <w:szCs w:val="24"/>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(1,639)</w:t>
            </w:r>
          </w:p>
        </w:tc>
        <w:tc>
          <w:tcPr>
            <w:tcW w:w="100" w:type="dxa"/>
            <w:vAlign w:val="bottom"/>
          </w:tcPr>
          <w:p>
            <w:pPr>
              <w:spacing w:after="0"/>
              <w:rPr>
                <w:sz w:val="24"/>
                <w:szCs w:val="24"/>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0" w:type="dxa"/>
            <w:vAlign w:val="bottom"/>
            <w:tcBorders>
              <w:top w:val="single" w:sz="8" w:color="auto"/>
            </w:tcBorders>
          </w:tcPr>
          <w:p>
            <w:pPr>
              <w:jc w:val="right"/>
              <w:ind w:right="17"/>
              <w:spacing w:after="0"/>
              <w:rPr>
                <w:sz w:val="20"/>
                <w:szCs w:val="20"/>
                <w:color w:val="auto"/>
              </w:rPr>
            </w:pPr>
            <w:r>
              <w:rPr>
                <w:rFonts w:ascii="Arial" w:cs="Arial" w:eastAsia="Arial" w:hAnsi="Arial"/>
                <w:sz w:val="13"/>
                <w:szCs w:val="13"/>
                <w:color w:val="auto"/>
              </w:rPr>
              <w:t>(154)</w:t>
            </w:r>
          </w:p>
        </w:tc>
        <w:tc>
          <w:tcPr>
            <w:tcW w:w="100" w:type="dxa"/>
            <w:vAlign w:val="bottom"/>
          </w:tcPr>
          <w:p>
            <w:pPr>
              <w:spacing w:after="0"/>
              <w:rPr>
                <w:sz w:val="24"/>
                <w:szCs w:val="24"/>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(51.1)</w:t>
            </w:r>
          </w:p>
        </w:tc>
        <w:tc>
          <w:tcPr>
            <w:tcW w:w="100" w:type="dxa"/>
            <w:vAlign w:val="bottom"/>
          </w:tcPr>
          <w:p>
            <w:pPr>
              <w:spacing w:after="0"/>
              <w:rPr>
                <w:sz w:val="24"/>
                <w:szCs w:val="24"/>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(4,905)</w:t>
            </w:r>
          </w:p>
        </w:tc>
        <w:tc>
          <w:tcPr>
            <w:tcW w:w="120" w:type="dxa"/>
            <w:vAlign w:val="bottom"/>
          </w:tcPr>
          <w:p>
            <w:pPr>
              <w:spacing w:after="0"/>
              <w:rPr>
                <w:sz w:val="24"/>
                <w:szCs w:val="24"/>
                <w:color w:val="auto"/>
              </w:rPr>
            </w:pPr>
          </w:p>
        </w:tc>
        <w:tc>
          <w:tcPr>
            <w:tcW w:w="260" w:type="dxa"/>
            <w:vAlign w:val="bottom"/>
            <w:tcBorders>
              <w:top w:val="single" w:sz="8" w:color="auto"/>
            </w:tcBorders>
          </w:tcPr>
          <w:p>
            <w:pPr>
              <w:ind w:left="20"/>
              <w:spacing w:after="0"/>
              <w:rPr>
                <w:sz w:val="20"/>
                <w:szCs w:val="20"/>
                <w:color w:val="auto"/>
              </w:rPr>
            </w:pPr>
            <w:r>
              <w:rPr>
                <w:rFonts w:ascii="Arial" w:cs="Arial" w:eastAsia="Arial" w:hAnsi="Arial"/>
                <w:sz w:val="13"/>
                <w:szCs w:val="13"/>
                <w:color w:val="auto"/>
              </w:rPr>
              <w:t>$</w:t>
            </w:r>
          </w:p>
        </w:tc>
        <w:tc>
          <w:tcPr>
            <w:tcW w:w="98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221</w:t>
            </w:r>
          </w:p>
        </w:tc>
        <w:tc>
          <w:tcPr>
            <w:tcW w:w="0" w:type="dxa"/>
            <w:vAlign w:val="bottom"/>
          </w:tcPr>
          <w:p>
            <w:pPr>
              <w:spacing w:after="0"/>
              <w:rPr>
                <w:sz w:val="1"/>
                <w:szCs w:val="1"/>
                <w:color w:val="auto"/>
              </w:rPr>
            </w:pPr>
          </w:p>
        </w:tc>
      </w:tr>
      <w:tr>
        <w:trPr>
          <w:trHeight w:val="392"/>
        </w:trPr>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4"/>
                <w:szCs w:val="24"/>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1080" w:type="dxa"/>
            <w:vAlign w:val="bottom"/>
          </w:tcPr>
          <w:p>
            <w:pPr>
              <w:jc w:val="right"/>
              <w:ind w:right="57"/>
              <w:spacing w:after="0"/>
              <w:rPr>
                <w:sz w:val="20"/>
                <w:szCs w:val="20"/>
                <w:color w:val="auto"/>
              </w:rPr>
            </w:pPr>
            <w:r>
              <w:rPr>
                <w:rFonts w:ascii="Arial" w:cs="Arial" w:eastAsia="Arial" w:hAnsi="Arial"/>
                <w:sz w:val="13"/>
                <w:szCs w:val="13"/>
                <w:color w:val="auto"/>
              </w:rPr>
              <w:t>56</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24"/>
                <w:szCs w:val="24"/>
                <w:color w:val="auto"/>
              </w:rPr>
            </w:pPr>
          </w:p>
        </w:tc>
        <w:tc>
          <w:tcPr>
            <w:tcW w:w="980" w:type="dxa"/>
            <w:vAlign w:val="bottom"/>
          </w:tcPr>
          <w:p>
            <w:pPr>
              <w:jc w:val="right"/>
              <w:ind w:right="37"/>
              <w:spacing w:after="0"/>
              <w:rPr>
                <w:sz w:val="20"/>
                <w:szCs w:val="20"/>
                <w:color w:val="auto"/>
              </w:rPr>
            </w:pPr>
            <w:r>
              <w:rPr>
                <w:rFonts w:ascii="Arial" w:cs="Arial" w:eastAsia="Arial" w:hAnsi="Arial"/>
                <w:sz w:val="13"/>
                <w:szCs w:val="13"/>
                <w:color w:val="auto"/>
              </w:rPr>
              <w:t>56</w:t>
            </w:r>
          </w:p>
        </w:tc>
        <w:tc>
          <w:tcPr>
            <w:tcW w:w="0" w:type="dxa"/>
            <w:vAlign w:val="bottom"/>
          </w:tcPr>
          <w:p>
            <w:pPr>
              <w:spacing w:after="0"/>
              <w:rPr>
                <w:sz w:val="1"/>
                <w:szCs w:val="1"/>
                <w:color w:val="auto"/>
              </w:rPr>
            </w:pPr>
          </w:p>
        </w:tc>
      </w:tr>
      <w:tr>
        <w:trPr>
          <w:trHeight w:val="716"/>
        </w:trPr>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4"/>
                <w:szCs w:val="24"/>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1080" w:type="dxa"/>
            <w:vAlign w:val="bottom"/>
          </w:tcPr>
          <w:p>
            <w:pPr>
              <w:jc w:val="right"/>
              <w:ind w:right="57"/>
              <w:spacing w:after="0"/>
              <w:rPr>
                <w:sz w:val="20"/>
                <w:szCs w:val="20"/>
                <w:color w:val="auto"/>
              </w:rPr>
            </w:pPr>
            <w:r>
              <w:rPr>
                <w:rFonts w:ascii="Arial" w:cs="Arial" w:eastAsia="Arial" w:hAnsi="Arial"/>
                <w:sz w:val="13"/>
                <w:szCs w:val="13"/>
                <w:color w:val="auto"/>
              </w:rPr>
              <w:t>361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3"/>
                <w:szCs w:val="23"/>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3"/>
                <w:szCs w:val="23"/>
                <w:color w:val="auto"/>
              </w:rPr>
            </w:pPr>
          </w:p>
        </w:tc>
        <w:tc>
          <w:tcPr>
            <w:tcW w:w="1200" w:type="dxa"/>
            <w:vAlign w:val="bottom"/>
          </w:tcPr>
          <w:p>
            <w:pPr>
              <w:jc w:val="right"/>
              <w:ind w:right="57"/>
              <w:spacing w:after="0"/>
              <w:rPr>
                <w:sz w:val="20"/>
                <w:szCs w:val="20"/>
                <w:color w:val="auto"/>
              </w:rPr>
            </w:pPr>
            <w:r>
              <w:rPr>
                <w:rFonts w:ascii="Arial" w:cs="Arial" w:eastAsia="Arial" w:hAnsi="Arial"/>
                <w:sz w:val="13"/>
                <w:szCs w:val="13"/>
                <w:color w:val="auto"/>
              </w:rPr>
              <w:t>130</w:t>
            </w:r>
          </w:p>
        </w:tc>
        <w:tc>
          <w:tcPr>
            <w:tcW w:w="100" w:type="dxa"/>
            <w:vAlign w:val="bottom"/>
          </w:tcPr>
          <w:p>
            <w:pPr>
              <w:spacing w:after="0"/>
              <w:rPr>
                <w:sz w:val="23"/>
                <w:szCs w:val="23"/>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92"/>
        </w:trPr>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jc w:val="right"/>
              <w:ind w:right="37"/>
              <w:spacing w:after="0"/>
              <w:rPr>
                <w:sz w:val="20"/>
                <w:szCs w:val="20"/>
                <w:color w:val="auto"/>
              </w:rPr>
            </w:pPr>
            <w:r>
              <w:rPr>
                <w:rFonts w:ascii="Arial" w:cs="Arial" w:eastAsia="Arial" w:hAnsi="Arial"/>
                <w:sz w:val="13"/>
                <w:szCs w:val="13"/>
                <w:color w:val="auto"/>
              </w:rPr>
              <w:t>491</w:t>
            </w:r>
          </w:p>
        </w:tc>
        <w:tc>
          <w:tcPr>
            <w:tcW w:w="0" w:type="dxa"/>
            <w:vAlign w:val="bottom"/>
          </w:tcPr>
          <w:p>
            <w:pPr>
              <w:spacing w:after="0"/>
              <w:rPr>
                <w:sz w:val="1"/>
                <w:szCs w:val="1"/>
                <w:color w:val="auto"/>
              </w:rPr>
            </w:pPr>
          </w:p>
        </w:tc>
      </w:tr>
      <w:tr>
        <w:trPr>
          <w:trHeight w:val="270"/>
        </w:trPr>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3"/>
                <w:szCs w:val="23"/>
                <w:color w:val="auto"/>
              </w:rPr>
            </w:pPr>
          </w:p>
        </w:tc>
        <w:tc>
          <w:tcPr>
            <w:tcW w:w="940" w:type="dxa"/>
            <w:vAlign w:val="bottom"/>
          </w:tcPr>
          <w:p>
            <w:pPr>
              <w:jc w:val="right"/>
              <w:ind w:right="5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3"/>
                <w:szCs w:val="23"/>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23"/>
                <w:szCs w:val="23"/>
                <w:color w:val="auto"/>
              </w:rPr>
            </w:pPr>
          </w:p>
        </w:tc>
        <w:tc>
          <w:tcPr>
            <w:tcW w:w="980" w:type="dxa"/>
            <w:vAlign w:val="bottom"/>
          </w:tcPr>
          <w:p>
            <w:pPr>
              <w:jc w:val="right"/>
              <w:ind w:right="37"/>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270"/>
        </w:trPr>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3"/>
                <w:szCs w:val="23"/>
                <w:color w:val="auto"/>
              </w:rPr>
            </w:pPr>
          </w:p>
        </w:tc>
        <w:tc>
          <w:tcPr>
            <w:tcW w:w="940" w:type="dxa"/>
            <w:vAlign w:val="bottom"/>
          </w:tcPr>
          <w:p>
            <w:pPr>
              <w:jc w:val="right"/>
              <w:ind w:right="17"/>
              <w:spacing w:after="0"/>
              <w:rPr>
                <w:sz w:val="20"/>
                <w:szCs w:val="20"/>
                <w:color w:val="auto"/>
              </w:rPr>
            </w:pPr>
            <w:r>
              <w:rPr>
                <w:rFonts w:ascii="Arial" w:cs="Arial" w:eastAsia="Arial" w:hAnsi="Arial"/>
                <w:sz w:val="13"/>
                <w:szCs w:val="13"/>
                <w:color w:val="auto"/>
              </w:rPr>
              <w:t>(50)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3"/>
                <w:szCs w:val="23"/>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0.4</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54</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ind w:right="37"/>
              <w:spacing w:after="0"/>
              <w:rPr>
                <w:sz w:val="20"/>
                <w:szCs w:val="20"/>
                <w:color w:val="auto"/>
              </w:rPr>
            </w:pPr>
            <w:r>
              <w:rPr>
                <w:rFonts w:ascii="Arial" w:cs="Arial" w:eastAsia="Arial" w:hAnsi="Arial"/>
                <w:sz w:val="13"/>
                <w:szCs w:val="13"/>
                <w:color w:val="auto"/>
              </w:rPr>
              <w:t>4</w:t>
            </w:r>
          </w:p>
        </w:tc>
        <w:tc>
          <w:tcPr>
            <w:tcW w:w="0" w:type="dxa"/>
            <w:vAlign w:val="bottom"/>
          </w:tcPr>
          <w:p>
            <w:pPr>
              <w:spacing w:after="0"/>
              <w:rPr>
                <w:sz w:val="1"/>
                <w:szCs w:val="1"/>
                <w:color w:val="auto"/>
              </w:rPr>
            </w:pPr>
          </w:p>
        </w:tc>
      </w:tr>
      <w:tr>
        <w:trPr>
          <w:trHeight w:val="270"/>
        </w:trPr>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3"/>
                <w:szCs w:val="23"/>
                <w:color w:val="auto"/>
              </w:rPr>
            </w:pPr>
          </w:p>
        </w:tc>
        <w:tc>
          <w:tcPr>
            <w:tcW w:w="940" w:type="dxa"/>
            <w:vAlign w:val="bottom"/>
          </w:tcPr>
          <w:p>
            <w:pPr>
              <w:jc w:val="right"/>
              <w:ind w:right="17"/>
              <w:spacing w:after="0"/>
              <w:rPr>
                <w:sz w:val="20"/>
                <w:szCs w:val="20"/>
                <w:color w:val="auto"/>
              </w:rPr>
            </w:pPr>
            <w:r>
              <w:rPr>
                <w:rFonts w:ascii="Arial" w:cs="Arial" w:eastAsia="Arial" w:hAnsi="Arial"/>
                <w:sz w:val="13"/>
                <w:szCs w:val="13"/>
                <w:color w:val="auto"/>
              </w:rPr>
              <w:t>(48)</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3"/>
                <w:szCs w:val="23"/>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0.5</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48</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324"/>
        </w:trPr>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4"/>
                <w:szCs w:val="24"/>
                <w:color w:val="auto"/>
              </w:rPr>
            </w:pPr>
          </w:p>
        </w:tc>
        <w:tc>
          <w:tcPr>
            <w:tcW w:w="940" w:type="dxa"/>
            <w:vAlign w:val="bottom"/>
          </w:tcPr>
          <w:p>
            <w:pPr>
              <w:jc w:val="right"/>
              <w:ind w:right="1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0"/>
        </w:trPr>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3"/>
                <w:szCs w:val="23"/>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3"/>
                <w:szCs w:val="23"/>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(6.1)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(200)</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(200)</w:t>
            </w:r>
          </w:p>
        </w:tc>
        <w:tc>
          <w:tcPr>
            <w:tcW w:w="0" w:type="dxa"/>
            <w:vAlign w:val="bottom"/>
          </w:tcPr>
          <w:p>
            <w:pPr>
              <w:spacing w:after="0"/>
              <w:rPr>
                <w:sz w:val="1"/>
                <w:szCs w:val="1"/>
                <w:color w:val="auto"/>
              </w:rPr>
            </w:pPr>
          </w:p>
        </w:tc>
      </w:tr>
      <w:tr>
        <w:trPr>
          <w:trHeight w:val="138"/>
        </w:trPr>
        <w:tc>
          <w:tcPr>
            <w:tcW w:w="70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7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137.1</w:t>
            </w:r>
          </w:p>
        </w:tc>
        <w:tc>
          <w:tcPr>
            <w:tcW w:w="12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w:t>
            </w:r>
          </w:p>
        </w:tc>
        <w:tc>
          <w:tcPr>
            <w:tcW w:w="140" w:type="dxa"/>
            <w:vAlign w:val="bottom"/>
          </w:tcPr>
          <w:p>
            <w:pPr>
              <w:spacing w:after="0"/>
              <w:rPr>
                <w:sz w:val="20"/>
                <w:szCs w:val="20"/>
                <w:color w:val="auto"/>
              </w:rPr>
            </w:pPr>
          </w:p>
        </w:tc>
        <w:tc>
          <w:tcPr>
            <w:tcW w:w="22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6,820</w:t>
            </w:r>
          </w:p>
        </w:tc>
        <w:tc>
          <w:tcPr>
            <w:tcW w:w="12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(1,222)</w:t>
            </w:r>
          </w:p>
        </w:tc>
        <w:tc>
          <w:tcPr>
            <w:tcW w:w="10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(24)</w:t>
            </w:r>
          </w:p>
        </w:tc>
        <w:tc>
          <w:tcPr>
            <w:tcW w:w="100" w:type="dxa"/>
            <w:vAlign w:val="bottom"/>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(56.3)</w:t>
            </w:r>
          </w:p>
        </w:tc>
        <w:tc>
          <w:tcPr>
            <w:tcW w:w="10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(5,002)</w:t>
            </w:r>
          </w:p>
        </w:tc>
        <w:tc>
          <w:tcPr>
            <w:tcW w:w="120" w:type="dxa"/>
            <w:vAlign w:val="bottom"/>
          </w:tcPr>
          <w:p>
            <w:pPr>
              <w:spacing w:after="0"/>
              <w:rPr>
                <w:sz w:val="20"/>
                <w:szCs w:val="20"/>
                <w:color w:val="auto"/>
              </w:rPr>
            </w:pPr>
          </w:p>
        </w:tc>
        <w:tc>
          <w:tcPr>
            <w:tcW w:w="26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573</w:t>
            </w:r>
          </w:p>
        </w:tc>
        <w:tc>
          <w:tcPr>
            <w:tcW w:w="0" w:type="dxa"/>
            <w:vAlign w:val="bottom"/>
          </w:tcPr>
          <w:p>
            <w:pPr>
              <w:spacing w:after="0"/>
              <w:rPr>
                <w:sz w:val="1"/>
                <w:szCs w:val="1"/>
                <w:color w:val="auto"/>
              </w:rPr>
            </w:pPr>
          </w:p>
        </w:tc>
      </w:tr>
      <w:tr>
        <w:trPr>
          <w:trHeight w:val="20"/>
        </w:trPr>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2460" w:space="180"/>
            <w:col w:w="8780"/>
          </w:cols>
          <w:pgMar w:left="240" w:top="140" w:right="239" w:bottom="1113"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See Notes to Consolidated Financial Statements.</w:t>
      </w: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420"/>
          </w:cols>
          <w:pgMar w:left="240" w:top="140" w:right="239" w:bottom="1113" w:gutter="0" w:footer="0" w:header="0"/>
          <w:type w:val="continuous"/>
        </w:sectPr>
      </w:pPr>
    </w:p>
    <w:bookmarkStart w:id="74" w:name="page75"/>
    <w:bookmarkEnd w:id="7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Avis Budget Group, Inc.</w:t>
      </w:r>
    </w:p>
    <w:p>
      <w:pPr>
        <w:spacing w:after="0" w:line="3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(Unless otherwise noted, all dollar amounts are in millions, except per share amounts)</w:t>
      </w:r>
    </w:p>
    <w:p>
      <w:pPr>
        <w:spacing w:after="0" w:line="203" w:lineRule="exact"/>
        <w:rPr>
          <w:sz w:val="20"/>
          <w:szCs w:val="20"/>
          <w:color w:val="auto"/>
        </w:rPr>
      </w:pPr>
    </w:p>
    <w:p>
      <w:pPr>
        <w:ind w:left="500" w:hanging="492"/>
        <w:spacing w:after="0"/>
        <w:tabs>
          <w:tab w:leader="none" w:pos="500"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193" w:lineRule="exact"/>
        <w:rPr>
          <w:rFonts w:ascii="Arial" w:cs="Arial" w:eastAsia="Arial" w:hAnsi="Arial"/>
          <w:sz w:val="18"/>
          <w:szCs w:val="18"/>
          <w:b w:val="1"/>
          <w:bCs w:val="1"/>
          <w:color w:val="auto"/>
        </w:rPr>
      </w:pPr>
    </w:p>
    <w:p>
      <w:pPr>
        <w:ind w:left="500" w:right="40"/>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Avis Budget Group, Inc. provides vehicle rental and other mobility solutions to businesses and consumers worldwide. The accompanying Consolidated Financial Statements include the accounts and transactions of Avis Budget Group, Inc. and its subsidiaries, as well as entities in which Avis Budget Group, Inc. directly or indirectly has a controlling financial interest (collectively, the “Company”).</w:t>
      </w:r>
    </w:p>
    <w:p>
      <w:pPr>
        <w:spacing w:after="0" w:line="147"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The Company operates the following reportable business segments:</w:t>
      </w:r>
    </w:p>
    <w:p>
      <w:pPr>
        <w:spacing w:after="0" w:line="203" w:lineRule="exact"/>
        <w:rPr>
          <w:rFonts w:ascii="Arial" w:cs="Arial" w:eastAsia="Arial" w:hAnsi="Arial"/>
          <w:sz w:val="18"/>
          <w:szCs w:val="18"/>
          <w:b w:val="1"/>
          <w:bCs w:val="1"/>
          <w:color w:val="auto"/>
        </w:rPr>
      </w:pPr>
    </w:p>
    <w:p>
      <w:pPr>
        <w:ind w:left="1300" w:right="240" w:hanging="482"/>
        <w:spacing w:after="0" w:line="269" w:lineRule="auto"/>
        <w:tabs>
          <w:tab w:leader="none" w:pos="1300" w:val="left"/>
        </w:tabs>
        <w:numPr>
          <w:ilvl w:val="1"/>
          <w:numId w:val="57"/>
        </w:numPr>
        <w:rPr>
          <w:rFonts w:ascii="Arial" w:cs="Arial" w:eastAsia="Arial" w:hAnsi="Arial"/>
          <w:sz w:val="18"/>
          <w:szCs w:val="18"/>
          <w:color w:val="auto"/>
        </w:rPr>
      </w:pPr>
      <w:r>
        <w:rPr>
          <w:rFonts w:ascii="Arial" w:cs="Arial" w:eastAsia="Arial" w:hAnsi="Arial"/>
          <w:sz w:val="18"/>
          <w:szCs w:val="18"/>
          <w:b w:val="1"/>
          <w:bCs w:val="1"/>
          <w:color w:val="auto"/>
        </w:rPr>
        <w:t>Americas</w:t>
      </w:r>
      <w:r>
        <w:rPr>
          <w:rFonts w:ascii="Arial" w:cs="Arial" w:eastAsia="Arial" w:hAnsi="Arial"/>
          <w:sz w:val="18"/>
          <w:szCs w:val="18"/>
          <w:color w:val="auto"/>
        </w:rPr>
        <w:t>—consisting primarily of (i) vehicle rental operations in North America, South America, Central America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Caribbean, (ii) car sharing operations in certain of these markets, and (iii) licensees in the areas in which the Company does not operate directly.</w:t>
      </w:r>
    </w:p>
    <w:p>
      <w:pPr>
        <w:spacing w:after="0" w:line="168" w:lineRule="exact"/>
        <w:rPr>
          <w:rFonts w:ascii="Arial" w:cs="Arial" w:eastAsia="Arial" w:hAnsi="Arial"/>
          <w:sz w:val="18"/>
          <w:szCs w:val="18"/>
          <w:color w:val="auto"/>
        </w:rPr>
      </w:pPr>
    </w:p>
    <w:p>
      <w:pPr>
        <w:ind w:left="1300" w:right="140" w:hanging="482"/>
        <w:spacing w:after="0" w:line="269" w:lineRule="auto"/>
        <w:tabs>
          <w:tab w:leader="none" w:pos="1300" w:val="left"/>
        </w:tabs>
        <w:numPr>
          <w:ilvl w:val="1"/>
          <w:numId w:val="57"/>
        </w:numPr>
        <w:rPr>
          <w:rFonts w:ascii="Arial" w:cs="Arial" w:eastAsia="Arial" w:hAnsi="Arial"/>
          <w:sz w:val="18"/>
          <w:szCs w:val="18"/>
          <w:color w:val="auto"/>
        </w:rPr>
      </w:pPr>
      <w:r>
        <w:rPr>
          <w:rFonts w:ascii="Arial" w:cs="Arial" w:eastAsia="Arial" w:hAnsi="Arial"/>
          <w:sz w:val="18"/>
          <w:szCs w:val="18"/>
          <w:b w:val="1"/>
          <w:bCs w:val="1"/>
          <w:color w:val="auto"/>
        </w:rPr>
        <w:t>International</w:t>
      </w:r>
      <w:r>
        <w:rPr>
          <w:rFonts w:ascii="Arial" w:cs="Arial" w:eastAsia="Arial" w:hAnsi="Arial"/>
          <w:sz w:val="18"/>
          <w:szCs w:val="18"/>
          <w:color w:val="auto"/>
        </w:rPr>
        <w:t>—consisting primarily of (i) vehicle rental operations in Europe, the Middle East, Africa, Asia and Australasia, (ii)</w:t>
      </w:r>
      <w:r>
        <w:rPr>
          <w:rFonts w:ascii="Arial" w:cs="Arial" w:eastAsia="Arial" w:hAnsi="Arial"/>
          <w:sz w:val="18"/>
          <w:szCs w:val="18"/>
          <w:b w:val="1"/>
          <w:bCs w:val="1"/>
          <w:color w:val="auto"/>
        </w:rPr>
        <w:t xml:space="preserve"> </w:t>
      </w:r>
      <w:r>
        <w:rPr>
          <w:rFonts w:ascii="Arial" w:cs="Arial" w:eastAsia="Arial" w:hAnsi="Arial"/>
          <w:sz w:val="18"/>
          <w:szCs w:val="18"/>
          <w:color w:val="auto"/>
        </w:rPr>
        <w:t>car sharing operations in certain of these markets, and (iii) licensees in the areas in which the Company does not operate directly.</w:t>
      </w:r>
    </w:p>
    <w:p>
      <w:pPr>
        <w:spacing w:after="0" w:line="190" w:lineRule="exact"/>
        <w:rPr>
          <w:sz w:val="20"/>
          <w:szCs w:val="20"/>
          <w:color w:val="auto"/>
        </w:rPr>
      </w:pPr>
    </w:p>
    <w:p>
      <w:pPr>
        <w:ind w:left="500" w:right="140"/>
        <w:spacing w:after="0" w:line="262" w:lineRule="auto"/>
        <w:rPr>
          <w:sz w:val="20"/>
          <w:szCs w:val="20"/>
          <w:color w:val="auto"/>
        </w:rPr>
      </w:pPr>
      <w:r>
        <w:rPr>
          <w:rFonts w:ascii="Arial" w:cs="Arial" w:eastAsia="Arial" w:hAnsi="Arial"/>
          <w:sz w:val="18"/>
          <w:szCs w:val="18"/>
          <w:color w:val="auto"/>
        </w:rPr>
        <w:t>The Company has completed the business acquisitions discussed in Note 5 to these Consolidated Financial Statements. The operating results of the acquired businesses are included in the accompanying Consolidated Financial Statements from the dates of acquisition.</w:t>
      </w:r>
    </w:p>
    <w:p>
      <w:pPr>
        <w:spacing w:after="0" w:line="142" w:lineRule="exact"/>
        <w:rPr>
          <w:sz w:val="20"/>
          <w:szCs w:val="20"/>
          <w:color w:val="auto"/>
        </w:rPr>
      </w:pPr>
    </w:p>
    <w:p>
      <w:pPr>
        <w:ind w:left="500"/>
        <w:spacing w:after="0" w:line="252" w:lineRule="auto"/>
        <w:rPr>
          <w:sz w:val="20"/>
          <w:szCs w:val="20"/>
          <w:color w:val="auto"/>
        </w:rPr>
      </w:pPr>
      <w:r>
        <w:rPr>
          <w:rFonts w:ascii="Arial" w:cs="Arial" w:eastAsia="Arial" w:hAnsi="Arial"/>
          <w:sz w:val="18"/>
          <w:szCs w:val="18"/>
          <w:color w:val="auto"/>
        </w:rPr>
        <w:t>The Company presents separately the financial data of its vehicle programs. These programs are distinct from the Company’s other activities since the assets under vehicle programs are generally funded through the issuance of debt that is collateralized by such assets. The income generated by these assets is used, in part, to repay the principal and interest associated with the debt. Cash inflows and outflows relating to the acquisition of such assets and the principal debt repayment or financing of such assets are classified as activities of the Company’s vehicle programs. The Company believes it is appropriate to segregate the financial data of its vehicle programs because, ultimately, the source of repayment of such debt is the realization of such assets.</w:t>
      </w:r>
    </w:p>
    <w:p>
      <w:pPr>
        <w:spacing w:after="0" w:line="187" w:lineRule="exact"/>
        <w:rPr>
          <w:sz w:val="20"/>
          <w:szCs w:val="20"/>
          <w:color w:val="auto"/>
        </w:rPr>
      </w:pPr>
    </w:p>
    <w:p>
      <w:pPr>
        <w:ind w:left="500" w:right="7120" w:hanging="492"/>
        <w:spacing w:after="0" w:line="451" w:lineRule="auto"/>
        <w:tabs>
          <w:tab w:leader="none" w:pos="500"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b w:val="1"/>
          <w:bCs w:val="1"/>
          <w:i w:val="1"/>
          <w:iCs w:val="1"/>
          <w:color w:val="auto"/>
        </w:rPr>
        <w:t>Accounting Principles</w:t>
      </w:r>
    </w:p>
    <w:p>
      <w:pPr>
        <w:ind w:left="500" w:right="140"/>
        <w:spacing w:after="0" w:line="262" w:lineRule="auto"/>
        <w:rPr>
          <w:rFonts w:ascii="Arial" w:cs="Arial" w:eastAsia="Arial" w:hAnsi="Arial"/>
          <w:sz w:val="18"/>
          <w:szCs w:val="18"/>
          <w:b w:val="1"/>
          <w:bCs w:val="1"/>
          <w:color w:val="auto"/>
        </w:rPr>
      </w:pPr>
      <w:r>
        <w:rPr>
          <w:rFonts w:ascii="Arial" w:cs="Arial" w:eastAsia="Arial" w:hAnsi="Arial"/>
          <w:sz w:val="18"/>
          <w:szCs w:val="18"/>
          <w:color w:val="auto"/>
        </w:rPr>
        <w:t>The Company’s Consolidated Financial Statements have been prepared in accordance with accounting principles generally accepted in the United States of America (“GAAP”).</w:t>
      </w:r>
    </w:p>
    <w:p>
      <w:pPr>
        <w:spacing w:after="0" w:line="120"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Principles of Consolidation</w:t>
      </w:r>
    </w:p>
    <w:p>
      <w:pPr>
        <w:spacing w:after="0" w:line="193" w:lineRule="exact"/>
        <w:rPr>
          <w:rFonts w:ascii="Arial" w:cs="Arial" w:eastAsia="Arial" w:hAnsi="Arial"/>
          <w:sz w:val="18"/>
          <w:szCs w:val="18"/>
          <w:b w:val="1"/>
          <w:bCs w:val="1"/>
          <w:color w:val="auto"/>
        </w:rPr>
      </w:pPr>
    </w:p>
    <w:p>
      <w:pPr>
        <w:ind w:left="500" w:right="20"/>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The Consolidated Financial Statements include the accounts of the Company and all entities in which it has a direct or indirect controlling financial interest and variable interest entities for which the Company has determined it is the primary beneficiary. Intercompany transactions have been eliminated in consolidation.</w:t>
      </w:r>
    </w:p>
    <w:p>
      <w:pPr>
        <w:spacing w:after="0" w:line="125"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Reclassifications</w:t>
      </w:r>
    </w:p>
    <w:p>
      <w:pPr>
        <w:spacing w:after="0" w:line="193" w:lineRule="exact"/>
        <w:rPr>
          <w:rFonts w:ascii="Arial" w:cs="Arial" w:eastAsia="Arial" w:hAnsi="Arial"/>
          <w:sz w:val="18"/>
          <w:szCs w:val="18"/>
          <w:b w:val="1"/>
          <w:bCs w:val="1"/>
          <w:color w:val="auto"/>
        </w:rPr>
      </w:pPr>
    </w:p>
    <w:p>
      <w:pPr>
        <w:ind w:left="500" w:right="140"/>
        <w:spacing w:after="0" w:line="291" w:lineRule="auto"/>
        <w:rPr>
          <w:rFonts w:ascii="Arial" w:cs="Arial" w:eastAsia="Arial" w:hAnsi="Arial"/>
          <w:sz w:val="18"/>
          <w:szCs w:val="18"/>
          <w:b w:val="1"/>
          <w:bCs w:val="1"/>
          <w:color w:val="auto"/>
        </w:rPr>
      </w:pPr>
      <w:r>
        <w:rPr>
          <w:rFonts w:ascii="Arial" w:cs="Arial" w:eastAsia="Arial" w:hAnsi="Arial"/>
          <w:sz w:val="17"/>
          <w:szCs w:val="17"/>
          <w:color w:val="auto"/>
        </w:rPr>
        <w:t>Certain reclassifications have been made to prior years’ Consolidated Financial Statements to conform to the current year presentation. These reclassifications have no impact on reported net income (see “Adoption of New Accounting Pronouncements” below).</w:t>
      </w:r>
    </w:p>
    <w:p>
      <w:pPr>
        <w:spacing w:after="0" w:line="98"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Use of Estimates and Assumptions</w:t>
      </w:r>
    </w:p>
    <w:p>
      <w:pPr>
        <w:spacing w:after="0" w:line="193" w:lineRule="exact"/>
        <w:rPr>
          <w:rFonts w:ascii="Arial" w:cs="Arial" w:eastAsia="Arial" w:hAnsi="Arial"/>
          <w:sz w:val="18"/>
          <w:szCs w:val="18"/>
          <w:b w:val="1"/>
          <w:bCs w:val="1"/>
          <w:color w:val="auto"/>
        </w:rPr>
      </w:pPr>
    </w:p>
    <w:p>
      <w:pPr>
        <w:ind w:left="500" w:right="2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The use of estimates and assumptions as determined by management is required in the preparation of the Consolidated Financial Statements in conformity with GAAP. These estimates are based on management’s evaluation of historical trends and other information available when the Consolidated Financial Statements are prepared and may affect the amounts reported and related disclosures. Actual results could differ from those estimates.</w:t>
      </w: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400"/>
          </w:cols>
          <w:pgMar w:left="240" w:top="140" w:right="259" w:bottom="1440" w:gutter="0" w:footer="0" w:header="0"/>
        </w:sectPr>
      </w:pPr>
    </w:p>
    <w:bookmarkStart w:id="75" w:name="page76"/>
    <w:bookmarkEnd w:id="7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1"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93" w:lineRule="exact"/>
        <w:rPr>
          <w:sz w:val="20"/>
          <w:szCs w:val="20"/>
          <w:color w:val="auto"/>
        </w:rPr>
      </w:pPr>
    </w:p>
    <w:p>
      <w:pPr>
        <w:ind w:left="500" w:right="20"/>
        <w:spacing w:after="0" w:line="253" w:lineRule="auto"/>
        <w:rPr>
          <w:sz w:val="20"/>
          <w:szCs w:val="20"/>
          <w:color w:val="auto"/>
        </w:rPr>
      </w:pPr>
      <w:r>
        <w:rPr>
          <w:rFonts w:ascii="Arial" w:cs="Arial" w:eastAsia="Arial" w:hAnsi="Arial"/>
          <w:sz w:val="18"/>
          <w:szCs w:val="18"/>
          <w:color w:val="auto"/>
        </w:rPr>
        <w:t>The Company derives revenue primarily through the operation and licensing of its rental systems and by providing vehicle rentals and other services to business and leisure travelers and others. Other revenue includes sales of loss damage waivers and insurance products, fuel and fuel service charges, and rentals of other supplemental items. Revenue is recognized when persuasive evidence of an arrangement exists, the services have been rendered to customers, the pricing is fixed or determinable and collection is reasonably assured.</w:t>
      </w:r>
    </w:p>
    <w:p>
      <w:pPr>
        <w:spacing w:after="0" w:line="152" w:lineRule="exact"/>
        <w:rPr>
          <w:sz w:val="20"/>
          <w:szCs w:val="20"/>
          <w:color w:val="auto"/>
        </w:rPr>
      </w:pPr>
    </w:p>
    <w:p>
      <w:pPr>
        <w:ind w:left="500"/>
        <w:spacing w:after="0" w:line="251" w:lineRule="auto"/>
        <w:rPr>
          <w:sz w:val="20"/>
          <w:szCs w:val="20"/>
          <w:color w:val="auto"/>
        </w:rPr>
      </w:pPr>
      <w:r>
        <w:rPr>
          <w:rFonts w:ascii="Arial" w:cs="Arial" w:eastAsia="Arial" w:hAnsi="Arial"/>
          <w:sz w:val="18"/>
          <w:szCs w:val="18"/>
          <w:color w:val="auto"/>
        </w:rPr>
        <w:t>Vehicle rental and rental-related revenue is recognized over the period the vehicle is rented. Licensing revenue principally consists of royalties paid by the Company’s licensees and is recorded within other revenues as the licensees’ revenue is earned (over the rental period of a vehicle). The Company renews license agreements in the normal course of business and occasionally terminates, purchases or sells license agreements. In connection with ongoing fees that the Company receives from its licensees pursuant to license agreements, the Company is required to provide certain services, such as training, marketing and the operation of reservation systems. Revenue and expenses associated with gasoline, vehicle licensing and airport concessions are recorded on a gross basis within revenue and operating expenses. Membership fees related to the Company’s car sharing business are generally nonrefundable, are deferred and recognized ratably over the period of membership and are included in accounts payable and other current liabilities in the Consolidated Balance Sheets.</w:t>
      </w:r>
    </w:p>
    <w:p>
      <w:pPr>
        <w:spacing w:after="0" w:line="13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Currency Translation</w:t>
      </w:r>
    </w:p>
    <w:p>
      <w:pPr>
        <w:spacing w:after="0" w:line="193" w:lineRule="exact"/>
        <w:rPr>
          <w:sz w:val="20"/>
          <w:szCs w:val="20"/>
          <w:color w:val="auto"/>
        </w:rPr>
      </w:pPr>
    </w:p>
    <w:p>
      <w:pPr>
        <w:ind w:left="500" w:right="300"/>
        <w:spacing w:after="0" w:line="252" w:lineRule="auto"/>
        <w:rPr>
          <w:sz w:val="20"/>
          <w:szCs w:val="20"/>
          <w:color w:val="auto"/>
        </w:rPr>
      </w:pPr>
      <w:r>
        <w:rPr>
          <w:rFonts w:ascii="Arial" w:cs="Arial" w:eastAsia="Arial" w:hAnsi="Arial"/>
          <w:sz w:val="18"/>
          <w:szCs w:val="18"/>
          <w:color w:val="auto"/>
        </w:rPr>
        <w:t>Assets and liabilities of foreign operations are translated at the rate of exchange in effect on the balance sheet date; income and expenses are translated at the prevailing monthly average rate of exchange. The related translation adjustments are reflected in accumulated other comprehensive income (loss) in the stockholders’ equity section of the Consolidated Balance Sheets and in the Consolidated Statements of Comprehensive Income. The accumulated currency translation adjustment as of December 31, 2017 and 2016 was $ 71 million and $(39) million, respectively. The Company has designated its euro-denominated Notes as a hedge of its investment in euro-denominated foreign operations and, accordingly, records the effective portion of gains or losses on this net investment hedge in accumulated other comprehensive income (loss) as part of currency translation adjustments.</w:t>
      </w:r>
    </w:p>
    <w:p>
      <w:pPr>
        <w:spacing w:after="0" w:line="131"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9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Company considers highly liquid investments purchased with an original maturity of three months or less to be cash equivalents.</w:t>
      </w:r>
    </w:p>
    <w:p>
      <w:pPr>
        <w:spacing w:after="0" w:line="14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93" w:lineRule="exact"/>
        <w:rPr>
          <w:sz w:val="20"/>
          <w:szCs w:val="20"/>
          <w:color w:val="auto"/>
        </w:rPr>
      </w:pPr>
    </w:p>
    <w:p>
      <w:pPr>
        <w:ind w:left="500" w:right="340"/>
        <w:spacing w:after="0" w:line="254" w:lineRule="auto"/>
        <w:rPr>
          <w:sz w:val="20"/>
          <w:szCs w:val="20"/>
          <w:color w:val="auto"/>
        </w:rPr>
      </w:pPr>
      <w:r>
        <w:rPr>
          <w:rFonts w:ascii="Arial" w:cs="Arial" w:eastAsia="Arial" w:hAnsi="Arial"/>
          <w:sz w:val="18"/>
          <w:szCs w:val="18"/>
          <w:color w:val="auto"/>
        </w:rPr>
        <w:t>Property and equipment (including leasehold improvements) are stated at cost, net of accumulated depreciation and amortization. Depreciation (non-vehicle related) is computed utilizing the straight-line method over the estimated useful lives of the related assets. Amortization of leasehold improvements is computed utilizing the straight-line method over the estimated benefit period of the related assets, which may not exceed 20 years, or the lease term, if shorter. Useful lives are as follows:</w:t>
      </w:r>
    </w:p>
    <w:p>
      <w:pPr>
        <w:sectPr>
          <w:pgSz w:w="11900" w:h="16838" w:orient="portrait"/>
          <w:cols w:equalWidth="0" w:num="1">
            <w:col w:w="11400"/>
          </w:cols>
          <w:pgMar w:left="240" w:top="140" w:right="259" w:bottom="1440" w:gutter="0" w:footer="0" w:header="0"/>
        </w:sectPr>
      </w:pPr>
    </w:p>
    <w:p>
      <w:pPr>
        <w:spacing w:after="0" w:line="15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Buildings</w:t>
      </w:r>
    </w:p>
    <w:p>
      <w:pPr>
        <w:spacing w:after="0" w:line="20" w:lineRule="exact"/>
        <w:rPr>
          <w:sz w:val="20"/>
          <w:szCs w:val="20"/>
          <w:color w:val="auto"/>
        </w:rPr>
      </w:pPr>
      <w:r>
        <w:rPr>
          <w:sz w:val="20"/>
          <w:szCs w:val="20"/>
          <w:color w:val="auto"/>
        </w:rPr>
        <w:br w:type="column"/>
      </w:r>
    </w:p>
    <w:p>
      <w:pPr>
        <w:spacing w:after="0" w:line="130" w:lineRule="exact"/>
        <w:rPr>
          <w:sz w:val="20"/>
          <w:szCs w:val="20"/>
          <w:color w:val="auto"/>
        </w:rPr>
      </w:pPr>
    </w:p>
    <w:p>
      <w:pPr>
        <w:jc w:val="center"/>
        <w:ind w:right="4780"/>
        <w:spacing w:after="0"/>
        <w:rPr>
          <w:sz w:val="20"/>
          <w:szCs w:val="20"/>
          <w:color w:val="auto"/>
        </w:rPr>
      </w:pPr>
      <w:r>
        <w:rPr>
          <w:rFonts w:ascii="Arial" w:cs="Arial" w:eastAsia="Arial" w:hAnsi="Arial"/>
          <w:sz w:val="17"/>
          <w:szCs w:val="17"/>
          <w:color w:val="auto"/>
        </w:rPr>
        <w:t>30 years</w:t>
      </w:r>
    </w:p>
    <w:p>
      <w:pPr>
        <w:spacing w:after="0" w:line="61" w:lineRule="exact"/>
        <w:rPr>
          <w:sz w:val="20"/>
          <w:szCs w:val="20"/>
          <w:color w:val="auto"/>
        </w:rPr>
      </w:pPr>
    </w:p>
    <w:p>
      <w:pPr>
        <w:sectPr>
          <w:pgSz w:w="11900" w:h="16838" w:orient="portrait"/>
          <w:cols w:equalWidth="0" w:num="2">
            <w:col w:w="5220" w:space="720"/>
            <w:col w:w="5460"/>
          </w:cols>
          <w:pgMar w:left="240" w:top="140" w:right="259" w:bottom="1440" w:gutter="0" w:footer="0" w:header="0"/>
          <w:type w:val="continuous"/>
        </w:sectPr>
      </w:pPr>
    </w:p>
    <w:p>
      <w:pPr>
        <w:ind w:left="520"/>
        <w:spacing w:after="0"/>
        <w:rPr>
          <w:sz w:val="20"/>
          <w:szCs w:val="20"/>
          <w:color w:val="auto"/>
        </w:rPr>
      </w:pPr>
      <w:r>
        <w:rPr>
          <w:rFonts w:ascii="Arial" w:cs="Arial" w:eastAsia="Arial" w:hAnsi="Arial"/>
          <w:sz w:val="17"/>
          <w:szCs w:val="17"/>
          <w:color w:val="auto"/>
        </w:rPr>
        <w:t>Furniture, fixtures &amp; equipment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3 to 10 years</w:t>
      </w:r>
    </w:p>
    <w:p>
      <w:pPr>
        <w:spacing w:after="0" w:line="61" w:lineRule="exact"/>
        <w:rPr>
          <w:sz w:val="20"/>
          <w:szCs w:val="20"/>
          <w:color w:val="auto"/>
        </w:rPr>
      </w:pPr>
    </w:p>
    <w:p>
      <w:pPr>
        <w:sectPr>
          <w:pgSz w:w="11900" w:h="16838" w:orient="portrait"/>
          <w:cols w:equalWidth="0" w:num="2">
            <w:col w:w="5220" w:space="720"/>
            <w:col w:w="5460"/>
          </w:cols>
          <w:pgMar w:left="240" w:top="140" w:right="259" w:bottom="1440" w:gutter="0" w:footer="0" w:header="0"/>
          <w:type w:val="continuous"/>
        </w:sectPr>
      </w:pPr>
    </w:p>
    <w:p>
      <w:pPr>
        <w:ind w:left="520"/>
        <w:spacing w:after="0"/>
        <w:rPr>
          <w:sz w:val="20"/>
          <w:szCs w:val="20"/>
          <w:color w:val="auto"/>
        </w:rPr>
      </w:pPr>
      <w:r>
        <w:rPr>
          <w:rFonts w:ascii="Arial" w:cs="Arial" w:eastAsia="Arial" w:hAnsi="Arial"/>
          <w:sz w:val="17"/>
          <w:szCs w:val="17"/>
          <w:color w:val="auto"/>
        </w:rPr>
        <w:t>Capitalized software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3 to 7 years</w:t>
      </w:r>
    </w:p>
    <w:p>
      <w:pPr>
        <w:spacing w:after="0" w:line="61" w:lineRule="exact"/>
        <w:rPr>
          <w:sz w:val="20"/>
          <w:szCs w:val="20"/>
          <w:color w:val="auto"/>
        </w:rPr>
      </w:pPr>
    </w:p>
    <w:p>
      <w:pPr>
        <w:sectPr>
          <w:pgSz w:w="11900" w:h="16838" w:orient="portrait"/>
          <w:cols w:equalWidth="0" w:num="2">
            <w:col w:w="5220" w:space="720"/>
            <w:col w:w="5460"/>
          </w:cols>
          <w:pgMar w:left="240" w:top="140" w:right="259" w:bottom="1440" w:gutter="0" w:footer="0" w:header="0"/>
          <w:type w:val="continuous"/>
        </w:sectPr>
      </w:pPr>
    </w:p>
    <w:p>
      <w:pPr>
        <w:ind w:left="520"/>
        <w:spacing w:after="0"/>
        <w:rPr>
          <w:sz w:val="20"/>
          <w:szCs w:val="20"/>
          <w:color w:val="auto"/>
        </w:rPr>
      </w:pPr>
      <w:r>
        <w:rPr>
          <w:rFonts w:ascii="Arial" w:cs="Arial" w:eastAsia="Arial" w:hAnsi="Arial"/>
          <w:sz w:val="17"/>
          <w:szCs w:val="17"/>
          <w:color w:val="auto"/>
        </w:rPr>
        <w:t>Buses and support vehicles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4 to 15 years</w:t>
      </w:r>
    </w:p>
    <w:p>
      <w:pPr>
        <w:spacing w:after="0" w:line="196" w:lineRule="exact"/>
        <w:rPr>
          <w:sz w:val="20"/>
          <w:szCs w:val="20"/>
          <w:color w:val="auto"/>
        </w:rPr>
      </w:pPr>
    </w:p>
    <w:p>
      <w:pPr>
        <w:sectPr>
          <w:pgSz w:w="11900" w:h="16838" w:orient="portrait"/>
          <w:cols w:equalWidth="0" w:num="2">
            <w:col w:w="5220" w:space="720"/>
            <w:col w:w="5460"/>
          </w:cols>
          <w:pgMar w:left="240" w:top="140" w:right="259" w:bottom="1440" w:gutter="0" w:footer="0" w:header="0"/>
          <w:type w:val="continuous"/>
        </w:sectPr>
      </w:pPr>
    </w:p>
    <w:p>
      <w:pPr>
        <w:ind w:left="500" w:right="120"/>
        <w:spacing w:after="0" w:line="253" w:lineRule="auto"/>
        <w:rPr>
          <w:sz w:val="20"/>
          <w:szCs w:val="20"/>
          <w:color w:val="auto"/>
        </w:rPr>
      </w:pPr>
      <w:r>
        <w:rPr>
          <w:rFonts w:ascii="Arial" w:cs="Arial" w:eastAsia="Arial" w:hAnsi="Arial"/>
          <w:sz w:val="18"/>
          <w:szCs w:val="18"/>
          <w:color w:val="auto"/>
        </w:rPr>
        <w:t>The Company capitalizes the costs of software developed for internal use when the preliminary project stage is completed and management (i) commits to funding the project and (ii) believes it is probable that the project will be completed and the software will be used to perform the function intended. The software developed or obtained for internal use is amortized on a straight-line basis commencing when such software is ready for its intended use. The net carrying value of software developed or obtained for internal use was $196 million and $184 million as of December 31, 2017 and 2016, respectively.</w:t>
      </w:r>
    </w:p>
    <w:p>
      <w:pPr>
        <w:spacing w:after="0" w:line="23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400"/>
          </w:cols>
          <w:pgMar w:left="240" w:top="140" w:right="259" w:bottom="1440" w:gutter="0" w:footer="0" w:header="0"/>
          <w:type w:val="continuous"/>
        </w:sectPr>
      </w:pPr>
    </w:p>
    <w:bookmarkStart w:id="76" w:name="page77"/>
    <w:bookmarkEnd w:id="7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1"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Goodwill and Other Intangible Assets</w:t>
      </w:r>
    </w:p>
    <w:p>
      <w:pPr>
        <w:spacing w:after="0" w:line="247" w:lineRule="exact"/>
        <w:rPr>
          <w:sz w:val="20"/>
          <w:szCs w:val="20"/>
          <w:color w:val="auto"/>
        </w:rPr>
      </w:pPr>
    </w:p>
    <w:p>
      <w:pPr>
        <w:ind w:left="500"/>
        <w:spacing w:after="0" w:line="252" w:lineRule="auto"/>
        <w:rPr>
          <w:sz w:val="20"/>
          <w:szCs w:val="20"/>
          <w:color w:val="auto"/>
        </w:rPr>
      </w:pPr>
      <w:r>
        <w:rPr>
          <w:rFonts w:ascii="Arial" w:cs="Arial" w:eastAsia="Arial" w:hAnsi="Arial"/>
          <w:sz w:val="18"/>
          <w:szCs w:val="18"/>
          <w:color w:val="auto"/>
        </w:rPr>
        <w:t>Goodwill represents the excess, if any, of the fair value of the consideration transferred by the acquirer and the fair value of any non-controlling interest remaining in the acquiree, if any, over the fair values of the identifiable net assets acquired. The Company does not amortize goodwill, but assesses it for impairment at least annually and whenever events or changes in circumstances indicate that the carrying amounts of their respective reporting units exceed their fair values. The Company performs its annual impairment assessment in the fourth quarter of each year at the reporting unit level. The Company assesses goodwill for such impairment by comparing the carrying value of each reporting unit to its fair value using the present value of expected future cash flows. When appropriate, comparative market multiples and other factors are used to corroborate the discounted cash flow results.</w:t>
      </w:r>
    </w:p>
    <w:p>
      <w:pPr>
        <w:spacing w:after="0" w:line="153" w:lineRule="exact"/>
        <w:rPr>
          <w:sz w:val="20"/>
          <w:szCs w:val="20"/>
          <w:color w:val="auto"/>
        </w:rPr>
      </w:pPr>
    </w:p>
    <w:p>
      <w:pPr>
        <w:ind w:left="500" w:right="220"/>
        <w:spacing w:after="0" w:line="253" w:lineRule="auto"/>
        <w:rPr>
          <w:sz w:val="20"/>
          <w:szCs w:val="20"/>
          <w:color w:val="auto"/>
        </w:rPr>
      </w:pPr>
      <w:r>
        <w:rPr>
          <w:rFonts w:ascii="Arial" w:cs="Arial" w:eastAsia="Arial" w:hAnsi="Arial"/>
          <w:sz w:val="18"/>
          <w:szCs w:val="18"/>
          <w:color w:val="auto"/>
        </w:rPr>
        <w:t>Other intangible assets, primarily trademarks, with indefinite lives are not amortized but are evaluated annually for impairment and whenever events or changes in circumstances indicate that the carrying amount of this asset may exceed its fair value. If the carrying value of an other intangible asset exceeds its fair value, an impairment loss is recognized in an amount equal to that excess. Other intangible assets with finite lives are amortized over their estimated useful lives and are evaluated each reporting period to determine if circumstances warrant a revision to these lives.</w:t>
      </w:r>
    </w:p>
    <w:p>
      <w:pPr>
        <w:spacing w:after="0" w:line="13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93" w:lineRule="exact"/>
        <w:rPr>
          <w:sz w:val="20"/>
          <w:szCs w:val="20"/>
          <w:color w:val="auto"/>
        </w:rPr>
      </w:pPr>
    </w:p>
    <w:p>
      <w:pPr>
        <w:ind w:left="500" w:right="200"/>
        <w:spacing w:after="0" w:line="254" w:lineRule="auto"/>
        <w:rPr>
          <w:sz w:val="20"/>
          <w:szCs w:val="20"/>
          <w:color w:val="auto"/>
        </w:rPr>
      </w:pPr>
      <w:r>
        <w:rPr>
          <w:rFonts w:ascii="Arial" w:cs="Arial" w:eastAsia="Arial" w:hAnsi="Arial"/>
          <w:sz w:val="18"/>
          <w:szCs w:val="18"/>
          <w:color w:val="auto"/>
        </w:rPr>
        <w:t>The Company is required to assess long-lived assets for impairment whenever circumstances indicate impairment may have occurred. This analysis is performed by comparing the respective carrying values of the assets to the undiscounted expected future cash flows to be generated from such assets. Property and equipment is evaluated separately at the lowest level of identifiable cash flows. If such analysis indicates that the carrying value of these assets is not recoverable, the carrying value of such assets is reduced to fair value.</w:t>
      </w:r>
    </w:p>
    <w:p>
      <w:pPr>
        <w:spacing w:after="0" w:line="128"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Program Cash</w:t>
      </w:r>
    </w:p>
    <w:p>
      <w:pPr>
        <w:spacing w:after="0" w:line="193" w:lineRule="exact"/>
        <w:rPr>
          <w:sz w:val="20"/>
          <w:szCs w:val="20"/>
          <w:color w:val="auto"/>
        </w:rPr>
      </w:pPr>
    </w:p>
    <w:p>
      <w:pPr>
        <w:ind w:left="500" w:right="540"/>
        <w:spacing w:after="0" w:line="262" w:lineRule="auto"/>
        <w:rPr>
          <w:sz w:val="20"/>
          <w:szCs w:val="20"/>
          <w:color w:val="auto"/>
        </w:rPr>
      </w:pPr>
      <w:r>
        <w:rPr>
          <w:rFonts w:ascii="Arial" w:cs="Arial" w:eastAsia="Arial" w:hAnsi="Arial"/>
          <w:sz w:val="18"/>
          <w:szCs w:val="18"/>
          <w:color w:val="auto"/>
        </w:rPr>
        <w:t>Program cash primarily represents amounts specifically designated to purchase assets under vehicle programs and/or to repay the related debt.</w:t>
      </w:r>
    </w:p>
    <w:p>
      <w:pPr>
        <w:spacing w:after="0" w:line="12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Vehicles</w:t>
      </w:r>
    </w:p>
    <w:p>
      <w:pPr>
        <w:spacing w:after="0" w:line="193" w:lineRule="exact"/>
        <w:rPr>
          <w:sz w:val="20"/>
          <w:szCs w:val="20"/>
          <w:color w:val="auto"/>
        </w:rPr>
      </w:pPr>
    </w:p>
    <w:p>
      <w:pPr>
        <w:ind w:left="500" w:right="80"/>
        <w:spacing w:after="0" w:line="252" w:lineRule="auto"/>
        <w:rPr>
          <w:sz w:val="20"/>
          <w:szCs w:val="20"/>
          <w:color w:val="auto"/>
        </w:rPr>
      </w:pPr>
      <w:r>
        <w:rPr>
          <w:rFonts w:ascii="Arial" w:cs="Arial" w:eastAsia="Arial" w:hAnsi="Arial"/>
          <w:sz w:val="18"/>
          <w:szCs w:val="18"/>
          <w:color w:val="auto"/>
        </w:rPr>
        <w:t>Vehicles are stated at cost, net of accumulated depreciation. The initial cost of the vehicles is recorded net of incentives and allowances from manufacturers. The Company acquires a portion of its rental vehicles pursuant to repurchase and guaranteed depreciation programs established by automobile manufacturers. Under these programs, the manufacturers agree to repurchase vehicles at a specified price and date, or guarantee the depreciation rate for a specified period of time, subject to certain eligibility criteria (such as car condition and mileage requirements). The Company depreciates vehicles such that the net book value on the date of return to the manufacturers is intended to equal the contractual guaranteed residual values, thereby minimizing any gain or loss.</w:t>
      </w:r>
    </w:p>
    <w:p>
      <w:pPr>
        <w:spacing w:after="0" w:line="155" w:lineRule="exact"/>
        <w:rPr>
          <w:sz w:val="20"/>
          <w:szCs w:val="20"/>
          <w:color w:val="auto"/>
        </w:rPr>
      </w:pPr>
    </w:p>
    <w:p>
      <w:pPr>
        <w:jc w:val="both"/>
        <w:ind w:left="500" w:right="220"/>
        <w:spacing w:after="0" w:line="256" w:lineRule="auto"/>
        <w:rPr>
          <w:sz w:val="20"/>
          <w:szCs w:val="20"/>
          <w:color w:val="auto"/>
        </w:rPr>
      </w:pPr>
      <w:r>
        <w:rPr>
          <w:rFonts w:ascii="Arial" w:cs="Arial" w:eastAsia="Arial" w:hAnsi="Arial"/>
          <w:sz w:val="18"/>
          <w:szCs w:val="18"/>
          <w:color w:val="auto"/>
        </w:rPr>
        <w:t>Rental vehicles acquired outside of manufacturer repurchase and guaranteed depreciation programs are depreciated based upon their estimated residual values at their expected dates of disposition, after giving effect to anticipated conditions in the used car market. Any adjustments to depreciation are made prospectively.</w:t>
      </w:r>
    </w:p>
    <w:p>
      <w:pPr>
        <w:spacing w:after="0" w:line="148" w:lineRule="exact"/>
        <w:rPr>
          <w:sz w:val="20"/>
          <w:szCs w:val="20"/>
          <w:color w:val="auto"/>
        </w:rPr>
      </w:pPr>
    </w:p>
    <w:p>
      <w:pPr>
        <w:ind w:left="500" w:right="20"/>
        <w:spacing w:after="0" w:line="253" w:lineRule="auto"/>
        <w:rPr>
          <w:sz w:val="20"/>
          <w:szCs w:val="20"/>
          <w:color w:val="auto"/>
        </w:rPr>
      </w:pPr>
      <w:r>
        <w:rPr>
          <w:rFonts w:ascii="Arial" w:cs="Arial" w:eastAsia="Arial" w:hAnsi="Arial"/>
          <w:sz w:val="18"/>
          <w:szCs w:val="18"/>
          <w:color w:val="auto"/>
        </w:rPr>
        <w:t>The estimation of residual values requires the Company to make assumptions regarding the age and mileage of the car at the time of disposal, as well as expected used vehicle auction market conditions. The Company periodically evaluates estimated residual values and adjusts depreciation rates as appropriate. Differences between actual residual values and those estimated result in a gain or loss on disposal and are recorded as part of vehicle depreciation at the time of sale. Vehicle-related interest expense amounts are net of vehicle-related interest income of $8 million, $18 million and $13 million for 2017, 2016 and 2015, respectively.</w:t>
      </w:r>
    </w:p>
    <w:p>
      <w:pPr>
        <w:spacing w:after="0" w:line="13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Advertising Expenses</w:t>
      </w:r>
    </w:p>
    <w:p>
      <w:pPr>
        <w:spacing w:after="0" w:line="193" w:lineRule="exact"/>
        <w:rPr>
          <w:sz w:val="20"/>
          <w:szCs w:val="20"/>
          <w:color w:val="auto"/>
        </w:rPr>
      </w:pPr>
    </w:p>
    <w:p>
      <w:pPr>
        <w:ind w:left="500"/>
        <w:spacing w:after="0" w:line="262" w:lineRule="auto"/>
        <w:rPr>
          <w:sz w:val="20"/>
          <w:szCs w:val="20"/>
          <w:color w:val="auto"/>
        </w:rPr>
      </w:pPr>
      <w:r>
        <w:rPr>
          <w:rFonts w:ascii="Arial" w:cs="Arial" w:eastAsia="Arial" w:hAnsi="Arial"/>
          <w:sz w:val="18"/>
          <w:szCs w:val="18"/>
          <w:color w:val="auto"/>
        </w:rPr>
        <w:t>Advertising costs are generally expensed in the period incurred. Advertising expenses, recorded within selling, general and administrative expense on our Consolidated Statements of Operations, include</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420"/>
          </w:cols>
          <w:pgMar w:left="240" w:top="140" w:right="239" w:bottom="1440" w:gutter="0" w:footer="0" w:header="0"/>
        </w:sectPr>
      </w:pPr>
    </w:p>
    <w:bookmarkStart w:id="77" w:name="page78"/>
    <w:bookmarkEnd w:id="7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3" w:lineRule="exact"/>
        <w:rPr>
          <w:sz w:val="20"/>
          <w:szCs w:val="20"/>
          <w:color w:val="auto"/>
        </w:rPr>
      </w:pPr>
    </w:p>
    <w:p>
      <w:pPr>
        <w:ind w:left="500" w:right="80"/>
        <w:spacing w:after="0" w:line="256" w:lineRule="auto"/>
        <w:rPr>
          <w:sz w:val="20"/>
          <w:szCs w:val="20"/>
          <w:color w:val="auto"/>
        </w:rPr>
      </w:pPr>
      <w:r>
        <w:rPr>
          <w:rFonts w:ascii="Arial" w:cs="Arial" w:eastAsia="Arial" w:hAnsi="Arial"/>
          <w:sz w:val="18"/>
          <w:szCs w:val="18"/>
          <w:color w:val="auto"/>
        </w:rPr>
        <w:t>television, print advertising, travel partner rewards programs, Internet and email advertising, social media, wireless mobile device applications and other advertising and promotions and were approximately $111 million, $127 million and $123 million in 2017, 2016 and 2015, respectively.</w:t>
      </w:r>
    </w:p>
    <w:p>
      <w:pPr>
        <w:spacing w:after="0" w:line="126"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Taxes</w:t>
      </w:r>
    </w:p>
    <w:p>
      <w:pPr>
        <w:spacing w:after="0" w:line="193" w:lineRule="exact"/>
        <w:rPr>
          <w:sz w:val="20"/>
          <w:szCs w:val="20"/>
          <w:color w:val="auto"/>
        </w:rPr>
      </w:pPr>
    </w:p>
    <w:p>
      <w:pPr>
        <w:ind w:left="500"/>
        <w:spacing w:after="0" w:line="252" w:lineRule="auto"/>
        <w:rPr>
          <w:sz w:val="20"/>
          <w:szCs w:val="20"/>
          <w:color w:val="auto"/>
        </w:rPr>
      </w:pPr>
      <w:r>
        <w:rPr>
          <w:rFonts w:ascii="Arial" w:cs="Arial" w:eastAsia="Arial" w:hAnsi="Arial"/>
          <w:sz w:val="18"/>
          <w:szCs w:val="18"/>
          <w:color w:val="auto"/>
        </w:rPr>
        <w:t>The Company accounts for income taxes under the asset and liability method, which requires the recognition of deferred tax assets and liabilities for the expected future tax consequences of events that have been included in the financial statements. Under this method, deferred tax assets and liabilities are determined based on the differences between the financial statement and tax basis of assets and liabilities using enacted tax rates in effect for the year in which the differences are expected to reverse. The effect of a change in tax rates on deferred tax assets and liabilities is recognized in income in the period that includes the enactment date. In the fourth quarter of 2017, the U.S. enacted Public Law 115-97, commonly referred to as the U.S. Tax Reform Act (the “Tax Act”), which included a change in the U.S. federal corporate income tax rate. For more information regarding the accounting for the effects of the Tax Act, see Note 8-Income Taxes.</w:t>
      </w:r>
    </w:p>
    <w:p>
      <w:pPr>
        <w:spacing w:after="0" w:line="152" w:lineRule="exact"/>
        <w:rPr>
          <w:sz w:val="20"/>
          <w:szCs w:val="20"/>
          <w:color w:val="auto"/>
        </w:rPr>
      </w:pPr>
    </w:p>
    <w:p>
      <w:pPr>
        <w:ind w:left="500" w:right="200"/>
        <w:spacing w:after="0" w:line="253" w:lineRule="auto"/>
        <w:rPr>
          <w:sz w:val="20"/>
          <w:szCs w:val="20"/>
          <w:color w:val="auto"/>
        </w:rPr>
      </w:pPr>
      <w:r>
        <w:rPr>
          <w:rFonts w:ascii="Arial" w:cs="Arial" w:eastAsia="Arial" w:hAnsi="Arial"/>
          <w:sz w:val="18"/>
          <w:szCs w:val="18"/>
          <w:color w:val="auto"/>
        </w:rPr>
        <w:t>The Company records net deferred tax assets to the extent it believes that it is more likely than not that these assets will be realized. In making such determination, the Company considers all available positive and negative evidence, including scheduled reversals of deferred tax liabilities, projected future taxable income, tax planning strategies and recent results of operations. In the event the Company were to determine that it would be able to realize the deferred income tax assets in the future in excess of their net recorded amount, the Company would adjust the valuation allowance, which would reduce the provision for income taxes.</w:t>
      </w:r>
    </w:p>
    <w:p>
      <w:pPr>
        <w:spacing w:after="0" w:line="152" w:lineRule="exact"/>
        <w:rPr>
          <w:sz w:val="20"/>
          <w:szCs w:val="20"/>
          <w:color w:val="auto"/>
        </w:rPr>
      </w:pPr>
    </w:p>
    <w:p>
      <w:pPr>
        <w:ind w:left="500" w:right="500"/>
        <w:spacing w:after="0" w:line="262" w:lineRule="auto"/>
        <w:rPr>
          <w:sz w:val="20"/>
          <w:szCs w:val="20"/>
          <w:color w:val="auto"/>
        </w:rPr>
      </w:pPr>
      <w:r>
        <w:rPr>
          <w:rFonts w:ascii="Arial" w:cs="Arial" w:eastAsia="Arial" w:hAnsi="Arial"/>
          <w:sz w:val="18"/>
          <w:szCs w:val="18"/>
          <w:color w:val="auto"/>
        </w:rPr>
        <w:t>The Company reports revenues net of any tax assessed by a governmental authority that is both imposed on and concurrent with a specific revenue-producing transaction between a seller and a customer.</w:t>
      </w:r>
    </w:p>
    <w:p>
      <w:pPr>
        <w:spacing w:after="0" w:line="12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93" w:lineRule="exact"/>
        <w:rPr>
          <w:sz w:val="20"/>
          <w:szCs w:val="20"/>
          <w:color w:val="auto"/>
        </w:rPr>
      </w:pPr>
    </w:p>
    <w:p>
      <w:pPr>
        <w:ind w:left="500" w:right="120"/>
        <w:spacing w:after="0" w:line="254" w:lineRule="auto"/>
        <w:rPr>
          <w:sz w:val="20"/>
          <w:szCs w:val="20"/>
          <w:color w:val="auto"/>
        </w:rPr>
      </w:pPr>
      <w:r>
        <w:rPr>
          <w:rFonts w:ascii="Arial" w:cs="Arial" w:eastAsia="Arial" w:hAnsi="Arial"/>
          <w:sz w:val="18"/>
          <w:szCs w:val="18"/>
          <w:color w:val="auto"/>
        </w:rPr>
        <w:t>The Company measures fair value of assets and liabilities and discloses the source for such fair value measurements. Financial assets and liabilities are classified as follows: Level 1, which refers to assets and liabilities valued using quoted prices from active markets for identical assets or liabilities; Level 2, which refers to assets and liabilities for which significant other observable market inputs are readily available; and Level 3, which are valued based on significant unobservable inputs.</w:t>
      </w:r>
    </w:p>
    <w:p>
      <w:pPr>
        <w:spacing w:after="0" w:line="150" w:lineRule="exact"/>
        <w:rPr>
          <w:sz w:val="20"/>
          <w:szCs w:val="20"/>
          <w:color w:val="auto"/>
        </w:rPr>
      </w:pPr>
    </w:p>
    <w:p>
      <w:pPr>
        <w:ind w:left="500" w:right="200"/>
        <w:spacing w:after="0" w:line="252" w:lineRule="auto"/>
        <w:rPr>
          <w:sz w:val="20"/>
          <w:szCs w:val="20"/>
          <w:color w:val="auto"/>
        </w:rPr>
      </w:pPr>
      <w:r>
        <w:rPr>
          <w:rFonts w:ascii="Arial" w:cs="Arial" w:eastAsia="Arial" w:hAnsi="Arial"/>
          <w:sz w:val="18"/>
          <w:szCs w:val="18"/>
          <w:color w:val="auto"/>
        </w:rPr>
        <w:t>The fair value of the Company’s financial instruments is generally determined by reference to market values resulting from trading on a national securities exchange or in an over-the-counter market (Level 1 inputs). In some cases where quoted market prices are not available, prices are derived by considering the yield of the benchmark security that was issued to initially price the instruments and adjusting this rate by the credit spread that market participants would demand for the instruments as of the measurement date (Level 2 inputs). In situations where long-term borrowings are part of a conduit facility backed by short-term floating rate debt, the Company has determined that its carrying value approximates the fair value of this debt (Level 2 inputs). The carrying amounts of cash and cash equivalents, available-for-sale securities, accounts receivable, program cash and accounts payable and accrued liabilities approximate fair value due to the short-term maturities of these assets and liabilities.</w:t>
      </w:r>
    </w:p>
    <w:p>
      <w:pPr>
        <w:spacing w:after="0" w:line="152" w:lineRule="exact"/>
        <w:rPr>
          <w:sz w:val="20"/>
          <w:szCs w:val="20"/>
          <w:color w:val="auto"/>
        </w:rPr>
      </w:pPr>
    </w:p>
    <w:p>
      <w:pPr>
        <w:ind w:left="500" w:right="20"/>
        <w:spacing w:after="0" w:line="252" w:lineRule="auto"/>
        <w:rPr>
          <w:sz w:val="20"/>
          <w:szCs w:val="20"/>
          <w:color w:val="auto"/>
        </w:rPr>
      </w:pPr>
      <w:r>
        <w:rPr>
          <w:rFonts w:ascii="Arial" w:cs="Arial" w:eastAsia="Arial" w:hAnsi="Arial"/>
          <w:sz w:val="18"/>
          <w:szCs w:val="18"/>
          <w:color w:val="auto"/>
        </w:rPr>
        <w:t>The Company’s derivative assets and liabilities consist principally of currency exchange contracts, interest rate swaps, interest rate caps and commodity contracts, and are carried at fair value based on significant observable inputs (Level 2 inputs). Derivatives entered into by the Company are typically executed over-the-counter and are valued using internal valuation techniques, as no quoted market prices exist for such instruments. The valuation technique and inputs depend on the type of derivative and the nature of the underlying exposure. The Company principally uses discounted cash flows to value these instruments. These models take into account a variety of factors including, where applicable, maturity, currency exchange rates, interest rate yield curves of the Company and counterparties, credit curves, counterparty creditworthiness and commodity prices. These factors are applied on a consistent basis and are based upon observable inputs where available.</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420"/>
          </w:cols>
          <w:pgMar w:left="240" w:top="140" w:right="239" w:bottom="1440" w:gutter="0" w:footer="0" w:header="0"/>
        </w:sectPr>
      </w:pPr>
    </w:p>
    <w:bookmarkStart w:id="78" w:name="page79"/>
    <w:bookmarkEnd w:id="7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1"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Derivative Instruments</w:t>
      </w:r>
    </w:p>
    <w:p>
      <w:pPr>
        <w:spacing w:after="0" w:line="193" w:lineRule="exact"/>
        <w:rPr>
          <w:sz w:val="20"/>
          <w:szCs w:val="20"/>
          <w:color w:val="auto"/>
        </w:rPr>
      </w:pPr>
    </w:p>
    <w:p>
      <w:pPr>
        <w:ind w:left="500" w:right="320"/>
        <w:spacing w:after="0" w:line="256" w:lineRule="auto"/>
        <w:rPr>
          <w:sz w:val="20"/>
          <w:szCs w:val="20"/>
          <w:color w:val="auto"/>
        </w:rPr>
      </w:pPr>
      <w:r>
        <w:rPr>
          <w:rFonts w:ascii="Arial" w:cs="Arial" w:eastAsia="Arial" w:hAnsi="Arial"/>
          <w:sz w:val="18"/>
          <w:szCs w:val="18"/>
          <w:color w:val="auto"/>
        </w:rPr>
        <w:t>Derivative instruments are used as part of the Company’s overall strategy to manage exposure to market risks associated with fluctuations in currency exchange rates, interest rates and gasoline costs. As a matter of policy, derivatives are not used for trading or speculative purposes.</w:t>
      </w:r>
    </w:p>
    <w:p>
      <w:pPr>
        <w:spacing w:after="0" w:line="148" w:lineRule="exact"/>
        <w:rPr>
          <w:sz w:val="20"/>
          <w:szCs w:val="20"/>
          <w:color w:val="auto"/>
        </w:rPr>
      </w:pPr>
    </w:p>
    <w:p>
      <w:pPr>
        <w:ind w:left="500" w:right="180"/>
        <w:spacing w:after="0" w:line="252" w:lineRule="auto"/>
        <w:rPr>
          <w:sz w:val="20"/>
          <w:szCs w:val="20"/>
          <w:color w:val="auto"/>
        </w:rPr>
      </w:pPr>
      <w:r>
        <w:rPr>
          <w:rFonts w:ascii="Arial" w:cs="Arial" w:eastAsia="Arial" w:hAnsi="Arial"/>
          <w:sz w:val="18"/>
          <w:szCs w:val="18"/>
          <w:color w:val="auto"/>
        </w:rPr>
        <w:t>All derivatives are recorded at fair value either as assets or liabilities. Changes in fair value of derivatives not designated as hedging instruments are recognized currently in earnings within the same line item as the hedged item. The effective portion of changes in fair value of a derivative that is designated as either a cash flow or net investment hedge is recorded as a component of accumulated other comprehensive income (loss). The ineffective portion is recognized in earnings within the same line item as the hedged item, including vehicle interest, net or interest related to corporate debt, net. Amounts included in accumulated other comprehensive income (loss) are reclassified into earnings in the same period during which the hedged item affects earnings. Amounts related to our derivative instruments are recognized in the Consolidated Statements of Cash Flows consistent with the nature of the hedged item (principally operating activities).</w:t>
      </w:r>
    </w:p>
    <w:p>
      <w:pPr>
        <w:spacing w:after="0" w:line="13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Currency Transactions</w:t>
      </w:r>
    </w:p>
    <w:p>
      <w:pPr>
        <w:spacing w:after="0" w:line="193" w:lineRule="exact"/>
        <w:rPr>
          <w:sz w:val="20"/>
          <w:szCs w:val="20"/>
          <w:color w:val="auto"/>
        </w:rPr>
      </w:pPr>
    </w:p>
    <w:p>
      <w:pPr>
        <w:ind w:left="500"/>
        <w:spacing w:after="0" w:line="253" w:lineRule="auto"/>
        <w:rPr>
          <w:sz w:val="20"/>
          <w:szCs w:val="20"/>
          <w:color w:val="auto"/>
        </w:rPr>
      </w:pPr>
      <w:r>
        <w:rPr>
          <w:rFonts w:ascii="Arial" w:cs="Arial" w:eastAsia="Arial" w:hAnsi="Arial"/>
          <w:sz w:val="18"/>
          <w:szCs w:val="18"/>
          <w:color w:val="auto"/>
        </w:rPr>
        <w:t>Currency gains and losses resulting from foreign currency transactions are generally included in operating expenses within the Consolidated Statement of Operations; however, the net gain or loss of currency transactions on intercompany loans and the unrealized gain or loss on intercompany loan hedges are included within interest expense related to corporate debt, net. During December 31, 2017, the Company recorded a gain of $3 million and during the years ended December 31, 2016 and 2015, the Company recorded losses of $6 million and $11 million, respectively, on such items.</w:t>
      </w:r>
    </w:p>
    <w:p>
      <w:pPr>
        <w:spacing w:after="0" w:line="13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Self-Insurance Reserves</w:t>
      </w:r>
    </w:p>
    <w:p>
      <w:pPr>
        <w:spacing w:after="0" w:line="193" w:lineRule="exact"/>
        <w:rPr>
          <w:sz w:val="20"/>
          <w:szCs w:val="20"/>
          <w:color w:val="auto"/>
        </w:rPr>
      </w:pPr>
    </w:p>
    <w:p>
      <w:pPr>
        <w:ind w:left="500" w:right="60"/>
        <w:spacing w:after="0" w:line="251" w:lineRule="auto"/>
        <w:rPr>
          <w:sz w:val="20"/>
          <w:szCs w:val="20"/>
          <w:color w:val="auto"/>
        </w:rPr>
      </w:pPr>
      <w:r>
        <w:rPr>
          <w:rFonts w:ascii="Arial" w:cs="Arial" w:eastAsia="Arial" w:hAnsi="Arial"/>
          <w:sz w:val="18"/>
          <w:szCs w:val="18"/>
          <w:color w:val="auto"/>
        </w:rPr>
        <w:t>The Consolidated Balance Sheets include $ 422 million and $437 million of liabilities associated with retained risks of liability to third parties as of December 31, 2017 and 2016, respectively. Such liabilities relate primarily to public liability and third-party property damage claims, as well as claims arising from the sale of ancillary insurance products including but not limited to supplemental liability, personal effects protection and personal accident insurance. These obligations represent an estimate for both reported claims not yet paid and claims incurred but not yet reported. The estimated reserve requirements for such claims are recorded on an undiscounted basis utilizing actuarial methodologies and various assumptions which include, but are not limited to, the Company’s historical loss experience and projected loss development factors. The required liability is also subject to adjustment in the future based upon changes in claims experience, including changes in the number of incidents for which the Company is ultimately liable and changes in the cost per incident. These amounts are included within accounts payable and other current liabilities and other non-current liabilities.</w:t>
      </w:r>
    </w:p>
    <w:p>
      <w:pPr>
        <w:spacing w:after="0" w:line="159" w:lineRule="exact"/>
        <w:rPr>
          <w:sz w:val="20"/>
          <w:szCs w:val="20"/>
          <w:color w:val="auto"/>
        </w:rPr>
      </w:pPr>
    </w:p>
    <w:p>
      <w:pPr>
        <w:ind w:left="500"/>
        <w:spacing w:after="0" w:line="254" w:lineRule="auto"/>
        <w:rPr>
          <w:sz w:val="20"/>
          <w:szCs w:val="20"/>
          <w:color w:val="auto"/>
        </w:rPr>
      </w:pPr>
      <w:r>
        <w:rPr>
          <w:rFonts w:ascii="Arial" w:cs="Arial" w:eastAsia="Arial" w:hAnsi="Arial"/>
          <w:sz w:val="18"/>
          <w:szCs w:val="18"/>
          <w:color w:val="auto"/>
        </w:rPr>
        <w:t>The Consolidated Balance Sheets also include liabilities of approximately $66 million and $71 million as of December 31, 2017 and 2016, respectively, related to workers’ compensation, health and welfare and other employee benefit programs. The liabilities represent an estimate for both reported claims not yet paid and claims incurred but not yet reported, utilizing actuarial methodologies similar to those described above. These amounts are included within accounts payable and other current liabilities and other non-current liabilities.</w:t>
      </w:r>
    </w:p>
    <w:p>
      <w:pPr>
        <w:spacing w:after="0" w:line="128"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74" w:lineRule="exact"/>
        <w:rPr>
          <w:sz w:val="20"/>
          <w:szCs w:val="20"/>
          <w:color w:val="auto"/>
        </w:rPr>
      </w:pPr>
    </w:p>
    <w:p>
      <w:pPr>
        <w:ind w:left="500" w:right="60"/>
        <w:spacing w:after="0" w:line="252" w:lineRule="auto"/>
        <w:rPr>
          <w:sz w:val="20"/>
          <w:szCs w:val="20"/>
          <w:color w:val="auto"/>
        </w:rPr>
      </w:pPr>
      <w:r>
        <w:rPr>
          <w:rFonts w:ascii="Arial" w:cs="Arial" w:eastAsia="Arial" w:hAnsi="Arial"/>
          <w:sz w:val="18"/>
          <w:szCs w:val="18"/>
          <w:color w:val="auto"/>
        </w:rPr>
        <w:t>Stock-based compensation cost is measured at the grant date, based on the fair value of the award, and is recognized as expense on a straight-line basis over the vesting period. The Company’s policy is to record compensation expense for stock options, and restricted stock units that are time- and performance-based, for the portion of the award that is expected to vest. Compensation expense related to market-based restricted stock units is recognized provided that the requisite service is rendered, regardless of when, if ever, the market condition is satisfied. We estimate the fair value of restricted stock units using the market price of the Company’s common stock on the date of grant. We estimate the fair value of stock-based and cash unit awards containing a market condition using a Monte Carlo simulation model. Key inputs and assumptions used in the Monte Carlo simulation model include the stock price of the award on the grant date, the expected term, the risk-free interest rate over the expected term, the expected annual dividend</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420"/>
          </w:cols>
          <w:pgMar w:left="240" w:top="140" w:right="239" w:bottom="1440" w:gutter="0" w:footer="0" w:header="0"/>
        </w:sectPr>
      </w:pPr>
    </w:p>
    <w:bookmarkStart w:id="79" w:name="page80"/>
    <w:bookmarkEnd w:id="7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3" w:lineRule="exact"/>
        <w:rPr>
          <w:sz w:val="20"/>
          <w:szCs w:val="20"/>
          <w:color w:val="auto"/>
        </w:rPr>
      </w:pPr>
    </w:p>
    <w:p>
      <w:pPr>
        <w:ind w:left="500" w:right="100"/>
        <w:spacing w:after="0" w:line="254" w:lineRule="auto"/>
        <w:rPr>
          <w:sz w:val="20"/>
          <w:szCs w:val="20"/>
          <w:color w:val="auto"/>
        </w:rPr>
      </w:pPr>
      <w:r>
        <w:rPr>
          <w:rFonts w:ascii="Arial" w:cs="Arial" w:eastAsia="Arial" w:hAnsi="Arial"/>
          <w:sz w:val="18"/>
          <w:szCs w:val="18"/>
          <w:color w:val="auto"/>
        </w:rPr>
        <w:t>yield and the expected stock price volatility. The expected volatility is based on a combination of the historical and implied volatility of the Company’s publicly traded, near-the-money stock options, and the valuation period is based on the vesting period of the awards. The risk-free interest rate is derived from the U.S. Treasury yield curve in effect at the time of grant and, since the Company does not currently pay or plan to pay a dividend on its common stock, the expected dividend yield was zero.</w:t>
      </w:r>
    </w:p>
    <w:p>
      <w:pPr>
        <w:spacing w:after="0" w:line="128"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193" w:lineRule="exact"/>
        <w:rPr>
          <w:sz w:val="20"/>
          <w:szCs w:val="20"/>
          <w:color w:val="auto"/>
        </w:rPr>
      </w:pPr>
    </w:p>
    <w:p>
      <w:pPr>
        <w:ind w:left="500" w:right="100"/>
        <w:spacing w:after="0" w:line="252" w:lineRule="auto"/>
        <w:rPr>
          <w:sz w:val="20"/>
          <w:szCs w:val="20"/>
          <w:color w:val="auto"/>
        </w:rPr>
      </w:pPr>
      <w:r>
        <w:rPr>
          <w:rFonts w:ascii="Arial" w:cs="Arial" w:eastAsia="Arial" w:hAnsi="Arial"/>
          <w:sz w:val="18"/>
          <w:szCs w:val="18"/>
          <w:color w:val="auto"/>
        </w:rPr>
        <w:t>The Company uses the acquisition method of accounting for business combinations, which requires that the assets acquired and liabilities assumed be recorded at their respective fair values at the date of acquisition. Assets acquired and liabilities assumed in a business combination that arise from contingencies are recognized if fair value can be reasonably estimated at the acquisition date. The excess, if any, of (i) the fair value of the consideration transferred by the acquirer and the fair value of any non-controlling interest remaining in the acquiree, over (ii) the fair values of the identifiable net assets acquired is recorded as goodwill. Gains and losses on the re-acquisition of license agreements are recorded in the Consolidated Statements of Operations within transaction-related costs, net, upon completion of the respective acquisition. Costs incurred to effect a business combination are expensed as incurred, except for the cost to issue debt related to the acquisition.</w:t>
      </w:r>
    </w:p>
    <w:p>
      <w:pPr>
        <w:spacing w:after="0" w:line="152" w:lineRule="exact"/>
        <w:rPr>
          <w:sz w:val="20"/>
          <w:szCs w:val="20"/>
          <w:color w:val="auto"/>
        </w:rPr>
      </w:pPr>
    </w:p>
    <w:p>
      <w:pPr>
        <w:ind w:left="500" w:right="20"/>
        <w:spacing w:after="0" w:line="252" w:lineRule="auto"/>
        <w:rPr>
          <w:sz w:val="20"/>
          <w:szCs w:val="20"/>
          <w:color w:val="auto"/>
        </w:rPr>
      </w:pPr>
      <w:r>
        <w:rPr>
          <w:rFonts w:ascii="Arial" w:cs="Arial" w:eastAsia="Arial" w:hAnsi="Arial"/>
          <w:sz w:val="18"/>
          <w:szCs w:val="18"/>
          <w:color w:val="auto"/>
        </w:rPr>
        <w:t>The Company records contingent consideration resulting from a business combination at its fair value on the acquisition date. The fair value of the contingent consideration is generally estimated by utilizing a Monte Carlo simulation technique, based on a range of possible future results (Level 3). Any changes in contingent consideration are recorded in transaction-related costs, net. During 2015, the Company paid $18 million of contingent consideration associated with the acquisition of Apex, which consisted of $9 million related to the liability recognized at fair value as of the acquisition date and $13 million related to fair value adjustments previously recognized in earnings, partially offset by $4 million of favorable currency exchange rate movements.</w:t>
      </w:r>
    </w:p>
    <w:p>
      <w:pPr>
        <w:spacing w:after="0" w:line="133"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Transaction-related Costs, net</w:t>
      </w:r>
    </w:p>
    <w:p>
      <w:pPr>
        <w:spacing w:after="0" w:line="193" w:lineRule="exact"/>
        <w:rPr>
          <w:sz w:val="20"/>
          <w:szCs w:val="20"/>
          <w:color w:val="auto"/>
        </w:rPr>
      </w:pPr>
    </w:p>
    <w:p>
      <w:pPr>
        <w:ind w:left="500" w:right="240"/>
        <w:spacing w:after="0" w:line="253" w:lineRule="auto"/>
        <w:rPr>
          <w:sz w:val="20"/>
          <w:szCs w:val="20"/>
          <w:color w:val="auto"/>
        </w:rPr>
      </w:pPr>
      <w:r>
        <w:rPr>
          <w:rFonts w:ascii="Arial" w:cs="Arial" w:eastAsia="Arial" w:hAnsi="Arial"/>
          <w:sz w:val="18"/>
          <w:szCs w:val="18"/>
          <w:color w:val="auto"/>
        </w:rPr>
        <w:t>Transaction-related costs, net are classified separately in the Consolidated Statements of Operations. These costs are comprised of expenses related to acquisition-related activities such as due-diligence and other advisory costs, expenses related to the integration of the acquiree’s operations with those of the Company, including the implementation of best practices and process improvements, non-cash gains and losses related to re-acquired rights, expenses related to pre-acquisition contingencies and contingent consideration related to acquisitions.</w:t>
      </w:r>
    </w:p>
    <w:p>
      <w:pPr>
        <w:spacing w:after="0" w:line="13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Investments</w:t>
      </w:r>
    </w:p>
    <w:p>
      <w:pPr>
        <w:spacing w:after="0" w:line="193" w:lineRule="exact"/>
        <w:rPr>
          <w:sz w:val="20"/>
          <w:szCs w:val="20"/>
          <w:color w:val="auto"/>
        </w:rPr>
      </w:pPr>
    </w:p>
    <w:p>
      <w:pPr>
        <w:ind w:left="500"/>
        <w:spacing w:after="0" w:line="252" w:lineRule="auto"/>
        <w:rPr>
          <w:sz w:val="20"/>
          <w:szCs w:val="20"/>
          <w:color w:val="auto"/>
        </w:rPr>
      </w:pPr>
      <w:r>
        <w:rPr>
          <w:rFonts w:ascii="Arial" w:cs="Arial" w:eastAsia="Arial" w:hAnsi="Arial"/>
          <w:sz w:val="18"/>
          <w:szCs w:val="18"/>
          <w:color w:val="auto"/>
        </w:rPr>
        <w:t>Joint venture investments are typically accounted for under the equity method of accounting. Under this method, the Company records its proportional share of the joint venture’s net income or loss within operating expenses in the Consolidated Statements of Operations. The Company assesses equity method investments for impairment whenever events or changes in circumstances indicate that the carrying amounts of such investments may not be recoverable. Any difference between the carrying value of the equity method investment and its estimated fair value is recognized as an impairment charge if the loss in value is deemed other than temporary. As of December 31, 2017 and 2016, the Company had investments in several joint ventures with a carrying value of $32 million and $36 million, respectively, recorded within other non-current assets on the Consolidated Balance Sheets.</w:t>
      </w:r>
    </w:p>
    <w:p>
      <w:pPr>
        <w:spacing w:after="0" w:line="153" w:lineRule="exact"/>
        <w:rPr>
          <w:sz w:val="20"/>
          <w:szCs w:val="20"/>
          <w:color w:val="auto"/>
        </w:rPr>
      </w:pPr>
    </w:p>
    <w:p>
      <w:pPr>
        <w:ind w:left="500" w:right="440"/>
        <w:spacing w:after="0" w:line="256" w:lineRule="auto"/>
        <w:rPr>
          <w:sz w:val="20"/>
          <w:szCs w:val="20"/>
          <w:color w:val="auto"/>
        </w:rPr>
      </w:pPr>
      <w:r>
        <w:rPr>
          <w:rFonts w:ascii="Arial" w:cs="Arial" w:eastAsia="Arial" w:hAnsi="Arial"/>
          <w:sz w:val="18"/>
          <w:szCs w:val="18"/>
          <w:color w:val="auto"/>
        </w:rPr>
        <w:t>Aggregate realized gains and losses on equity investments and dividend income are recorded within operating expenses on the Consolidated Statements of Operations. During 2017, 2016 and 2015, the amounts realized from the sale of equity investments and dividend income were not material.</w:t>
      </w:r>
    </w:p>
    <w:p>
      <w:pPr>
        <w:spacing w:after="0" w:line="18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Adoption of New Accounting Pronouncements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Scope of Modification Accounting for Share-Based Payment Awards</w:t>
      </w:r>
    </w:p>
    <w:p>
      <w:pPr>
        <w:spacing w:after="0" w:line="243" w:lineRule="exact"/>
        <w:rPr>
          <w:sz w:val="20"/>
          <w:szCs w:val="20"/>
          <w:color w:val="auto"/>
        </w:rPr>
      </w:pPr>
    </w:p>
    <w:p>
      <w:pPr>
        <w:jc w:val="both"/>
        <w:ind w:left="500" w:right="240"/>
        <w:spacing w:after="0" w:line="256" w:lineRule="auto"/>
        <w:rPr>
          <w:sz w:val="20"/>
          <w:szCs w:val="20"/>
          <w:color w:val="auto"/>
        </w:rPr>
      </w:pPr>
      <w:r>
        <w:rPr>
          <w:rFonts w:ascii="Arial" w:cs="Arial" w:eastAsia="Arial" w:hAnsi="Arial"/>
          <w:sz w:val="18"/>
          <w:szCs w:val="18"/>
          <w:color w:val="auto"/>
        </w:rPr>
        <w:t>In May 2017, the Financial Accounting Standards Board (“FASB”) issued ASU 2017-09, “Compensation—Stock Compensation (Topic 718): Scope of Modification Accounting,” which provides guidance on the types of changes to the terms or conditions of a share-based payment award to which an entity would be required</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420"/>
          </w:cols>
          <w:pgMar w:left="240" w:top="140" w:right="239" w:bottom="1440" w:gutter="0" w:footer="0" w:header="0"/>
        </w:sectPr>
      </w:pPr>
    </w:p>
    <w:bookmarkStart w:id="80" w:name="page81"/>
    <w:bookmarkEnd w:id="8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jc w:val="both"/>
        <w:ind w:left="500" w:right="220"/>
        <w:spacing w:after="0" w:line="256" w:lineRule="auto"/>
        <w:rPr>
          <w:sz w:val="20"/>
          <w:szCs w:val="20"/>
          <w:color w:val="auto"/>
        </w:rPr>
      </w:pPr>
      <w:r>
        <w:rPr>
          <w:rFonts w:ascii="Arial" w:cs="Arial" w:eastAsia="Arial" w:hAnsi="Arial"/>
          <w:sz w:val="18"/>
          <w:szCs w:val="18"/>
          <w:color w:val="auto"/>
        </w:rPr>
        <w:t>to apply modification accounting. ASU 2017-09 becomes effective for the Company on January 1, 2018; however, as of December 31, 2017 the Company has elected to adopt the provisions of ASU 2017-09 early on a prospective basis. Accordingly, the adoption of this accounting pronouncement did not have an impact on the Company’s Consolidated Financial Statements.</w:t>
      </w:r>
    </w:p>
    <w:p>
      <w:pPr>
        <w:spacing w:after="0" w:line="184"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Accounting for Goodwill Impairment</w:t>
      </w:r>
    </w:p>
    <w:p>
      <w:pPr>
        <w:spacing w:after="0" w:line="243" w:lineRule="exact"/>
        <w:rPr>
          <w:sz w:val="20"/>
          <w:szCs w:val="20"/>
          <w:color w:val="auto"/>
        </w:rPr>
      </w:pPr>
    </w:p>
    <w:p>
      <w:pPr>
        <w:ind w:left="500"/>
        <w:spacing w:after="0" w:line="252" w:lineRule="auto"/>
        <w:rPr>
          <w:sz w:val="20"/>
          <w:szCs w:val="20"/>
          <w:color w:val="auto"/>
        </w:rPr>
      </w:pPr>
      <w:r>
        <w:rPr>
          <w:rFonts w:ascii="Arial" w:cs="Arial" w:eastAsia="Arial" w:hAnsi="Arial"/>
          <w:sz w:val="18"/>
          <w:szCs w:val="18"/>
          <w:color w:val="auto"/>
        </w:rPr>
        <w:t>In January 2017, the FASB issued ASU 2017-04, “Intangibles—Goodwill and Other (Topic 350): Simplifying the Test for Goodwill Impairment,” which requires an entity to perform its goodwill impairment test by comparing the fair value of a reporting unit with its carrying amount and to recognize an impairment charge for the amount by which the carrying amount exceeds the reporting unit’s fair value. ASU 2017-04 becomes effective for the Company on January 1, 2020; however, as of October 1, 2017 the Company has elected to adopt the provisions of ASU 2017-04 early on a prospective basis. Accordingly, the adoption of this accounting pronouncement did not have an impact on the Company’s Consolidated Financial Statements.</w:t>
      </w:r>
    </w:p>
    <w:p>
      <w:pPr>
        <w:spacing w:after="0" w:line="191"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Clarifying the Definition of a Business</w:t>
      </w:r>
    </w:p>
    <w:p>
      <w:pPr>
        <w:spacing w:after="0" w:line="243" w:lineRule="exact"/>
        <w:rPr>
          <w:sz w:val="20"/>
          <w:szCs w:val="20"/>
          <w:color w:val="auto"/>
        </w:rPr>
      </w:pPr>
    </w:p>
    <w:p>
      <w:pPr>
        <w:ind w:left="500" w:right="300"/>
        <w:spacing w:after="0" w:line="253" w:lineRule="auto"/>
        <w:rPr>
          <w:sz w:val="20"/>
          <w:szCs w:val="20"/>
          <w:color w:val="auto"/>
        </w:rPr>
      </w:pPr>
      <w:r>
        <w:rPr>
          <w:rFonts w:ascii="Arial" w:cs="Arial" w:eastAsia="Arial" w:hAnsi="Arial"/>
          <w:sz w:val="18"/>
          <w:szCs w:val="18"/>
          <w:color w:val="auto"/>
        </w:rPr>
        <w:t>In January 2017, the FASB issued ASU 2017-01, “Business Combinations (Topic 805): Clarifying the Definition of a Business,” which assists entities in evaluating whether transactions should be accounted for as acquisitions of assets or businesses. ASU 2017-01 becomes effective for the Company on January 1, 2018; however, as of December 31, 2017 the Company has elected to adopt the provisions of ASU 2017-01 early on a prospective basis. Accordingly, the adoption of this accounting pronouncement did not have an impact on the Company’s Consolidated Financial Statements.</w:t>
      </w:r>
    </w:p>
    <w:p>
      <w:pPr>
        <w:spacing w:after="0" w:line="188"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Restricted Cash</w:t>
      </w:r>
    </w:p>
    <w:p>
      <w:pPr>
        <w:spacing w:after="0" w:line="243" w:lineRule="exact"/>
        <w:rPr>
          <w:sz w:val="20"/>
          <w:szCs w:val="20"/>
          <w:color w:val="auto"/>
        </w:rPr>
      </w:pPr>
    </w:p>
    <w:p>
      <w:pPr>
        <w:ind w:left="500"/>
        <w:spacing w:after="0" w:line="254" w:lineRule="auto"/>
        <w:rPr>
          <w:sz w:val="20"/>
          <w:szCs w:val="20"/>
          <w:color w:val="auto"/>
        </w:rPr>
      </w:pPr>
      <w:r>
        <w:rPr>
          <w:rFonts w:ascii="Arial" w:cs="Arial" w:eastAsia="Arial" w:hAnsi="Arial"/>
          <w:sz w:val="18"/>
          <w:szCs w:val="18"/>
          <w:color w:val="auto"/>
        </w:rPr>
        <w:t>In November 2016, the FASB issued ASU 2016-18, “Statement of Cash Flows (Topic 230): Restricted Cash,” which clarifies guidance on the classification and presentation of restricted cash in the statement of cash flows. ASU 2016-18 becomes effective for the Company on January 1, 2018; however, as of December 31, 2017, the Company has elected to adopt the provisions of ASU 2016-18 early on a retrospective basis.</w:t>
      </w:r>
    </w:p>
    <w:p>
      <w:pPr>
        <w:spacing w:after="0" w:line="204" w:lineRule="exact"/>
        <w:rPr>
          <w:sz w:val="20"/>
          <w:szCs w:val="20"/>
          <w:color w:val="auto"/>
        </w:rPr>
      </w:pPr>
    </w:p>
    <w:p>
      <w:pPr>
        <w:ind w:left="500" w:right="460"/>
        <w:spacing w:after="0" w:line="262" w:lineRule="auto"/>
        <w:rPr>
          <w:sz w:val="20"/>
          <w:szCs w:val="20"/>
          <w:color w:val="auto"/>
        </w:rPr>
      </w:pPr>
      <w:r>
        <w:rPr>
          <w:rFonts w:ascii="Arial" w:cs="Arial" w:eastAsia="Arial" w:hAnsi="Arial"/>
          <w:sz w:val="18"/>
          <w:szCs w:val="18"/>
          <w:color w:val="auto"/>
        </w:rPr>
        <w:t>The following tables provide the impact of adoption on the Company’s Consolidated Statements of Cash Flows for the years ended December 31, 2016 and 2015.</w:t>
      </w:r>
    </w:p>
    <w:p>
      <w:pPr>
        <w:spacing w:after="0" w:line="2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360"/>
          </w:cols>
          <w:pgMar w:left="240" w:top="140" w:right="299" w:bottom="1440" w:gutter="0" w:footer="0" w:header="0"/>
        </w:sectPr>
      </w:pPr>
    </w:p>
    <w:bookmarkStart w:id="81" w:name="page82"/>
    <w:bookmarkEnd w:id="8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4378960</wp:posOffset>
            </wp:positionH>
            <wp:positionV relativeFrom="paragraph">
              <wp:posOffset>245745</wp:posOffset>
            </wp:positionV>
            <wp:extent cx="268414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394" w:lineRule="exact"/>
        <w:rPr>
          <w:sz w:val="20"/>
          <w:szCs w:val="20"/>
          <w:color w:val="auto"/>
        </w:rPr>
      </w:pPr>
    </w:p>
    <w:tbl>
      <w:tblPr>
        <w:tblLayout w:type="fixed"/>
        <w:tblInd w:w="820" w:type="dxa"/>
        <w:tblCellMar>
          <w:top w:w="0" w:type="dxa"/>
          <w:left w:w="0" w:type="dxa"/>
          <w:bottom w:w="0" w:type="dxa"/>
          <w:right w:w="0" w:type="dxa"/>
        </w:tblCellMar>
      </w:tblPr>
      <w:tr>
        <w:trPr>
          <w:trHeight w:val="190"/>
        </w:trPr>
        <w:tc>
          <w:tcPr>
            <w:tcW w:w="6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80" w:type="dxa"/>
            <w:vAlign w:val="bottom"/>
            <w:gridSpan w:val="7"/>
          </w:tcPr>
          <w:p>
            <w:pPr>
              <w:jc w:val="center"/>
              <w:ind w:right="48"/>
              <w:spacing w:after="0"/>
              <w:rPr>
                <w:sz w:val="20"/>
                <w:szCs w:val="20"/>
                <w:color w:val="auto"/>
              </w:rPr>
            </w:pPr>
            <w:r>
              <w:rPr>
                <w:rFonts w:ascii="Arial" w:cs="Arial" w:eastAsia="Arial" w:hAnsi="Arial"/>
                <w:sz w:val="14"/>
                <w:szCs w:val="14"/>
                <w:b w:val="1"/>
                <w:bCs w:val="1"/>
                <w:color w:val="auto"/>
              </w:rPr>
              <w:t>Year Ended December 31, 2016</w:t>
            </w:r>
          </w:p>
        </w:tc>
        <w:tc>
          <w:tcPr>
            <w:tcW w:w="0" w:type="dxa"/>
            <w:vAlign w:val="bottom"/>
          </w:tcPr>
          <w:p>
            <w:pPr>
              <w:spacing w:after="0"/>
              <w:rPr>
                <w:sz w:val="1"/>
                <w:szCs w:val="1"/>
                <w:color w:val="auto"/>
              </w:rPr>
            </w:pPr>
          </w:p>
        </w:tc>
      </w:tr>
      <w:tr>
        <w:trPr>
          <w:trHeight w:val="174"/>
        </w:trPr>
        <w:tc>
          <w:tcPr>
            <w:tcW w:w="60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2"/>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As Previously</w:t>
            </w:r>
          </w:p>
        </w:tc>
        <w:tc>
          <w:tcPr>
            <w:tcW w:w="5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6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Reported</w:t>
            </w:r>
          </w:p>
        </w:tc>
        <w:tc>
          <w:tcPr>
            <w:tcW w:w="14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Effect of Change</w:t>
            </w:r>
          </w:p>
        </w:tc>
        <w:tc>
          <w:tcPr>
            <w:tcW w:w="180" w:type="dxa"/>
            <w:vAlign w:val="bottom"/>
          </w:tcPr>
          <w:p>
            <w:pPr>
              <w:spacing w:after="0"/>
              <w:rPr>
                <w:sz w:val="17"/>
                <w:szCs w:val="17"/>
                <w:color w:val="auto"/>
              </w:rPr>
            </w:pPr>
          </w:p>
        </w:tc>
        <w:tc>
          <w:tcPr>
            <w:tcW w:w="1160" w:type="dxa"/>
            <w:vAlign w:val="bottom"/>
          </w:tcPr>
          <w:p>
            <w:pPr>
              <w:jc w:val="right"/>
              <w:ind w:right="168"/>
              <w:spacing w:after="0"/>
              <w:rPr>
                <w:sz w:val="20"/>
                <w:szCs w:val="20"/>
                <w:color w:val="auto"/>
              </w:rPr>
            </w:pPr>
            <w:r>
              <w:rPr>
                <w:rFonts w:ascii="Arial" w:cs="Arial" w:eastAsia="Arial" w:hAnsi="Arial"/>
                <w:sz w:val="14"/>
                <w:szCs w:val="14"/>
                <w:b w:val="1"/>
                <w:bCs w:val="1"/>
                <w:color w:val="auto"/>
              </w:rPr>
              <w:t>As Adjusted</w:t>
            </w:r>
          </w:p>
        </w:tc>
        <w:tc>
          <w:tcPr>
            <w:tcW w:w="0" w:type="dxa"/>
            <w:vAlign w:val="bottom"/>
          </w:tcPr>
          <w:p>
            <w:pPr>
              <w:spacing w:after="0"/>
              <w:rPr>
                <w:sz w:val="1"/>
                <w:szCs w:val="1"/>
                <w:color w:val="auto"/>
              </w:rPr>
            </w:pPr>
          </w:p>
        </w:tc>
      </w:tr>
      <w:tr>
        <w:trPr>
          <w:trHeight w:val="191"/>
        </w:trPr>
        <w:tc>
          <w:tcPr>
            <w:tcW w:w="6080" w:type="dxa"/>
            <w:vAlign w:val="bottom"/>
          </w:tcPr>
          <w:p>
            <w:pPr>
              <w:spacing w:after="0"/>
              <w:rPr>
                <w:sz w:val="20"/>
                <w:szCs w:val="20"/>
                <w:color w:val="auto"/>
              </w:rPr>
            </w:pPr>
            <w:r>
              <w:rPr>
                <w:rFonts w:ascii="Arial" w:cs="Arial" w:eastAsia="Arial" w:hAnsi="Arial"/>
                <w:sz w:val="14"/>
                <w:szCs w:val="14"/>
                <w:color w:val="auto"/>
              </w:rPr>
              <w:t>Decrease in program cash</w:t>
            </w: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tcBorders>
            <w:vMerge w:val="restart"/>
          </w:tcPr>
          <w:p>
            <w:pPr>
              <w:jc w:val="right"/>
              <w:ind w:right="28"/>
              <w:spacing w:after="0"/>
              <w:rPr>
                <w:sz w:val="20"/>
                <w:szCs w:val="20"/>
                <w:color w:val="auto"/>
              </w:rPr>
            </w:pPr>
            <w:r>
              <w:rPr>
                <w:rFonts w:ascii="Arial" w:cs="Arial" w:eastAsia="Arial" w:hAnsi="Arial"/>
                <w:sz w:val="14"/>
                <w:szCs w:val="14"/>
                <w:color w:val="auto"/>
              </w:rPr>
              <w:t>31</w:t>
            </w:r>
          </w:p>
        </w:tc>
        <w:tc>
          <w:tcPr>
            <w:tcW w:w="100" w:type="dxa"/>
            <w:vAlign w:val="bottom"/>
          </w:tcPr>
          <w:p>
            <w:pPr>
              <w:spacing w:after="0"/>
              <w:rPr>
                <w:sz w:val="16"/>
                <w:szCs w:val="16"/>
                <w:color w:val="auto"/>
              </w:rPr>
            </w:pPr>
          </w:p>
        </w:tc>
        <w:tc>
          <w:tcPr>
            <w:tcW w:w="580" w:type="dxa"/>
            <w:vAlign w:val="bottom"/>
            <w:tcBorders>
              <w:top w:val="single" w:sz="8" w:color="auto"/>
            </w:tcBorders>
            <w:vMerge w:val="restart"/>
          </w:tcPr>
          <w:p>
            <w:pPr>
              <w:jc w:val="right"/>
              <w:ind w:right="408"/>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(31)</w:t>
            </w:r>
          </w:p>
        </w:tc>
        <w:tc>
          <w:tcPr>
            <w:tcW w:w="100" w:type="dxa"/>
            <w:vAlign w:val="bottom"/>
          </w:tcPr>
          <w:p>
            <w:pPr>
              <w:spacing w:after="0"/>
              <w:rPr>
                <w:sz w:val="16"/>
                <w:szCs w:val="16"/>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tcBorders>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54"/>
        </w:trPr>
        <w:tc>
          <w:tcPr>
            <w:tcW w:w="6080" w:type="dxa"/>
            <w:vAlign w:val="bottom"/>
          </w:tcPr>
          <w:p>
            <w:pPr>
              <w:spacing w:after="0"/>
              <w:rPr>
                <w:sz w:val="4"/>
                <w:szCs w:val="4"/>
                <w:color w:val="auto"/>
              </w:rPr>
            </w:pPr>
          </w:p>
        </w:tc>
        <w:tc>
          <w:tcPr>
            <w:tcW w:w="140" w:type="dxa"/>
            <w:vAlign w:val="bottom"/>
            <w:vMerge w:val="continue"/>
          </w:tcPr>
          <w:p>
            <w:pPr>
              <w:spacing w:after="0"/>
              <w:rPr>
                <w:sz w:val="4"/>
                <w:szCs w:val="4"/>
                <w:color w:val="auto"/>
              </w:rPr>
            </w:pPr>
          </w:p>
        </w:tc>
        <w:tc>
          <w:tcPr>
            <w:tcW w:w="12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4"/>
                <w:szCs w:val="14"/>
                <w:color w:val="auto"/>
              </w:rPr>
              <w:t>Other, net</w:t>
            </w:r>
          </w:p>
        </w:tc>
        <w:tc>
          <w:tcPr>
            <w:tcW w:w="140" w:type="dxa"/>
            <w:vAlign w:val="bottom"/>
          </w:tcPr>
          <w:p>
            <w:pPr>
              <w:spacing w:after="0"/>
              <w:rPr>
                <w:sz w:val="18"/>
                <w:szCs w:val="18"/>
                <w:color w:val="auto"/>
              </w:rPr>
            </w:pPr>
          </w:p>
        </w:tc>
        <w:tc>
          <w:tcPr>
            <w:tcW w:w="1200" w:type="dxa"/>
            <w:vAlign w:val="bottom"/>
            <w:vMerge w:val="restart"/>
          </w:tcPr>
          <w:p>
            <w:pPr>
              <w:jc w:val="right"/>
              <w:ind w:right="28"/>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vMerge w:val="restart"/>
          </w:tcPr>
          <w:p>
            <w:pPr>
              <w:jc w:val="right"/>
              <w:ind w:right="28"/>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54"/>
        </w:trPr>
        <w:tc>
          <w:tcPr>
            <w:tcW w:w="60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76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4"/>
                <w:szCs w:val="14"/>
                <w:b w:val="1"/>
                <w:bCs w:val="1"/>
                <w:color w:val="auto"/>
              </w:rPr>
              <w:t>Net cash used in investing activities</w:t>
            </w:r>
          </w:p>
        </w:tc>
        <w:tc>
          <w:tcPr>
            <w:tcW w:w="140" w:type="dxa"/>
            <w:vAlign w:val="bottom"/>
          </w:tcPr>
          <w:p>
            <w:pPr>
              <w:spacing w:after="0"/>
              <w:rPr>
                <w:sz w:val="18"/>
                <w:szCs w:val="18"/>
                <w:color w:val="auto"/>
              </w:rPr>
            </w:pPr>
          </w:p>
        </w:tc>
        <w:tc>
          <w:tcPr>
            <w:tcW w:w="1200" w:type="dxa"/>
            <w:vAlign w:val="bottom"/>
            <w:vMerge w:val="restart"/>
          </w:tcPr>
          <w:p>
            <w:pPr>
              <w:jc w:val="right"/>
              <w:spacing w:after="0"/>
              <w:rPr>
                <w:sz w:val="20"/>
                <w:szCs w:val="20"/>
                <w:color w:val="auto"/>
              </w:rPr>
            </w:pPr>
            <w:r>
              <w:rPr>
                <w:rFonts w:ascii="Arial" w:cs="Arial" w:eastAsia="Arial" w:hAnsi="Arial"/>
                <w:sz w:val="14"/>
                <w:szCs w:val="14"/>
                <w:color w:val="auto"/>
              </w:rPr>
              <w:t>(2,149)</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(33)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vMerge w:val="restart"/>
          </w:tcPr>
          <w:p>
            <w:pPr>
              <w:jc w:val="right"/>
              <w:spacing w:after="0"/>
              <w:rPr>
                <w:sz w:val="20"/>
                <w:szCs w:val="20"/>
                <w:color w:val="auto"/>
              </w:rPr>
            </w:pPr>
            <w:r>
              <w:rPr>
                <w:rFonts w:ascii="Arial" w:cs="Arial" w:eastAsia="Arial" w:hAnsi="Arial"/>
                <w:sz w:val="14"/>
                <w:szCs w:val="14"/>
                <w:color w:val="auto"/>
              </w:rPr>
              <w:t>(2,182)</w:t>
            </w:r>
          </w:p>
        </w:tc>
        <w:tc>
          <w:tcPr>
            <w:tcW w:w="0" w:type="dxa"/>
            <w:vAlign w:val="bottom"/>
          </w:tcPr>
          <w:p>
            <w:pPr>
              <w:spacing w:after="0"/>
              <w:rPr>
                <w:sz w:val="1"/>
                <w:szCs w:val="1"/>
                <w:color w:val="auto"/>
              </w:rPr>
            </w:pPr>
          </w:p>
        </w:tc>
      </w:tr>
      <w:tr>
        <w:trPr>
          <w:trHeight w:val="54"/>
        </w:trPr>
        <w:tc>
          <w:tcPr>
            <w:tcW w:w="60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76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40" w:top="140" w:right="259" w:bottom="1440" w:gutter="0" w:footer="0" w:header="0"/>
        </w:sectPr>
      </w:pPr>
    </w:p>
    <w:p>
      <w:pPr>
        <w:spacing w:after="0" w:line="114" w:lineRule="exact"/>
        <w:rPr>
          <w:sz w:val="20"/>
          <w:szCs w:val="20"/>
          <w:color w:val="auto"/>
        </w:rPr>
      </w:pPr>
    </w:p>
    <w:p>
      <w:pPr>
        <w:ind w:left="980" w:hanging="161"/>
        <w:spacing w:after="0" w:line="258" w:lineRule="auto"/>
        <w:rPr>
          <w:sz w:val="20"/>
          <w:szCs w:val="20"/>
          <w:color w:val="auto"/>
        </w:rPr>
      </w:pPr>
      <w:r>
        <w:rPr>
          <w:rFonts w:ascii="Arial" w:cs="Arial" w:eastAsia="Arial" w:hAnsi="Arial"/>
          <w:sz w:val="14"/>
          <w:szCs w:val="14"/>
          <w:color w:val="auto"/>
        </w:rPr>
        <w:t>Effect of changes in exchange rates on cash and cash equivalents, program and restricted cash</w:t>
      </w:r>
    </w:p>
    <w:p>
      <w:pPr>
        <w:spacing w:after="0" w:line="200" w:lineRule="exact"/>
        <w:rPr>
          <w:sz w:val="20"/>
          <w:szCs w:val="20"/>
          <w:color w:val="auto"/>
        </w:rPr>
      </w:pPr>
    </w:p>
    <w:p>
      <w:pPr>
        <w:spacing w:after="0" w:line="264" w:lineRule="exact"/>
        <w:rPr>
          <w:sz w:val="20"/>
          <w:szCs w:val="20"/>
          <w:color w:val="auto"/>
        </w:rPr>
      </w:pPr>
    </w:p>
    <w:p>
      <w:pPr>
        <w:ind w:left="820" w:right="840"/>
        <w:spacing w:after="0" w:line="419" w:lineRule="auto"/>
        <w:rPr>
          <w:sz w:val="20"/>
          <w:szCs w:val="20"/>
          <w:color w:val="auto"/>
        </w:rPr>
      </w:pPr>
      <w:r>
        <w:rPr>
          <w:rFonts w:ascii="Arial" w:cs="Arial" w:eastAsia="Arial" w:hAnsi="Arial"/>
          <w:sz w:val="14"/>
          <w:szCs w:val="14"/>
          <w:color w:val="auto"/>
        </w:rPr>
        <w:t>Net increase in cash and cash equivalents, program and restricted cash Cash and cash equivalents, program and restricted cash, beginning of period</w:t>
      </w:r>
    </w:p>
    <w:p>
      <w:pPr>
        <w:spacing w:after="0" w:line="68" w:lineRule="exact"/>
        <w:rPr>
          <w:sz w:val="20"/>
          <w:szCs w:val="20"/>
          <w:color w:val="auto"/>
        </w:rPr>
      </w:pPr>
    </w:p>
    <w:p>
      <w:pPr>
        <w:ind w:left="820"/>
        <w:spacing w:after="0"/>
        <w:rPr>
          <w:sz w:val="20"/>
          <w:szCs w:val="20"/>
          <w:color w:val="auto"/>
        </w:rPr>
      </w:pPr>
      <w:r>
        <w:rPr>
          <w:rFonts w:ascii="Arial" w:cs="Arial" w:eastAsia="Arial" w:hAnsi="Arial"/>
          <w:sz w:val="14"/>
          <w:szCs w:val="14"/>
          <w:b w:val="1"/>
          <w:bCs w:val="1"/>
          <w:color w:val="auto"/>
        </w:rPr>
        <w:t>Cash and cash equivalents, program and restricted cash, end of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820"/>
        <w:spacing w:after="0"/>
        <w:rPr>
          <w:sz w:val="20"/>
          <w:szCs w:val="20"/>
          <w:color w:val="auto"/>
        </w:rPr>
      </w:pPr>
      <w:r>
        <w:rPr>
          <w:rFonts w:ascii="Arial" w:cs="Arial" w:eastAsia="Arial" w:hAnsi="Arial"/>
          <w:sz w:val="14"/>
          <w:szCs w:val="14"/>
          <w:color w:val="auto"/>
        </w:rPr>
        <w:t>Increase in program cash</w:t>
      </w:r>
    </w:p>
    <w:p>
      <w:pPr>
        <w:spacing w:after="0" w:line="109" w:lineRule="exact"/>
        <w:rPr>
          <w:sz w:val="20"/>
          <w:szCs w:val="20"/>
          <w:color w:val="auto"/>
        </w:rPr>
      </w:pPr>
    </w:p>
    <w:p>
      <w:pPr>
        <w:ind w:left="820"/>
        <w:spacing w:after="0"/>
        <w:rPr>
          <w:sz w:val="20"/>
          <w:szCs w:val="20"/>
          <w:color w:val="auto"/>
        </w:rPr>
      </w:pPr>
      <w:r>
        <w:rPr>
          <w:rFonts w:ascii="Arial" w:cs="Arial" w:eastAsia="Arial" w:hAnsi="Arial"/>
          <w:sz w:val="14"/>
          <w:szCs w:val="14"/>
          <w:color w:val="auto"/>
        </w:rPr>
        <w:t>Other, net</w:t>
      </w:r>
    </w:p>
    <w:p>
      <w:pPr>
        <w:spacing w:after="0" w:line="91" w:lineRule="exact"/>
        <w:rPr>
          <w:sz w:val="20"/>
          <w:szCs w:val="20"/>
          <w:color w:val="auto"/>
        </w:rPr>
      </w:pPr>
    </w:p>
    <w:p>
      <w:pPr>
        <w:ind w:left="820"/>
        <w:spacing w:after="0"/>
        <w:rPr>
          <w:sz w:val="20"/>
          <w:szCs w:val="20"/>
          <w:color w:val="auto"/>
        </w:rPr>
      </w:pPr>
      <w:r>
        <w:rPr>
          <w:rFonts w:ascii="Arial" w:cs="Arial" w:eastAsia="Arial" w:hAnsi="Arial"/>
          <w:sz w:val="14"/>
          <w:szCs w:val="14"/>
          <w:b w:val="1"/>
          <w:bCs w:val="1"/>
          <w:color w:val="auto"/>
        </w:rPr>
        <w:t>Net cash used in investing activities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2"/>
        </w:trPr>
        <w:tc>
          <w:tcPr>
            <w:tcW w:w="14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(6)</w:t>
            </w:r>
          </w:p>
        </w:tc>
      </w:tr>
      <w:tr>
        <w:trPr>
          <w:trHeight w:val="540"/>
        </w:trPr>
        <w:tc>
          <w:tcPr>
            <w:tcW w:w="140" w:type="dxa"/>
            <w:vAlign w:val="bottom"/>
          </w:tcPr>
          <w:p>
            <w:pPr>
              <w:spacing w:after="0"/>
              <w:rPr>
                <w:sz w:val="24"/>
                <w:szCs w:val="24"/>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38</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(35)</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3</w:t>
            </w:r>
          </w:p>
        </w:tc>
      </w:tr>
      <w:tr>
        <w:trPr>
          <w:trHeight w:val="384"/>
        </w:trPr>
        <w:tc>
          <w:tcPr>
            <w:tcW w:w="1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452</w:t>
            </w:r>
          </w:p>
        </w:tc>
        <w:tc>
          <w:tcPr>
            <w:tcW w:w="10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265</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717</w:t>
            </w:r>
          </w:p>
        </w:tc>
      </w:tr>
      <w:tr>
        <w:trPr>
          <w:trHeight w:val="345"/>
        </w:trPr>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490</w:t>
            </w:r>
          </w:p>
        </w:tc>
        <w:tc>
          <w:tcPr>
            <w:tcW w:w="100" w:type="dxa"/>
            <w:vAlign w:val="bottom"/>
          </w:tcPr>
          <w:p>
            <w:pPr>
              <w:spacing w:after="0"/>
              <w:rPr>
                <w:sz w:val="24"/>
                <w:szCs w:val="24"/>
                <w:color w:val="auto"/>
              </w:rPr>
            </w:pPr>
          </w:p>
        </w:tc>
        <w:tc>
          <w:tcPr>
            <w:tcW w:w="5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230</w:t>
            </w:r>
          </w:p>
        </w:tc>
        <w:tc>
          <w:tcPr>
            <w:tcW w:w="100" w:type="dxa"/>
            <w:vAlign w:val="bottom"/>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720</w:t>
            </w:r>
          </w:p>
        </w:tc>
      </w:tr>
      <w:tr>
        <w:trPr>
          <w:trHeight w:val="20"/>
        </w:trPr>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57"/>
        </w:trPr>
        <w:tc>
          <w:tcPr>
            <w:tcW w:w="1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spacing w:after="0"/>
              <w:rPr>
                <w:sz w:val="22"/>
                <w:szCs w:val="22"/>
                <w:color w:val="auto"/>
              </w:rPr>
            </w:pPr>
          </w:p>
        </w:tc>
      </w:tr>
      <w:tr>
        <w:trPr>
          <w:trHeight w:val="198"/>
        </w:trPr>
        <w:tc>
          <w:tcPr>
            <w:tcW w:w="140" w:type="dxa"/>
            <w:vAlign w:val="bottom"/>
          </w:tcPr>
          <w:p>
            <w:pPr>
              <w:spacing w:after="0"/>
              <w:rPr>
                <w:sz w:val="17"/>
                <w:szCs w:val="17"/>
                <w:color w:val="auto"/>
              </w:rPr>
            </w:pPr>
          </w:p>
        </w:tc>
        <w:tc>
          <w:tcPr>
            <w:tcW w:w="4080" w:type="dxa"/>
            <w:vAlign w:val="bottom"/>
            <w:gridSpan w:val="7"/>
          </w:tcPr>
          <w:p>
            <w:pPr>
              <w:jc w:val="center"/>
              <w:ind w:right="48"/>
              <w:spacing w:after="0"/>
              <w:rPr>
                <w:sz w:val="20"/>
                <w:szCs w:val="20"/>
                <w:color w:val="auto"/>
              </w:rPr>
            </w:pPr>
            <w:r>
              <w:rPr>
                <w:rFonts w:ascii="Arial" w:cs="Arial" w:eastAsia="Arial" w:hAnsi="Arial"/>
                <w:sz w:val="14"/>
                <w:szCs w:val="14"/>
                <w:b w:val="1"/>
                <w:bCs w:val="1"/>
                <w:color w:val="auto"/>
              </w:rPr>
              <w:t>Year Ended December 31, 2015</w:t>
            </w:r>
          </w:p>
        </w:tc>
      </w:tr>
      <w:tr>
        <w:trPr>
          <w:trHeight w:val="174"/>
        </w:trPr>
        <w:tc>
          <w:tcPr>
            <w:tcW w:w="1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2"/>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r>
      <w:tr>
        <w:trPr>
          <w:trHeight w:val="169"/>
        </w:trPr>
        <w:tc>
          <w:tcPr>
            <w:tcW w:w="140" w:type="dxa"/>
            <w:vAlign w:val="bottom"/>
          </w:tcPr>
          <w:p>
            <w:pPr>
              <w:spacing w:after="0"/>
              <w:rPr>
                <w:sz w:val="14"/>
                <w:szCs w:val="14"/>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As Previously</w:t>
            </w:r>
          </w:p>
        </w:tc>
        <w:tc>
          <w:tcPr>
            <w:tcW w:w="5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96"/>
        </w:trPr>
        <w:tc>
          <w:tcPr>
            <w:tcW w:w="140" w:type="dxa"/>
            <w:vAlign w:val="bottom"/>
          </w:tcPr>
          <w:p>
            <w:pPr>
              <w:spacing w:after="0"/>
              <w:rPr>
                <w:sz w:val="17"/>
                <w:szCs w:val="17"/>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Reported</w:t>
            </w:r>
          </w:p>
        </w:tc>
        <w:tc>
          <w:tcPr>
            <w:tcW w:w="14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Effect of Change</w:t>
            </w:r>
          </w:p>
        </w:tc>
        <w:tc>
          <w:tcPr>
            <w:tcW w:w="180" w:type="dxa"/>
            <w:vAlign w:val="bottom"/>
          </w:tcPr>
          <w:p>
            <w:pPr>
              <w:spacing w:after="0"/>
              <w:rPr>
                <w:sz w:val="17"/>
                <w:szCs w:val="17"/>
                <w:color w:val="auto"/>
              </w:rPr>
            </w:pPr>
          </w:p>
        </w:tc>
        <w:tc>
          <w:tcPr>
            <w:tcW w:w="1160" w:type="dxa"/>
            <w:vAlign w:val="bottom"/>
          </w:tcPr>
          <w:p>
            <w:pPr>
              <w:jc w:val="right"/>
              <w:ind w:right="168"/>
              <w:spacing w:after="0"/>
              <w:rPr>
                <w:sz w:val="20"/>
                <w:szCs w:val="20"/>
                <w:color w:val="auto"/>
              </w:rPr>
            </w:pPr>
            <w:r>
              <w:rPr>
                <w:rFonts w:ascii="Arial" w:cs="Arial" w:eastAsia="Arial" w:hAnsi="Arial"/>
                <w:sz w:val="14"/>
                <w:szCs w:val="14"/>
                <w:b w:val="1"/>
                <w:bCs w:val="1"/>
                <w:color w:val="auto"/>
              </w:rPr>
              <w:t>As Adjusted</w:t>
            </w:r>
          </w:p>
        </w:tc>
      </w:tr>
      <w:tr>
        <w:trPr>
          <w:trHeight w:val="244"/>
        </w:trPr>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(148)</w:t>
            </w:r>
          </w:p>
        </w:tc>
        <w:tc>
          <w:tcPr>
            <w:tcW w:w="100" w:type="dxa"/>
            <w:vAlign w:val="bottom"/>
          </w:tcPr>
          <w:p>
            <w:pPr>
              <w:spacing w:after="0"/>
              <w:rPr>
                <w:sz w:val="21"/>
                <w:szCs w:val="21"/>
                <w:color w:val="auto"/>
              </w:rPr>
            </w:pPr>
          </w:p>
        </w:tc>
        <w:tc>
          <w:tcPr>
            <w:tcW w:w="560" w:type="dxa"/>
            <w:vAlign w:val="bottom"/>
            <w:tcBorders>
              <w:top w:val="single" w:sz="8" w:color="auto"/>
            </w:tcBorders>
          </w:tcPr>
          <w:p>
            <w:pPr>
              <w:jc w:val="right"/>
              <w:ind w:right="388"/>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148</w:t>
            </w:r>
          </w:p>
        </w:tc>
        <w:tc>
          <w:tcPr>
            <w:tcW w:w="100" w:type="dxa"/>
            <w:vAlign w:val="bottom"/>
          </w:tcPr>
          <w:p>
            <w:pPr>
              <w:spacing w:after="0"/>
              <w:rPr>
                <w:sz w:val="21"/>
                <w:szCs w:val="21"/>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140" w:type="dxa"/>
            <w:vAlign w:val="bottom"/>
          </w:tcPr>
          <w:p>
            <w:pPr>
              <w:spacing w:after="0"/>
              <w:rPr>
                <w:sz w:val="23"/>
                <w:szCs w:val="23"/>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3</w:t>
            </w:r>
          </w:p>
        </w:tc>
      </w:tr>
      <w:tr>
        <w:trPr>
          <w:trHeight w:val="270"/>
        </w:trPr>
        <w:tc>
          <w:tcPr>
            <w:tcW w:w="1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(2,830)</w:t>
            </w: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145</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(2,685)</w:t>
            </w:r>
          </w:p>
        </w:tc>
      </w:tr>
    </w:tbl>
    <w:p>
      <w:pPr>
        <w:spacing w:after="0" w:line="200" w:lineRule="exact"/>
        <w:rPr>
          <w:sz w:val="20"/>
          <w:szCs w:val="20"/>
          <w:color w:val="auto"/>
        </w:rPr>
      </w:pPr>
    </w:p>
    <w:p>
      <w:pPr>
        <w:sectPr>
          <w:pgSz w:w="11900" w:h="16838" w:orient="portrait"/>
          <w:cols w:equalWidth="0" w:num="2">
            <w:col w:w="6560" w:space="340"/>
            <w:col w:w="4500"/>
          </w:cols>
          <w:pgMar w:left="240" w:top="140" w:right="259" w:bottom="1440" w:gutter="0" w:footer="0" w:header="0"/>
          <w:type w:val="continuous"/>
        </w:sectPr>
      </w:pPr>
    </w:p>
    <w:p>
      <w:pPr>
        <w:spacing w:after="0" w:line="114" w:lineRule="exact"/>
        <w:rPr>
          <w:sz w:val="20"/>
          <w:szCs w:val="20"/>
          <w:color w:val="auto"/>
        </w:rPr>
      </w:pPr>
    </w:p>
    <w:p>
      <w:pPr>
        <w:ind w:left="980" w:right="580" w:hanging="161"/>
        <w:spacing w:after="0" w:line="258" w:lineRule="auto"/>
        <w:rPr>
          <w:sz w:val="20"/>
          <w:szCs w:val="20"/>
          <w:color w:val="auto"/>
        </w:rPr>
      </w:pPr>
      <w:r>
        <w:rPr>
          <w:rFonts w:ascii="Arial" w:cs="Arial" w:eastAsia="Arial" w:hAnsi="Arial"/>
          <w:sz w:val="14"/>
          <w:szCs w:val="14"/>
          <w:color w:val="auto"/>
        </w:rPr>
        <w:t>Effect of changes in exchange rates on cash and cash equivalents, program and restricted cash</w:t>
      </w:r>
    </w:p>
    <w:p>
      <w:pPr>
        <w:spacing w:after="0" w:line="200" w:lineRule="exact"/>
        <w:rPr>
          <w:sz w:val="20"/>
          <w:szCs w:val="20"/>
          <w:color w:val="auto"/>
        </w:rPr>
      </w:pPr>
    </w:p>
    <w:p>
      <w:pPr>
        <w:spacing w:after="0" w:line="264" w:lineRule="exact"/>
        <w:rPr>
          <w:sz w:val="20"/>
          <w:szCs w:val="20"/>
          <w:color w:val="auto"/>
        </w:rPr>
      </w:pPr>
    </w:p>
    <w:p>
      <w:pPr>
        <w:ind w:left="820" w:right="1420"/>
        <w:spacing w:after="0" w:line="419" w:lineRule="auto"/>
        <w:rPr>
          <w:sz w:val="20"/>
          <w:szCs w:val="20"/>
          <w:color w:val="auto"/>
        </w:rPr>
      </w:pPr>
      <w:r>
        <w:rPr>
          <w:rFonts w:ascii="Arial" w:cs="Arial" w:eastAsia="Arial" w:hAnsi="Arial"/>
          <w:sz w:val="14"/>
          <w:szCs w:val="14"/>
          <w:color w:val="auto"/>
        </w:rPr>
        <w:t>Net decrease in cash and cash equivalents, program and restricted cash Cash and cash equivalents, program and restricted cash, beginning of period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2"/>
        </w:trPr>
        <w:tc>
          <w:tcPr>
            <w:tcW w:w="900" w:type="dxa"/>
            <w:vAlign w:val="bottom"/>
          </w:tcPr>
          <w:p>
            <w:pPr>
              <w:jc w:val="right"/>
              <w:ind w:right="508"/>
              <w:spacing w:after="0"/>
              <w:rPr>
                <w:sz w:val="20"/>
                <w:szCs w:val="20"/>
                <w:color w:val="auto"/>
              </w:rPr>
            </w:pPr>
            <w:r>
              <w:rPr>
                <w:rFonts w:ascii="Arial" w:cs="Arial" w:eastAsia="Arial" w:hAnsi="Arial"/>
                <w:sz w:val="14"/>
                <w:szCs w:val="14"/>
                <w:color w:val="auto"/>
              </w:rPr>
              <w:t>(41)</w:t>
            </w:r>
          </w:p>
        </w:tc>
        <w:tc>
          <w:tcPr>
            <w:tcW w:w="1440" w:type="dxa"/>
            <w:vAlign w:val="bottom"/>
          </w:tcPr>
          <w:p>
            <w:pPr>
              <w:jc w:val="right"/>
              <w:ind w:right="488"/>
              <w:spacing w:after="0"/>
              <w:rPr>
                <w:sz w:val="20"/>
                <w:szCs w:val="20"/>
                <w:color w:val="auto"/>
              </w:rPr>
            </w:pPr>
            <w:r>
              <w:rPr>
                <w:rFonts w:ascii="Arial" w:cs="Arial" w:eastAsia="Arial" w:hAnsi="Arial"/>
                <w:sz w:val="14"/>
                <w:szCs w:val="14"/>
                <w:color w:val="auto"/>
              </w:rPr>
              <w:t>(9)</w:t>
            </w:r>
          </w:p>
        </w:tc>
        <w:tc>
          <w:tcPr>
            <w:tcW w:w="880" w:type="dxa"/>
            <w:vAlign w:val="bottom"/>
          </w:tcPr>
          <w:p>
            <w:pPr>
              <w:jc w:val="right"/>
              <w:spacing w:after="0"/>
              <w:rPr>
                <w:sz w:val="20"/>
                <w:szCs w:val="20"/>
                <w:color w:val="auto"/>
              </w:rPr>
            </w:pPr>
            <w:r>
              <w:rPr>
                <w:rFonts w:ascii="Arial" w:cs="Arial" w:eastAsia="Arial" w:hAnsi="Arial"/>
                <w:sz w:val="14"/>
                <w:szCs w:val="14"/>
                <w:color w:val="auto"/>
              </w:rPr>
              <w:t>(50)</w:t>
            </w:r>
          </w:p>
        </w:tc>
      </w:tr>
      <w:tr>
        <w:trPr>
          <w:trHeight w:val="540"/>
        </w:trPr>
        <w:tc>
          <w:tcPr>
            <w:tcW w:w="900" w:type="dxa"/>
            <w:vAlign w:val="bottom"/>
          </w:tcPr>
          <w:p>
            <w:pPr>
              <w:jc w:val="right"/>
              <w:ind w:right="508"/>
              <w:spacing w:after="0"/>
              <w:rPr>
                <w:sz w:val="20"/>
                <w:szCs w:val="20"/>
                <w:color w:val="auto"/>
              </w:rPr>
            </w:pPr>
            <w:r>
              <w:rPr>
                <w:rFonts w:ascii="Arial" w:cs="Arial" w:eastAsia="Arial" w:hAnsi="Arial"/>
                <w:sz w:val="14"/>
                <w:szCs w:val="14"/>
                <w:color w:val="auto"/>
                <w:w w:val="91"/>
              </w:rPr>
              <w:t>(172)</w:t>
            </w:r>
          </w:p>
        </w:tc>
        <w:tc>
          <w:tcPr>
            <w:tcW w:w="1440" w:type="dxa"/>
            <w:vAlign w:val="bottom"/>
          </w:tcPr>
          <w:p>
            <w:pPr>
              <w:jc w:val="right"/>
              <w:ind w:right="548"/>
              <w:spacing w:after="0"/>
              <w:rPr>
                <w:sz w:val="20"/>
                <w:szCs w:val="20"/>
                <w:color w:val="auto"/>
              </w:rPr>
            </w:pPr>
            <w:r>
              <w:rPr>
                <w:rFonts w:ascii="Arial" w:cs="Arial" w:eastAsia="Arial" w:hAnsi="Arial"/>
                <w:sz w:val="14"/>
                <w:szCs w:val="14"/>
                <w:color w:val="auto"/>
              </w:rPr>
              <w:t>136</w:t>
            </w:r>
          </w:p>
        </w:tc>
        <w:tc>
          <w:tcPr>
            <w:tcW w:w="880" w:type="dxa"/>
            <w:vAlign w:val="bottom"/>
          </w:tcPr>
          <w:p>
            <w:pPr>
              <w:jc w:val="right"/>
              <w:spacing w:after="0"/>
              <w:rPr>
                <w:sz w:val="20"/>
                <w:szCs w:val="20"/>
                <w:color w:val="auto"/>
              </w:rPr>
            </w:pPr>
            <w:r>
              <w:rPr>
                <w:rFonts w:ascii="Arial" w:cs="Arial" w:eastAsia="Arial" w:hAnsi="Arial"/>
                <w:sz w:val="14"/>
                <w:szCs w:val="14"/>
                <w:color w:val="auto"/>
              </w:rPr>
              <w:t>(36)</w:t>
            </w:r>
          </w:p>
        </w:tc>
      </w:tr>
      <w:tr>
        <w:trPr>
          <w:trHeight w:val="378"/>
        </w:trPr>
        <w:tc>
          <w:tcPr>
            <w:tcW w:w="900" w:type="dxa"/>
            <w:vAlign w:val="bottom"/>
          </w:tcPr>
          <w:p>
            <w:pPr>
              <w:jc w:val="right"/>
              <w:ind w:right="548"/>
              <w:spacing w:after="0"/>
              <w:rPr>
                <w:sz w:val="20"/>
                <w:szCs w:val="20"/>
                <w:color w:val="auto"/>
              </w:rPr>
            </w:pPr>
            <w:r>
              <w:rPr>
                <w:rFonts w:ascii="Arial" w:cs="Arial" w:eastAsia="Arial" w:hAnsi="Arial"/>
                <w:sz w:val="14"/>
                <w:szCs w:val="14"/>
                <w:color w:val="auto"/>
              </w:rPr>
              <w:t>624</w:t>
            </w:r>
          </w:p>
        </w:tc>
        <w:tc>
          <w:tcPr>
            <w:tcW w:w="1440" w:type="dxa"/>
            <w:vAlign w:val="bottom"/>
          </w:tcPr>
          <w:p>
            <w:pPr>
              <w:jc w:val="right"/>
              <w:ind w:right="548"/>
              <w:spacing w:after="0"/>
              <w:rPr>
                <w:sz w:val="20"/>
                <w:szCs w:val="20"/>
                <w:color w:val="auto"/>
              </w:rPr>
            </w:pPr>
            <w:r>
              <w:rPr>
                <w:rFonts w:ascii="Arial" w:cs="Arial" w:eastAsia="Arial" w:hAnsi="Arial"/>
                <w:sz w:val="14"/>
                <w:szCs w:val="14"/>
                <w:color w:val="auto"/>
              </w:rPr>
              <w:t>129</w:t>
            </w:r>
          </w:p>
        </w:tc>
        <w:tc>
          <w:tcPr>
            <w:tcW w:w="880" w:type="dxa"/>
            <w:vAlign w:val="bottom"/>
          </w:tcPr>
          <w:p>
            <w:pPr>
              <w:jc w:val="right"/>
              <w:spacing w:after="0"/>
              <w:rPr>
                <w:sz w:val="20"/>
                <w:szCs w:val="20"/>
                <w:color w:val="auto"/>
              </w:rPr>
            </w:pPr>
            <w:r>
              <w:rPr>
                <w:rFonts w:ascii="Arial" w:cs="Arial" w:eastAsia="Arial" w:hAnsi="Arial"/>
                <w:sz w:val="14"/>
                <w:szCs w:val="14"/>
                <w:color w:val="auto"/>
              </w:rPr>
              <w:t>753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7620</wp:posOffset>
            </wp:positionV>
            <wp:extent cx="268414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26" w:lineRule="exact"/>
        <w:rPr>
          <w:sz w:val="20"/>
          <w:szCs w:val="20"/>
          <w:color w:val="auto"/>
        </w:rPr>
      </w:pPr>
    </w:p>
    <w:p>
      <w:pPr>
        <w:sectPr>
          <w:pgSz w:w="11900" w:h="16838" w:orient="portrait"/>
          <w:cols w:equalWidth="0" w:num="2">
            <w:col w:w="7140" w:space="720"/>
            <w:col w:w="3540"/>
          </w:cols>
          <w:pgMar w:left="240" w:top="140" w:right="259" w:bottom="1440" w:gutter="0" w:footer="0" w:header="0"/>
          <w:type w:val="continuous"/>
        </w:sectPr>
      </w:pPr>
    </w:p>
    <w:p>
      <w:pPr>
        <w:ind w:left="820"/>
        <w:spacing w:after="0"/>
        <w:rPr>
          <w:sz w:val="20"/>
          <w:szCs w:val="20"/>
          <w:color w:val="auto"/>
        </w:rPr>
      </w:pPr>
      <w:r>
        <w:rPr>
          <w:rFonts w:ascii="Arial" w:cs="Arial" w:eastAsia="Arial" w:hAnsi="Arial"/>
          <w:sz w:val="14"/>
          <w:szCs w:val="14"/>
          <w:b w:val="1"/>
          <w:bCs w:val="1"/>
          <w:color w:val="auto"/>
        </w:rPr>
        <w:t>Cash and cash equivalents, program and restricted cash, end of period</w:t>
      </w:r>
    </w:p>
    <w:p>
      <w:pPr>
        <w:spacing w:after="0" w:line="6" w:lineRule="exact"/>
        <w:rPr>
          <w:sz w:val="20"/>
          <w:szCs w:val="20"/>
          <w:color w:val="auto"/>
        </w:rPr>
      </w:pPr>
    </w:p>
    <w:p>
      <w:pPr>
        <w:ind w:left="6920"/>
        <w:spacing w:after="0"/>
        <w:tabs>
          <w:tab w:leader="none" w:pos="7880" w:val="left"/>
          <w:tab w:leader="none" w:pos="8340" w:val="left"/>
          <w:tab w:leader="none" w:pos="9320" w:val="left"/>
          <w:tab w:leader="none" w:pos="9800" w:val="left"/>
          <w:tab w:leader="none" w:pos="10760" w:val="left"/>
        </w:tabs>
        <w:rPr>
          <w:sz w:val="20"/>
          <w:szCs w:val="20"/>
          <w:color w:val="auto"/>
        </w:rPr>
      </w:pP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452</w:t>
        <w:tab/>
        <w:t>$</w:t>
      </w:r>
      <w:r>
        <w:rPr>
          <w:sz w:val="20"/>
          <w:szCs w:val="20"/>
          <w:color w:val="auto"/>
        </w:rPr>
        <w:tab/>
      </w:r>
      <w:r>
        <w:rPr>
          <w:rFonts w:ascii="Arial" w:cs="Arial" w:eastAsia="Arial" w:hAnsi="Arial"/>
          <w:sz w:val="14"/>
          <w:szCs w:val="14"/>
          <w:color w:val="auto"/>
        </w:rPr>
        <w:t>265</w:t>
        <w:tab/>
        <w:t>$</w:t>
      </w:r>
      <w:r>
        <w:rPr>
          <w:sz w:val="20"/>
          <w:szCs w:val="20"/>
          <w:color w:val="auto"/>
        </w:rPr>
        <w:tab/>
      </w:r>
      <w:r>
        <w:rPr>
          <w:rFonts w:ascii="Arial" w:cs="Arial" w:eastAsia="Arial" w:hAnsi="Arial"/>
          <w:sz w:val="14"/>
          <w:szCs w:val="14"/>
          <w:color w:val="auto"/>
        </w:rPr>
        <w:t>717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4378960</wp:posOffset>
            </wp:positionH>
            <wp:positionV relativeFrom="paragraph">
              <wp:posOffset>14605</wp:posOffset>
            </wp:positionV>
            <wp:extent cx="2684145"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684145" cy="26035"/>
                    </a:xfrm>
                    <a:prstGeom prst="rect">
                      <a:avLst/>
                    </a:prstGeom>
                    <a:noFill/>
                  </pic:spPr>
                </pic:pic>
              </a:graphicData>
            </a:graphic>
          </wp:anchor>
        </w:drawing>
      </w:r>
    </w:p>
    <w:p>
      <w:pPr>
        <w:spacing w:after="0" w:line="205" w:lineRule="exact"/>
        <w:rPr>
          <w:sz w:val="20"/>
          <w:szCs w:val="20"/>
          <w:color w:val="auto"/>
        </w:rPr>
      </w:pPr>
    </w:p>
    <w:p>
      <w:pPr>
        <w:ind w:left="500" w:right="520"/>
        <w:spacing w:after="0" w:line="262" w:lineRule="auto"/>
        <w:rPr>
          <w:sz w:val="20"/>
          <w:szCs w:val="20"/>
          <w:color w:val="auto"/>
        </w:rPr>
      </w:pPr>
      <w:r>
        <w:rPr>
          <w:rFonts w:ascii="Arial" w:cs="Arial" w:eastAsia="Arial" w:hAnsi="Arial"/>
          <w:sz w:val="18"/>
          <w:szCs w:val="18"/>
          <w:color w:val="auto"/>
        </w:rPr>
        <w:t>Program cash primarily represents amounts specifically designated to purchase assets under vehicle programs and/or to repay the related debt, as such the Company considers it a restricted cash equivalent under this standard.</w:t>
      </w:r>
    </w:p>
    <w:p>
      <w:pPr>
        <w:spacing w:after="0" w:line="142" w:lineRule="exact"/>
        <w:rPr>
          <w:sz w:val="20"/>
          <w:szCs w:val="20"/>
          <w:color w:val="auto"/>
        </w:rPr>
      </w:pPr>
    </w:p>
    <w:p>
      <w:pPr>
        <w:ind w:left="500" w:right="80"/>
        <w:spacing w:after="0" w:line="262" w:lineRule="auto"/>
        <w:rPr>
          <w:sz w:val="20"/>
          <w:szCs w:val="20"/>
          <w:color w:val="auto"/>
        </w:rPr>
      </w:pPr>
      <w:r>
        <w:rPr>
          <w:rFonts w:ascii="Arial" w:cs="Arial" w:eastAsia="Arial" w:hAnsi="Arial"/>
          <w:sz w:val="18"/>
          <w:szCs w:val="18"/>
          <w:color w:val="auto"/>
        </w:rPr>
        <w:t>The following table provides a reconciliation of cash and cash equivalents, program and restricted cash reported within the Consolidated Balance Sheets to the amounts shown in the Consolidated Statements of Cash Flows:</w:t>
      </w:r>
    </w:p>
    <w:p>
      <w:pPr>
        <w:spacing w:after="0" w:line="134" w:lineRule="exact"/>
        <w:rPr>
          <w:sz w:val="20"/>
          <w:szCs w:val="20"/>
          <w:color w:val="auto"/>
        </w:rPr>
      </w:pPr>
    </w:p>
    <w:tbl>
      <w:tblPr>
        <w:tblLayout w:type="fixed"/>
        <w:tblInd w:w="520" w:type="dxa"/>
        <w:tblCellMar>
          <w:top w:w="0" w:type="dxa"/>
          <w:left w:w="0" w:type="dxa"/>
          <w:bottom w:w="0" w:type="dxa"/>
          <w:right w:w="0" w:type="dxa"/>
        </w:tblCellMar>
      </w:tblPr>
      <w:tr>
        <w:trPr>
          <w:trHeight w:val="246"/>
        </w:trPr>
        <w:tc>
          <w:tcPr>
            <w:tcW w:w="7280" w:type="dxa"/>
            <w:vAlign w:val="bottom"/>
          </w:tcPr>
          <w:p>
            <w:pPr>
              <w:spacing w:after="0"/>
              <w:rPr>
                <w:sz w:val="21"/>
                <w:szCs w:val="21"/>
                <w:color w:val="auto"/>
              </w:rPr>
            </w:pPr>
          </w:p>
        </w:tc>
        <w:tc>
          <w:tcPr>
            <w:tcW w:w="2560" w:type="dxa"/>
            <w:vAlign w:val="bottom"/>
            <w:tcBorders>
              <w:bottom w:val="single" w:sz="8" w:color="auto"/>
            </w:tcBorders>
            <w:gridSpan w:val="4"/>
          </w:tcPr>
          <w:p>
            <w:pPr>
              <w:jc w:val="right"/>
              <w:ind w:right="110"/>
              <w:spacing w:after="0"/>
              <w:rPr>
                <w:sz w:val="20"/>
                <w:szCs w:val="20"/>
                <w:color w:val="auto"/>
              </w:rPr>
            </w:pPr>
            <w:r>
              <w:rPr>
                <w:rFonts w:ascii="Arial" w:cs="Arial" w:eastAsia="Arial" w:hAnsi="Arial"/>
                <w:sz w:val="18"/>
                <w:szCs w:val="18"/>
                <w:b w:val="1"/>
                <w:bCs w:val="1"/>
                <w:color w:val="auto"/>
              </w:rPr>
              <w:t>As of December 31,</w:t>
            </w:r>
          </w:p>
        </w:tc>
        <w:tc>
          <w:tcPr>
            <w:tcW w:w="460" w:type="dxa"/>
            <w:vAlign w:val="bottom"/>
            <w:tcBorders>
              <w:bottom w:val="single" w:sz="8" w:color="auto"/>
            </w:tcBorders>
          </w:tcPr>
          <w:p>
            <w:pPr>
              <w:spacing w:after="0"/>
              <w:rPr>
                <w:sz w:val="21"/>
                <w:szCs w:val="21"/>
                <w:color w:val="auto"/>
              </w:rPr>
            </w:pPr>
          </w:p>
        </w:tc>
      </w:tr>
      <w:tr>
        <w:trPr>
          <w:trHeight w:val="264"/>
        </w:trPr>
        <w:tc>
          <w:tcPr>
            <w:tcW w:w="7280" w:type="dxa"/>
            <w:vAlign w:val="bottom"/>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2017</w:t>
            </w:r>
          </w:p>
        </w:tc>
        <w:tc>
          <w:tcPr>
            <w:tcW w:w="4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2016</w:t>
            </w:r>
          </w:p>
        </w:tc>
        <w:tc>
          <w:tcPr>
            <w:tcW w:w="460" w:type="dxa"/>
            <w:vAlign w:val="bottom"/>
            <w:tcBorders>
              <w:bottom w:val="single" w:sz="8" w:color="auto"/>
            </w:tcBorders>
          </w:tcPr>
          <w:p>
            <w:pPr>
              <w:spacing w:after="0"/>
              <w:rPr>
                <w:sz w:val="22"/>
                <w:szCs w:val="22"/>
                <w:color w:val="auto"/>
              </w:rPr>
            </w:pPr>
          </w:p>
        </w:tc>
      </w:tr>
      <w:tr>
        <w:trPr>
          <w:trHeight w:val="243"/>
        </w:trPr>
        <w:tc>
          <w:tcPr>
            <w:tcW w:w="72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000" w:type="dxa"/>
            <w:vAlign w:val="bottom"/>
          </w:tcPr>
          <w:p>
            <w:pPr>
              <w:jc w:val="right"/>
              <w:ind w:right="790"/>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611</w:t>
            </w:r>
          </w:p>
        </w:tc>
        <w:tc>
          <w:tcPr>
            <w:tcW w:w="100" w:type="dxa"/>
            <w:vAlign w:val="bottom"/>
          </w:tcPr>
          <w:p>
            <w:pPr>
              <w:spacing w:after="0"/>
              <w:rPr>
                <w:sz w:val="21"/>
                <w:szCs w:val="21"/>
                <w:color w:val="auto"/>
              </w:rPr>
            </w:pPr>
          </w:p>
        </w:tc>
        <w:tc>
          <w:tcPr>
            <w:tcW w:w="1000" w:type="dxa"/>
            <w:vAlign w:val="bottom"/>
          </w:tcPr>
          <w:p>
            <w:pPr>
              <w:jc w:val="right"/>
              <w:ind w:right="77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490</w:t>
            </w:r>
          </w:p>
        </w:tc>
      </w:tr>
      <w:tr>
        <w:trPr>
          <w:trHeight w:val="270"/>
        </w:trPr>
        <w:tc>
          <w:tcPr>
            <w:tcW w:w="7280" w:type="dxa"/>
            <w:vAlign w:val="bottom"/>
          </w:tcPr>
          <w:p>
            <w:pPr>
              <w:spacing w:after="0"/>
              <w:rPr>
                <w:sz w:val="20"/>
                <w:szCs w:val="20"/>
                <w:color w:val="auto"/>
              </w:rPr>
            </w:pPr>
            <w:r>
              <w:rPr>
                <w:rFonts w:ascii="Arial" w:cs="Arial" w:eastAsia="Arial" w:hAnsi="Arial"/>
                <w:sz w:val="18"/>
                <w:szCs w:val="18"/>
                <w:color w:val="auto"/>
              </w:rPr>
              <w:t>Program cash</w:t>
            </w:r>
          </w:p>
        </w:tc>
        <w:tc>
          <w:tcPr>
            <w:tcW w:w="1000" w:type="dxa"/>
            <w:vAlign w:val="bottom"/>
          </w:tcPr>
          <w:p>
            <w:pPr>
              <w:spacing w:after="0"/>
              <w:rPr>
                <w:sz w:val="23"/>
                <w:szCs w:val="23"/>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283</w:t>
            </w:r>
          </w:p>
        </w:tc>
        <w:tc>
          <w:tcPr>
            <w:tcW w:w="1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225</w:t>
            </w:r>
          </w:p>
        </w:tc>
      </w:tr>
      <w:tr>
        <w:trPr>
          <w:trHeight w:val="284"/>
        </w:trPr>
        <w:tc>
          <w:tcPr>
            <w:tcW w:w="7280" w:type="dxa"/>
            <w:vAlign w:val="bottom"/>
          </w:tcPr>
          <w:p>
            <w:pPr>
              <w:spacing w:after="0"/>
              <w:rPr>
                <w:sz w:val="20"/>
                <w:szCs w:val="20"/>
                <w:color w:val="auto"/>
              </w:rPr>
            </w:pPr>
            <w:r>
              <w:rPr>
                <w:rFonts w:ascii="Arial" w:cs="Arial" w:eastAsia="Arial" w:hAnsi="Arial"/>
                <w:sz w:val="18"/>
                <w:szCs w:val="18"/>
                <w:color w:val="auto"/>
              </w:rPr>
              <w:t xml:space="preserve">Restricted cash </w:t>
            </w:r>
            <w:r>
              <w:rPr>
                <w:rFonts w:ascii="Arial" w:cs="Arial" w:eastAsia="Arial" w:hAnsi="Arial"/>
                <w:sz w:val="21"/>
                <w:szCs w:val="21"/>
                <w:color w:val="auto"/>
                <w:vertAlign w:val="superscript"/>
              </w:rPr>
              <w:t>(a)</w:t>
            </w:r>
          </w:p>
        </w:tc>
        <w:tc>
          <w:tcPr>
            <w:tcW w:w="10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r>
      <w:tr>
        <w:trPr>
          <w:trHeight w:val="237"/>
        </w:trPr>
        <w:tc>
          <w:tcPr>
            <w:tcW w:w="7280" w:type="dxa"/>
            <w:vAlign w:val="bottom"/>
          </w:tcPr>
          <w:p>
            <w:pPr>
              <w:spacing w:after="0"/>
              <w:rPr>
                <w:sz w:val="20"/>
                <w:szCs w:val="20"/>
                <w:color w:val="auto"/>
              </w:rPr>
            </w:pPr>
            <w:r>
              <w:rPr>
                <w:rFonts w:ascii="Arial" w:cs="Arial" w:eastAsia="Arial" w:hAnsi="Arial"/>
                <w:sz w:val="18"/>
                <w:szCs w:val="18"/>
                <w:color w:val="auto"/>
              </w:rPr>
              <w:t>Total cash and cash equivalents, program and restricted cash</w:t>
            </w:r>
          </w:p>
        </w:tc>
        <w:tc>
          <w:tcPr>
            <w:tcW w:w="1000" w:type="dxa"/>
            <w:vAlign w:val="bottom"/>
          </w:tcPr>
          <w:p>
            <w:pPr>
              <w:jc w:val="right"/>
              <w:ind w:right="790"/>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901</w:t>
            </w:r>
          </w:p>
        </w:tc>
        <w:tc>
          <w:tcPr>
            <w:tcW w:w="100" w:type="dxa"/>
            <w:vAlign w:val="bottom"/>
          </w:tcPr>
          <w:p>
            <w:pPr>
              <w:spacing w:after="0"/>
              <w:rPr>
                <w:sz w:val="20"/>
                <w:szCs w:val="20"/>
                <w:color w:val="auto"/>
              </w:rPr>
            </w:pPr>
          </w:p>
        </w:tc>
        <w:tc>
          <w:tcPr>
            <w:tcW w:w="1000" w:type="dxa"/>
            <w:vAlign w:val="bottom"/>
          </w:tcPr>
          <w:p>
            <w:pPr>
              <w:jc w:val="right"/>
              <w:ind w:right="77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720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4953635</wp:posOffset>
            </wp:positionH>
            <wp:positionV relativeFrom="paragraph">
              <wp:posOffset>8890</wp:posOffset>
            </wp:positionV>
            <wp:extent cx="1920875"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920875" cy="26035"/>
                    </a:xfrm>
                    <a:prstGeom prst="rect">
                      <a:avLst/>
                    </a:prstGeom>
                    <a:noFill/>
                  </pic:spPr>
                </pic:pic>
              </a:graphicData>
            </a:graphic>
          </wp:anchor>
        </w:drawing>
      </w:r>
    </w:p>
    <w:p>
      <w:pPr>
        <w:spacing w:after="0" w:line="3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_________</w:t>
      </w:r>
    </w:p>
    <w:p>
      <w:pPr>
        <w:ind w:left="820" w:hanging="326"/>
        <w:spacing w:after="0" w:line="209" w:lineRule="auto"/>
        <w:tabs>
          <w:tab w:leader="none" w:pos="820" w:val="left"/>
        </w:tabs>
        <w:numPr>
          <w:ilvl w:val="0"/>
          <w:numId w:val="59"/>
        </w:numPr>
        <w:rPr>
          <w:rFonts w:ascii="Arial" w:cs="Arial" w:eastAsia="Arial" w:hAnsi="Arial"/>
          <w:sz w:val="18"/>
          <w:szCs w:val="18"/>
          <w:color w:val="auto"/>
          <w:vertAlign w:val="superscript"/>
        </w:rPr>
      </w:pPr>
      <w:r>
        <w:rPr>
          <w:rFonts w:ascii="Arial" w:cs="Arial" w:eastAsia="Arial" w:hAnsi="Arial"/>
          <w:sz w:val="14"/>
          <w:szCs w:val="14"/>
          <w:color w:val="auto"/>
        </w:rPr>
        <w:t>Included within other current assets.</w:t>
      </w:r>
    </w:p>
    <w:p>
      <w:pPr>
        <w:spacing w:after="0" w:line="182"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Classification of Certain Cash Receipts and Cash Payments</w:t>
      </w:r>
    </w:p>
    <w:p>
      <w:pPr>
        <w:spacing w:after="0" w:line="243" w:lineRule="exact"/>
        <w:rPr>
          <w:sz w:val="20"/>
          <w:szCs w:val="20"/>
          <w:color w:val="auto"/>
        </w:rPr>
      </w:pPr>
    </w:p>
    <w:p>
      <w:pPr>
        <w:ind w:left="500"/>
        <w:spacing w:after="0" w:line="251" w:lineRule="auto"/>
        <w:rPr>
          <w:sz w:val="20"/>
          <w:szCs w:val="20"/>
          <w:color w:val="auto"/>
        </w:rPr>
      </w:pPr>
      <w:r>
        <w:rPr>
          <w:rFonts w:ascii="Arial" w:cs="Arial" w:eastAsia="Arial" w:hAnsi="Arial"/>
          <w:sz w:val="18"/>
          <w:szCs w:val="18"/>
          <w:color w:val="auto"/>
        </w:rPr>
        <w:t>In August 2016, the FASB issued ASU 2016-15, “Statement of Cash Flows (Topic 230): Classification of Certain Cash Receipts and Cash Payments,” which clarifies guidance on the classification of certain cash receipts and cash payments in the statement of cash flows. These items include, debt prepayment or debt extinguishment costs, settlement of zero-coupon debt instruments, contingent consideration payments made after a business combination, proceeds from the settlement of life insurance claims, proceeds from the settlement of corporate-owned life insurance policies, and distributions received from equity method investees. ASU 2016-15 becomes effective for the Company on January 1, 2018; however, as of December 31, 2017 the Company has elected to adopt the provisions of ASU 2016-15 early on a retrospective basis. The Company elected to account for distributions received from equity method investees using the nature of the distribution approach. The adoption of this accounting pronouncement did not have an impact on the Company’s Consolidated Financial Statements.</w:t>
      </w:r>
    </w:p>
    <w:p>
      <w:pPr>
        <w:sectPr>
          <w:pgSz w:w="11900" w:h="16838" w:orient="portrait"/>
          <w:cols w:equalWidth="0" w:num="1">
            <w:col w:w="11400"/>
          </w:cols>
          <w:pgMar w:left="240" w:top="140" w:right="259" w:bottom="1440" w:gutter="0" w:footer="0" w:header="0"/>
          <w:type w:val="continuous"/>
        </w:sect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400"/>
          </w:cols>
          <w:pgMar w:left="240" w:top="140" w:right="259" w:bottom="1440" w:gutter="0" w:footer="0" w:header="0"/>
          <w:type w:val="continuous"/>
        </w:sectPr>
      </w:pPr>
    </w:p>
    <w:bookmarkStart w:id="82" w:name="page83"/>
    <w:bookmarkEnd w:id="8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3"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Improvements to Employee Share-Based Payment Accounting</w:t>
      </w:r>
    </w:p>
    <w:p>
      <w:pPr>
        <w:spacing w:after="0" w:line="243" w:lineRule="exact"/>
        <w:rPr>
          <w:sz w:val="20"/>
          <w:szCs w:val="20"/>
          <w:color w:val="auto"/>
        </w:rPr>
      </w:pPr>
    </w:p>
    <w:p>
      <w:pPr>
        <w:ind w:left="500" w:right="20"/>
        <w:spacing w:after="0" w:line="251" w:lineRule="auto"/>
        <w:rPr>
          <w:sz w:val="20"/>
          <w:szCs w:val="20"/>
          <w:color w:val="auto"/>
        </w:rPr>
      </w:pPr>
      <w:r>
        <w:rPr>
          <w:rFonts w:ascii="Arial" w:cs="Arial" w:eastAsia="Arial" w:hAnsi="Arial"/>
          <w:sz w:val="18"/>
          <w:szCs w:val="18"/>
          <w:color w:val="auto"/>
        </w:rPr>
        <w:t>On January 1, 2017, as a result of a new accounting pronouncement, the Company adopted Accounting Standards Update (”ASU”) 2016-09, “Compensation—Stock Compensation (Topic 718): Improvements to Employee Share-Based Payment Accounting,” which simplifies several aspects of the accounting for employee share-based payment transactions, including the accounting for income taxes, forfeitures, minimum statutory withholding requirements and classification in the statement of cash flows. Accordingly, in the Company’s Consolidated Balance Sheet at January 1, 2017, deferred income tax assets, net of the valuation allowance were increased by $56 million related to previously unrecognized excess tax benefits associated with equity awards, with a corresponding decrease to accumulated deficit, using the modified retrospective method. In 2017, as a result of the adoption of ASU 2016-09, share-based compensation excess tax benefits or deductions are included in the Consolidated Statement of Operations as a component of provision for (benefit from) income taxes, previously these amounts were recognized in equity. In addition, in the Company’s Consolidated Statement of Cash Flows for the years ended December 31, 2016 and 2015, cash taxes paid related to shares directly withheld from employees for tax purposes of $11 million and $43 million, respectively, were reclassified from accounts payable and other current liabilities within net cash provided by operating activities to repurchases of common stock within net cash used in financing activities exclusive of vehicle programs. The Company elected to account for forfeitures on an actual basis, which did not have a material impact on its Consolidated Financial Statements.</w:t>
      </w:r>
    </w:p>
    <w:p>
      <w:pPr>
        <w:spacing w:after="0" w:line="18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Improving the Presentation of Net Periodic Pension Cost and Net Periodic Postretirement Benefit Cost</w:t>
      </w:r>
    </w:p>
    <w:p>
      <w:pPr>
        <w:spacing w:after="0" w:line="243" w:lineRule="exact"/>
        <w:rPr>
          <w:sz w:val="20"/>
          <w:szCs w:val="20"/>
          <w:color w:val="auto"/>
        </w:rPr>
      </w:pPr>
    </w:p>
    <w:p>
      <w:pPr>
        <w:ind w:left="500"/>
        <w:spacing w:after="0" w:line="274" w:lineRule="auto"/>
        <w:rPr>
          <w:sz w:val="20"/>
          <w:szCs w:val="20"/>
          <w:color w:val="auto"/>
        </w:rPr>
      </w:pPr>
      <w:r>
        <w:rPr>
          <w:rFonts w:ascii="Arial" w:cs="Arial" w:eastAsia="Arial" w:hAnsi="Arial"/>
          <w:sz w:val="17"/>
          <w:szCs w:val="17"/>
          <w:color w:val="auto"/>
        </w:rPr>
        <w:t>On January 1, 2018, as a result of a new accounting pronouncement, the Company adopted ASU 2017-07, “Compensation—Retirement Benefits (Topic 715): Improving the Presentation of Net Periodic Pension Costs and Net Periodic Postretirement Benefit Cost,” which requires an entity to disaggregate the components of net benefit cost recognized in the consolidated statements of operations. The adoption of this accounting pronouncement did not have an impact on the Company’s Consolidated Financial Statements.</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Recognition and Measurement of Financial Assets and Financial Liabilities</w:t>
      </w:r>
    </w:p>
    <w:p>
      <w:pPr>
        <w:spacing w:after="0" w:line="243" w:lineRule="exact"/>
        <w:rPr>
          <w:sz w:val="20"/>
          <w:szCs w:val="20"/>
          <w:color w:val="auto"/>
        </w:rPr>
      </w:pPr>
    </w:p>
    <w:p>
      <w:pPr>
        <w:ind w:left="500" w:right="40"/>
        <w:spacing w:after="0" w:line="253" w:lineRule="auto"/>
        <w:rPr>
          <w:sz w:val="20"/>
          <w:szCs w:val="20"/>
          <w:color w:val="auto"/>
        </w:rPr>
      </w:pPr>
      <w:r>
        <w:rPr>
          <w:rFonts w:ascii="Arial" w:cs="Arial" w:eastAsia="Arial" w:hAnsi="Arial"/>
          <w:sz w:val="18"/>
          <w:szCs w:val="18"/>
          <w:color w:val="auto"/>
        </w:rPr>
        <w:t>On January 1, 2018, as a result of a new accounting pronouncement, the Company adopted ASU 2016 -01, “Financial Instruments— Overall (Subtopic 825-10): Recognition and Measurement of Financial Assets and Financial Liabilities,” which makes limited amendments to the classification and measurement of financial instruments. The new standard amends certain disclosure requirements associated with the fair value of financial instruments. The adoption of this accounting pronouncement did not have a material impact on the Company’s Consolidated Financial Statements.</w:t>
      </w:r>
    </w:p>
    <w:p>
      <w:pPr>
        <w:spacing w:after="0" w:line="188"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Intra-Entity Transfers of Assets Other Than Inventory</w:t>
      </w:r>
    </w:p>
    <w:p>
      <w:pPr>
        <w:spacing w:after="0" w:line="243" w:lineRule="exact"/>
        <w:rPr>
          <w:sz w:val="20"/>
          <w:szCs w:val="20"/>
          <w:color w:val="auto"/>
        </w:rPr>
      </w:pPr>
    </w:p>
    <w:p>
      <w:pPr>
        <w:ind w:left="500" w:right="120"/>
        <w:spacing w:after="0" w:line="254" w:lineRule="auto"/>
        <w:rPr>
          <w:sz w:val="20"/>
          <w:szCs w:val="20"/>
          <w:color w:val="auto"/>
        </w:rPr>
      </w:pPr>
      <w:r>
        <w:rPr>
          <w:rFonts w:ascii="Arial" w:cs="Arial" w:eastAsia="Arial" w:hAnsi="Arial"/>
          <w:sz w:val="18"/>
          <w:szCs w:val="18"/>
          <w:color w:val="auto"/>
        </w:rPr>
        <w:t>On January 1, 2018, as a result of a new accounting pronouncement, the Company adopted ASU 2016-16, “Income Taxes (Topic 740): Intra-Entity Transfers of Assets Other Than Inventory,” which removes the prohibition in Topic 740 against the immediate recognition of the current and deferred income tax effects of intra-entity transfers of assets other than inventory. The adoption of this accounting pronouncement did not have an impact on the Company’s Consolidated Financial Statements.</w:t>
      </w:r>
    </w:p>
    <w:p>
      <w:pPr>
        <w:spacing w:after="0" w:line="186"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Revenue from Contracts with Customers</w:t>
      </w:r>
    </w:p>
    <w:p>
      <w:pPr>
        <w:spacing w:after="0" w:line="243" w:lineRule="exact"/>
        <w:rPr>
          <w:sz w:val="20"/>
          <w:szCs w:val="20"/>
          <w:color w:val="auto"/>
        </w:rPr>
      </w:pPr>
    </w:p>
    <w:p>
      <w:pPr>
        <w:ind w:left="500" w:right="100"/>
        <w:spacing w:after="0" w:line="252" w:lineRule="auto"/>
        <w:rPr>
          <w:sz w:val="20"/>
          <w:szCs w:val="20"/>
          <w:color w:val="auto"/>
        </w:rPr>
      </w:pPr>
      <w:r>
        <w:rPr>
          <w:rFonts w:ascii="Arial" w:cs="Arial" w:eastAsia="Arial" w:hAnsi="Arial"/>
          <w:sz w:val="18"/>
          <w:szCs w:val="18"/>
          <w:color w:val="auto"/>
        </w:rPr>
        <w:t>On January 1, 2018, as a result of a new accounting pronouncement, the Company adopted ASU 2014 -09, “Revenue from Contracts with Customers (Topic 606),” which outlines a single model for entities to use in accounting for revenue arising from contracts with customers and supersedes current revenue recognition guidance. The new guidance applies to all contracts with customers except for leases, insurance contracts, financial instruments, certain nonmonetary exchanges and certain guarantees. Also, additional disclosures are required about the nature, amount, timing and uncertainty of revenue and cash flows arising from customer contracts, including significant judgments and changes in judgments. The Company has adopted the requirements of the new standard on a modified retrospective basis applied to all contracts. Prior</w:t>
      </w:r>
    </w:p>
    <w:p>
      <w:pPr>
        <w:spacing w:after="0" w:line="23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340"/>
          </w:cols>
          <w:pgMar w:left="240" w:top="140" w:right="319" w:bottom="1440" w:gutter="0" w:footer="0" w:header="0"/>
        </w:sectPr>
      </w:pPr>
    </w:p>
    <w:bookmarkStart w:id="83" w:name="page84"/>
    <w:bookmarkEnd w:id="8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3" w:lineRule="exact"/>
        <w:rPr>
          <w:sz w:val="20"/>
          <w:szCs w:val="20"/>
          <w:color w:val="auto"/>
        </w:rPr>
      </w:pPr>
    </w:p>
    <w:p>
      <w:pPr>
        <w:ind w:left="500" w:right="40"/>
        <w:spacing w:after="0" w:line="253" w:lineRule="auto"/>
        <w:rPr>
          <w:sz w:val="20"/>
          <w:szCs w:val="20"/>
          <w:color w:val="auto"/>
        </w:rPr>
      </w:pPr>
      <w:r>
        <w:rPr>
          <w:rFonts w:ascii="Arial" w:cs="Arial" w:eastAsia="Arial" w:hAnsi="Arial"/>
          <w:sz w:val="18"/>
          <w:szCs w:val="18"/>
          <w:color w:val="auto"/>
        </w:rPr>
        <w:t xml:space="preserve">periods will not be retrospectively adjusted. As discussed in </w:t>
      </w:r>
      <w:r>
        <w:rPr>
          <w:rFonts w:ascii="Arial" w:cs="Arial" w:eastAsia="Arial" w:hAnsi="Arial"/>
          <w:sz w:val="18"/>
          <w:szCs w:val="18"/>
          <w:i w:val="1"/>
          <w:iCs w:val="1"/>
          <w:color w:val="auto"/>
        </w:rPr>
        <w:t>Leases</w:t>
      </w:r>
      <w:r>
        <w:rPr>
          <w:rFonts w:ascii="Arial" w:cs="Arial" w:eastAsia="Arial" w:hAnsi="Arial"/>
          <w:sz w:val="18"/>
          <w:szCs w:val="18"/>
          <w:color w:val="auto"/>
        </w:rPr>
        <w:t xml:space="preserve"> below, the Company’s vehicle rental revenues will be accounted for under Topic 606 until the adoption of ASU 2016-02, “Leases (Topic 842) on January 1, 2019. Upon adoption of Topic 606, each transaction that generates customer loyalty points results in the deferral of revenue equivalent to the retail value of the redemption of the loyalty points. The associated revenue will be recognized at the time the customer redeems the loyalty points. Previously, the Company did not defer revenue and recorded an expense associated with the incremental cost of providing the future rental at the time when the loyalty points were earned. Accordingly, in the Company’s Consolidated Balance Sheet at January 1, 2018, customer loyalty program liability increased approximately $50 million related to the retail value of customer loyalty points earned, with a corresponding increase to accumulated deficit (approximately $40 million, net of tax) due to the cumulative impact of adopting Topic 606. Certain customers may receive cash-based rebates, which are accounted for as variable consideration under Topic 606. The Company currently estimates these rebates based on the expected amount to be provided to customers and reduces revenue recognized. There will not be significant changes to these rebate estimates under Topic 606.</w:t>
      </w:r>
    </w:p>
    <w:p>
      <w:pPr>
        <w:spacing w:after="0" w:line="193"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Accounting for Hedging Activities</w:t>
      </w:r>
    </w:p>
    <w:p>
      <w:pPr>
        <w:spacing w:after="0" w:line="243" w:lineRule="exact"/>
        <w:rPr>
          <w:sz w:val="20"/>
          <w:szCs w:val="20"/>
          <w:color w:val="auto"/>
        </w:rPr>
      </w:pPr>
    </w:p>
    <w:p>
      <w:pPr>
        <w:ind w:left="500" w:right="360"/>
        <w:spacing w:after="0" w:line="253" w:lineRule="auto"/>
        <w:rPr>
          <w:sz w:val="20"/>
          <w:szCs w:val="20"/>
          <w:color w:val="auto"/>
        </w:rPr>
      </w:pPr>
      <w:r>
        <w:rPr>
          <w:rFonts w:ascii="Arial" w:cs="Arial" w:eastAsia="Arial" w:hAnsi="Arial"/>
          <w:sz w:val="18"/>
          <w:szCs w:val="18"/>
          <w:color w:val="auto"/>
        </w:rPr>
        <w:t>In August 2017, the FASB issued ASU 2017-12, “Derivatives and Hedging (Topic 815): Targeted Improvements to Accounting for Hedging Activities,” which amends the existing guidance to allow companies to more accurately present the economic results of an entity’s risk management activities in the financial statements. ASU 2017-12 becomes effective for the Company on January 1, 2019. Early adoption is permitted. The Company is currently evaluating the effect of this accounting pronouncement on its Consolidated Financial Statements.</w:t>
      </w:r>
    </w:p>
    <w:p>
      <w:pPr>
        <w:spacing w:after="0" w:line="188"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Measurement of Credit Losses on Financial Instruments</w:t>
      </w:r>
    </w:p>
    <w:p>
      <w:pPr>
        <w:spacing w:after="0" w:line="243" w:lineRule="exact"/>
        <w:rPr>
          <w:sz w:val="20"/>
          <w:szCs w:val="20"/>
          <w:color w:val="auto"/>
        </w:rPr>
      </w:pPr>
    </w:p>
    <w:p>
      <w:pPr>
        <w:ind w:left="500" w:right="40"/>
        <w:spacing w:after="0" w:line="252" w:lineRule="auto"/>
        <w:rPr>
          <w:sz w:val="20"/>
          <w:szCs w:val="20"/>
          <w:color w:val="auto"/>
        </w:rPr>
      </w:pPr>
      <w:r>
        <w:rPr>
          <w:rFonts w:ascii="Arial" w:cs="Arial" w:eastAsia="Arial" w:hAnsi="Arial"/>
          <w:sz w:val="18"/>
          <w:szCs w:val="18"/>
          <w:color w:val="auto"/>
        </w:rPr>
        <w:t>In June 2016, the FASB issued ASU 2016-13, “Financial Instruments—Credit Losses (Topic 326): Measurement of Credit Losses on Financial Instruments,” which sets forth a current expected credit loss impairment model for financial assets that replaces the current incurred loss model. This model requires a financial asset (or group of financial assets), including trade receivables, measured at amortized cost to be presented at the net amount expected to be collected with an allowance for credit losses deducted from the amortized cost basis. The allowance for credit losses should reflect management’s current estimate of credit losses that are expected to occur over the remaining life of a financial asset. ASU 2016-13 becomes effective for the Company on January 1, 2020. Early adoption is permitted as of January 1, 2019. The adoption of this accounting pronouncement is not expected to have a material impact on the Company's Financial Statements.</w:t>
      </w:r>
    </w:p>
    <w:p>
      <w:pPr>
        <w:spacing w:after="0" w:line="188"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Leases</w:t>
      </w:r>
    </w:p>
    <w:p>
      <w:pPr>
        <w:spacing w:after="0" w:line="243" w:lineRule="exact"/>
        <w:rPr>
          <w:sz w:val="20"/>
          <w:szCs w:val="20"/>
          <w:color w:val="auto"/>
        </w:rPr>
      </w:pPr>
    </w:p>
    <w:p>
      <w:pPr>
        <w:ind w:left="500"/>
        <w:spacing w:after="0" w:line="251" w:lineRule="auto"/>
        <w:rPr>
          <w:sz w:val="20"/>
          <w:szCs w:val="20"/>
          <w:color w:val="auto"/>
        </w:rPr>
      </w:pPr>
      <w:r>
        <w:rPr>
          <w:rFonts w:ascii="Arial" w:cs="Arial" w:eastAsia="Arial" w:hAnsi="Arial"/>
          <w:sz w:val="18"/>
          <w:szCs w:val="18"/>
          <w:color w:val="auto"/>
        </w:rPr>
        <w:t xml:space="preserve">In February 2016, the FASB issued ASU 2016-02, “Leases (Topic 842),” which requires a lessee to recognize all long-term leases on its balance sheet as a liability for its lease obligation, measured at the present value of lease payments not yet paid, and a corresponding asset representing its right to use the underlying asset over the lease term and expands disclosure of key information about leasing arrangements. The ASU does not significantly change a lessee’s recognition, measurement and presentation of expenses and cash flows. Additionally, ASU 2016-02 aligns key aspects of lessor accounting with the new revenue recognition guidance in ASU 2014-09 (see above). ASU 2016-02 becomes effective for the Company on January 1, 2019. Early adoption is permitted. In transition, lessees and lessors are required to recognize and measure leases at the beginning of the earliest period presented using a modified retrospective approach which includes a number of optional practical expedients that entities may elect to apply. The Company is currently evaluating and planning for the implementation of this ASU, including assessing its overall impact, and expects most of its operating lease commitments will be subject to the new standard and recognized as operating lease liabilities and right-of-use assets upon adoption, which will materially increase total assets and total liabilities relative to such amounts prior to adoption. The Company has determined portions of its vehicle rental contracts that convey the right to control the use of identified assets are within the scope of the accounting guidance contained in ASU 2016-02. As discussed in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above, the Company’s vehicle rental revenues will be accounted for under the revenue accounting standard Topic 606 effective January 1, 2018, until the adoption of this accounting pronouncement on January 1, 2019.</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420"/>
          </w:cols>
          <w:pgMar w:left="240" w:top="140" w:right="239" w:bottom="1440" w:gutter="0" w:footer="0" w:header="0"/>
        </w:sectPr>
      </w:pPr>
    </w:p>
    <w:bookmarkStart w:id="84" w:name="page85"/>
    <w:bookmarkEnd w:id="8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3"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Income Taxes</w:t>
      </w:r>
    </w:p>
    <w:p>
      <w:pPr>
        <w:spacing w:after="0" w:line="243" w:lineRule="exact"/>
        <w:rPr>
          <w:sz w:val="20"/>
          <w:szCs w:val="20"/>
          <w:color w:val="auto"/>
        </w:rPr>
      </w:pPr>
    </w:p>
    <w:p>
      <w:pPr>
        <w:ind w:left="500" w:right="80"/>
        <w:spacing w:after="0" w:line="252" w:lineRule="auto"/>
        <w:rPr>
          <w:sz w:val="20"/>
          <w:szCs w:val="20"/>
          <w:color w:val="auto"/>
        </w:rPr>
      </w:pPr>
      <w:r>
        <w:rPr>
          <w:rFonts w:ascii="Arial" w:cs="Arial" w:eastAsia="Arial" w:hAnsi="Arial"/>
          <w:sz w:val="18"/>
          <w:szCs w:val="18"/>
          <w:color w:val="auto"/>
        </w:rPr>
        <w:t>In January 2018, the FASB issued FASB Staff Question and Answer Topic 740, No. 5: Accounting for Global Intangible Low-Taxed Income (“GILTI”), which provides guidance on accounting for the GILTI provisions of the Tax Act. The GILTI provisions impose a tax on foreign income in excess of a deemed return on tangible assets of foreign corporations. The guidance allows accounting for tax on GILTI to be treated as a deferred tax item or as a component of current period income tax expense in the year incurred, subject to an accounting policy election. The Company has not completed its analysis of the GILTI provisions of the Tax Act and therefore has not made an accounting policy election related to such provision. The Company will complete its analysis in a subsequent period not to exceed one year from the date of the enactment of the Tax Act and will elect an accounting policy at such time.</w:t>
      </w:r>
    </w:p>
    <w:p>
      <w:pPr>
        <w:spacing w:after="0" w:line="185" w:lineRule="exact"/>
        <w:rPr>
          <w:sz w:val="20"/>
          <w:szCs w:val="20"/>
          <w:color w:val="auto"/>
        </w:rPr>
      </w:pPr>
    </w:p>
    <w:p>
      <w:pPr>
        <w:ind w:left="500" w:hanging="492"/>
        <w:spacing w:after="0"/>
        <w:tabs>
          <w:tab w:leader="none" w:pos="500"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193"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sets forth the computation of basic and diluted earnings per share (“EPS”) (shares in millions):</w:t>
      </w:r>
    </w:p>
    <w:p>
      <w:pPr>
        <w:spacing w:after="0" w:line="163" w:lineRule="exact"/>
        <w:rPr>
          <w:sz w:val="20"/>
          <w:szCs w:val="20"/>
          <w:color w:val="auto"/>
        </w:rPr>
      </w:pPr>
    </w:p>
    <w:tbl>
      <w:tblPr>
        <w:tblLayout w:type="fixed"/>
        <w:tblInd w:w="520" w:type="dxa"/>
        <w:tblCellMar>
          <w:top w:w="0" w:type="dxa"/>
          <w:left w:w="0" w:type="dxa"/>
          <w:bottom w:w="0" w:type="dxa"/>
          <w:right w:w="0" w:type="dxa"/>
        </w:tblCellMar>
      </w:tblPr>
      <w:tr>
        <w:trPr>
          <w:trHeight w:val="246"/>
        </w:trPr>
        <w:tc>
          <w:tcPr>
            <w:tcW w:w="66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3400" w:type="dxa"/>
            <w:vAlign w:val="bottom"/>
            <w:tcBorders>
              <w:bottom w:val="single" w:sz="8" w:color="auto"/>
            </w:tcBorders>
            <w:gridSpan w:val="7"/>
          </w:tcPr>
          <w:p>
            <w:pPr>
              <w:jc w:val="right"/>
              <w:ind w:right="610"/>
              <w:spacing w:after="0"/>
              <w:rPr>
                <w:sz w:val="20"/>
                <w:szCs w:val="20"/>
                <w:color w:val="auto"/>
              </w:rPr>
            </w:pPr>
            <w:r>
              <w:rPr>
                <w:rFonts w:ascii="Arial" w:cs="Arial" w:eastAsia="Arial" w:hAnsi="Arial"/>
                <w:sz w:val="18"/>
                <w:szCs w:val="18"/>
                <w:b w:val="1"/>
                <w:bCs w:val="1"/>
                <w:color w:val="auto"/>
              </w:rPr>
              <w:t>Year Ended December 31,</w:t>
            </w:r>
          </w:p>
        </w:tc>
        <w:tc>
          <w:tcPr>
            <w:tcW w:w="0" w:type="dxa"/>
            <w:vAlign w:val="bottom"/>
          </w:tcPr>
          <w:p>
            <w:pPr>
              <w:spacing w:after="0"/>
              <w:rPr>
                <w:sz w:val="1"/>
                <w:szCs w:val="1"/>
                <w:color w:val="auto"/>
              </w:rPr>
            </w:pPr>
          </w:p>
        </w:tc>
      </w:tr>
      <w:tr>
        <w:trPr>
          <w:trHeight w:val="264"/>
        </w:trPr>
        <w:tc>
          <w:tcPr>
            <w:tcW w:w="664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2015</w:t>
            </w:r>
          </w:p>
        </w:tc>
        <w:tc>
          <w:tcPr>
            <w:tcW w:w="0" w:type="dxa"/>
            <w:vAlign w:val="bottom"/>
          </w:tcPr>
          <w:p>
            <w:pPr>
              <w:spacing w:after="0"/>
              <w:rPr>
                <w:sz w:val="1"/>
                <w:szCs w:val="1"/>
                <w:color w:val="auto"/>
              </w:rPr>
            </w:pPr>
          </w:p>
        </w:tc>
      </w:tr>
      <w:tr>
        <w:trPr>
          <w:trHeight w:val="243"/>
        </w:trPr>
        <w:tc>
          <w:tcPr>
            <w:tcW w:w="6640" w:type="dxa"/>
            <w:vAlign w:val="bottom"/>
          </w:tcPr>
          <w:p>
            <w:pPr>
              <w:spacing w:after="0"/>
              <w:rPr>
                <w:sz w:val="20"/>
                <w:szCs w:val="20"/>
                <w:color w:val="auto"/>
              </w:rPr>
            </w:pPr>
            <w:r>
              <w:rPr>
                <w:rFonts w:ascii="Arial" w:cs="Arial" w:eastAsia="Arial" w:hAnsi="Arial"/>
                <w:sz w:val="18"/>
                <w:szCs w:val="18"/>
                <w:color w:val="auto"/>
              </w:rPr>
              <w:t>Net income for basic and diluted EPS</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361</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163</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313</w:t>
            </w:r>
          </w:p>
        </w:tc>
        <w:tc>
          <w:tcPr>
            <w:tcW w:w="0" w:type="dxa"/>
            <w:vAlign w:val="bottom"/>
          </w:tcPr>
          <w:p>
            <w:pPr>
              <w:spacing w:after="0"/>
              <w:rPr>
                <w:sz w:val="1"/>
                <w:szCs w:val="1"/>
                <w:color w:val="auto"/>
              </w:rPr>
            </w:pPr>
          </w:p>
        </w:tc>
      </w:tr>
      <w:tr>
        <w:trPr>
          <w:trHeight w:val="500"/>
        </w:trPr>
        <w:tc>
          <w:tcPr>
            <w:tcW w:w="6640" w:type="dxa"/>
            <w:vAlign w:val="bottom"/>
          </w:tcPr>
          <w:p>
            <w:pPr>
              <w:spacing w:after="0"/>
              <w:rPr>
                <w:sz w:val="20"/>
                <w:szCs w:val="20"/>
                <w:color w:val="auto"/>
              </w:rPr>
            </w:pPr>
            <w:r>
              <w:rPr>
                <w:rFonts w:ascii="Arial" w:cs="Arial" w:eastAsia="Arial" w:hAnsi="Arial"/>
                <w:sz w:val="18"/>
                <w:szCs w:val="18"/>
                <w:color w:val="auto"/>
              </w:rPr>
              <w:t>Basic weighted average shares outstanding</w:t>
            </w:r>
          </w:p>
        </w:tc>
        <w:tc>
          <w:tcPr>
            <w:tcW w:w="260" w:type="dxa"/>
            <w:vAlign w:val="bottom"/>
          </w:tcPr>
          <w:p>
            <w:pPr>
              <w:spacing w:after="0"/>
              <w:rPr>
                <w:sz w:val="24"/>
                <w:szCs w:val="24"/>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83.4</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92.0</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103.4</w:t>
            </w:r>
          </w:p>
        </w:tc>
        <w:tc>
          <w:tcPr>
            <w:tcW w:w="0" w:type="dxa"/>
            <w:vAlign w:val="bottom"/>
          </w:tcPr>
          <w:p>
            <w:pPr>
              <w:spacing w:after="0"/>
              <w:rPr>
                <w:sz w:val="1"/>
                <w:szCs w:val="1"/>
                <w:color w:val="auto"/>
              </w:rPr>
            </w:pPr>
          </w:p>
        </w:tc>
      </w:tr>
      <w:tr>
        <w:trPr>
          <w:trHeight w:val="277"/>
        </w:trPr>
        <w:tc>
          <w:tcPr>
            <w:tcW w:w="6640" w:type="dxa"/>
            <w:vAlign w:val="bottom"/>
          </w:tcPr>
          <w:p>
            <w:pPr>
              <w:spacing w:after="0"/>
              <w:rPr>
                <w:sz w:val="20"/>
                <w:szCs w:val="20"/>
                <w:color w:val="auto"/>
              </w:rPr>
            </w:pPr>
            <w:r>
              <w:rPr>
                <w:rFonts w:ascii="Arial" w:cs="Arial" w:eastAsia="Arial" w:hAnsi="Arial"/>
                <w:sz w:val="18"/>
                <w:szCs w:val="18"/>
                <w:color w:val="auto"/>
              </w:rPr>
              <w:t>Options and non-vested stock</w:t>
            </w: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50"/>
        </w:trPr>
        <w:tc>
          <w:tcPr>
            <w:tcW w:w="6640" w:type="dxa"/>
            <w:vAlign w:val="bottom"/>
          </w:tcPr>
          <w:p>
            <w:pPr>
              <w:spacing w:after="0"/>
              <w:rPr>
                <w:sz w:val="20"/>
                <w:szCs w:val="20"/>
                <w:color w:val="auto"/>
              </w:rPr>
            </w:pPr>
            <w:r>
              <w:rPr>
                <w:rFonts w:ascii="Arial" w:cs="Arial" w:eastAsia="Arial" w:hAnsi="Arial"/>
                <w:sz w:val="18"/>
                <w:szCs w:val="18"/>
                <w:color w:val="auto"/>
              </w:rPr>
              <w:t>Diluted weighted average shares outstanding</w:t>
            </w: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84.8</w:t>
            </w:r>
          </w:p>
        </w:tc>
        <w:tc>
          <w:tcPr>
            <w:tcW w:w="1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93.3</w:t>
            </w:r>
          </w:p>
        </w:tc>
        <w:tc>
          <w:tcPr>
            <w:tcW w:w="1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105.0</w:t>
            </w:r>
          </w:p>
        </w:tc>
        <w:tc>
          <w:tcPr>
            <w:tcW w:w="0" w:type="dxa"/>
            <w:vAlign w:val="bottom"/>
          </w:tcPr>
          <w:p>
            <w:pPr>
              <w:spacing w:after="0"/>
              <w:rPr>
                <w:sz w:val="1"/>
                <w:szCs w:val="1"/>
                <w:color w:val="auto"/>
              </w:rPr>
            </w:pPr>
          </w:p>
        </w:tc>
      </w:tr>
      <w:tr>
        <w:trPr>
          <w:trHeight w:val="20"/>
        </w:trPr>
        <w:tc>
          <w:tcPr>
            <w:tcW w:w="6640" w:type="dxa"/>
            <w:vAlign w:val="bottom"/>
            <w:vMerge w:val="restart"/>
          </w:tcPr>
          <w:p>
            <w:pPr>
              <w:spacing w:after="0"/>
              <w:rPr>
                <w:sz w:val="20"/>
                <w:szCs w:val="20"/>
                <w:color w:val="auto"/>
              </w:rPr>
            </w:pPr>
            <w:r>
              <w:rPr>
                <w:rFonts w:ascii="Arial" w:cs="Arial" w:eastAsia="Arial" w:hAnsi="Arial"/>
                <w:sz w:val="18"/>
                <w:szCs w:val="18"/>
                <w:i w:val="1"/>
                <w:iCs w:val="1"/>
                <w:color w:val="auto"/>
              </w:rPr>
              <w:t>Earnings per share:</w:t>
            </w: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0"/>
        </w:trPr>
        <w:tc>
          <w:tcPr>
            <w:tcW w:w="66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6640" w:type="dxa"/>
            <w:vAlign w:val="bottom"/>
          </w:tcPr>
          <w:p>
            <w:pPr>
              <w:ind w:left="280"/>
              <w:spacing w:after="0"/>
              <w:rPr>
                <w:sz w:val="20"/>
                <w:szCs w:val="20"/>
                <w:color w:val="auto"/>
              </w:rPr>
            </w:pPr>
            <w:r>
              <w:rPr>
                <w:rFonts w:ascii="Arial" w:cs="Arial" w:eastAsia="Arial" w:hAnsi="Arial"/>
                <w:sz w:val="18"/>
                <w:szCs w:val="18"/>
                <w:color w:val="auto"/>
              </w:rPr>
              <w:t>Basic</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4.32</w:t>
            </w:r>
          </w:p>
        </w:tc>
        <w:tc>
          <w:tcPr>
            <w:tcW w:w="100" w:type="dxa"/>
            <w:vAlign w:val="bottom"/>
          </w:tcPr>
          <w:p>
            <w:pPr>
              <w:spacing w:after="0"/>
              <w:rPr>
                <w:sz w:val="24"/>
                <w:szCs w:val="24"/>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1.78</w:t>
            </w:r>
          </w:p>
        </w:tc>
        <w:tc>
          <w:tcPr>
            <w:tcW w:w="120" w:type="dxa"/>
            <w:vAlign w:val="bottom"/>
          </w:tcPr>
          <w:p>
            <w:pPr>
              <w:spacing w:after="0"/>
              <w:rPr>
                <w:sz w:val="24"/>
                <w:szCs w:val="24"/>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3.02</w:t>
            </w:r>
          </w:p>
        </w:tc>
        <w:tc>
          <w:tcPr>
            <w:tcW w:w="0" w:type="dxa"/>
            <w:vAlign w:val="bottom"/>
          </w:tcPr>
          <w:p>
            <w:pPr>
              <w:spacing w:after="0"/>
              <w:rPr>
                <w:sz w:val="1"/>
                <w:szCs w:val="1"/>
                <w:color w:val="auto"/>
              </w:rPr>
            </w:pPr>
          </w:p>
        </w:tc>
      </w:tr>
      <w:tr>
        <w:trPr>
          <w:trHeight w:val="270"/>
        </w:trPr>
        <w:tc>
          <w:tcPr>
            <w:tcW w:w="6640" w:type="dxa"/>
            <w:vAlign w:val="bottom"/>
          </w:tcPr>
          <w:p>
            <w:pPr>
              <w:ind w:left="280"/>
              <w:spacing w:after="0"/>
              <w:rPr>
                <w:sz w:val="20"/>
                <w:szCs w:val="20"/>
                <w:color w:val="auto"/>
              </w:rPr>
            </w:pPr>
            <w:r>
              <w:rPr>
                <w:rFonts w:ascii="Arial" w:cs="Arial" w:eastAsia="Arial" w:hAnsi="Arial"/>
                <w:sz w:val="18"/>
                <w:szCs w:val="18"/>
                <w:color w:val="auto"/>
              </w:rPr>
              <w:t>Diluted</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4.25</w:t>
            </w:r>
          </w:p>
        </w:tc>
        <w:tc>
          <w:tcPr>
            <w:tcW w:w="10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1.75</w:t>
            </w:r>
          </w:p>
        </w:tc>
        <w:tc>
          <w:tcPr>
            <w:tcW w:w="120" w:type="dxa"/>
            <w:vAlign w:val="bottom"/>
          </w:tcPr>
          <w:p>
            <w:pPr>
              <w:spacing w:after="0"/>
              <w:rPr>
                <w:sz w:val="23"/>
                <w:szCs w:val="23"/>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500" w:right="360"/>
        <w:spacing w:after="0" w:line="262" w:lineRule="auto"/>
        <w:rPr>
          <w:sz w:val="20"/>
          <w:szCs w:val="20"/>
          <w:color w:val="auto"/>
        </w:rPr>
      </w:pPr>
      <w:r>
        <w:rPr>
          <w:rFonts w:ascii="Arial" w:cs="Arial" w:eastAsia="Arial" w:hAnsi="Arial"/>
          <w:sz w:val="18"/>
          <w:szCs w:val="18"/>
          <w:color w:val="auto"/>
        </w:rPr>
        <w:t>The following table summarizes the Company’s outstanding common stock equivalents that were anti-dilutive and therefore excluded from the computation of diluted EPS (shares in millions):</w:t>
      </w:r>
    </w:p>
    <w:p>
      <w:pPr>
        <w:spacing w:after="0" w:line="134" w:lineRule="exact"/>
        <w:rPr>
          <w:sz w:val="20"/>
          <w:szCs w:val="20"/>
          <w:color w:val="auto"/>
        </w:rPr>
      </w:pPr>
    </w:p>
    <w:p>
      <w:pPr>
        <w:ind w:left="8200"/>
        <w:spacing w:after="0"/>
        <w:rPr>
          <w:sz w:val="20"/>
          <w:szCs w:val="20"/>
          <w:color w:val="auto"/>
        </w:rPr>
      </w:pPr>
      <w:r>
        <w:rPr>
          <w:rFonts w:ascii="Arial" w:cs="Arial" w:eastAsia="Arial" w:hAnsi="Arial"/>
          <w:sz w:val="18"/>
          <w:szCs w:val="18"/>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4584700</wp:posOffset>
            </wp:positionH>
            <wp:positionV relativeFrom="paragraph">
              <wp:posOffset>28575</wp:posOffset>
            </wp:positionV>
            <wp:extent cx="228981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289810" cy="8890"/>
                    </a:xfrm>
                    <a:prstGeom prst="rect">
                      <a:avLst/>
                    </a:prstGeom>
                    <a:noFill/>
                  </pic:spPr>
                </pic:pic>
              </a:graphicData>
            </a:graphic>
          </wp:anchor>
        </w:drawing>
      </w:r>
    </w:p>
    <w:p>
      <w:pPr>
        <w:spacing w:after="0" w:line="57" w:lineRule="exact"/>
        <w:rPr>
          <w:sz w:val="20"/>
          <w:szCs w:val="20"/>
          <w:color w:val="auto"/>
        </w:rPr>
      </w:pPr>
    </w:p>
    <w:tbl>
      <w:tblPr>
        <w:tblLayout w:type="fixed"/>
        <w:tblInd w:w="500" w:type="dxa"/>
        <w:tblCellMar>
          <w:top w:w="0" w:type="dxa"/>
          <w:left w:w="0" w:type="dxa"/>
          <w:bottom w:w="0" w:type="dxa"/>
          <w:right w:w="0" w:type="dxa"/>
        </w:tblCellMar>
      </w:tblPr>
      <w:tr>
        <w:trPr>
          <w:trHeight w:val="246"/>
        </w:trPr>
        <w:tc>
          <w:tcPr>
            <w:tcW w:w="6720" w:type="dxa"/>
            <w:vAlign w:val="bottom"/>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2017</w:t>
            </w:r>
          </w:p>
        </w:tc>
        <w:tc>
          <w:tcPr>
            <w:tcW w:w="36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2016</w:t>
            </w:r>
          </w:p>
        </w:tc>
        <w:tc>
          <w:tcPr>
            <w:tcW w:w="3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2015</w:t>
            </w:r>
          </w:p>
        </w:tc>
      </w:tr>
      <w:tr>
        <w:trPr>
          <w:trHeight w:val="256"/>
        </w:trPr>
        <w:tc>
          <w:tcPr>
            <w:tcW w:w="7500" w:type="dxa"/>
            <w:vAlign w:val="bottom"/>
            <w:gridSpan w:val="2"/>
          </w:tcPr>
          <w:p>
            <w:pPr>
              <w:ind w:left="20"/>
              <w:spacing w:after="0"/>
              <w:rPr>
                <w:sz w:val="20"/>
                <w:szCs w:val="20"/>
                <w:color w:val="auto"/>
              </w:rPr>
            </w:pPr>
            <w:r>
              <w:rPr>
                <w:rFonts w:ascii="Arial" w:cs="Arial" w:eastAsia="Arial" w:hAnsi="Arial"/>
                <w:sz w:val="18"/>
                <w:szCs w:val="18"/>
                <w:color w:val="auto"/>
              </w:rPr>
              <w:t xml:space="preserve">Non-vested stock </w:t>
            </w:r>
            <w:r>
              <w:rPr>
                <w:rFonts w:ascii="Arial" w:cs="Arial" w:eastAsia="Arial" w:hAnsi="Arial"/>
                <w:sz w:val="21"/>
                <w:szCs w:val="21"/>
                <w:color w:val="auto"/>
                <w:vertAlign w:val="superscript"/>
              </w:rPr>
              <w:t>(a)</w:t>
            </w:r>
          </w:p>
        </w:tc>
        <w:tc>
          <w:tcPr>
            <w:tcW w:w="360" w:type="dxa"/>
            <w:vAlign w:val="bottom"/>
          </w:tcPr>
          <w:p>
            <w:pPr>
              <w:jc w:val="right"/>
              <w:ind w:right="10"/>
              <w:spacing w:after="0"/>
              <w:rPr>
                <w:sz w:val="20"/>
                <w:szCs w:val="20"/>
                <w:color w:val="auto"/>
              </w:rPr>
            </w:pPr>
            <w:r>
              <w:rPr>
                <w:rFonts w:ascii="Arial" w:cs="Arial" w:eastAsia="Arial" w:hAnsi="Arial"/>
                <w:sz w:val="18"/>
                <w:szCs w:val="18"/>
                <w:color w:val="auto"/>
                <w:w w:val="95"/>
              </w:rPr>
              <w:t>0.5</w:t>
            </w:r>
          </w:p>
        </w:tc>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60" w:type="dxa"/>
            <w:vAlign w:val="bottom"/>
          </w:tcPr>
          <w:p>
            <w:pPr>
              <w:jc w:val="right"/>
              <w:ind w:right="10"/>
              <w:spacing w:after="0"/>
              <w:rPr>
                <w:sz w:val="20"/>
                <w:szCs w:val="20"/>
                <w:color w:val="auto"/>
              </w:rPr>
            </w:pPr>
            <w:r>
              <w:rPr>
                <w:rFonts w:ascii="Arial" w:cs="Arial" w:eastAsia="Arial" w:hAnsi="Arial"/>
                <w:sz w:val="18"/>
                <w:szCs w:val="18"/>
                <w:color w:val="auto"/>
                <w:w w:val="95"/>
              </w:rPr>
              <w:t>0.2</w:t>
            </w:r>
          </w:p>
        </w:tc>
        <w:tc>
          <w:tcPr>
            <w:tcW w:w="1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214"/>
        </w:trPr>
        <w:tc>
          <w:tcPr>
            <w:tcW w:w="6720" w:type="dxa"/>
            <w:vAlign w:val="bottom"/>
          </w:tcPr>
          <w:p>
            <w:pPr>
              <w:spacing w:after="0"/>
              <w:rPr>
                <w:sz w:val="20"/>
                <w:szCs w:val="20"/>
                <w:color w:val="auto"/>
              </w:rPr>
            </w:pPr>
            <w:r>
              <w:rPr>
                <w:rFonts w:ascii="Arial" w:cs="Arial" w:eastAsia="Arial" w:hAnsi="Arial"/>
                <w:sz w:val="18"/>
                <w:szCs w:val="18"/>
                <w:color w:val="auto"/>
              </w:rPr>
              <w:t>__________</w:t>
            </w: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r>
    </w:tbl>
    <w:p>
      <w:pPr>
        <w:ind w:left="820" w:hanging="326"/>
        <w:spacing w:after="0" w:line="189" w:lineRule="auto"/>
        <w:tabs>
          <w:tab w:leader="none" w:pos="820" w:val="left"/>
        </w:tabs>
        <w:numPr>
          <w:ilvl w:val="1"/>
          <w:numId w:val="61"/>
        </w:numPr>
        <w:rPr>
          <w:rFonts w:ascii="Arial" w:cs="Arial" w:eastAsia="Arial" w:hAnsi="Arial"/>
          <w:sz w:val="22"/>
          <w:szCs w:val="22"/>
          <w:color w:val="auto"/>
          <w:vertAlign w:val="superscript"/>
        </w:rPr>
      </w:pPr>
      <w:r>
        <w:rPr>
          <w:rFonts w:ascii="Arial" w:cs="Arial" w:eastAsia="Arial" w:hAnsi="Arial"/>
          <w:sz w:val="16"/>
          <w:szCs w:val="16"/>
          <w:color w:val="auto"/>
        </w:rPr>
        <w:t>The weighted average grant date fair value for anti-dilutive non-vested stock for 2017, 2016 and 2015 was $38.40, $52.07 and $61.15, respectively.</w:t>
      </w:r>
    </w:p>
    <w:p>
      <w:pPr>
        <w:spacing w:after="0" w:line="159" w:lineRule="exact"/>
        <w:rPr>
          <w:rFonts w:ascii="Arial" w:cs="Arial" w:eastAsia="Arial" w:hAnsi="Arial"/>
          <w:sz w:val="22"/>
          <w:szCs w:val="22"/>
          <w:color w:val="auto"/>
          <w:vertAlign w:val="superscript"/>
        </w:rPr>
      </w:pPr>
    </w:p>
    <w:p>
      <w:pPr>
        <w:ind w:left="500" w:right="7380" w:hanging="492"/>
        <w:spacing w:after="0" w:line="513" w:lineRule="auto"/>
        <w:tabs>
          <w:tab w:leader="none" w:pos="500"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Restructuring and Other Related Charges </w:t>
      </w:r>
      <w:r>
        <w:rPr>
          <w:rFonts w:ascii="Arial" w:cs="Arial" w:eastAsia="Arial" w:hAnsi="Arial"/>
          <w:sz w:val="18"/>
          <w:szCs w:val="18"/>
          <w:b w:val="1"/>
          <w:bCs w:val="1"/>
          <w:i w:val="1"/>
          <w:iCs w:val="1"/>
          <w:color w:val="auto"/>
        </w:rPr>
        <w:t>Restructuring</w:t>
      </w:r>
    </w:p>
    <w:p>
      <w:pPr>
        <w:spacing w:after="0" w:line="1" w:lineRule="exact"/>
        <w:rPr>
          <w:rFonts w:ascii="Arial" w:cs="Arial" w:eastAsia="Arial" w:hAnsi="Arial"/>
          <w:sz w:val="18"/>
          <w:szCs w:val="18"/>
          <w:b w:val="1"/>
          <w:bCs w:val="1"/>
          <w:color w:val="auto"/>
        </w:rPr>
      </w:pPr>
    </w:p>
    <w:p>
      <w:pPr>
        <w:ind w:left="500" w:right="20"/>
        <w:spacing w:after="0" w:line="252" w:lineRule="auto"/>
        <w:rPr>
          <w:rFonts w:ascii="Arial" w:cs="Arial" w:eastAsia="Arial" w:hAnsi="Arial"/>
          <w:sz w:val="18"/>
          <w:szCs w:val="18"/>
          <w:b w:val="1"/>
          <w:bCs w:val="1"/>
          <w:color w:val="auto"/>
        </w:rPr>
      </w:pPr>
      <w:r>
        <w:rPr>
          <w:rFonts w:ascii="Arial" w:cs="Arial" w:eastAsia="Arial" w:hAnsi="Arial"/>
          <w:sz w:val="18"/>
          <w:szCs w:val="18"/>
          <w:color w:val="auto"/>
        </w:rPr>
        <w:t>During fourth quarter 2017, the Company initiated a strategic restructuring initiative to better position its truck rental operations in the U.S., in which it closed certain rental locations and reduced the size of the older rental fleet, with the intent to increase fleet utilization and reduce vehicle and overhead costs (“Truck initiative”). During the year ended December 31, 2017, as part of this initiative, the Company formally communicated the termination of employment to approximately 25 employees, and as of December 31, 2017, the Company had terminated the employment of approximately 20 of these employees. The Company expects further restructuring expense of approximately $3 million related to this initiative to be incurred in 2018.</w:t>
      </w:r>
    </w:p>
    <w:p>
      <w:pPr>
        <w:spacing w:after="0" w:line="208" w:lineRule="exact"/>
        <w:rPr>
          <w:rFonts w:ascii="Arial" w:cs="Arial" w:eastAsia="Arial" w:hAnsi="Arial"/>
          <w:sz w:val="18"/>
          <w:szCs w:val="18"/>
          <w:b w:val="1"/>
          <w:bCs w:val="1"/>
          <w:color w:val="auto"/>
        </w:rPr>
      </w:pPr>
    </w:p>
    <w:p>
      <w:pPr>
        <w:ind w:left="500"/>
        <w:spacing w:after="0" w:line="252" w:lineRule="auto"/>
        <w:rPr>
          <w:rFonts w:ascii="Arial" w:cs="Arial" w:eastAsia="Arial" w:hAnsi="Arial"/>
          <w:sz w:val="18"/>
          <w:szCs w:val="18"/>
          <w:b w:val="1"/>
          <w:bCs w:val="1"/>
          <w:color w:val="auto"/>
        </w:rPr>
      </w:pPr>
      <w:r>
        <w:rPr>
          <w:rFonts w:ascii="Arial" w:cs="Arial" w:eastAsia="Arial" w:hAnsi="Arial"/>
          <w:sz w:val="18"/>
          <w:szCs w:val="18"/>
          <w:color w:val="auto"/>
        </w:rPr>
        <w:t>During first quarter 2017, the Company initiated a strategic restructuring initiative to drive operational efficiency throughout the organization by reducing headcount, improving processes and consolidating functions, closing certain rental locations and decreasing the size of its fleet (“T17”). During the year ended December 31, 2017, as part of this initiative, the Company formally communicated the termination of employment to approximately 680 employees, and as of December 31, 2017, the Company had terminated the employment of approximately 665 of these employees. The costs associated with this initiative primarily represent severance, outplacement services and other costs associated with employee terminations, the majority of which have been or are expected to be settled in cash. This initiative is substantially complete.</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420"/>
          </w:cols>
          <w:pgMar w:left="240" w:top="140" w:right="239" w:bottom="1440" w:gutter="0" w:footer="0" w:header="0"/>
        </w:sectPr>
      </w:pPr>
    </w:p>
    <w:bookmarkStart w:id="85" w:name="page86"/>
    <w:bookmarkEnd w:id="8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7" w:lineRule="exact"/>
        <w:rPr>
          <w:sz w:val="20"/>
          <w:szCs w:val="20"/>
          <w:color w:val="auto"/>
        </w:rPr>
      </w:pPr>
    </w:p>
    <w:p>
      <w:pPr>
        <w:ind w:left="500"/>
        <w:spacing w:after="0" w:line="251" w:lineRule="auto"/>
        <w:rPr>
          <w:sz w:val="20"/>
          <w:szCs w:val="20"/>
          <w:color w:val="auto"/>
        </w:rPr>
      </w:pPr>
      <w:r>
        <w:rPr>
          <w:rFonts w:ascii="Arial" w:cs="Arial" w:eastAsia="Arial" w:hAnsi="Arial"/>
          <w:sz w:val="18"/>
          <w:szCs w:val="18"/>
          <w:color w:val="auto"/>
        </w:rPr>
        <w:t>In 2014, the Company committed to various strategic initiatives to identify best practices and drive efficiency throughout its organization, by reducing headcount, improving processes and consolidating functions (“T15”). In first quarter 2016, the Company expanded the T15 restructuring to take advantage of additional efficiency opportunities. The expanded T15 restructuring fits within the initiative’s focus areas to identify best practices and drive efficiency throughout the organization, including the consolidation of rental locations. During the years ended December 31, 2016 and 2015, as part of this process, the Company formally communicated the termination of employment to approximately 615 and 325 employees, respectively. At December 31 2017, the Company had terminated approximately 990 employees as part of this initiative. The costs associated with this initiative primarily represent severance, outplacement services and other costs associated with employee terminations, the majority of which have been or are expected to be settled in cash. This initiative is complete.</w:t>
      </w:r>
    </w:p>
    <w:p>
      <w:pPr>
        <w:spacing w:after="0" w:line="159" w:lineRule="exact"/>
        <w:rPr>
          <w:sz w:val="20"/>
          <w:szCs w:val="20"/>
          <w:color w:val="auto"/>
        </w:rPr>
      </w:pPr>
    </w:p>
    <w:p>
      <w:pPr>
        <w:ind w:left="500" w:right="180"/>
        <w:spacing w:after="0" w:line="254" w:lineRule="auto"/>
        <w:rPr>
          <w:sz w:val="20"/>
          <w:szCs w:val="20"/>
          <w:color w:val="auto"/>
        </w:rPr>
      </w:pPr>
      <w:r>
        <w:rPr>
          <w:rFonts w:ascii="Arial" w:cs="Arial" w:eastAsia="Arial" w:hAnsi="Arial"/>
          <w:sz w:val="18"/>
          <w:szCs w:val="18"/>
          <w:color w:val="auto"/>
        </w:rPr>
        <w:t>In conjunction with previous acquisitions, the Company identified opportunities to integrate and streamline its operations, primarily in Europe (“Acquisition integration”). During the years ended December 31, 2016 and 2015, as part of this process, the Company formally communicated the termination of employment to approximately 115 and 180 employees, respectively. At December 31, 2017, the Company had terminated approximately 260 of these employees. This initiative is complete.</w:t>
      </w:r>
    </w:p>
    <w:p>
      <w:pPr>
        <w:spacing w:after="0" w:line="150" w:lineRule="exact"/>
        <w:rPr>
          <w:sz w:val="20"/>
          <w:szCs w:val="20"/>
          <w:color w:val="auto"/>
        </w:rPr>
      </w:pPr>
    </w:p>
    <w:p>
      <w:pPr>
        <w:ind w:left="500" w:right="100"/>
        <w:spacing w:after="0" w:line="253" w:lineRule="auto"/>
        <w:rPr>
          <w:sz w:val="20"/>
          <w:szCs w:val="20"/>
          <w:color w:val="auto"/>
        </w:rPr>
      </w:pPr>
      <w:r>
        <w:rPr>
          <w:rFonts w:ascii="Arial" w:cs="Arial" w:eastAsia="Arial" w:hAnsi="Arial"/>
          <w:sz w:val="18"/>
          <w:szCs w:val="18"/>
          <w:color w:val="auto"/>
        </w:rPr>
        <w:t>In 2011, subsequent to the acquisition of Avis Europe plc, the Company initiated restructuring initiatives, identifying synergies across the Company, enhancing organizational efficiencies and consolidating and rationalizing processes (“Avis Europe”). During the year ended December 31, 2014, as part of this process, the Company formally communicated the termination of employment to approximately 230 employees. The costs associated with severance, outplacement services and other costs associated with employee terminations were settled in cash. This initiative is complete.</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420"/>
          </w:cols>
          <w:pgMar w:left="240" w:top="140" w:right="239" w:bottom="1440" w:gutter="0" w:footer="0" w:header="0"/>
        </w:sectPr>
      </w:pPr>
    </w:p>
    <w:bookmarkStart w:id="86" w:name="page87"/>
    <w:bookmarkEnd w:id="8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3" w:lineRule="exact"/>
        <w:rPr>
          <w:sz w:val="20"/>
          <w:szCs w:val="20"/>
          <w:color w:val="auto"/>
        </w:rPr>
      </w:pPr>
    </w:p>
    <w:p>
      <w:pPr>
        <w:ind w:left="500"/>
        <w:spacing w:after="0" w:line="262" w:lineRule="auto"/>
        <w:rPr>
          <w:sz w:val="20"/>
          <w:szCs w:val="20"/>
          <w:color w:val="auto"/>
        </w:rPr>
      </w:pPr>
      <w:r>
        <w:rPr>
          <w:rFonts w:ascii="Arial" w:cs="Arial" w:eastAsia="Arial" w:hAnsi="Arial"/>
          <w:sz w:val="18"/>
          <w:szCs w:val="18"/>
          <w:color w:val="auto"/>
        </w:rPr>
        <w:t>The following tables summarize the change to our restructuring-related liabilities and identify the amounts recorded within the Company’s reporting segments for restructuring charges and corresponding payments and utilizations:</w:t>
      </w:r>
    </w:p>
    <w:p>
      <w:pPr>
        <w:spacing w:after="0" w:line="116" w:lineRule="exact"/>
        <w:rPr>
          <w:sz w:val="20"/>
          <w:szCs w:val="20"/>
          <w:color w:val="auto"/>
        </w:rPr>
      </w:pPr>
    </w:p>
    <w:tbl>
      <w:tblPr>
        <w:tblLayout w:type="fixed"/>
        <w:tblInd w:w="520" w:type="dxa"/>
        <w:tblCellMar>
          <w:top w:w="0" w:type="dxa"/>
          <w:left w:w="0" w:type="dxa"/>
          <w:bottom w:w="0" w:type="dxa"/>
          <w:right w:w="0" w:type="dxa"/>
        </w:tblCellMar>
      </w:tblPr>
      <w:tr>
        <w:trPr>
          <w:trHeight w:val="207"/>
        </w:trPr>
        <w:tc>
          <w:tcPr>
            <w:tcW w:w="3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gridSpan w:val="2"/>
          </w:tcPr>
          <w:p>
            <w:pPr>
              <w:ind w:left="120"/>
              <w:spacing w:after="0"/>
              <w:rPr>
                <w:sz w:val="20"/>
                <w:szCs w:val="20"/>
                <w:color w:val="auto"/>
              </w:rPr>
            </w:pPr>
            <w:r>
              <w:rPr>
                <w:rFonts w:ascii="Arial" w:cs="Arial" w:eastAsia="Arial" w:hAnsi="Arial"/>
                <w:sz w:val="18"/>
                <w:szCs w:val="18"/>
                <w:b w:val="1"/>
                <w:bCs w:val="1"/>
                <w:color w:val="auto"/>
              </w:rPr>
              <w:t>Personnel</w:t>
            </w:r>
          </w:p>
        </w:tc>
        <w:tc>
          <w:tcPr>
            <w:tcW w:w="7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52"/>
        </w:trPr>
        <w:tc>
          <w:tcPr>
            <w:tcW w:w="37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Related</w:t>
            </w:r>
          </w:p>
        </w:tc>
        <w:tc>
          <w:tcPr>
            <w:tcW w:w="120" w:type="dxa"/>
            <w:vAlign w:val="bottom"/>
          </w:tcPr>
          <w:p>
            <w:pPr>
              <w:spacing w:after="0"/>
              <w:rPr>
                <w:sz w:val="21"/>
                <w:szCs w:val="21"/>
                <w:color w:val="auto"/>
              </w:rPr>
            </w:pPr>
          </w:p>
        </w:tc>
        <w:tc>
          <w:tcPr>
            <w:tcW w:w="156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b w:val="1"/>
                <w:bCs w:val="1"/>
                <w:color w:val="auto"/>
              </w:rPr>
              <w:t>Facility Related</w:t>
            </w:r>
          </w:p>
        </w:tc>
        <w:tc>
          <w:tcPr>
            <w:tcW w:w="1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 xml:space="preserve">Other </w:t>
            </w:r>
            <w:r>
              <w:rPr>
                <w:rFonts w:ascii="Arial" w:cs="Arial" w:eastAsia="Arial" w:hAnsi="Arial"/>
                <w:sz w:val="21"/>
                <w:szCs w:val="21"/>
                <w:b w:val="1"/>
                <w:bCs w:val="1"/>
                <w:color w:val="auto"/>
                <w:vertAlign w:val="superscript"/>
              </w:rPr>
              <w:t>(a)</w:t>
            </w:r>
          </w:p>
        </w:tc>
        <w:tc>
          <w:tcPr>
            <w:tcW w:w="12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Total</w:t>
            </w:r>
          </w:p>
        </w:tc>
      </w:tr>
      <w:tr>
        <w:trPr>
          <w:trHeight w:val="237"/>
        </w:trPr>
        <w:tc>
          <w:tcPr>
            <w:tcW w:w="3740" w:type="dxa"/>
            <w:vAlign w:val="bottom"/>
          </w:tcPr>
          <w:p>
            <w:pPr>
              <w:spacing w:after="0"/>
              <w:rPr>
                <w:sz w:val="20"/>
                <w:szCs w:val="20"/>
                <w:color w:val="auto"/>
              </w:rPr>
            </w:pPr>
            <w:r>
              <w:rPr>
                <w:rFonts w:ascii="Arial" w:cs="Arial" w:eastAsia="Arial" w:hAnsi="Arial"/>
                <w:sz w:val="18"/>
                <w:szCs w:val="18"/>
                <w:color w:val="auto"/>
              </w:rPr>
              <w:t>Balance as of January 1, 2015</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0"/>
                <w:szCs w:val="20"/>
                <w:color w:val="auto"/>
              </w:rPr>
            </w:pPr>
          </w:p>
        </w:tc>
        <w:tc>
          <w:tcPr>
            <w:tcW w:w="700" w:type="dxa"/>
            <w:vAlign w:val="bottom"/>
          </w:tcPr>
          <w:p>
            <w:pPr>
              <w:jc w:val="right"/>
              <w:ind w:right="49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57"/>
        </w:trPr>
        <w:tc>
          <w:tcPr>
            <w:tcW w:w="3740" w:type="dxa"/>
            <w:vAlign w:val="bottom"/>
          </w:tcPr>
          <w:p>
            <w:pPr>
              <w:ind w:left="140"/>
              <w:spacing w:after="0"/>
              <w:rPr>
                <w:sz w:val="20"/>
                <w:szCs w:val="20"/>
                <w:color w:val="auto"/>
              </w:rPr>
            </w:pPr>
            <w:r>
              <w:rPr>
                <w:rFonts w:ascii="Arial" w:cs="Arial" w:eastAsia="Arial" w:hAnsi="Arial"/>
                <w:sz w:val="18"/>
                <w:szCs w:val="18"/>
                <w:color w:val="auto"/>
              </w:rPr>
              <w:t>Restructuring expense:</w:t>
            </w:r>
          </w:p>
        </w:tc>
        <w:tc>
          <w:tcPr>
            <w:tcW w:w="24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84"/>
        </w:trPr>
        <w:tc>
          <w:tcPr>
            <w:tcW w:w="3740" w:type="dxa"/>
            <w:vAlign w:val="bottom"/>
          </w:tcPr>
          <w:p>
            <w:pPr>
              <w:ind w:left="240"/>
              <w:spacing w:after="0"/>
              <w:rPr>
                <w:sz w:val="20"/>
                <w:szCs w:val="20"/>
                <w:color w:val="auto"/>
              </w:rPr>
            </w:pPr>
            <w:r>
              <w:rPr>
                <w:rFonts w:ascii="Arial" w:cs="Arial" w:eastAsia="Arial" w:hAnsi="Arial"/>
                <w:sz w:val="18"/>
                <w:szCs w:val="18"/>
                <w:color w:val="auto"/>
              </w:rPr>
              <w:t>T15</w:t>
            </w:r>
          </w:p>
        </w:tc>
        <w:tc>
          <w:tcPr>
            <w:tcW w:w="24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70"/>
        </w:trPr>
        <w:tc>
          <w:tcPr>
            <w:tcW w:w="3740" w:type="dxa"/>
            <w:vAlign w:val="bottom"/>
          </w:tcPr>
          <w:p>
            <w:pPr>
              <w:ind w:left="240"/>
              <w:spacing w:after="0"/>
              <w:rPr>
                <w:sz w:val="20"/>
                <w:szCs w:val="20"/>
                <w:color w:val="auto"/>
              </w:rPr>
            </w:pPr>
            <w:r>
              <w:rPr>
                <w:rFonts w:ascii="Arial" w:cs="Arial" w:eastAsia="Arial" w:hAnsi="Arial"/>
                <w:sz w:val="18"/>
                <w:szCs w:val="18"/>
                <w:color w:val="auto"/>
              </w:rPr>
              <w:t>Acquisition integration</w:t>
            </w:r>
          </w:p>
        </w:tc>
        <w:tc>
          <w:tcPr>
            <w:tcW w:w="24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57"/>
        </w:trPr>
        <w:tc>
          <w:tcPr>
            <w:tcW w:w="3740" w:type="dxa"/>
            <w:vAlign w:val="bottom"/>
          </w:tcPr>
          <w:p>
            <w:pPr>
              <w:ind w:left="140"/>
              <w:spacing w:after="0"/>
              <w:rPr>
                <w:sz w:val="20"/>
                <w:szCs w:val="20"/>
                <w:color w:val="auto"/>
              </w:rPr>
            </w:pPr>
            <w:r>
              <w:rPr>
                <w:rFonts w:ascii="Arial" w:cs="Arial" w:eastAsia="Arial" w:hAnsi="Arial"/>
                <w:sz w:val="18"/>
                <w:szCs w:val="18"/>
                <w:color w:val="auto"/>
              </w:rPr>
              <w:t>Restructuring payment:</w:t>
            </w:r>
          </w:p>
        </w:tc>
        <w:tc>
          <w:tcPr>
            <w:tcW w:w="24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84"/>
        </w:trPr>
        <w:tc>
          <w:tcPr>
            <w:tcW w:w="3740" w:type="dxa"/>
            <w:vAlign w:val="bottom"/>
          </w:tcPr>
          <w:p>
            <w:pPr>
              <w:ind w:left="240"/>
              <w:spacing w:after="0"/>
              <w:rPr>
                <w:sz w:val="20"/>
                <w:szCs w:val="20"/>
                <w:color w:val="auto"/>
              </w:rPr>
            </w:pPr>
            <w:r>
              <w:rPr>
                <w:rFonts w:ascii="Arial" w:cs="Arial" w:eastAsia="Arial" w:hAnsi="Arial"/>
                <w:sz w:val="18"/>
                <w:szCs w:val="18"/>
                <w:color w:val="auto"/>
              </w:rPr>
              <w:t>T15</w:t>
            </w:r>
          </w:p>
        </w:tc>
        <w:tc>
          <w:tcPr>
            <w:tcW w:w="24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70"/>
        </w:trPr>
        <w:tc>
          <w:tcPr>
            <w:tcW w:w="3740" w:type="dxa"/>
            <w:vAlign w:val="bottom"/>
          </w:tcPr>
          <w:p>
            <w:pPr>
              <w:ind w:left="240"/>
              <w:spacing w:after="0"/>
              <w:rPr>
                <w:sz w:val="20"/>
                <w:szCs w:val="20"/>
                <w:color w:val="auto"/>
              </w:rPr>
            </w:pPr>
            <w:r>
              <w:rPr>
                <w:rFonts w:ascii="Arial" w:cs="Arial" w:eastAsia="Arial" w:hAnsi="Arial"/>
                <w:sz w:val="18"/>
                <w:szCs w:val="18"/>
                <w:color w:val="auto"/>
              </w:rPr>
              <w:t>Acquisition integration</w:t>
            </w:r>
          </w:p>
        </w:tc>
        <w:tc>
          <w:tcPr>
            <w:tcW w:w="24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77"/>
        </w:trPr>
        <w:tc>
          <w:tcPr>
            <w:tcW w:w="3740" w:type="dxa"/>
            <w:vAlign w:val="bottom"/>
          </w:tcPr>
          <w:p>
            <w:pPr>
              <w:ind w:left="240"/>
              <w:spacing w:after="0"/>
              <w:rPr>
                <w:sz w:val="20"/>
                <w:szCs w:val="20"/>
                <w:color w:val="auto"/>
              </w:rPr>
            </w:pPr>
            <w:r>
              <w:rPr>
                <w:rFonts w:ascii="Arial" w:cs="Arial" w:eastAsia="Arial" w:hAnsi="Arial"/>
                <w:sz w:val="18"/>
                <w:szCs w:val="18"/>
                <w:color w:val="auto"/>
              </w:rPr>
              <w:t>Avis Europe</w:t>
            </w:r>
          </w:p>
        </w:tc>
        <w:tc>
          <w:tcPr>
            <w:tcW w:w="2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r>
      <w:tr>
        <w:trPr>
          <w:trHeight w:val="243"/>
        </w:trPr>
        <w:tc>
          <w:tcPr>
            <w:tcW w:w="3740" w:type="dxa"/>
            <w:vAlign w:val="bottom"/>
          </w:tcPr>
          <w:p>
            <w:pPr>
              <w:spacing w:after="0"/>
              <w:rPr>
                <w:sz w:val="20"/>
                <w:szCs w:val="20"/>
                <w:color w:val="auto"/>
              </w:rPr>
            </w:pPr>
            <w:r>
              <w:rPr>
                <w:rFonts w:ascii="Arial" w:cs="Arial" w:eastAsia="Arial" w:hAnsi="Arial"/>
                <w:sz w:val="18"/>
                <w:szCs w:val="18"/>
                <w:color w:val="auto"/>
              </w:rPr>
              <w:t>Balance as of December 31, 2015</w:t>
            </w:r>
          </w:p>
        </w:tc>
        <w:tc>
          <w:tcPr>
            <w:tcW w:w="2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57"/>
        </w:trPr>
        <w:tc>
          <w:tcPr>
            <w:tcW w:w="3740" w:type="dxa"/>
            <w:vAlign w:val="bottom"/>
          </w:tcPr>
          <w:p>
            <w:pPr>
              <w:ind w:left="140"/>
              <w:spacing w:after="0"/>
              <w:rPr>
                <w:sz w:val="20"/>
                <w:szCs w:val="20"/>
                <w:color w:val="auto"/>
              </w:rPr>
            </w:pPr>
            <w:r>
              <w:rPr>
                <w:rFonts w:ascii="Arial" w:cs="Arial" w:eastAsia="Arial" w:hAnsi="Arial"/>
                <w:sz w:val="18"/>
                <w:szCs w:val="18"/>
                <w:color w:val="auto"/>
              </w:rPr>
              <w:t>Restructuring expense:</w:t>
            </w:r>
          </w:p>
        </w:tc>
        <w:tc>
          <w:tcPr>
            <w:tcW w:w="24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84"/>
        </w:trPr>
        <w:tc>
          <w:tcPr>
            <w:tcW w:w="3740" w:type="dxa"/>
            <w:vAlign w:val="bottom"/>
          </w:tcPr>
          <w:p>
            <w:pPr>
              <w:ind w:left="240"/>
              <w:spacing w:after="0"/>
              <w:rPr>
                <w:sz w:val="20"/>
                <w:szCs w:val="20"/>
                <w:color w:val="auto"/>
              </w:rPr>
            </w:pPr>
            <w:r>
              <w:rPr>
                <w:rFonts w:ascii="Arial" w:cs="Arial" w:eastAsia="Arial" w:hAnsi="Arial"/>
                <w:sz w:val="18"/>
                <w:szCs w:val="18"/>
                <w:color w:val="auto"/>
              </w:rPr>
              <w:t>T15</w:t>
            </w:r>
          </w:p>
        </w:tc>
        <w:tc>
          <w:tcPr>
            <w:tcW w:w="24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70"/>
        </w:trPr>
        <w:tc>
          <w:tcPr>
            <w:tcW w:w="3740" w:type="dxa"/>
            <w:vAlign w:val="bottom"/>
          </w:tcPr>
          <w:p>
            <w:pPr>
              <w:ind w:left="240"/>
              <w:spacing w:after="0"/>
              <w:rPr>
                <w:sz w:val="20"/>
                <w:szCs w:val="20"/>
                <w:color w:val="auto"/>
              </w:rPr>
            </w:pPr>
            <w:r>
              <w:rPr>
                <w:rFonts w:ascii="Arial" w:cs="Arial" w:eastAsia="Arial" w:hAnsi="Arial"/>
                <w:sz w:val="18"/>
                <w:szCs w:val="18"/>
                <w:color w:val="auto"/>
              </w:rPr>
              <w:t>Acquisition integration</w:t>
            </w:r>
          </w:p>
        </w:tc>
        <w:tc>
          <w:tcPr>
            <w:tcW w:w="24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70"/>
        </w:trPr>
        <w:tc>
          <w:tcPr>
            <w:tcW w:w="3740" w:type="dxa"/>
            <w:vAlign w:val="bottom"/>
          </w:tcPr>
          <w:p>
            <w:pPr>
              <w:ind w:left="240"/>
              <w:spacing w:after="0"/>
              <w:rPr>
                <w:sz w:val="20"/>
                <w:szCs w:val="20"/>
                <w:color w:val="auto"/>
              </w:rPr>
            </w:pPr>
            <w:r>
              <w:rPr>
                <w:rFonts w:ascii="Arial" w:cs="Arial" w:eastAsia="Arial" w:hAnsi="Arial"/>
                <w:sz w:val="18"/>
                <w:szCs w:val="18"/>
                <w:color w:val="auto"/>
              </w:rPr>
              <w:t>Avis Europe</w:t>
            </w:r>
          </w:p>
        </w:tc>
        <w:tc>
          <w:tcPr>
            <w:tcW w:w="24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57"/>
        </w:trPr>
        <w:tc>
          <w:tcPr>
            <w:tcW w:w="3740" w:type="dxa"/>
            <w:vAlign w:val="bottom"/>
          </w:tcPr>
          <w:p>
            <w:pPr>
              <w:ind w:left="140"/>
              <w:spacing w:after="0"/>
              <w:rPr>
                <w:sz w:val="20"/>
                <w:szCs w:val="20"/>
                <w:color w:val="auto"/>
              </w:rPr>
            </w:pPr>
            <w:r>
              <w:rPr>
                <w:rFonts w:ascii="Arial" w:cs="Arial" w:eastAsia="Arial" w:hAnsi="Arial"/>
                <w:sz w:val="18"/>
                <w:szCs w:val="18"/>
                <w:color w:val="auto"/>
              </w:rPr>
              <w:t>Restructuring payment/utilization:</w:t>
            </w:r>
          </w:p>
        </w:tc>
        <w:tc>
          <w:tcPr>
            <w:tcW w:w="24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84"/>
        </w:trPr>
        <w:tc>
          <w:tcPr>
            <w:tcW w:w="3740" w:type="dxa"/>
            <w:vAlign w:val="bottom"/>
          </w:tcPr>
          <w:p>
            <w:pPr>
              <w:ind w:left="240"/>
              <w:spacing w:after="0"/>
              <w:rPr>
                <w:sz w:val="20"/>
                <w:szCs w:val="20"/>
                <w:color w:val="auto"/>
              </w:rPr>
            </w:pPr>
            <w:r>
              <w:rPr>
                <w:rFonts w:ascii="Arial" w:cs="Arial" w:eastAsia="Arial" w:hAnsi="Arial"/>
                <w:sz w:val="18"/>
                <w:szCs w:val="18"/>
                <w:color w:val="auto"/>
              </w:rPr>
              <w:t>T15</w:t>
            </w:r>
          </w:p>
        </w:tc>
        <w:tc>
          <w:tcPr>
            <w:tcW w:w="24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70"/>
        </w:trPr>
        <w:tc>
          <w:tcPr>
            <w:tcW w:w="3740" w:type="dxa"/>
            <w:vAlign w:val="bottom"/>
          </w:tcPr>
          <w:p>
            <w:pPr>
              <w:ind w:left="240"/>
              <w:spacing w:after="0"/>
              <w:rPr>
                <w:sz w:val="20"/>
                <w:szCs w:val="20"/>
                <w:color w:val="auto"/>
              </w:rPr>
            </w:pPr>
            <w:r>
              <w:rPr>
                <w:rFonts w:ascii="Arial" w:cs="Arial" w:eastAsia="Arial" w:hAnsi="Arial"/>
                <w:sz w:val="18"/>
                <w:szCs w:val="18"/>
                <w:color w:val="auto"/>
              </w:rPr>
              <w:t>Acquisition integration</w:t>
            </w:r>
          </w:p>
        </w:tc>
        <w:tc>
          <w:tcPr>
            <w:tcW w:w="24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77"/>
        </w:trPr>
        <w:tc>
          <w:tcPr>
            <w:tcW w:w="3740" w:type="dxa"/>
            <w:vAlign w:val="bottom"/>
          </w:tcPr>
          <w:p>
            <w:pPr>
              <w:ind w:left="240"/>
              <w:spacing w:after="0"/>
              <w:rPr>
                <w:sz w:val="20"/>
                <w:szCs w:val="20"/>
                <w:color w:val="auto"/>
              </w:rPr>
            </w:pPr>
            <w:r>
              <w:rPr>
                <w:rFonts w:ascii="Arial" w:cs="Arial" w:eastAsia="Arial" w:hAnsi="Arial"/>
                <w:sz w:val="18"/>
                <w:szCs w:val="18"/>
                <w:color w:val="auto"/>
              </w:rPr>
              <w:t>Avis Europe</w:t>
            </w:r>
          </w:p>
        </w:tc>
        <w:tc>
          <w:tcPr>
            <w:tcW w:w="2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43"/>
        </w:trPr>
        <w:tc>
          <w:tcPr>
            <w:tcW w:w="3740" w:type="dxa"/>
            <w:vAlign w:val="bottom"/>
          </w:tcPr>
          <w:p>
            <w:pPr>
              <w:spacing w:after="0"/>
              <w:rPr>
                <w:sz w:val="20"/>
                <w:szCs w:val="20"/>
                <w:color w:val="auto"/>
              </w:rPr>
            </w:pPr>
            <w:r>
              <w:rPr>
                <w:rFonts w:ascii="Arial" w:cs="Arial" w:eastAsia="Arial" w:hAnsi="Arial"/>
                <w:sz w:val="18"/>
                <w:szCs w:val="18"/>
                <w:color w:val="auto"/>
              </w:rPr>
              <w:t>Balance as of December 31, 2016</w:t>
            </w:r>
          </w:p>
        </w:tc>
        <w:tc>
          <w:tcPr>
            <w:tcW w:w="2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57"/>
        </w:trPr>
        <w:tc>
          <w:tcPr>
            <w:tcW w:w="3740" w:type="dxa"/>
            <w:vAlign w:val="bottom"/>
          </w:tcPr>
          <w:p>
            <w:pPr>
              <w:ind w:left="140"/>
              <w:spacing w:after="0"/>
              <w:rPr>
                <w:sz w:val="20"/>
                <w:szCs w:val="20"/>
                <w:color w:val="auto"/>
              </w:rPr>
            </w:pPr>
            <w:r>
              <w:rPr>
                <w:rFonts w:ascii="Arial" w:cs="Arial" w:eastAsia="Arial" w:hAnsi="Arial"/>
                <w:sz w:val="18"/>
                <w:szCs w:val="18"/>
                <w:color w:val="auto"/>
              </w:rPr>
              <w:t>Restructuring expense:</w:t>
            </w:r>
          </w:p>
        </w:tc>
        <w:tc>
          <w:tcPr>
            <w:tcW w:w="24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84"/>
        </w:trPr>
        <w:tc>
          <w:tcPr>
            <w:tcW w:w="3740" w:type="dxa"/>
            <w:vAlign w:val="bottom"/>
          </w:tcPr>
          <w:p>
            <w:pPr>
              <w:ind w:left="240"/>
              <w:spacing w:after="0"/>
              <w:rPr>
                <w:sz w:val="20"/>
                <w:szCs w:val="20"/>
                <w:color w:val="auto"/>
              </w:rPr>
            </w:pPr>
            <w:r>
              <w:rPr>
                <w:rFonts w:ascii="Arial" w:cs="Arial" w:eastAsia="Arial" w:hAnsi="Arial"/>
                <w:sz w:val="18"/>
                <w:szCs w:val="18"/>
                <w:color w:val="auto"/>
              </w:rPr>
              <w:t>Truck initiative</w:t>
            </w:r>
          </w:p>
        </w:tc>
        <w:tc>
          <w:tcPr>
            <w:tcW w:w="24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70"/>
        </w:trPr>
        <w:tc>
          <w:tcPr>
            <w:tcW w:w="3740" w:type="dxa"/>
            <w:vAlign w:val="bottom"/>
          </w:tcPr>
          <w:p>
            <w:pPr>
              <w:ind w:left="240"/>
              <w:spacing w:after="0"/>
              <w:rPr>
                <w:sz w:val="20"/>
                <w:szCs w:val="20"/>
                <w:color w:val="auto"/>
              </w:rPr>
            </w:pPr>
            <w:r>
              <w:rPr>
                <w:rFonts w:ascii="Arial" w:cs="Arial" w:eastAsia="Arial" w:hAnsi="Arial"/>
                <w:sz w:val="18"/>
                <w:szCs w:val="18"/>
                <w:color w:val="auto"/>
              </w:rPr>
              <w:t>T17</w:t>
            </w:r>
          </w:p>
        </w:tc>
        <w:tc>
          <w:tcPr>
            <w:tcW w:w="24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57"/>
        </w:trPr>
        <w:tc>
          <w:tcPr>
            <w:tcW w:w="3740" w:type="dxa"/>
            <w:vAlign w:val="bottom"/>
          </w:tcPr>
          <w:p>
            <w:pPr>
              <w:ind w:left="140"/>
              <w:spacing w:after="0"/>
              <w:rPr>
                <w:sz w:val="20"/>
                <w:szCs w:val="20"/>
                <w:color w:val="auto"/>
              </w:rPr>
            </w:pPr>
            <w:r>
              <w:rPr>
                <w:rFonts w:ascii="Arial" w:cs="Arial" w:eastAsia="Arial" w:hAnsi="Arial"/>
                <w:sz w:val="18"/>
                <w:szCs w:val="18"/>
                <w:color w:val="auto"/>
              </w:rPr>
              <w:t>Restructuring payment/utilization:</w:t>
            </w:r>
          </w:p>
        </w:tc>
        <w:tc>
          <w:tcPr>
            <w:tcW w:w="24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84"/>
        </w:trPr>
        <w:tc>
          <w:tcPr>
            <w:tcW w:w="3740" w:type="dxa"/>
            <w:vAlign w:val="bottom"/>
          </w:tcPr>
          <w:p>
            <w:pPr>
              <w:ind w:left="240"/>
              <w:spacing w:after="0"/>
              <w:rPr>
                <w:sz w:val="20"/>
                <w:szCs w:val="20"/>
                <w:color w:val="auto"/>
              </w:rPr>
            </w:pPr>
            <w:r>
              <w:rPr>
                <w:rFonts w:ascii="Arial" w:cs="Arial" w:eastAsia="Arial" w:hAnsi="Arial"/>
                <w:sz w:val="18"/>
                <w:szCs w:val="18"/>
                <w:color w:val="auto"/>
              </w:rPr>
              <w:t>Truck initiative</w:t>
            </w:r>
          </w:p>
        </w:tc>
        <w:tc>
          <w:tcPr>
            <w:tcW w:w="24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70"/>
        </w:trPr>
        <w:tc>
          <w:tcPr>
            <w:tcW w:w="3740" w:type="dxa"/>
            <w:vAlign w:val="bottom"/>
          </w:tcPr>
          <w:p>
            <w:pPr>
              <w:ind w:left="240"/>
              <w:spacing w:after="0"/>
              <w:rPr>
                <w:sz w:val="20"/>
                <w:szCs w:val="20"/>
                <w:color w:val="auto"/>
              </w:rPr>
            </w:pPr>
            <w:r>
              <w:rPr>
                <w:rFonts w:ascii="Arial" w:cs="Arial" w:eastAsia="Arial" w:hAnsi="Arial"/>
                <w:sz w:val="18"/>
                <w:szCs w:val="18"/>
                <w:color w:val="auto"/>
              </w:rPr>
              <w:t>T17</w:t>
            </w:r>
          </w:p>
        </w:tc>
        <w:tc>
          <w:tcPr>
            <w:tcW w:w="24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70"/>
        </w:trPr>
        <w:tc>
          <w:tcPr>
            <w:tcW w:w="3740" w:type="dxa"/>
            <w:vAlign w:val="bottom"/>
          </w:tcPr>
          <w:p>
            <w:pPr>
              <w:ind w:left="240"/>
              <w:spacing w:after="0"/>
              <w:rPr>
                <w:sz w:val="20"/>
                <w:szCs w:val="20"/>
                <w:color w:val="auto"/>
              </w:rPr>
            </w:pPr>
            <w:r>
              <w:rPr>
                <w:rFonts w:ascii="Arial" w:cs="Arial" w:eastAsia="Arial" w:hAnsi="Arial"/>
                <w:sz w:val="18"/>
                <w:szCs w:val="18"/>
                <w:color w:val="auto"/>
              </w:rPr>
              <w:t>T15</w:t>
            </w:r>
          </w:p>
        </w:tc>
        <w:tc>
          <w:tcPr>
            <w:tcW w:w="24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77"/>
        </w:trPr>
        <w:tc>
          <w:tcPr>
            <w:tcW w:w="3740" w:type="dxa"/>
            <w:vAlign w:val="bottom"/>
          </w:tcPr>
          <w:p>
            <w:pPr>
              <w:ind w:left="240"/>
              <w:spacing w:after="0"/>
              <w:rPr>
                <w:sz w:val="20"/>
                <w:szCs w:val="20"/>
                <w:color w:val="auto"/>
              </w:rPr>
            </w:pPr>
            <w:r>
              <w:rPr>
                <w:rFonts w:ascii="Arial" w:cs="Arial" w:eastAsia="Arial" w:hAnsi="Arial"/>
                <w:sz w:val="18"/>
                <w:szCs w:val="18"/>
                <w:color w:val="auto"/>
              </w:rPr>
              <w:t>Acquisition integration</w:t>
            </w:r>
          </w:p>
        </w:tc>
        <w:tc>
          <w:tcPr>
            <w:tcW w:w="2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43"/>
        </w:trPr>
        <w:tc>
          <w:tcPr>
            <w:tcW w:w="3740" w:type="dxa"/>
            <w:vAlign w:val="bottom"/>
          </w:tcPr>
          <w:p>
            <w:pPr>
              <w:spacing w:after="0"/>
              <w:rPr>
                <w:sz w:val="20"/>
                <w:szCs w:val="20"/>
                <w:color w:val="auto"/>
              </w:rPr>
            </w:pPr>
            <w:r>
              <w:rPr>
                <w:rFonts w:ascii="Arial" w:cs="Arial" w:eastAsia="Arial" w:hAnsi="Arial"/>
                <w:sz w:val="18"/>
                <w:szCs w:val="18"/>
                <w:color w:val="auto"/>
              </w:rPr>
              <w:t>Balance as of December 31, 2017</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700" w:type="dxa"/>
            <w:vAlign w:val="bottom"/>
          </w:tcPr>
          <w:p>
            <w:pPr>
              <w:jc w:val="right"/>
              <w:ind w:right="490"/>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2706370</wp:posOffset>
            </wp:positionH>
            <wp:positionV relativeFrom="paragraph">
              <wp:posOffset>8890</wp:posOffset>
            </wp:positionV>
            <wp:extent cx="4168140"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4168140" cy="26035"/>
                    </a:xfrm>
                    <a:prstGeom prst="rect">
                      <a:avLst/>
                    </a:prstGeom>
                    <a:noFill/>
                  </pic:spPr>
                </pic:pic>
              </a:graphicData>
            </a:graphic>
          </wp:anchor>
        </w:drawing>
      </w:r>
    </w:p>
    <w:p>
      <w:pPr>
        <w:spacing w:after="0" w:line="3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__________</w:t>
      </w:r>
    </w:p>
    <w:p>
      <w:pPr>
        <w:ind w:left="820" w:hanging="326"/>
        <w:spacing w:after="0" w:line="189" w:lineRule="auto"/>
        <w:tabs>
          <w:tab w:leader="none" w:pos="820" w:val="left"/>
        </w:tabs>
        <w:numPr>
          <w:ilvl w:val="0"/>
          <w:numId w:val="63"/>
        </w:numPr>
        <w:rPr>
          <w:rFonts w:ascii="Arial" w:cs="Arial" w:eastAsia="Arial" w:hAnsi="Arial"/>
          <w:sz w:val="22"/>
          <w:szCs w:val="22"/>
          <w:color w:val="auto"/>
          <w:vertAlign w:val="superscript"/>
        </w:rPr>
      </w:pPr>
      <w:r>
        <w:rPr>
          <w:rFonts w:ascii="Arial" w:cs="Arial" w:eastAsia="Arial" w:hAnsi="Arial"/>
          <w:sz w:val="16"/>
          <w:szCs w:val="16"/>
          <w:color w:val="auto"/>
        </w:rPr>
        <w:t>Includes expenses primarily related to the disposition of vehicles.</w:t>
      </w: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380"/>
          </w:cols>
          <w:pgMar w:left="240" w:top="140" w:right="279" w:bottom="1440" w:gutter="0" w:footer="0" w:header="0"/>
        </w:sectPr>
      </w:pPr>
    </w:p>
    <w:bookmarkStart w:id="87" w:name="page88"/>
    <w:bookmarkEnd w:id="87"/>
    <w:tbl>
      <w:tblPr>
        <w:tblLayout w:type="fixed"/>
        <w:tblInd w:w="0" w:type="dxa"/>
        <w:tblCellMar>
          <w:top w:w="0" w:type="dxa"/>
          <w:left w:w="0" w:type="dxa"/>
          <w:bottom w:w="0" w:type="dxa"/>
          <w:right w:w="0" w:type="dxa"/>
        </w:tblCellMar>
      </w:tblPr>
      <w:tr>
        <w:trPr>
          <w:trHeight w:val="207"/>
        </w:trPr>
        <w:tc>
          <w:tcPr>
            <w:tcW w:w="590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1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662"/>
        </w:trPr>
        <w:tc>
          <w:tcPr>
            <w:tcW w:w="1400" w:type="dxa"/>
            <w:vAlign w:val="bottom"/>
            <w:tcBorders>
              <w:top w:val="single" w:sz="8" w:color="0000EE"/>
            </w:tcBorders>
          </w:tcPr>
          <w:p>
            <w:pPr>
              <w:spacing w:after="0"/>
              <w:rPr>
                <w:sz w:val="24"/>
                <w:szCs w:val="24"/>
                <w:color w:val="auto"/>
              </w:rPr>
            </w:pPr>
          </w:p>
        </w:tc>
        <w:tc>
          <w:tcPr>
            <w:tcW w:w="450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Americas</w:t>
            </w: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gridSpan w:val="2"/>
          </w:tcPr>
          <w:p>
            <w:pPr>
              <w:ind w:left="60"/>
              <w:spacing w:after="0"/>
              <w:rPr>
                <w:sz w:val="20"/>
                <w:szCs w:val="20"/>
                <w:color w:val="auto"/>
              </w:rPr>
            </w:pPr>
            <w:r>
              <w:rPr>
                <w:rFonts w:ascii="Arial" w:cs="Arial" w:eastAsia="Arial" w:hAnsi="Arial"/>
                <w:sz w:val="18"/>
                <w:szCs w:val="18"/>
                <w:b w:val="1"/>
                <w:bCs w:val="1"/>
                <w:color w:val="auto"/>
              </w:rPr>
              <w:t>International</w:t>
            </w:r>
          </w:p>
        </w:tc>
        <w:tc>
          <w:tcPr>
            <w:tcW w:w="360" w:type="dxa"/>
            <w:vAlign w:val="bottom"/>
          </w:tcPr>
          <w:p>
            <w:pPr>
              <w:spacing w:after="0"/>
              <w:rPr>
                <w:sz w:val="24"/>
                <w:szCs w:val="24"/>
                <w:color w:val="auto"/>
              </w:rPr>
            </w:pPr>
          </w:p>
        </w:tc>
        <w:tc>
          <w:tcPr>
            <w:tcW w:w="1200" w:type="dxa"/>
            <w:vAlign w:val="bottom"/>
          </w:tcPr>
          <w:p>
            <w:pPr>
              <w:jc w:val="right"/>
              <w:ind w:right="470"/>
              <w:spacing w:after="0"/>
              <w:rPr>
                <w:sz w:val="20"/>
                <w:szCs w:val="20"/>
                <w:color w:val="auto"/>
              </w:rPr>
            </w:pPr>
            <w:r>
              <w:rPr>
                <w:rFonts w:ascii="Arial" w:cs="Arial" w:eastAsia="Arial" w:hAnsi="Arial"/>
                <w:sz w:val="18"/>
                <w:szCs w:val="18"/>
                <w:b w:val="1"/>
                <w:bCs w:val="1"/>
                <w:color w:val="auto"/>
              </w:rPr>
              <w:t>Total</w:t>
            </w:r>
          </w:p>
        </w:tc>
      </w:tr>
      <w:tr>
        <w:trPr>
          <w:trHeight w:val="243"/>
        </w:trPr>
        <w:tc>
          <w:tcPr>
            <w:tcW w:w="5900" w:type="dxa"/>
            <w:vAlign w:val="bottom"/>
            <w:gridSpan w:val="2"/>
          </w:tcPr>
          <w:p>
            <w:pPr>
              <w:ind w:left="520"/>
              <w:spacing w:after="0"/>
              <w:rPr>
                <w:sz w:val="20"/>
                <w:szCs w:val="20"/>
                <w:color w:val="auto"/>
              </w:rPr>
            </w:pPr>
            <w:r>
              <w:rPr>
                <w:rFonts w:ascii="Arial" w:cs="Arial" w:eastAsia="Arial" w:hAnsi="Arial"/>
                <w:sz w:val="18"/>
                <w:szCs w:val="18"/>
                <w:color w:val="auto"/>
              </w:rPr>
              <w:t>Balance as of January 1, 2015</w:t>
            </w:r>
          </w:p>
        </w:tc>
        <w:tc>
          <w:tcPr>
            <w:tcW w:w="1220" w:type="dxa"/>
            <w:vAlign w:val="bottom"/>
            <w:tcBorders>
              <w:top w:val="single" w:sz="8" w:color="auto"/>
            </w:tcBorders>
          </w:tcPr>
          <w:p>
            <w:pPr>
              <w:jc w:val="right"/>
              <w:ind w:right="990"/>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w:t>
            </w:r>
          </w:p>
        </w:tc>
      </w:tr>
      <w:tr>
        <w:trPr>
          <w:trHeight w:val="257"/>
        </w:trPr>
        <w:tc>
          <w:tcPr>
            <w:tcW w:w="5900" w:type="dxa"/>
            <w:vAlign w:val="bottom"/>
            <w:gridSpan w:val="2"/>
          </w:tcPr>
          <w:p>
            <w:pPr>
              <w:ind w:left="660"/>
              <w:spacing w:after="0"/>
              <w:rPr>
                <w:sz w:val="20"/>
                <w:szCs w:val="20"/>
                <w:color w:val="auto"/>
              </w:rPr>
            </w:pPr>
            <w:r>
              <w:rPr>
                <w:rFonts w:ascii="Arial" w:cs="Arial" w:eastAsia="Arial" w:hAnsi="Arial"/>
                <w:sz w:val="18"/>
                <w:szCs w:val="18"/>
                <w:color w:val="auto"/>
              </w:rPr>
              <w:t>Restructuring expense:</w:t>
            </w:r>
          </w:p>
        </w:tc>
        <w:tc>
          <w:tcPr>
            <w:tcW w:w="12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84"/>
        </w:trPr>
        <w:tc>
          <w:tcPr>
            <w:tcW w:w="5900" w:type="dxa"/>
            <w:vAlign w:val="bottom"/>
            <w:gridSpan w:val="2"/>
          </w:tcPr>
          <w:p>
            <w:pPr>
              <w:ind w:left="760"/>
              <w:spacing w:after="0"/>
              <w:rPr>
                <w:sz w:val="20"/>
                <w:szCs w:val="20"/>
                <w:color w:val="auto"/>
              </w:rPr>
            </w:pPr>
            <w:r>
              <w:rPr>
                <w:rFonts w:ascii="Arial" w:cs="Arial" w:eastAsia="Arial" w:hAnsi="Arial"/>
                <w:sz w:val="18"/>
                <w:szCs w:val="18"/>
                <w:color w:val="auto"/>
              </w:rPr>
              <w:t>T15</w:t>
            </w:r>
          </w:p>
        </w:tc>
        <w:tc>
          <w:tcPr>
            <w:tcW w:w="1220" w:type="dxa"/>
            <w:vAlign w:val="bottom"/>
          </w:tcPr>
          <w:p>
            <w:pPr>
              <w:spacing w:after="0"/>
              <w:rPr>
                <w:sz w:val="24"/>
                <w:szCs w:val="24"/>
                <w:color w:val="auto"/>
              </w:rPr>
            </w:pP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70"/>
        </w:trPr>
        <w:tc>
          <w:tcPr>
            <w:tcW w:w="5900" w:type="dxa"/>
            <w:vAlign w:val="bottom"/>
            <w:gridSpan w:val="2"/>
          </w:tcPr>
          <w:p>
            <w:pPr>
              <w:ind w:left="760"/>
              <w:spacing w:after="0"/>
              <w:rPr>
                <w:sz w:val="20"/>
                <w:szCs w:val="20"/>
                <w:color w:val="auto"/>
              </w:rPr>
            </w:pPr>
            <w:r>
              <w:rPr>
                <w:rFonts w:ascii="Arial" w:cs="Arial" w:eastAsia="Arial" w:hAnsi="Arial"/>
                <w:sz w:val="18"/>
                <w:szCs w:val="18"/>
                <w:color w:val="auto"/>
              </w:rPr>
              <w:t>Acquisition integration</w:t>
            </w:r>
          </w:p>
        </w:tc>
        <w:tc>
          <w:tcPr>
            <w:tcW w:w="1220" w:type="dxa"/>
            <w:vAlign w:val="bottom"/>
          </w:tcPr>
          <w:p>
            <w:pPr>
              <w:spacing w:after="0"/>
              <w:rPr>
                <w:sz w:val="23"/>
                <w:szCs w:val="23"/>
                <w:color w:val="auto"/>
              </w:rPr>
            </w:pP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57"/>
        </w:trPr>
        <w:tc>
          <w:tcPr>
            <w:tcW w:w="5900" w:type="dxa"/>
            <w:vAlign w:val="bottom"/>
            <w:gridSpan w:val="2"/>
          </w:tcPr>
          <w:p>
            <w:pPr>
              <w:ind w:left="660"/>
              <w:spacing w:after="0"/>
              <w:rPr>
                <w:sz w:val="20"/>
                <w:szCs w:val="20"/>
                <w:color w:val="auto"/>
              </w:rPr>
            </w:pPr>
            <w:r>
              <w:rPr>
                <w:rFonts w:ascii="Arial" w:cs="Arial" w:eastAsia="Arial" w:hAnsi="Arial"/>
                <w:sz w:val="18"/>
                <w:szCs w:val="18"/>
                <w:color w:val="auto"/>
              </w:rPr>
              <w:t>Restructuring payment:</w:t>
            </w:r>
          </w:p>
        </w:tc>
        <w:tc>
          <w:tcPr>
            <w:tcW w:w="12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84"/>
        </w:trPr>
        <w:tc>
          <w:tcPr>
            <w:tcW w:w="5900" w:type="dxa"/>
            <w:vAlign w:val="bottom"/>
            <w:gridSpan w:val="2"/>
          </w:tcPr>
          <w:p>
            <w:pPr>
              <w:ind w:left="760"/>
              <w:spacing w:after="0"/>
              <w:rPr>
                <w:sz w:val="20"/>
                <w:szCs w:val="20"/>
                <w:color w:val="auto"/>
              </w:rPr>
            </w:pPr>
            <w:r>
              <w:rPr>
                <w:rFonts w:ascii="Arial" w:cs="Arial" w:eastAsia="Arial" w:hAnsi="Arial"/>
                <w:sz w:val="18"/>
                <w:szCs w:val="18"/>
                <w:color w:val="auto"/>
              </w:rPr>
              <w:t>T15</w:t>
            </w:r>
          </w:p>
        </w:tc>
        <w:tc>
          <w:tcPr>
            <w:tcW w:w="122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70"/>
        </w:trPr>
        <w:tc>
          <w:tcPr>
            <w:tcW w:w="5900" w:type="dxa"/>
            <w:vAlign w:val="bottom"/>
            <w:gridSpan w:val="2"/>
          </w:tcPr>
          <w:p>
            <w:pPr>
              <w:ind w:left="760"/>
              <w:spacing w:after="0"/>
              <w:rPr>
                <w:sz w:val="20"/>
                <w:szCs w:val="20"/>
                <w:color w:val="auto"/>
              </w:rPr>
            </w:pPr>
            <w:r>
              <w:rPr>
                <w:rFonts w:ascii="Arial" w:cs="Arial" w:eastAsia="Arial" w:hAnsi="Arial"/>
                <w:sz w:val="18"/>
                <w:szCs w:val="18"/>
                <w:color w:val="auto"/>
              </w:rPr>
              <w:t>Acquisition integration</w:t>
            </w:r>
          </w:p>
        </w:tc>
        <w:tc>
          <w:tcPr>
            <w:tcW w:w="1220" w:type="dxa"/>
            <w:vAlign w:val="bottom"/>
          </w:tcPr>
          <w:p>
            <w:pPr>
              <w:spacing w:after="0"/>
              <w:rPr>
                <w:sz w:val="23"/>
                <w:szCs w:val="23"/>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77"/>
        </w:trPr>
        <w:tc>
          <w:tcPr>
            <w:tcW w:w="5900" w:type="dxa"/>
            <w:vAlign w:val="bottom"/>
            <w:gridSpan w:val="2"/>
          </w:tcPr>
          <w:p>
            <w:pPr>
              <w:ind w:left="760"/>
              <w:spacing w:after="0"/>
              <w:rPr>
                <w:sz w:val="20"/>
                <w:szCs w:val="20"/>
                <w:color w:val="auto"/>
              </w:rPr>
            </w:pPr>
            <w:r>
              <w:rPr>
                <w:rFonts w:ascii="Arial" w:cs="Arial" w:eastAsia="Arial" w:hAnsi="Arial"/>
                <w:sz w:val="18"/>
                <w:szCs w:val="18"/>
                <w:color w:val="auto"/>
              </w:rPr>
              <w:t>Avis Europe</w:t>
            </w:r>
          </w:p>
        </w:tc>
        <w:tc>
          <w:tcPr>
            <w:tcW w:w="12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r>
      <w:tr>
        <w:trPr>
          <w:trHeight w:val="243"/>
        </w:trPr>
        <w:tc>
          <w:tcPr>
            <w:tcW w:w="5900" w:type="dxa"/>
            <w:vAlign w:val="bottom"/>
            <w:gridSpan w:val="2"/>
          </w:tcPr>
          <w:p>
            <w:pPr>
              <w:ind w:left="520"/>
              <w:spacing w:after="0"/>
              <w:rPr>
                <w:sz w:val="20"/>
                <w:szCs w:val="20"/>
                <w:color w:val="auto"/>
              </w:rPr>
            </w:pPr>
            <w:r>
              <w:rPr>
                <w:rFonts w:ascii="Arial" w:cs="Arial" w:eastAsia="Arial" w:hAnsi="Arial"/>
                <w:sz w:val="18"/>
                <w:szCs w:val="18"/>
                <w:color w:val="auto"/>
              </w:rPr>
              <w:t>Balance as of December 31, 2015</w:t>
            </w:r>
          </w:p>
        </w:tc>
        <w:tc>
          <w:tcPr>
            <w:tcW w:w="1220" w:type="dxa"/>
            <w:vAlign w:val="bottom"/>
          </w:tcPr>
          <w:p>
            <w:pPr>
              <w:spacing w:after="0"/>
              <w:rPr>
                <w:sz w:val="21"/>
                <w:szCs w:val="21"/>
                <w:color w:val="auto"/>
              </w:rPr>
            </w:pP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57"/>
        </w:trPr>
        <w:tc>
          <w:tcPr>
            <w:tcW w:w="5900" w:type="dxa"/>
            <w:vAlign w:val="bottom"/>
            <w:gridSpan w:val="2"/>
          </w:tcPr>
          <w:p>
            <w:pPr>
              <w:ind w:left="660"/>
              <w:spacing w:after="0"/>
              <w:rPr>
                <w:sz w:val="20"/>
                <w:szCs w:val="20"/>
                <w:color w:val="auto"/>
              </w:rPr>
            </w:pPr>
            <w:r>
              <w:rPr>
                <w:rFonts w:ascii="Arial" w:cs="Arial" w:eastAsia="Arial" w:hAnsi="Arial"/>
                <w:sz w:val="18"/>
                <w:szCs w:val="18"/>
                <w:color w:val="auto"/>
              </w:rPr>
              <w:t>Restructuring expense:</w:t>
            </w:r>
          </w:p>
        </w:tc>
        <w:tc>
          <w:tcPr>
            <w:tcW w:w="12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84"/>
        </w:trPr>
        <w:tc>
          <w:tcPr>
            <w:tcW w:w="5900" w:type="dxa"/>
            <w:vAlign w:val="bottom"/>
            <w:gridSpan w:val="2"/>
          </w:tcPr>
          <w:p>
            <w:pPr>
              <w:ind w:left="760"/>
              <w:spacing w:after="0"/>
              <w:rPr>
                <w:sz w:val="20"/>
                <w:szCs w:val="20"/>
                <w:color w:val="auto"/>
              </w:rPr>
            </w:pPr>
            <w:r>
              <w:rPr>
                <w:rFonts w:ascii="Arial" w:cs="Arial" w:eastAsia="Arial" w:hAnsi="Arial"/>
                <w:sz w:val="18"/>
                <w:szCs w:val="18"/>
                <w:color w:val="auto"/>
              </w:rPr>
              <w:t>T15</w:t>
            </w:r>
          </w:p>
        </w:tc>
        <w:tc>
          <w:tcPr>
            <w:tcW w:w="1220" w:type="dxa"/>
            <w:vAlign w:val="bottom"/>
          </w:tcPr>
          <w:p>
            <w:pPr>
              <w:spacing w:after="0"/>
              <w:rPr>
                <w:sz w:val="24"/>
                <w:szCs w:val="24"/>
                <w:color w:val="auto"/>
              </w:rPr>
            </w:pP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70"/>
        </w:trPr>
        <w:tc>
          <w:tcPr>
            <w:tcW w:w="5900" w:type="dxa"/>
            <w:vAlign w:val="bottom"/>
            <w:gridSpan w:val="2"/>
          </w:tcPr>
          <w:p>
            <w:pPr>
              <w:ind w:left="760"/>
              <w:spacing w:after="0"/>
              <w:rPr>
                <w:sz w:val="20"/>
                <w:szCs w:val="20"/>
                <w:color w:val="auto"/>
              </w:rPr>
            </w:pPr>
            <w:r>
              <w:rPr>
                <w:rFonts w:ascii="Arial" w:cs="Arial" w:eastAsia="Arial" w:hAnsi="Arial"/>
                <w:sz w:val="18"/>
                <w:szCs w:val="18"/>
                <w:color w:val="auto"/>
              </w:rPr>
              <w:t>Acquisition integration</w:t>
            </w:r>
          </w:p>
        </w:tc>
        <w:tc>
          <w:tcPr>
            <w:tcW w:w="1220" w:type="dxa"/>
            <w:vAlign w:val="bottom"/>
          </w:tcPr>
          <w:p>
            <w:pPr>
              <w:spacing w:after="0"/>
              <w:rPr>
                <w:sz w:val="23"/>
                <w:szCs w:val="23"/>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70"/>
        </w:trPr>
        <w:tc>
          <w:tcPr>
            <w:tcW w:w="5900" w:type="dxa"/>
            <w:vAlign w:val="bottom"/>
            <w:gridSpan w:val="2"/>
          </w:tcPr>
          <w:p>
            <w:pPr>
              <w:ind w:left="760"/>
              <w:spacing w:after="0"/>
              <w:rPr>
                <w:sz w:val="20"/>
                <w:szCs w:val="20"/>
                <w:color w:val="auto"/>
              </w:rPr>
            </w:pPr>
            <w:r>
              <w:rPr>
                <w:rFonts w:ascii="Arial" w:cs="Arial" w:eastAsia="Arial" w:hAnsi="Arial"/>
                <w:sz w:val="18"/>
                <w:szCs w:val="18"/>
                <w:color w:val="auto"/>
              </w:rPr>
              <w:t>Avis Europe</w:t>
            </w:r>
          </w:p>
        </w:tc>
        <w:tc>
          <w:tcPr>
            <w:tcW w:w="1220" w:type="dxa"/>
            <w:vAlign w:val="bottom"/>
          </w:tcPr>
          <w:p>
            <w:pPr>
              <w:spacing w:after="0"/>
              <w:rPr>
                <w:sz w:val="23"/>
                <w:szCs w:val="23"/>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57"/>
        </w:trPr>
        <w:tc>
          <w:tcPr>
            <w:tcW w:w="5900" w:type="dxa"/>
            <w:vAlign w:val="bottom"/>
            <w:gridSpan w:val="2"/>
          </w:tcPr>
          <w:p>
            <w:pPr>
              <w:ind w:left="660"/>
              <w:spacing w:after="0"/>
              <w:rPr>
                <w:sz w:val="20"/>
                <w:szCs w:val="20"/>
                <w:color w:val="auto"/>
              </w:rPr>
            </w:pPr>
            <w:r>
              <w:rPr>
                <w:rFonts w:ascii="Arial" w:cs="Arial" w:eastAsia="Arial" w:hAnsi="Arial"/>
                <w:sz w:val="18"/>
                <w:szCs w:val="18"/>
                <w:color w:val="auto"/>
              </w:rPr>
              <w:t>Restructuring payment/utilization:</w:t>
            </w:r>
          </w:p>
        </w:tc>
        <w:tc>
          <w:tcPr>
            <w:tcW w:w="12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84"/>
        </w:trPr>
        <w:tc>
          <w:tcPr>
            <w:tcW w:w="5900" w:type="dxa"/>
            <w:vAlign w:val="bottom"/>
            <w:gridSpan w:val="2"/>
          </w:tcPr>
          <w:p>
            <w:pPr>
              <w:ind w:left="760"/>
              <w:spacing w:after="0"/>
              <w:rPr>
                <w:sz w:val="20"/>
                <w:szCs w:val="20"/>
                <w:color w:val="auto"/>
              </w:rPr>
            </w:pPr>
            <w:r>
              <w:rPr>
                <w:rFonts w:ascii="Arial" w:cs="Arial" w:eastAsia="Arial" w:hAnsi="Arial"/>
                <w:sz w:val="18"/>
                <w:szCs w:val="18"/>
                <w:color w:val="auto"/>
              </w:rPr>
              <w:t>T15</w:t>
            </w:r>
          </w:p>
        </w:tc>
        <w:tc>
          <w:tcPr>
            <w:tcW w:w="122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3"/>
              </w:rPr>
              <w:t>(11)</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70"/>
        </w:trPr>
        <w:tc>
          <w:tcPr>
            <w:tcW w:w="5900" w:type="dxa"/>
            <w:vAlign w:val="bottom"/>
            <w:gridSpan w:val="2"/>
          </w:tcPr>
          <w:p>
            <w:pPr>
              <w:ind w:left="760"/>
              <w:spacing w:after="0"/>
              <w:rPr>
                <w:sz w:val="20"/>
                <w:szCs w:val="20"/>
                <w:color w:val="auto"/>
              </w:rPr>
            </w:pPr>
            <w:r>
              <w:rPr>
                <w:rFonts w:ascii="Arial" w:cs="Arial" w:eastAsia="Arial" w:hAnsi="Arial"/>
                <w:sz w:val="18"/>
                <w:szCs w:val="18"/>
                <w:color w:val="auto"/>
              </w:rPr>
              <w:t>Acquisition integration</w:t>
            </w:r>
          </w:p>
        </w:tc>
        <w:tc>
          <w:tcPr>
            <w:tcW w:w="1220" w:type="dxa"/>
            <w:vAlign w:val="bottom"/>
          </w:tcPr>
          <w:p>
            <w:pPr>
              <w:spacing w:after="0"/>
              <w:rPr>
                <w:sz w:val="23"/>
                <w:szCs w:val="23"/>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77"/>
        </w:trPr>
        <w:tc>
          <w:tcPr>
            <w:tcW w:w="5900" w:type="dxa"/>
            <w:vAlign w:val="bottom"/>
            <w:gridSpan w:val="2"/>
          </w:tcPr>
          <w:p>
            <w:pPr>
              <w:ind w:left="760"/>
              <w:spacing w:after="0"/>
              <w:rPr>
                <w:sz w:val="20"/>
                <w:szCs w:val="20"/>
                <w:color w:val="auto"/>
              </w:rPr>
            </w:pPr>
            <w:r>
              <w:rPr>
                <w:rFonts w:ascii="Arial" w:cs="Arial" w:eastAsia="Arial" w:hAnsi="Arial"/>
                <w:sz w:val="18"/>
                <w:szCs w:val="18"/>
                <w:color w:val="auto"/>
              </w:rPr>
              <w:t>Avis Europe</w:t>
            </w:r>
          </w:p>
        </w:tc>
        <w:tc>
          <w:tcPr>
            <w:tcW w:w="1220" w:type="dxa"/>
            <w:vAlign w:val="bottom"/>
          </w:tcPr>
          <w:p>
            <w:pPr>
              <w:spacing w:after="0"/>
              <w:rPr>
                <w:sz w:val="24"/>
                <w:szCs w:val="24"/>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43"/>
        </w:trPr>
        <w:tc>
          <w:tcPr>
            <w:tcW w:w="5900" w:type="dxa"/>
            <w:vAlign w:val="bottom"/>
            <w:gridSpan w:val="2"/>
          </w:tcPr>
          <w:p>
            <w:pPr>
              <w:ind w:left="520"/>
              <w:spacing w:after="0"/>
              <w:rPr>
                <w:sz w:val="20"/>
                <w:szCs w:val="20"/>
                <w:color w:val="auto"/>
              </w:rPr>
            </w:pPr>
            <w:r>
              <w:rPr>
                <w:rFonts w:ascii="Arial" w:cs="Arial" w:eastAsia="Arial" w:hAnsi="Arial"/>
                <w:sz w:val="18"/>
                <w:szCs w:val="18"/>
                <w:color w:val="auto"/>
              </w:rPr>
              <w:t>Balance as of December 31, 2016</w:t>
            </w:r>
          </w:p>
        </w:tc>
        <w:tc>
          <w:tcPr>
            <w:tcW w:w="1220" w:type="dxa"/>
            <w:vAlign w:val="bottom"/>
            <w:tcBorders>
              <w:top w:val="single" w:sz="8" w:color="auto"/>
            </w:tcBorders>
          </w:tcPr>
          <w:p>
            <w:pPr>
              <w:spacing w:after="0"/>
              <w:rPr>
                <w:sz w:val="21"/>
                <w:szCs w:val="21"/>
                <w:color w:val="auto"/>
              </w:rPr>
            </w:pPr>
          </w:p>
        </w:tc>
        <w:tc>
          <w:tcPr>
            <w:tcW w:w="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w:t>
            </w:r>
          </w:p>
        </w:tc>
      </w:tr>
      <w:tr>
        <w:trPr>
          <w:trHeight w:val="257"/>
        </w:trPr>
        <w:tc>
          <w:tcPr>
            <w:tcW w:w="5900" w:type="dxa"/>
            <w:vAlign w:val="bottom"/>
            <w:gridSpan w:val="2"/>
          </w:tcPr>
          <w:p>
            <w:pPr>
              <w:ind w:left="660"/>
              <w:spacing w:after="0"/>
              <w:rPr>
                <w:sz w:val="20"/>
                <w:szCs w:val="20"/>
                <w:color w:val="auto"/>
              </w:rPr>
            </w:pPr>
            <w:r>
              <w:rPr>
                <w:rFonts w:ascii="Arial" w:cs="Arial" w:eastAsia="Arial" w:hAnsi="Arial"/>
                <w:sz w:val="18"/>
                <w:szCs w:val="18"/>
                <w:color w:val="auto"/>
              </w:rPr>
              <w:t>Restructuring expense:</w:t>
            </w:r>
          </w:p>
        </w:tc>
        <w:tc>
          <w:tcPr>
            <w:tcW w:w="12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84"/>
        </w:trPr>
        <w:tc>
          <w:tcPr>
            <w:tcW w:w="5900" w:type="dxa"/>
            <w:vAlign w:val="bottom"/>
            <w:gridSpan w:val="2"/>
          </w:tcPr>
          <w:p>
            <w:pPr>
              <w:ind w:left="760"/>
              <w:spacing w:after="0"/>
              <w:rPr>
                <w:sz w:val="20"/>
                <w:szCs w:val="20"/>
                <w:color w:val="auto"/>
              </w:rPr>
            </w:pPr>
            <w:r>
              <w:rPr>
                <w:rFonts w:ascii="Arial" w:cs="Arial" w:eastAsia="Arial" w:hAnsi="Arial"/>
                <w:sz w:val="18"/>
                <w:szCs w:val="18"/>
                <w:color w:val="auto"/>
              </w:rPr>
              <w:t>Truck initiative</w:t>
            </w:r>
          </w:p>
        </w:tc>
        <w:tc>
          <w:tcPr>
            <w:tcW w:w="1220" w:type="dxa"/>
            <w:vAlign w:val="bottom"/>
          </w:tcPr>
          <w:p>
            <w:pPr>
              <w:spacing w:after="0"/>
              <w:rPr>
                <w:sz w:val="24"/>
                <w:szCs w:val="24"/>
                <w:color w:val="auto"/>
              </w:rPr>
            </w:pP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70"/>
        </w:trPr>
        <w:tc>
          <w:tcPr>
            <w:tcW w:w="5900" w:type="dxa"/>
            <w:vAlign w:val="bottom"/>
            <w:gridSpan w:val="2"/>
          </w:tcPr>
          <w:p>
            <w:pPr>
              <w:ind w:left="760"/>
              <w:spacing w:after="0"/>
              <w:rPr>
                <w:sz w:val="20"/>
                <w:szCs w:val="20"/>
                <w:color w:val="auto"/>
              </w:rPr>
            </w:pPr>
            <w:r>
              <w:rPr>
                <w:rFonts w:ascii="Arial" w:cs="Arial" w:eastAsia="Arial" w:hAnsi="Arial"/>
                <w:sz w:val="18"/>
                <w:szCs w:val="18"/>
                <w:color w:val="auto"/>
              </w:rPr>
              <w:t>T17</w:t>
            </w:r>
          </w:p>
        </w:tc>
        <w:tc>
          <w:tcPr>
            <w:tcW w:w="1220" w:type="dxa"/>
            <w:vAlign w:val="bottom"/>
          </w:tcPr>
          <w:p>
            <w:pPr>
              <w:spacing w:after="0"/>
              <w:rPr>
                <w:sz w:val="23"/>
                <w:szCs w:val="23"/>
                <w:color w:val="auto"/>
              </w:rPr>
            </w:pP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57"/>
        </w:trPr>
        <w:tc>
          <w:tcPr>
            <w:tcW w:w="5900" w:type="dxa"/>
            <w:vAlign w:val="bottom"/>
            <w:gridSpan w:val="2"/>
          </w:tcPr>
          <w:p>
            <w:pPr>
              <w:ind w:left="660"/>
              <w:spacing w:after="0"/>
              <w:rPr>
                <w:sz w:val="20"/>
                <w:szCs w:val="20"/>
                <w:color w:val="auto"/>
              </w:rPr>
            </w:pPr>
            <w:r>
              <w:rPr>
                <w:rFonts w:ascii="Arial" w:cs="Arial" w:eastAsia="Arial" w:hAnsi="Arial"/>
                <w:sz w:val="18"/>
                <w:szCs w:val="18"/>
                <w:color w:val="auto"/>
              </w:rPr>
              <w:t>Restructuring payment/utilization:</w:t>
            </w:r>
          </w:p>
        </w:tc>
        <w:tc>
          <w:tcPr>
            <w:tcW w:w="12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84"/>
        </w:trPr>
        <w:tc>
          <w:tcPr>
            <w:tcW w:w="5900" w:type="dxa"/>
            <w:vAlign w:val="bottom"/>
            <w:gridSpan w:val="2"/>
          </w:tcPr>
          <w:p>
            <w:pPr>
              <w:ind w:left="760"/>
              <w:spacing w:after="0"/>
              <w:rPr>
                <w:sz w:val="20"/>
                <w:szCs w:val="20"/>
                <w:color w:val="auto"/>
              </w:rPr>
            </w:pPr>
            <w:r>
              <w:rPr>
                <w:rFonts w:ascii="Arial" w:cs="Arial" w:eastAsia="Arial" w:hAnsi="Arial"/>
                <w:sz w:val="18"/>
                <w:szCs w:val="18"/>
                <w:color w:val="auto"/>
              </w:rPr>
              <w:t>Truck initiative</w:t>
            </w:r>
          </w:p>
        </w:tc>
        <w:tc>
          <w:tcPr>
            <w:tcW w:w="122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70"/>
        </w:trPr>
        <w:tc>
          <w:tcPr>
            <w:tcW w:w="5900" w:type="dxa"/>
            <w:vAlign w:val="bottom"/>
            <w:gridSpan w:val="2"/>
          </w:tcPr>
          <w:p>
            <w:pPr>
              <w:ind w:left="760"/>
              <w:spacing w:after="0"/>
              <w:rPr>
                <w:sz w:val="20"/>
                <w:szCs w:val="20"/>
                <w:color w:val="auto"/>
              </w:rPr>
            </w:pPr>
            <w:r>
              <w:rPr>
                <w:rFonts w:ascii="Arial" w:cs="Arial" w:eastAsia="Arial" w:hAnsi="Arial"/>
                <w:sz w:val="18"/>
                <w:szCs w:val="18"/>
                <w:color w:val="auto"/>
              </w:rPr>
              <w:t>T17</w:t>
            </w:r>
          </w:p>
        </w:tc>
        <w:tc>
          <w:tcPr>
            <w:tcW w:w="1220" w:type="dxa"/>
            <w:vAlign w:val="bottom"/>
          </w:tcPr>
          <w:p>
            <w:pPr>
              <w:spacing w:after="0"/>
              <w:rPr>
                <w:sz w:val="23"/>
                <w:szCs w:val="23"/>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3"/>
              </w:rPr>
              <w:t>(24)</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70"/>
        </w:trPr>
        <w:tc>
          <w:tcPr>
            <w:tcW w:w="5900" w:type="dxa"/>
            <w:vAlign w:val="bottom"/>
            <w:gridSpan w:val="2"/>
          </w:tcPr>
          <w:p>
            <w:pPr>
              <w:ind w:left="760"/>
              <w:spacing w:after="0"/>
              <w:rPr>
                <w:sz w:val="20"/>
                <w:szCs w:val="20"/>
                <w:color w:val="auto"/>
              </w:rPr>
            </w:pPr>
            <w:r>
              <w:rPr>
                <w:rFonts w:ascii="Arial" w:cs="Arial" w:eastAsia="Arial" w:hAnsi="Arial"/>
                <w:sz w:val="18"/>
                <w:szCs w:val="18"/>
                <w:color w:val="auto"/>
              </w:rPr>
              <w:t>T15</w:t>
            </w:r>
          </w:p>
        </w:tc>
        <w:tc>
          <w:tcPr>
            <w:tcW w:w="1220" w:type="dxa"/>
            <w:vAlign w:val="bottom"/>
          </w:tcPr>
          <w:p>
            <w:pPr>
              <w:spacing w:after="0"/>
              <w:rPr>
                <w:sz w:val="23"/>
                <w:szCs w:val="23"/>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77"/>
        </w:trPr>
        <w:tc>
          <w:tcPr>
            <w:tcW w:w="5900" w:type="dxa"/>
            <w:vAlign w:val="bottom"/>
            <w:gridSpan w:val="2"/>
          </w:tcPr>
          <w:p>
            <w:pPr>
              <w:ind w:left="760"/>
              <w:spacing w:after="0"/>
              <w:rPr>
                <w:sz w:val="20"/>
                <w:szCs w:val="20"/>
                <w:color w:val="auto"/>
              </w:rPr>
            </w:pPr>
            <w:r>
              <w:rPr>
                <w:rFonts w:ascii="Arial" w:cs="Arial" w:eastAsia="Arial" w:hAnsi="Arial"/>
                <w:sz w:val="18"/>
                <w:szCs w:val="18"/>
                <w:color w:val="auto"/>
              </w:rPr>
              <w:t>Acquisition integration</w:t>
            </w:r>
          </w:p>
        </w:tc>
        <w:tc>
          <w:tcPr>
            <w:tcW w:w="1220" w:type="dxa"/>
            <w:vAlign w:val="bottom"/>
          </w:tcPr>
          <w:p>
            <w:pPr>
              <w:spacing w:after="0"/>
              <w:rPr>
                <w:sz w:val="24"/>
                <w:szCs w:val="24"/>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50"/>
        </w:trPr>
        <w:tc>
          <w:tcPr>
            <w:tcW w:w="5900" w:type="dxa"/>
            <w:vAlign w:val="bottom"/>
            <w:gridSpan w:val="2"/>
          </w:tcPr>
          <w:p>
            <w:pPr>
              <w:ind w:left="520"/>
              <w:spacing w:after="0"/>
              <w:rPr>
                <w:sz w:val="20"/>
                <w:szCs w:val="20"/>
                <w:color w:val="auto"/>
              </w:rPr>
            </w:pPr>
            <w:r>
              <w:rPr>
                <w:rFonts w:ascii="Arial" w:cs="Arial" w:eastAsia="Arial" w:hAnsi="Arial"/>
                <w:sz w:val="18"/>
                <w:szCs w:val="18"/>
                <w:color w:val="auto"/>
              </w:rPr>
              <w:t>Balance as of December 31, 2017</w:t>
            </w:r>
          </w:p>
        </w:tc>
        <w:tc>
          <w:tcPr>
            <w:tcW w:w="1220" w:type="dxa"/>
            <w:vAlign w:val="bottom"/>
            <w:tcBorders>
              <w:top w:val="single" w:sz="8" w:color="auto"/>
              <w:bottom w:val="single" w:sz="8" w:color="auto"/>
            </w:tcBorders>
          </w:tcPr>
          <w:p>
            <w:pPr>
              <w:jc w:val="right"/>
              <w:ind w:right="990"/>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w:t>
            </w:r>
          </w:p>
        </w:tc>
      </w:tr>
      <w:tr>
        <w:trPr>
          <w:trHeight w:val="20"/>
        </w:trPr>
        <w:tc>
          <w:tcPr>
            <w:tcW w:w="140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Other Related Charges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Officer Separation Costs</w:t>
      </w:r>
    </w:p>
    <w:p>
      <w:pPr>
        <w:spacing w:after="0" w:line="243" w:lineRule="exact"/>
        <w:rPr>
          <w:sz w:val="20"/>
          <w:szCs w:val="20"/>
          <w:color w:val="auto"/>
        </w:rPr>
      </w:pPr>
    </w:p>
    <w:p>
      <w:pPr>
        <w:jc w:val="both"/>
        <w:ind w:left="500"/>
        <w:spacing w:after="0" w:line="256" w:lineRule="auto"/>
        <w:rPr>
          <w:sz w:val="20"/>
          <w:szCs w:val="20"/>
          <w:color w:val="auto"/>
        </w:rPr>
      </w:pPr>
      <w:r>
        <w:rPr>
          <w:rFonts w:ascii="Arial" w:cs="Arial" w:eastAsia="Arial" w:hAnsi="Arial"/>
          <w:sz w:val="18"/>
          <w:szCs w:val="18"/>
          <w:color w:val="auto"/>
        </w:rPr>
        <w:t>On May 12, 2017, the Company announced the resignation of David B. Wyshner as the Company’s President and Chief Financial Officer. In connection with Mr. Wyshner’s departure, the Company recorded other related charges of $7 million during the year ended December 31, 2017, inclusive of accelerated stock-based compensation expense of $2 million.</w:t>
      </w:r>
    </w:p>
    <w:p>
      <w:pPr>
        <w:spacing w:after="0" w:line="184"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Limited Voluntary Opportunity Plans (“LVOP”)</w:t>
      </w:r>
    </w:p>
    <w:p>
      <w:pPr>
        <w:spacing w:after="0" w:line="243" w:lineRule="exact"/>
        <w:rPr>
          <w:sz w:val="20"/>
          <w:szCs w:val="20"/>
          <w:color w:val="auto"/>
        </w:rPr>
      </w:pPr>
    </w:p>
    <w:p>
      <w:pPr>
        <w:ind w:left="500" w:right="40"/>
        <w:spacing w:after="0" w:line="253" w:lineRule="auto"/>
        <w:rPr>
          <w:sz w:val="20"/>
          <w:szCs w:val="20"/>
          <w:color w:val="auto"/>
        </w:rPr>
      </w:pPr>
      <w:r>
        <w:rPr>
          <w:rFonts w:ascii="Arial" w:cs="Arial" w:eastAsia="Arial" w:hAnsi="Arial"/>
          <w:sz w:val="18"/>
          <w:szCs w:val="18"/>
          <w:color w:val="auto"/>
        </w:rPr>
        <w:t>During 2017, the Company offered voluntary termination programs to certain employees in the Americas’ field operations, shared services, and general and administrative functions for a limited time. These employees, if qualified, elected resignation from employment in return for enhanced severance benefits to be settled in cash. During the year ended December 31, 2017, the Company recorded other related charges of $16 million in connection with LVOP. Approximately 355 qualified employees elected to participate in the plans, and as of December 31, 2017, the Company had terminated the employment of approximately 340 of these participants.</w:t>
      </w:r>
    </w:p>
    <w:p>
      <w:pPr>
        <w:spacing w:after="0" w:line="184" w:lineRule="exact"/>
        <w:rPr>
          <w:sz w:val="20"/>
          <w:szCs w:val="20"/>
          <w:color w:val="auto"/>
        </w:rPr>
      </w:pPr>
    </w:p>
    <w:p>
      <w:pPr>
        <w:ind w:left="500" w:right="9840" w:hanging="492"/>
        <w:spacing w:after="0" w:line="530" w:lineRule="auto"/>
        <w:tabs>
          <w:tab w:leader="none" w:pos="500" w:val="left"/>
        </w:tabs>
        <w:numPr>
          <w:ilvl w:val="0"/>
          <w:numId w:val="6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Acquisitions </w:t>
      </w:r>
      <w:r>
        <w:rPr>
          <w:rFonts w:ascii="Arial" w:cs="Arial" w:eastAsia="Arial" w:hAnsi="Arial"/>
          <w:sz w:val="17"/>
          <w:szCs w:val="17"/>
          <w:b w:val="1"/>
          <w:bCs w:val="1"/>
          <w:u w:val="single" w:color="auto"/>
          <w:color w:val="auto"/>
        </w:rPr>
        <w:t>2017</w:t>
      </w:r>
    </w:p>
    <w:p>
      <w:pPr>
        <w:ind w:left="500"/>
        <w:spacing w:after="0"/>
        <w:rPr>
          <w:rFonts w:ascii="Arial" w:cs="Arial" w:eastAsia="Arial" w:hAnsi="Arial"/>
          <w:sz w:val="17"/>
          <w:szCs w:val="17"/>
          <w:b w:val="1"/>
          <w:bCs w:val="1"/>
          <w:color w:val="auto"/>
        </w:rPr>
      </w:pPr>
      <w:r>
        <w:rPr>
          <w:rFonts w:ascii="Arial" w:cs="Arial" w:eastAsia="Arial" w:hAnsi="Arial"/>
          <w:sz w:val="18"/>
          <w:szCs w:val="18"/>
          <w:b w:val="1"/>
          <w:bCs w:val="1"/>
          <w:color w:val="auto"/>
        </w:rPr>
        <w:t>Avis and Budget Licensees</w:t>
      </w:r>
    </w:p>
    <w:p>
      <w:pPr>
        <w:spacing w:after="0" w:line="247" w:lineRule="exact"/>
        <w:rPr>
          <w:rFonts w:ascii="Arial" w:cs="Arial" w:eastAsia="Arial" w:hAnsi="Arial"/>
          <w:sz w:val="17"/>
          <w:szCs w:val="17"/>
          <w:b w:val="1"/>
          <w:bCs w:val="1"/>
          <w:color w:val="auto"/>
        </w:rPr>
      </w:pPr>
    </w:p>
    <w:p>
      <w:pPr>
        <w:ind w:left="500" w:right="260"/>
        <w:spacing w:after="0" w:line="254" w:lineRule="auto"/>
        <w:rPr>
          <w:rFonts w:ascii="Arial" w:cs="Arial" w:eastAsia="Arial" w:hAnsi="Arial"/>
          <w:sz w:val="17"/>
          <w:szCs w:val="17"/>
          <w:b w:val="1"/>
          <w:bCs w:val="1"/>
          <w:color w:val="auto"/>
        </w:rPr>
      </w:pPr>
      <w:r>
        <w:rPr>
          <w:rFonts w:ascii="Arial" w:cs="Arial" w:eastAsia="Arial" w:hAnsi="Arial"/>
          <w:sz w:val="18"/>
          <w:szCs w:val="18"/>
          <w:color w:val="auto"/>
        </w:rPr>
        <w:t>During 2017, the Company completed the acquisitions of various licensees in Europe and North America, for approximately $9 million, plus $4 million for acquired fleet. These investments were in line with the Company’s strategy to re-acquire licensees when advantageous to expand our footprint of Company-operated locations. The acquired fleet was financed under the Company’s existing financing arrangements.</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420"/>
          </w:cols>
          <w:pgMar w:left="240" w:top="108" w:right="239" w:bottom="1440" w:gutter="0" w:footer="0" w:header="0"/>
        </w:sectPr>
      </w:pPr>
    </w:p>
    <w:bookmarkStart w:id="88" w:name="page89"/>
    <w:bookmarkEnd w:id="8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left="500" w:right="320"/>
        <w:spacing w:after="0" w:line="274" w:lineRule="auto"/>
        <w:rPr>
          <w:sz w:val="20"/>
          <w:szCs w:val="20"/>
          <w:color w:val="auto"/>
        </w:rPr>
      </w:pPr>
      <w:r>
        <w:rPr>
          <w:rFonts w:ascii="Arial" w:cs="Arial" w:eastAsia="Arial" w:hAnsi="Arial"/>
          <w:sz w:val="17"/>
          <w:szCs w:val="17"/>
          <w:color w:val="auto"/>
        </w:rPr>
        <w:t>In connection with these acquisitions, approximately $12 million was recorded in license agreements. The license agreements will be amortized over a weighted average useful life of approximately three years. In addition, at the time of the acquisitions, the Company recorded $2 million in non-cash charges within transaction-related costs, net in connection with the license rights reacquired by the Company. The fair value of the assets acquired and liabilities assumed has not yet been finalized and is therefore subject to change.</w:t>
      </w:r>
    </w:p>
    <w:p>
      <w:pPr>
        <w:spacing w:after="0" w:line="179"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ACL Hire Limited</w:t>
      </w:r>
    </w:p>
    <w:p>
      <w:pPr>
        <w:spacing w:after="0" w:line="247" w:lineRule="exact"/>
        <w:rPr>
          <w:sz w:val="20"/>
          <w:szCs w:val="20"/>
          <w:color w:val="auto"/>
        </w:rPr>
      </w:pPr>
    </w:p>
    <w:p>
      <w:pPr>
        <w:ind w:left="500" w:right="40"/>
        <w:spacing w:after="0" w:line="252" w:lineRule="auto"/>
        <w:rPr>
          <w:sz w:val="20"/>
          <w:szCs w:val="20"/>
          <w:color w:val="auto"/>
        </w:rPr>
      </w:pPr>
      <w:r>
        <w:rPr>
          <w:rFonts w:ascii="Arial" w:cs="Arial" w:eastAsia="Arial" w:hAnsi="Arial"/>
          <w:sz w:val="18"/>
          <w:szCs w:val="18"/>
          <w:color w:val="auto"/>
        </w:rPr>
        <w:t>In November 2017, the Company completed the acquisition of ACL Hire Limited, a vehicle rental company in Scotland and the UK specializing in commercial and mid-size transit vans, for approximately $5 million, net of acquired cash, and agreed to an additional $2 million of contingent consideration which is contingent on ACL Hire Limited’s future financial performance. The excess of the purchase price over preliminary fair value of net assets acquired was allocated to goodwill, which was assigned to the Company’s International reportable segment. In connection with this acquisition, approximately $5 million was recorded in goodwill. The goodwill is not deductible for tax purposes. The fair value of the assets acquired and liabilities assumed has not yet been finalized and is therefore subject to change.</w:t>
      </w:r>
    </w:p>
    <w:p>
      <w:pPr>
        <w:spacing w:after="0" w:line="185" w:lineRule="exact"/>
        <w:rPr>
          <w:sz w:val="20"/>
          <w:szCs w:val="20"/>
          <w:color w:val="auto"/>
        </w:rPr>
      </w:pPr>
    </w:p>
    <w:p>
      <w:pPr>
        <w:ind w:left="500"/>
        <w:spacing w:after="0"/>
        <w:rPr>
          <w:sz w:val="20"/>
          <w:szCs w:val="20"/>
          <w:color w:val="auto"/>
        </w:rPr>
      </w:pPr>
      <w:r>
        <w:rPr>
          <w:rFonts w:ascii="Arial" w:cs="Arial" w:eastAsia="Arial" w:hAnsi="Arial"/>
          <w:sz w:val="18"/>
          <w:szCs w:val="18"/>
          <w:b w:val="1"/>
          <w:bCs w:val="1"/>
          <w:u w:val="single" w:color="auto"/>
          <w:color w:val="auto"/>
        </w:rPr>
        <w:t>2016</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FranceCars</w:t>
      </w:r>
    </w:p>
    <w:p>
      <w:pPr>
        <w:spacing w:after="0" w:line="247" w:lineRule="exact"/>
        <w:rPr>
          <w:sz w:val="20"/>
          <w:szCs w:val="20"/>
          <w:color w:val="auto"/>
        </w:rPr>
      </w:pPr>
    </w:p>
    <w:p>
      <w:pPr>
        <w:ind w:left="500" w:right="60"/>
        <w:spacing w:after="0" w:line="269" w:lineRule="auto"/>
        <w:rPr>
          <w:sz w:val="20"/>
          <w:szCs w:val="20"/>
          <w:color w:val="auto"/>
        </w:rPr>
      </w:pPr>
      <w:r>
        <w:rPr>
          <w:rFonts w:ascii="Arial" w:cs="Arial" w:eastAsia="Arial" w:hAnsi="Arial"/>
          <w:sz w:val="17"/>
          <w:szCs w:val="17"/>
          <w:color w:val="auto"/>
        </w:rPr>
        <w:t>In December 2016, the Company completed the acquisition of FranceCars for approximately $45 million, net of acquired cash. The investment enabled the Company to expand its footprint with a leading provider of vehicle rental services in France. The excess of the purchase price over preliminary fair value of net assets acquired was allocated to goodwill, which was assigned to the Company’s International reportable segment. In connection with this acquisition, approximately $22 million was recorded in goodwill, $6 million was recorded in customer relationships, and $ 9 million related to trademarks was recorded in other intangibles. The customer relationships and trademarks are being amortized over a weighted average useful life of approximately eight years. The goodwill is not deductible for tax purposes. Differences between the preliminary allocation of purchase price and the final allocation were not material for FranceCars.</w:t>
      </w:r>
    </w:p>
    <w:p>
      <w:pPr>
        <w:spacing w:after="0" w:line="173" w:lineRule="exact"/>
        <w:rPr>
          <w:sz w:val="20"/>
          <w:szCs w:val="20"/>
          <w:color w:val="auto"/>
        </w:rPr>
      </w:pPr>
    </w:p>
    <w:p>
      <w:pPr>
        <w:ind w:left="500"/>
        <w:spacing w:after="0"/>
        <w:rPr>
          <w:sz w:val="20"/>
          <w:szCs w:val="20"/>
          <w:color w:val="auto"/>
        </w:rPr>
      </w:pPr>
      <w:r>
        <w:rPr>
          <w:rFonts w:ascii="Arial" w:cs="Arial" w:eastAsia="Arial" w:hAnsi="Arial"/>
          <w:sz w:val="18"/>
          <w:szCs w:val="18"/>
          <w:b w:val="1"/>
          <w:bCs w:val="1"/>
          <w:u w:val="single" w:color="auto"/>
          <w:color w:val="auto"/>
        </w:rPr>
        <w:t>2015</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Maggiore Group</w:t>
      </w:r>
    </w:p>
    <w:p>
      <w:pPr>
        <w:spacing w:after="0" w:line="247" w:lineRule="exact"/>
        <w:rPr>
          <w:sz w:val="20"/>
          <w:szCs w:val="20"/>
          <w:color w:val="auto"/>
        </w:rPr>
      </w:pPr>
    </w:p>
    <w:p>
      <w:pPr>
        <w:ind w:left="500"/>
        <w:spacing w:after="0" w:line="252" w:lineRule="auto"/>
        <w:rPr>
          <w:sz w:val="20"/>
          <w:szCs w:val="20"/>
          <w:color w:val="auto"/>
        </w:rPr>
      </w:pPr>
      <w:r>
        <w:rPr>
          <w:rFonts w:ascii="Arial" w:cs="Arial" w:eastAsia="Arial" w:hAnsi="Arial"/>
          <w:sz w:val="18"/>
          <w:szCs w:val="18"/>
          <w:color w:val="auto"/>
        </w:rPr>
        <w:t>In April 2015, the Company completed the acquisition of Maggiore Group (“Maggiore”) for approximately $160 million, net of acquired cash and short-term investments. The investment enabled the Company to expand its footprint with a leading provider of vehicle rental services in Italy. The excess of the purchase price over preliminary fair value of net assets acquired was allocated to goodwill, which was assigned to the Company’s International reportable segment. In connection with this acquisition, approximately $82 million was recorded in goodwill, $50 million was recorded in customer relationships, $34 million related to trademarks were recorded in other intangibles and $11 million was recorded in license agreements. The customer relationships, trademarks and license agreements are being amortized over a weighted average useful life of approximately ten years. The goodwill is not deductible for tax purposes. Differences between the preliminary allocation of purchase price and the final allocation were not material for Maggiore.</w:t>
      </w:r>
    </w:p>
    <w:p>
      <w:pPr>
        <w:spacing w:after="0" w:line="184"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Brazil</w:t>
      </w:r>
    </w:p>
    <w:p>
      <w:pPr>
        <w:spacing w:after="0" w:line="247" w:lineRule="exact"/>
        <w:rPr>
          <w:sz w:val="20"/>
          <w:szCs w:val="20"/>
          <w:color w:val="auto"/>
        </w:rPr>
      </w:pPr>
    </w:p>
    <w:p>
      <w:pPr>
        <w:ind w:left="500" w:right="20"/>
        <w:spacing w:after="0" w:line="252" w:lineRule="auto"/>
        <w:rPr>
          <w:sz w:val="20"/>
          <w:szCs w:val="20"/>
          <w:color w:val="auto"/>
        </w:rPr>
      </w:pPr>
      <w:r>
        <w:rPr>
          <w:rFonts w:ascii="Arial" w:cs="Arial" w:eastAsia="Arial" w:hAnsi="Arial"/>
          <w:sz w:val="18"/>
          <w:szCs w:val="18"/>
          <w:color w:val="auto"/>
        </w:rPr>
        <w:t>In August 2013, the Company made an initial equity investment in its Brazilian licensee (“Brazil”) for a 50% ownership stake. In April 2015, the Company acquired the remaining 50% equity interest in Brazil, which is now a wholly-owned subsidiary, for cash consideration of $8 million plus $46 million principally to acquire debt interests and settle certain debt and accrued interest obligations. Since the Company previously accounted for its 50% interest in Brazil as an equity-method investment, in order to recognize Brazil as a wholly-owned subsidiary in April 2015, the Company remeasured its previously held equity method investment to fair value using the Income approach-discounted cash flow method (Level 3), resulting in a loss of $8 million during 2015 as part of transaction-related costs. $77 million was allocated to goodwill for the excess of the purchase price over preliminary fair value of net assets acquired, which was assigned to</w:t>
      </w:r>
    </w:p>
    <w:p>
      <w:pPr>
        <w:spacing w:after="0" w:line="23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360"/>
          </w:cols>
          <w:pgMar w:left="240" w:top="140" w:right="299" w:bottom="1440" w:gutter="0" w:footer="0" w:header="0"/>
        </w:sectPr>
      </w:pPr>
    </w:p>
    <w:bookmarkStart w:id="89" w:name="page90"/>
    <w:bookmarkEnd w:id="8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left="500" w:right="280"/>
        <w:spacing w:after="0" w:line="262" w:lineRule="auto"/>
        <w:rPr>
          <w:sz w:val="20"/>
          <w:szCs w:val="20"/>
          <w:color w:val="auto"/>
        </w:rPr>
      </w:pPr>
      <w:r>
        <w:rPr>
          <w:rFonts w:ascii="Arial" w:cs="Arial" w:eastAsia="Arial" w:hAnsi="Arial"/>
          <w:sz w:val="18"/>
          <w:szCs w:val="18"/>
          <w:color w:val="auto"/>
        </w:rPr>
        <w:t>the Company’s Americas reportable segment and is not deductible for tax purposes. Differences between the preliminary allocation of purchase price and the final allocation were not material for Brazil.</w:t>
      </w:r>
    </w:p>
    <w:p>
      <w:pPr>
        <w:spacing w:after="0" w:line="174"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Avis and Budget Licensees</w:t>
      </w:r>
    </w:p>
    <w:p>
      <w:pPr>
        <w:spacing w:after="0" w:line="247" w:lineRule="exact"/>
        <w:rPr>
          <w:sz w:val="20"/>
          <w:szCs w:val="20"/>
          <w:color w:val="auto"/>
        </w:rPr>
      </w:pPr>
    </w:p>
    <w:p>
      <w:pPr>
        <w:ind w:left="500"/>
        <w:spacing w:after="0" w:line="268" w:lineRule="auto"/>
        <w:rPr>
          <w:sz w:val="20"/>
          <w:szCs w:val="20"/>
          <w:color w:val="auto"/>
        </w:rPr>
      </w:pPr>
      <w:r>
        <w:rPr>
          <w:rFonts w:ascii="Arial" w:cs="Arial" w:eastAsia="Arial" w:hAnsi="Arial"/>
          <w:sz w:val="17"/>
          <w:szCs w:val="17"/>
          <w:color w:val="auto"/>
        </w:rPr>
        <w:t>In November and January 2015, the Company completed the acquisitions of its Avis licensee in Poland and its Avis and Budget licensees in Norway, Sweden and Denmark, respectively, for approximately $62 million, net of acquired cash. Additionally, the Company settled debt obligations of approximately $23 million in Poland. These investments enabled the Company to expand its footprint of Company-operated locations in Europe. The excess of the purchase price over preliminary fair value of net assets acquired was allocated to goodwill, which was assigned to the Company’s International reportable segment. In connection with these acquisitions, approximately $36 million was recorded in license agreements, $29 million was recorded in goodwill and $12 million was recorded in customer relationships. The license agreements and customer relationships will be amortized over a weighted average useful life of approximately eight years. In addition, at the time of acquisition, the Company recorded a $25 million non-cash charge within transaction-related costs, net in connection with license rights reacquired by the Company. The goodwill is not deductible for tax purposes. Differences between the preliminary allocation of purchase price and the final allocation were not material for Avis and Budget Licensees.</w:t>
      </w:r>
    </w:p>
    <w:p>
      <w:pPr>
        <w:spacing w:after="0" w:line="172" w:lineRule="exact"/>
        <w:rPr>
          <w:sz w:val="20"/>
          <w:szCs w:val="20"/>
          <w:color w:val="auto"/>
        </w:rPr>
      </w:pPr>
    </w:p>
    <w:p>
      <w:pPr>
        <w:ind w:left="500" w:hanging="492"/>
        <w:spacing w:after="0"/>
        <w:tabs>
          <w:tab w:leader="none" w:pos="500"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w:t>
      </w:r>
    </w:p>
    <w:p>
      <w:pPr>
        <w:spacing w:after="0" w:line="193"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Intangible assets consisted of:</w:t>
      </w:r>
    </w:p>
    <w:p>
      <w:pPr>
        <w:spacing w:after="0" w:line="181" w:lineRule="exact"/>
        <w:rPr>
          <w:sz w:val="20"/>
          <w:szCs w:val="20"/>
          <w:color w:val="auto"/>
        </w:rPr>
      </w:pPr>
    </w:p>
    <w:tbl>
      <w:tblPr>
        <w:tblLayout w:type="fixed"/>
        <w:tblInd w:w="500" w:type="dxa"/>
        <w:tblCellMar>
          <w:top w:w="0" w:type="dxa"/>
          <w:left w:w="0" w:type="dxa"/>
          <w:bottom w:w="0" w:type="dxa"/>
          <w:right w:w="0" w:type="dxa"/>
        </w:tblCellMar>
      </w:tblPr>
      <w:tr>
        <w:trPr>
          <w:trHeight w:val="228"/>
        </w:trPr>
        <w:tc>
          <w:tcPr>
            <w:tcW w:w="29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660" w:type="dxa"/>
            <w:vAlign w:val="bottom"/>
            <w:tcBorders>
              <w:bottom w:val="single" w:sz="8" w:color="auto"/>
            </w:tcBorders>
            <w:gridSpan w:val="6"/>
          </w:tcPr>
          <w:p>
            <w:pPr>
              <w:jc w:val="center"/>
              <w:ind w:left="619"/>
              <w:spacing w:after="0"/>
              <w:rPr>
                <w:sz w:val="20"/>
                <w:szCs w:val="20"/>
                <w:color w:val="auto"/>
              </w:rPr>
            </w:pPr>
            <w:r>
              <w:rPr>
                <w:rFonts w:ascii="Arial" w:cs="Arial" w:eastAsia="Arial" w:hAnsi="Arial"/>
                <w:sz w:val="16"/>
                <w:szCs w:val="16"/>
                <w:b w:val="1"/>
                <w:bCs w:val="1"/>
                <w:color w:val="auto"/>
              </w:rPr>
              <w:t>As of December 31, 2017</w:t>
            </w:r>
          </w:p>
        </w:tc>
        <w:tc>
          <w:tcPr>
            <w:tcW w:w="8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640" w:type="dxa"/>
            <w:vAlign w:val="bottom"/>
            <w:tcBorders>
              <w:bottom w:val="single" w:sz="8" w:color="auto"/>
            </w:tcBorders>
            <w:gridSpan w:val="6"/>
          </w:tcPr>
          <w:p>
            <w:pPr>
              <w:jc w:val="center"/>
              <w:ind w:left="639"/>
              <w:spacing w:after="0"/>
              <w:rPr>
                <w:sz w:val="20"/>
                <w:szCs w:val="20"/>
                <w:color w:val="auto"/>
              </w:rPr>
            </w:pPr>
            <w:r>
              <w:rPr>
                <w:rFonts w:ascii="Arial" w:cs="Arial" w:eastAsia="Arial" w:hAnsi="Arial"/>
                <w:sz w:val="16"/>
                <w:szCs w:val="16"/>
                <w:b w:val="1"/>
                <w:bCs w:val="1"/>
                <w:color w:val="auto"/>
              </w:rPr>
              <w:t>As of December 31, 2016</w:t>
            </w:r>
          </w:p>
        </w:tc>
        <w:tc>
          <w:tcPr>
            <w:tcW w:w="8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center"/>
              <w:ind w:right="59"/>
              <w:spacing w:after="0"/>
              <w:rPr>
                <w:sz w:val="20"/>
                <w:szCs w:val="20"/>
                <w:color w:val="auto"/>
              </w:rPr>
            </w:pPr>
            <w:r>
              <w:rPr>
                <w:rFonts w:ascii="Arial" w:cs="Arial" w:eastAsia="Arial" w:hAnsi="Arial"/>
                <w:sz w:val="16"/>
                <w:szCs w:val="16"/>
                <w:b w:val="1"/>
                <w:bCs w:val="1"/>
                <w:color w:val="auto"/>
                <w:w w:val="99"/>
              </w:rPr>
              <w:t>Gross</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center"/>
              <w:ind w:right="79"/>
              <w:spacing w:after="0"/>
              <w:rPr>
                <w:sz w:val="20"/>
                <w:szCs w:val="20"/>
                <w:color w:val="auto"/>
              </w:rPr>
            </w:pPr>
            <w:r>
              <w:rPr>
                <w:rFonts w:ascii="Arial" w:cs="Arial" w:eastAsia="Arial" w:hAnsi="Arial"/>
                <w:sz w:val="16"/>
                <w:szCs w:val="16"/>
                <w:b w:val="1"/>
                <w:bCs w:val="1"/>
                <w:color w:val="auto"/>
              </w:rPr>
              <w:t>Gross</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jc w:val="center"/>
              <w:ind w:right="59"/>
              <w:spacing w:after="0"/>
              <w:rPr>
                <w:sz w:val="20"/>
                <w:szCs w:val="20"/>
                <w:color w:val="auto"/>
              </w:rPr>
            </w:pPr>
            <w:r>
              <w:rPr>
                <w:rFonts w:ascii="Arial" w:cs="Arial" w:eastAsia="Arial" w:hAnsi="Arial"/>
                <w:sz w:val="16"/>
                <w:szCs w:val="16"/>
                <w:b w:val="1"/>
                <w:bCs w:val="1"/>
                <w:color w:val="auto"/>
              </w:rPr>
              <w:t>Carrying</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Accumulated</w:t>
            </w:r>
          </w:p>
        </w:tc>
        <w:tc>
          <w:tcPr>
            <w:tcW w:w="1140" w:type="dxa"/>
            <w:vAlign w:val="bottom"/>
            <w:gridSpan w:val="3"/>
          </w:tcPr>
          <w:p>
            <w:pPr>
              <w:ind w:left="20"/>
              <w:spacing w:after="0"/>
              <w:rPr>
                <w:sz w:val="20"/>
                <w:szCs w:val="20"/>
                <w:color w:val="auto"/>
              </w:rPr>
            </w:pPr>
            <w:r>
              <w:rPr>
                <w:rFonts w:ascii="Arial" w:cs="Arial" w:eastAsia="Arial" w:hAnsi="Arial"/>
                <w:sz w:val="16"/>
                <w:szCs w:val="16"/>
                <w:b w:val="1"/>
                <w:bCs w:val="1"/>
                <w:color w:val="auto"/>
              </w:rPr>
              <w:t>Net Carrying</w:t>
            </w:r>
          </w:p>
        </w:tc>
        <w:tc>
          <w:tcPr>
            <w:tcW w:w="160" w:type="dxa"/>
            <w:vAlign w:val="bottom"/>
          </w:tcPr>
          <w:p>
            <w:pPr>
              <w:spacing w:after="0"/>
              <w:rPr>
                <w:sz w:val="16"/>
                <w:szCs w:val="16"/>
                <w:color w:val="auto"/>
              </w:rPr>
            </w:pPr>
          </w:p>
        </w:tc>
        <w:tc>
          <w:tcPr>
            <w:tcW w:w="880" w:type="dxa"/>
            <w:vAlign w:val="bottom"/>
          </w:tcPr>
          <w:p>
            <w:pPr>
              <w:jc w:val="center"/>
              <w:ind w:right="79"/>
              <w:spacing w:after="0"/>
              <w:rPr>
                <w:sz w:val="20"/>
                <w:szCs w:val="20"/>
                <w:color w:val="auto"/>
              </w:rPr>
            </w:pPr>
            <w:r>
              <w:rPr>
                <w:rFonts w:ascii="Arial" w:cs="Arial" w:eastAsia="Arial" w:hAnsi="Arial"/>
                <w:sz w:val="16"/>
                <w:szCs w:val="16"/>
                <w:b w:val="1"/>
                <w:bCs w:val="1"/>
                <w:color w:val="auto"/>
              </w:rPr>
              <w:t>Carrying</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Accumulated</w:t>
            </w:r>
          </w:p>
        </w:tc>
        <w:tc>
          <w:tcPr>
            <w:tcW w:w="1040" w:type="dxa"/>
            <w:vAlign w:val="bottom"/>
            <w:gridSpan w:val="2"/>
          </w:tcPr>
          <w:p>
            <w:pPr>
              <w:ind w:left="40"/>
              <w:spacing w:after="0"/>
              <w:rPr>
                <w:sz w:val="20"/>
                <w:szCs w:val="20"/>
                <w:color w:val="auto"/>
              </w:rPr>
            </w:pPr>
            <w:r>
              <w:rPr>
                <w:rFonts w:ascii="Arial" w:cs="Arial" w:eastAsia="Arial" w:hAnsi="Arial"/>
                <w:sz w:val="16"/>
                <w:szCs w:val="16"/>
                <w:b w:val="1"/>
                <w:bCs w:val="1"/>
                <w:color w:val="auto"/>
              </w:rPr>
              <w:t>Net Carrying</w:t>
            </w:r>
          </w:p>
        </w:tc>
        <w:tc>
          <w:tcPr>
            <w:tcW w:w="0" w:type="dxa"/>
            <w:vAlign w:val="bottom"/>
          </w:tcPr>
          <w:p>
            <w:pPr>
              <w:spacing w:after="0"/>
              <w:rPr>
                <w:sz w:val="1"/>
                <w:szCs w:val="1"/>
                <w:color w:val="auto"/>
              </w:rPr>
            </w:pPr>
          </w:p>
        </w:tc>
      </w:tr>
      <w:tr>
        <w:trPr>
          <w:trHeight w:val="228"/>
        </w:trPr>
        <w:tc>
          <w:tcPr>
            <w:tcW w:w="2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center"/>
              <w:ind w:right="59"/>
              <w:spacing w:after="0"/>
              <w:rPr>
                <w:sz w:val="20"/>
                <w:szCs w:val="20"/>
                <w:color w:val="auto"/>
              </w:rPr>
            </w:pPr>
            <w:r>
              <w:rPr>
                <w:rFonts w:ascii="Arial" w:cs="Arial" w:eastAsia="Arial" w:hAnsi="Arial"/>
                <w:sz w:val="16"/>
                <w:szCs w:val="16"/>
                <w:b w:val="1"/>
                <w:bCs w:val="1"/>
                <w:color w:val="auto"/>
              </w:rPr>
              <w:t>Amount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Amortization</w:t>
            </w:r>
          </w:p>
        </w:tc>
        <w:tc>
          <w:tcPr>
            <w:tcW w:w="200" w:type="dxa"/>
            <w:vAlign w:val="bottom"/>
          </w:tcPr>
          <w:p>
            <w:pPr>
              <w:spacing w:after="0"/>
              <w:rPr>
                <w:sz w:val="19"/>
                <w:szCs w:val="19"/>
                <w:color w:val="auto"/>
              </w:rPr>
            </w:pPr>
          </w:p>
        </w:tc>
        <w:tc>
          <w:tcPr>
            <w:tcW w:w="940" w:type="dxa"/>
            <w:vAlign w:val="bottom"/>
            <w:gridSpan w:val="2"/>
          </w:tcPr>
          <w:p>
            <w:pPr>
              <w:spacing w:after="0"/>
              <w:rPr>
                <w:sz w:val="20"/>
                <w:szCs w:val="20"/>
                <w:color w:val="auto"/>
              </w:rPr>
            </w:pPr>
            <w:r>
              <w:rPr>
                <w:rFonts w:ascii="Arial" w:cs="Arial" w:eastAsia="Arial" w:hAnsi="Arial"/>
                <w:sz w:val="16"/>
                <w:szCs w:val="16"/>
                <w:b w:val="1"/>
                <w:bCs w:val="1"/>
                <w:color w:val="auto"/>
              </w:rPr>
              <w:t>Amount</w:t>
            </w:r>
          </w:p>
        </w:tc>
        <w:tc>
          <w:tcPr>
            <w:tcW w:w="160" w:type="dxa"/>
            <w:vAlign w:val="bottom"/>
          </w:tcPr>
          <w:p>
            <w:pPr>
              <w:spacing w:after="0"/>
              <w:rPr>
                <w:sz w:val="19"/>
                <w:szCs w:val="19"/>
                <w:color w:val="auto"/>
              </w:rPr>
            </w:pPr>
          </w:p>
        </w:tc>
        <w:tc>
          <w:tcPr>
            <w:tcW w:w="880" w:type="dxa"/>
            <w:vAlign w:val="bottom"/>
          </w:tcPr>
          <w:p>
            <w:pPr>
              <w:jc w:val="center"/>
              <w:ind w:right="79"/>
              <w:spacing w:after="0"/>
              <w:rPr>
                <w:sz w:val="20"/>
                <w:szCs w:val="20"/>
                <w:color w:val="auto"/>
              </w:rPr>
            </w:pPr>
            <w:r>
              <w:rPr>
                <w:rFonts w:ascii="Arial" w:cs="Arial" w:eastAsia="Arial" w:hAnsi="Arial"/>
                <w:sz w:val="16"/>
                <w:szCs w:val="16"/>
                <w:b w:val="1"/>
                <w:bCs w:val="1"/>
                <w:color w:val="auto"/>
                <w:w w:val="99"/>
              </w:rPr>
              <w:t>Amount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Amortization</w:t>
            </w:r>
          </w:p>
        </w:tc>
        <w:tc>
          <w:tcPr>
            <w:tcW w:w="200" w:type="dxa"/>
            <w:vAlign w:val="bottom"/>
          </w:tcPr>
          <w:p>
            <w:pPr>
              <w:spacing w:after="0"/>
              <w:rPr>
                <w:sz w:val="19"/>
                <w:szCs w:val="19"/>
                <w:color w:val="auto"/>
              </w:rPr>
            </w:pPr>
          </w:p>
        </w:tc>
        <w:tc>
          <w:tcPr>
            <w:tcW w:w="840" w:type="dxa"/>
            <w:vAlign w:val="bottom"/>
          </w:tcPr>
          <w:p>
            <w:pPr>
              <w:jc w:val="right"/>
              <w:ind w:right="119"/>
              <w:spacing w:after="0"/>
              <w:rPr>
                <w:sz w:val="20"/>
                <w:szCs w:val="20"/>
                <w:color w:val="auto"/>
              </w:rPr>
            </w:pPr>
            <w:r>
              <w:rPr>
                <w:rFonts w:ascii="Arial" w:cs="Arial" w:eastAsia="Arial" w:hAnsi="Arial"/>
                <w:sz w:val="16"/>
                <w:szCs w:val="16"/>
                <w:b w:val="1"/>
                <w:bCs w:val="1"/>
                <w:color w:val="auto"/>
              </w:rPr>
              <w:t>Amount</w:t>
            </w:r>
          </w:p>
        </w:tc>
        <w:tc>
          <w:tcPr>
            <w:tcW w:w="0" w:type="dxa"/>
            <w:vAlign w:val="bottom"/>
          </w:tcPr>
          <w:p>
            <w:pPr>
              <w:spacing w:after="0"/>
              <w:rPr>
                <w:sz w:val="1"/>
                <w:szCs w:val="1"/>
                <w:color w:val="auto"/>
              </w:rPr>
            </w:pPr>
          </w:p>
        </w:tc>
      </w:tr>
      <w:tr>
        <w:trPr>
          <w:trHeight w:val="210"/>
        </w:trPr>
        <w:tc>
          <w:tcPr>
            <w:tcW w:w="2920" w:type="dxa"/>
            <w:vAlign w:val="bottom"/>
          </w:tcPr>
          <w:p>
            <w:pPr>
              <w:ind w:left="20"/>
              <w:spacing w:after="0"/>
              <w:rPr>
                <w:sz w:val="20"/>
                <w:szCs w:val="20"/>
                <w:color w:val="auto"/>
              </w:rPr>
            </w:pPr>
            <w:r>
              <w:rPr>
                <w:rFonts w:ascii="Arial" w:cs="Arial" w:eastAsia="Arial" w:hAnsi="Arial"/>
                <w:sz w:val="16"/>
                <w:szCs w:val="16"/>
                <w:i w:val="1"/>
                <w:iCs w:val="1"/>
                <w:color w:val="auto"/>
              </w:rPr>
              <w:t>Amortized Intangible Assets</w:t>
            </w:r>
          </w:p>
        </w:tc>
        <w:tc>
          <w:tcPr>
            <w:tcW w:w="1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81"/>
        </w:trPr>
        <w:tc>
          <w:tcPr>
            <w:tcW w:w="2920" w:type="dxa"/>
            <w:vAlign w:val="bottom"/>
          </w:tcPr>
          <w:p>
            <w:pPr>
              <w:ind w:left="20"/>
              <w:spacing w:after="0"/>
              <w:rPr>
                <w:sz w:val="20"/>
                <w:szCs w:val="20"/>
                <w:color w:val="auto"/>
              </w:rPr>
            </w:pPr>
            <w:r>
              <w:rPr>
                <w:rFonts w:ascii="Arial" w:cs="Arial" w:eastAsia="Arial" w:hAnsi="Arial"/>
                <w:sz w:val="16"/>
                <w:szCs w:val="16"/>
                <w:color w:val="auto"/>
              </w:rPr>
              <w:t xml:space="preserve">License agreements </w:t>
            </w:r>
            <w:r>
              <w:rPr>
                <w:rFonts w:ascii="Arial" w:cs="Arial" w:eastAsia="Arial" w:hAnsi="Arial"/>
                <w:sz w:val="21"/>
                <w:szCs w:val="21"/>
                <w:color w:val="auto"/>
                <w:vertAlign w:val="superscript"/>
              </w:rPr>
              <w:t>(a)</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281</w:t>
            </w:r>
          </w:p>
        </w:tc>
        <w:tc>
          <w:tcPr>
            <w:tcW w:w="26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140</w:t>
            </w:r>
          </w:p>
        </w:tc>
        <w:tc>
          <w:tcPr>
            <w:tcW w:w="120" w:type="dxa"/>
            <w:vAlign w:val="bottom"/>
          </w:tcPr>
          <w:p>
            <w:pPr>
              <w:spacing w:after="0"/>
              <w:rPr>
                <w:sz w:val="24"/>
                <w:szCs w:val="24"/>
                <w:color w:val="auto"/>
              </w:rPr>
            </w:pPr>
          </w:p>
        </w:tc>
        <w:tc>
          <w:tcPr>
            <w:tcW w:w="200" w:type="dxa"/>
            <w:vAlign w:val="bottom"/>
          </w:tcPr>
          <w:p>
            <w:pPr>
              <w:ind w:left="20"/>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141</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261</w:t>
            </w:r>
          </w:p>
        </w:tc>
        <w:tc>
          <w:tcPr>
            <w:tcW w:w="2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109</w:t>
            </w:r>
          </w:p>
        </w:tc>
        <w:tc>
          <w:tcPr>
            <w:tcW w:w="100" w:type="dxa"/>
            <w:vAlign w:val="bottom"/>
          </w:tcPr>
          <w:p>
            <w:pPr>
              <w:spacing w:after="0"/>
              <w:rPr>
                <w:sz w:val="24"/>
                <w:szCs w:val="24"/>
                <w:color w:val="auto"/>
              </w:rPr>
            </w:pPr>
          </w:p>
        </w:tc>
        <w:tc>
          <w:tcPr>
            <w:tcW w:w="200" w:type="dxa"/>
            <w:vAlign w:val="bottom"/>
          </w:tcPr>
          <w:p>
            <w:pPr>
              <w:ind w:left="4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152</w:t>
            </w:r>
          </w:p>
        </w:tc>
        <w:tc>
          <w:tcPr>
            <w:tcW w:w="0" w:type="dxa"/>
            <w:vAlign w:val="bottom"/>
          </w:tcPr>
          <w:p>
            <w:pPr>
              <w:spacing w:after="0"/>
              <w:rPr>
                <w:sz w:val="1"/>
                <w:szCs w:val="1"/>
                <w:color w:val="auto"/>
              </w:rPr>
            </w:pPr>
          </w:p>
        </w:tc>
      </w:tr>
      <w:tr>
        <w:trPr>
          <w:trHeight w:val="270"/>
        </w:trPr>
        <w:tc>
          <w:tcPr>
            <w:tcW w:w="2920" w:type="dxa"/>
            <w:vAlign w:val="bottom"/>
          </w:tcPr>
          <w:p>
            <w:pPr>
              <w:ind w:left="20"/>
              <w:spacing w:after="0"/>
              <w:rPr>
                <w:sz w:val="20"/>
                <w:szCs w:val="20"/>
                <w:color w:val="auto"/>
              </w:rPr>
            </w:pPr>
            <w:r>
              <w:rPr>
                <w:rFonts w:ascii="Arial" w:cs="Arial" w:eastAsia="Arial" w:hAnsi="Arial"/>
                <w:sz w:val="16"/>
                <w:szCs w:val="16"/>
                <w:color w:val="auto"/>
              </w:rPr>
              <w:t xml:space="preserve">Customer relationships </w:t>
            </w:r>
            <w:r>
              <w:rPr>
                <w:rFonts w:ascii="Arial" w:cs="Arial" w:eastAsia="Arial" w:hAnsi="Arial"/>
                <w:sz w:val="21"/>
                <w:szCs w:val="21"/>
                <w:color w:val="auto"/>
                <w:vertAlign w:val="superscript"/>
              </w:rPr>
              <w:t>(b)</w:t>
            </w:r>
          </w:p>
        </w:tc>
        <w:tc>
          <w:tcPr>
            <w:tcW w:w="1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242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119</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123</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224</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90</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134</w:t>
            </w:r>
          </w:p>
        </w:tc>
        <w:tc>
          <w:tcPr>
            <w:tcW w:w="0" w:type="dxa"/>
            <w:vAlign w:val="bottom"/>
          </w:tcPr>
          <w:p>
            <w:pPr>
              <w:spacing w:after="0"/>
              <w:rPr>
                <w:sz w:val="1"/>
                <w:szCs w:val="1"/>
                <w:color w:val="auto"/>
              </w:rPr>
            </w:pPr>
          </w:p>
        </w:tc>
      </w:tr>
      <w:tr>
        <w:trPr>
          <w:trHeight w:val="219"/>
        </w:trPr>
        <w:tc>
          <w:tcPr>
            <w:tcW w:w="2920" w:type="dxa"/>
            <w:vAlign w:val="bottom"/>
          </w:tcPr>
          <w:p>
            <w:pPr>
              <w:ind w:left="20"/>
              <w:spacing w:after="0" w:line="219" w:lineRule="exact"/>
              <w:rPr>
                <w:sz w:val="20"/>
                <w:szCs w:val="20"/>
                <w:color w:val="auto"/>
              </w:rPr>
            </w:pPr>
            <w:r>
              <w:rPr>
                <w:rFonts w:ascii="Arial" w:cs="Arial" w:eastAsia="Arial" w:hAnsi="Arial"/>
                <w:sz w:val="16"/>
                <w:szCs w:val="16"/>
                <w:color w:val="auto"/>
              </w:rPr>
              <w:t xml:space="preserve">Other </w:t>
            </w:r>
            <w:r>
              <w:rPr>
                <w:rFonts w:ascii="Arial" w:cs="Arial" w:eastAsia="Arial" w:hAnsi="Arial"/>
                <w:sz w:val="21"/>
                <w:szCs w:val="21"/>
                <w:color w:val="auto"/>
                <w:vertAlign w:val="superscript"/>
              </w:rPr>
              <w:t>(c)</w:t>
            </w: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46</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230"/>
        </w:trPr>
        <w:tc>
          <w:tcPr>
            <w:tcW w:w="29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574</w:t>
            </w:r>
          </w:p>
        </w:tc>
        <w:tc>
          <w:tcPr>
            <w:tcW w:w="26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277</w:t>
            </w:r>
          </w:p>
        </w:tc>
        <w:tc>
          <w:tcPr>
            <w:tcW w:w="120" w:type="dxa"/>
            <w:vAlign w:val="bottom"/>
          </w:tcPr>
          <w:p>
            <w:pPr>
              <w:spacing w:after="0"/>
              <w:rPr>
                <w:sz w:val="20"/>
                <w:szCs w:val="20"/>
                <w:color w:val="auto"/>
              </w:rPr>
            </w:pPr>
          </w:p>
        </w:tc>
        <w:tc>
          <w:tcPr>
            <w:tcW w:w="200" w:type="dxa"/>
            <w:vAlign w:val="bottom"/>
          </w:tcPr>
          <w:p>
            <w:pPr>
              <w:ind w:left="20"/>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297</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531</w:t>
            </w:r>
          </w:p>
        </w:tc>
        <w:tc>
          <w:tcPr>
            <w:tcW w:w="2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211</w:t>
            </w:r>
          </w:p>
        </w:tc>
        <w:tc>
          <w:tcPr>
            <w:tcW w:w="100" w:type="dxa"/>
            <w:vAlign w:val="bottom"/>
          </w:tcPr>
          <w:p>
            <w:pPr>
              <w:spacing w:after="0"/>
              <w:rPr>
                <w:sz w:val="20"/>
                <w:szCs w:val="20"/>
                <w:color w:val="auto"/>
              </w:rPr>
            </w:pPr>
          </w:p>
        </w:tc>
        <w:tc>
          <w:tcPr>
            <w:tcW w:w="200" w:type="dxa"/>
            <w:vAlign w:val="bottom"/>
          </w:tcPr>
          <w:p>
            <w:pPr>
              <w:ind w:left="4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320</w:t>
            </w:r>
          </w:p>
        </w:tc>
        <w:tc>
          <w:tcPr>
            <w:tcW w:w="0" w:type="dxa"/>
            <w:vAlign w:val="bottom"/>
          </w:tcPr>
          <w:p>
            <w:pPr>
              <w:spacing w:after="0"/>
              <w:rPr>
                <w:sz w:val="1"/>
                <w:szCs w:val="1"/>
                <w:color w:val="auto"/>
              </w:rPr>
            </w:pPr>
          </w:p>
        </w:tc>
      </w:tr>
      <w:tr>
        <w:trPr>
          <w:trHeight w:val="20"/>
        </w:trPr>
        <w:tc>
          <w:tcPr>
            <w:tcW w:w="292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Unamortized Intangible Assets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1"/>
        </w:trPr>
        <w:tc>
          <w:tcPr>
            <w:tcW w:w="29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2920" w:type="dxa"/>
            <w:vAlign w:val="bottom"/>
          </w:tcPr>
          <w:p>
            <w:pPr>
              <w:ind w:left="20"/>
              <w:spacing w:after="0"/>
              <w:rPr>
                <w:sz w:val="20"/>
                <w:szCs w:val="20"/>
                <w:color w:val="auto"/>
              </w:rPr>
            </w:pPr>
            <w:r>
              <w:rPr>
                <w:rFonts w:ascii="Arial" w:cs="Arial" w:eastAsia="Arial" w:hAnsi="Arial"/>
                <w:sz w:val="16"/>
                <w:szCs w:val="16"/>
                <w:color w:val="auto"/>
              </w:rPr>
              <w:t>Goodwill</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1,073</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1,007</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920" w:type="dxa"/>
            <w:vAlign w:val="bottom"/>
          </w:tcPr>
          <w:p>
            <w:pPr>
              <w:ind w:left="20"/>
              <w:spacing w:after="0"/>
              <w:rPr>
                <w:sz w:val="20"/>
                <w:szCs w:val="20"/>
                <w:color w:val="auto"/>
              </w:rPr>
            </w:pPr>
            <w:r>
              <w:rPr>
                <w:rFonts w:ascii="Arial" w:cs="Arial" w:eastAsia="Arial" w:hAnsi="Arial"/>
                <w:sz w:val="16"/>
                <w:szCs w:val="16"/>
                <w:color w:val="auto"/>
              </w:rPr>
              <w:t>Trademarks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550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920" w:type="dxa"/>
            <w:vAlign w:val="bottom"/>
            <w:vMerge w:val="restart"/>
          </w:tcPr>
          <w:p>
            <w:pPr>
              <w:spacing w:after="0"/>
              <w:rPr>
                <w:sz w:val="20"/>
                <w:szCs w:val="20"/>
                <w:color w:val="auto"/>
              </w:rPr>
            </w:pPr>
            <w:r>
              <w:rPr>
                <w:rFonts w:ascii="Arial" w:cs="Arial" w:eastAsia="Arial" w:hAnsi="Arial"/>
                <w:sz w:val="16"/>
                <w:szCs w:val="16"/>
                <w:color w:val="auto"/>
              </w:rPr>
              <w:t>_________</w:t>
            </w: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92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820" w:hanging="326"/>
        <w:spacing w:after="0" w:line="193" w:lineRule="auto"/>
        <w:tabs>
          <w:tab w:leader="none" w:pos="820" w:val="left"/>
        </w:tabs>
        <w:numPr>
          <w:ilvl w:val="0"/>
          <w:numId w:val="66"/>
        </w:numPr>
        <w:rPr>
          <w:rFonts w:ascii="Arial" w:cs="Arial" w:eastAsia="Arial" w:hAnsi="Arial"/>
          <w:sz w:val="18"/>
          <w:szCs w:val="18"/>
          <w:color w:val="auto"/>
          <w:vertAlign w:val="superscript"/>
        </w:rPr>
      </w:pPr>
      <w:r>
        <w:rPr>
          <w:rFonts w:ascii="Arial" w:cs="Arial" w:eastAsia="Arial" w:hAnsi="Arial"/>
          <w:sz w:val="14"/>
          <w:szCs w:val="14"/>
          <w:color w:val="auto"/>
        </w:rPr>
        <w:t>Primarily amortized over a period ranging from 0 to 40 years with a weighted average life of 18 years.</w:t>
      </w:r>
    </w:p>
    <w:p>
      <w:pPr>
        <w:ind w:left="820" w:hanging="326"/>
        <w:spacing w:after="0" w:line="187" w:lineRule="auto"/>
        <w:tabs>
          <w:tab w:leader="none" w:pos="820" w:val="left"/>
        </w:tabs>
        <w:numPr>
          <w:ilvl w:val="0"/>
          <w:numId w:val="66"/>
        </w:numPr>
        <w:rPr>
          <w:rFonts w:ascii="Arial" w:cs="Arial" w:eastAsia="Arial" w:hAnsi="Arial"/>
          <w:sz w:val="18"/>
          <w:szCs w:val="18"/>
          <w:color w:val="auto"/>
          <w:vertAlign w:val="superscript"/>
        </w:rPr>
      </w:pPr>
      <w:r>
        <w:rPr>
          <w:rFonts w:ascii="Arial" w:cs="Arial" w:eastAsia="Arial" w:hAnsi="Arial"/>
          <w:sz w:val="14"/>
          <w:szCs w:val="14"/>
          <w:color w:val="auto"/>
        </w:rPr>
        <w:t>Primarily amortized over a period ranging from 3 to 20 years with a weighted average life of 12 years.</w:t>
      </w:r>
    </w:p>
    <w:p>
      <w:pPr>
        <w:ind w:left="820" w:hanging="326"/>
        <w:spacing w:after="0" w:line="199" w:lineRule="auto"/>
        <w:tabs>
          <w:tab w:leader="none" w:pos="820" w:val="left"/>
        </w:tabs>
        <w:numPr>
          <w:ilvl w:val="0"/>
          <w:numId w:val="66"/>
        </w:numPr>
        <w:rPr>
          <w:rFonts w:ascii="Arial" w:cs="Arial" w:eastAsia="Arial" w:hAnsi="Arial"/>
          <w:sz w:val="18"/>
          <w:szCs w:val="18"/>
          <w:color w:val="auto"/>
          <w:vertAlign w:val="superscript"/>
        </w:rPr>
      </w:pPr>
      <w:r>
        <w:rPr>
          <w:rFonts w:ascii="Arial" w:cs="Arial" w:eastAsia="Arial" w:hAnsi="Arial"/>
          <w:sz w:val="14"/>
          <w:szCs w:val="14"/>
          <w:color w:val="auto"/>
        </w:rPr>
        <w:t>Primarily amortized over a period ranging from 4 to 10 years with a weighted average life of 9 years.</w:t>
      </w:r>
    </w:p>
    <w:p>
      <w:pPr>
        <w:spacing w:after="0" w:line="147" w:lineRule="exact"/>
        <w:rPr>
          <w:sz w:val="20"/>
          <w:szCs w:val="20"/>
          <w:color w:val="auto"/>
        </w:rPr>
      </w:pPr>
    </w:p>
    <w:p>
      <w:pPr>
        <w:ind w:left="500" w:right="80"/>
        <w:spacing w:after="0" w:line="256" w:lineRule="auto"/>
        <w:rPr>
          <w:sz w:val="20"/>
          <w:szCs w:val="20"/>
          <w:color w:val="auto"/>
        </w:rPr>
      </w:pPr>
      <w:r>
        <w:rPr>
          <w:rFonts w:ascii="Arial" w:cs="Arial" w:eastAsia="Arial" w:hAnsi="Arial"/>
          <w:sz w:val="18"/>
          <w:szCs w:val="18"/>
          <w:color w:val="auto"/>
        </w:rPr>
        <w:t>During 2017, the Company recorded an impairment related to the unamortized Zipcar trademark of $ 2 million based on a combination of observable and unobservable fair value inputs (Level 3), specifically the Income approach-relief from royalty method, which considers market inputs.</w:t>
      </w:r>
    </w:p>
    <w:p>
      <w:pPr>
        <w:spacing w:after="0" w:line="202" w:lineRule="exact"/>
        <w:rPr>
          <w:sz w:val="20"/>
          <w:szCs w:val="20"/>
          <w:color w:val="auto"/>
        </w:rPr>
      </w:pPr>
    </w:p>
    <w:tbl>
      <w:tblPr>
        <w:tblLayout w:type="fixed"/>
        <w:tblInd w:w="500" w:type="dxa"/>
        <w:tblCellMar>
          <w:top w:w="0" w:type="dxa"/>
          <w:left w:w="0" w:type="dxa"/>
          <w:bottom w:w="0" w:type="dxa"/>
          <w:right w:w="0" w:type="dxa"/>
        </w:tblCellMar>
      </w:tblPr>
      <w:tr>
        <w:trPr>
          <w:trHeight w:val="217"/>
        </w:trPr>
        <w:tc>
          <w:tcPr>
            <w:tcW w:w="5740" w:type="dxa"/>
            <w:vAlign w:val="bottom"/>
          </w:tcPr>
          <w:p>
            <w:pPr>
              <w:spacing w:after="0"/>
              <w:rPr>
                <w:sz w:val="20"/>
                <w:szCs w:val="20"/>
                <w:color w:val="auto"/>
              </w:rPr>
            </w:pPr>
            <w:r>
              <w:rPr>
                <w:rFonts w:ascii="Arial" w:cs="Arial" w:eastAsia="Arial" w:hAnsi="Arial"/>
                <w:sz w:val="18"/>
                <w:szCs w:val="18"/>
                <w:color w:val="auto"/>
              </w:rPr>
              <w:t>Amortization expense relating to all intangible assets was as follows:</w:t>
            </w:r>
          </w:p>
        </w:tc>
        <w:tc>
          <w:tcPr>
            <w:tcW w:w="1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399"/>
        </w:trPr>
        <w:tc>
          <w:tcPr>
            <w:tcW w:w="5740" w:type="dxa"/>
            <w:vAlign w:val="bottom"/>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6"/>
          </w:tcPr>
          <w:p>
            <w:pPr>
              <w:jc w:val="right"/>
              <w:ind w:right="50"/>
              <w:spacing w:after="0"/>
              <w:rPr>
                <w:sz w:val="20"/>
                <w:szCs w:val="20"/>
                <w:color w:val="auto"/>
              </w:rPr>
            </w:pPr>
            <w:r>
              <w:rPr>
                <w:rFonts w:ascii="Arial" w:cs="Arial" w:eastAsia="Arial" w:hAnsi="Arial"/>
                <w:sz w:val="18"/>
                <w:szCs w:val="18"/>
                <w:b w:val="1"/>
                <w:bCs w:val="1"/>
                <w:color w:val="auto"/>
              </w:rPr>
              <w:t>Year Ended December 31,</w:t>
            </w:r>
          </w:p>
        </w:tc>
        <w:tc>
          <w:tcPr>
            <w:tcW w:w="1040" w:type="dxa"/>
            <w:vAlign w:val="bottom"/>
            <w:tcBorders>
              <w:bottom w:val="single" w:sz="8" w:color="auto"/>
            </w:tcBorders>
          </w:tcPr>
          <w:p>
            <w:pPr>
              <w:spacing w:after="0"/>
              <w:rPr>
                <w:sz w:val="24"/>
                <w:szCs w:val="24"/>
                <w:color w:val="auto"/>
              </w:rPr>
            </w:pPr>
          </w:p>
        </w:tc>
      </w:tr>
      <w:tr>
        <w:trPr>
          <w:trHeight w:val="264"/>
        </w:trPr>
        <w:tc>
          <w:tcPr>
            <w:tcW w:w="5740" w:type="dxa"/>
            <w:vAlign w:val="bottom"/>
          </w:tcPr>
          <w:p>
            <w:pPr>
              <w:spacing w:after="0"/>
              <w:rPr>
                <w:sz w:val="22"/>
                <w:szCs w:val="22"/>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2017</w:t>
            </w:r>
          </w:p>
        </w:tc>
        <w:tc>
          <w:tcPr>
            <w:tcW w:w="4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2015</w:t>
            </w:r>
          </w:p>
        </w:tc>
      </w:tr>
      <w:tr>
        <w:trPr>
          <w:trHeight w:val="243"/>
        </w:trPr>
        <w:tc>
          <w:tcPr>
            <w:tcW w:w="5740" w:type="dxa"/>
            <w:vAlign w:val="bottom"/>
          </w:tcPr>
          <w:p>
            <w:pPr>
              <w:ind w:left="20"/>
              <w:spacing w:after="0"/>
              <w:rPr>
                <w:sz w:val="20"/>
                <w:szCs w:val="20"/>
                <w:color w:val="auto"/>
              </w:rPr>
            </w:pPr>
            <w:r>
              <w:rPr>
                <w:rFonts w:ascii="Arial" w:cs="Arial" w:eastAsia="Arial" w:hAnsi="Arial"/>
                <w:sz w:val="18"/>
                <w:szCs w:val="18"/>
                <w:color w:val="auto"/>
              </w:rPr>
              <w:t>License agreements</w:t>
            </w:r>
          </w:p>
        </w:tc>
        <w:tc>
          <w:tcPr>
            <w:tcW w:w="1040" w:type="dxa"/>
            <w:vAlign w:val="bottom"/>
          </w:tcPr>
          <w:p>
            <w:pPr>
              <w:jc w:val="right"/>
              <w:ind w:right="830"/>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4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70"/>
        </w:trPr>
        <w:tc>
          <w:tcPr>
            <w:tcW w:w="5740" w:type="dxa"/>
            <w:vAlign w:val="bottom"/>
          </w:tcPr>
          <w:p>
            <w:pPr>
              <w:ind w:left="20"/>
              <w:spacing w:after="0"/>
              <w:rPr>
                <w:sz w:val="20"/>
                <w:szCs w:val="20"/>
                <w:color w:val="auto"/>
              </w:rPr>
            </w:pPr>
            <w:r>
              <w:rPr>
                <w:rFonts w:ascii="Arial" w:cs="Arial" w:eastAsia="Arial" w:hAnsi="Arial"/>
                <w:sz w:val="18"/>
                <w:szCs w:val="18"/>
                <w:color w:val="auto"/>
              </w:rPr>
              <w:t>Customer relationships</w:t>
            </w:r>
          </w:p>
        </w:tc>
        <w:tc>
          <w:tcPr>
            <w:tcW w:w="1040" w:type="dxa"/>
            <w:vAlign w:val="bottom"/>
          </w:tcPr>
          <w:p>
            <w:pPr>
              <w:spacing w:after="0"/>
              <w:rPr>
                <w:sz w:val="23"/>
                <w:szCs w:val="23"/>
                <w:color w:val="auto"/>
              </w:rPr>
            </w:pP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77"/>
        </w:trPr>
        <w:tc>
          <w:tcPr>
            <w:tcW w:w="5740" w:type="dxa"/>
            <w:vAlign w:val="bottom"/>
          </w:tcPr>
          <w:p>
            <w:pPr>
              <w:ind w:left="20"/>
              <w:spacing w:after="0"/>
              <w:rPr>
                <w:sz w:val="20"/>
                <w:szCs w:val="20"/>
                <w:color w:val="auto"/>
              </w:rPr>
            </w:pPr>
            <w:r>
              <w:rPr>
                <w:rFonts w:ascii="Arial" w:cs="Arial" w:eastAsia="Arial" w:hAnsi="Arial"/>
                <w:sz w:val="18"/>
                <w:szCs w:val="18"/>
                <w:color w:val="auto"/>
              </w:rPr>
              <w:t>Other</w:t>
            </w:r>
          </w:p>
        </w:tc>
        <w:tc>
          <w:tcPr>
            <w:tcW w:w="10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r>
      <w:tr>
        <w:trPr>
          <w:trHeight w:val="250"/>
        </w:trPr>
        <w:tc>
          <w:tcPr>
            <w:tcW w:w="5740" w:type="dxa"/>
            <w:vAlign w:val="bottom"/>
          </w:tcPr>
          <w:p>
            <w:pPr>
              <w:ind w:left="20"/>
              <w:spacing w:after="0"/>
              <w:rPr>
                <w:sz w:val="20"/>
                <w:szCs w:val="20"/>
                <w:color w:val="auto"/>
              </w:rPr>
            </w:pPr>
            <w:r>
              <w:rPr>
                <w:rFonts w:ascii="Arial" w:cs="Arial" w:eastAsia="Arial" w:hAnsi="Arial"/>
                <w:sz w:val="18"/>
                <w:szCs w:val="18"/>
                <w:color w:val="auto"/>
              </w:rPr>
              <w:t>Total</w:t>
            </w:r>
          </w:p>
        </w:tc>
        <w:tc>
          <w:tcPr>
            <w:tcW w:w="1040" w:type="dxa"/>
            <w:vAlign w:val="bottom"/>
            <w:tcBorders>
              <w:bottom w:val="single" w:sz="8" w:color="auto"/>
            </w:tcBorders>
          </w:tcPr>
          <w:p>
            <w:pPr>
              <w:jc w:val="right"/>
              <w:ind w:right="830"/>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1"/>
                <w:szCs w:val="21"/>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1"/>
                <w:szCs w:val="21"/>
                <w:color w:val="auto"/>
              </w:rPr>
            </w:pPr>
          </w:p>
        </w:tc>
        <w:tc>
          <w:tcPr>
            <w:tcW w:w="4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w:t>
            </w:r>
          </w:p>
        </w:tc>
      </w:tr>
      <w:tr>
        <w:trPr>
          <w:trHeight w:val="20"/>
        </w:trPr>
        <w:tc>
          <w:tcPr>
            <w:tcW w:w="57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jc w:val="both"/>
        <w:ind w:left="500" w:right="300"/>
        <w:spacing w:after="0" w:line="256" w:lineRule="auto"/>
        <w:rPr>
          <w:sz w:val="20"/>
          <w:szCs w:val="20"/>
          <w:color w:val="auto"/>
        </w:rPr>
      </w:pPr>
      <w:r>
        <w:rPr>
          <w:rFonts w:ascii="Arial" w:cs="Arial" w:eastAsia="Arial" w:hAnsi="Arial"/>
          <w:sz w:val="18"/>
          <w:szCs w:val="18"/>
          <w:color w:val="auto"/>
        </w:rPr>
        <w:t>Based on the Company’s amortizable intangible assets at December 31, 2017, the Company expects related amortization expense of approximately $47 million for 2018, $42 million for 2019, $40 million for 2020, $30 million for 2021 and $24 million for 2022, excluding effects of currency exchange rates.</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400"/>
          </w:cols>
          <w:pgMar w:left="240" w:top="140" w:right="259" w:bottom="1440" w:gutter="0" w:footer="0" w:header="0"/>
        </w:sectPr>
      </w:pPr>
    </w:p>
    <w:bookmarkStart w:id="90" w:name="page91"/>
    <w:bookmarkEnd w:id="90"/>
    <w:tbl>
      <w:tblPr>
        <w:tblLayout w:type="fixed"/>
        <w:tblInd w:w="0" w:type="dxa"/>
        <w:tblCellMar>
          <w:top w:w="0" w:type="dxa"/>
          <w:left w:w="0" w:type="dxa"/>
          <w:bottom w:w="0" w:type="dxa"/>
          <w:right w:w="0" w:type="dxa"/>
        </w:tblCellMar>
      </w:tblPr>
      <w:tr>
        <w:trPr>
          <w:trHeight w:val="207"/>
        </w:trPr>
        <w:tc>
          <w:tcPr>
            <w:tcW w:w="624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
        </w:trPr>
        <w:tc>
          <w:tcPr>
            <w:tcW w:w="1400" w:type="dxa"/>
            <w:vAlign w:val="bottom"/>
            <w:shd w:val="clear" w:color="auto" w:fill="0000EE"/>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642"/>
        </w:trPr>
        <w:tc>
          <w:tcPr>
            <w:tcW w:w="6240" w:type="dxa"/>
            <w:vAlign w:val="bottom"/>
            <w:gridSpan w:val="2"/>
          </w:tcPr>
          <w:p>
            <w:pPr>
              <w:ind w:left="500"/>
              <w:spacing w:after="0"/>
              <w:rPr>
                <w:sz w:val="20"/>
                <w:szCs w:val="20"/>
                <w:color w:val="auto"/>
              </w:rPr>
            </w:pPr>
            <w:r>
              <w:rPr>
                <w:rFonts w:ascii="Arial" w:cs="Arial" w:eastAsia="Arial" w:hAnsi="Arial"/>
                <w:sz w:val="18"/>
                <w:szCs w:val="18"/>
                <w:color w:val="auto"/>
              </w:rPr>
              <w:t>The carrying amounts of goodwill and related changes are as follows:</w:t>
            </w: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99"/>
        </w:trPr>
        <w:tc>
          <w:tcPr>
            <w:tcW w:w="140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gridSpan w:val="2"/>
          </w:tcPr>
          <w:p>
            <w:pPr>
              <w:ind w:left="100"/>
              <w:spacing w:after="0"/>
              <w:rPr>
                <w:sz w:val="20"/>
                <w:szCs w:val="20"/>
                <w:color w:val="auto"/>
              </w:rPr>
            </w:pPr>
            <w:r>
              <w:rPr>
                <w:rFonts w:ascii="Arial" w:cs="Arial" w:eastAsia="Arial" w:hAnsi="Arial"/>
                <w:sz w:val="18"/>
                <w:szCs w:val="18"/>
                <w:b w:val="1"/>
                <w:bCs w:val="1"/>
                <w:color w:val="auto"/>
              </w:rPr>
              <w:t>Americas</w:t>
            </w:r>
          </w:p>
        </w:tc>
        <w:tc>
          <w:tcPr>
            <w:tcW w:w="160" w:type="dxa"/>
            <w:vAlign w:val="bottom"/>
          </w:tcPr>
          <w:p>
            <w:pPr>
              <w:spacing w:after="0"/>
              <w:rPr>
                <w:sz w:val="24"/>
                <w:szCs w:val="24"/>
                <w:color w:val="auto"/>
              </w:rPr>
            </w:pPr>
          </w:p>
        </w:tc>
        <w:tc>
          <w:tcPr>
            <w:tcW w:w="1400" w:type="dxa"/>
            <w:vAlign w:val="bottom"/>
            <w:gridSpan w:val="2"/>
          </w:tcPr>
          <w:p>
            <w:pPr>
              <w:ind w:left="20"/>
              <w:spacing w:after="0"/>
              <w:rPr>
                <w:sz w:val="20"/>
                <w:szCs w:val="20"/>
                <w:color w:val="auto"/>
              </w:rPr>
            </w:pPr>
            <w:r>
              <w:rPr>
                <w:rFonts w:ascii="Arial" w:cs="Arial" w:eastAsia="Arial" w:hAnsi="Arial"/>
                <w:sz w:val="18"/>
                <w:szCs w:val="18"/>
                <w:b w:val="1"/>
                <w:bCs w:val="1"/>
                <w:color w:val="auto"/>
              </w:rPr>
              <w:t>International</w:t>
            </w:r>
          </w:p>
        </w:tc>
        <w:tc>
          <w:tcPr>
            <w:tcW w:w="1460" w:type="dxa"/>
            <w:vAlign w:val="bottom"/>
            <w:gridSpan w:val="2"/>
          </w:tcPr>
          <w:p>
            <w:pPr>
              <w:jc w:val="right"/>
              <w:spacing w:after="0"/>
              <w:rPr>
                <w:sz w:val="20"/>
                <w:szCs w:val="20"/>
                <w:color w:val="auto"/>
              </w:rPr>
            </w:pPr>
            <w:r>
              <w:rPr>
                <w:rFonts w:ascii="Arial" w:cs="Arial" w:eastAsia="Arial" w:hAnsi="Arial"/>
                <w:sz w:val="18"/>
                <w:szCs w:val="18"/>
                <w:b w:val="1"/>
                <w:bCs w:val="1"/>
                <w:color w:val="auto"/>
              </w:rPr>
              <w:t>Total Company</w:t>
            </w:r>
          </w:p>
        </w:tc>
      </w:tr>
      <w:tr>
        <w:trPr>
          <w:trHeight w:val="527"/>
        </w:trPr>
        <w:tc>
          <w:tcPr>
            <w:tcW w:w="6240" w:type="dxa"/>
            <w:vAlign w:val="bottom"/>
            <w:gridSpan w:val="2"/>
          </w:tcPr>
          <w:p>
            <w:pPr>
              <w:ind w:left="520"/>
              <w:spacing w:after="0"/>
              <w:rPr>
                <w:sz w:val="20"/>
                <w:szCs w:val="20"/>
                <w:color w:val="auto"/>
              </w:rPr>
            </w:pPr>
            <w:r>
              <w:rPr>
                <w:rFonts w:ascii="Arial" w:cs="Arial" w:eastAsia="Arial" w:hAnsi="Arial"/>
                <w:sz w:val="18"/>
                <w:szCs w:val="18"/>
                <w:color w:val="auto"/>
              </w:rPr>
              <w:t>Gross goodwill as of January 1, 2016</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2,124</w:t>
            </w:r>
          </w:p>
        </w:tc>
        <w:tc>
          <w:tcPr>
            <w:tcW w:w="100" w:type="dxa"/>
            <w:vAlign w:val="bottom"/>
          </w:tcPr>
          <w:p>
            <w:pPr>
              <w:spacing w:after="0"/>
              <w:rPr>
                <w:sz w:val="24"/>
                <w:szCs w:val="24"/>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967</w:t>
            </w:r>
          </w:p>
        </w:tc>
        <w:tc>
          <w:tcPr>
            <w:tcW w:w="100" w:type="dxa"/>
            <w:vAlign w:val="bottom"/>
          </w:tcPr>
          <w:p>
            <w:pPr>
              <w:spacing w:after="0"/>
              <w:rPr>
                <w:sz w:val="24"/>
                <w:szCs w:val="24"/>
                <w:color w:val="auto"/>
              </w:rPr>
            </w:pPr>
          </w:p>
        </w:tc>
        <w:tc>
          <w:tcPr>
            <w:tcW w:w="50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3,091</w:t>
            </w:r>
          </w:p>
        </w:tc>
      </w:tr>
      <w:tr>
        <w:trPr>
          <w:trHeight w:val="277"/>
        </w:trPr>
        <w:tc>
          <w:tcPr>
            <w:tcW w:w="6240" w:type="dxa"/>
            <w:vAlign w:val="bottom"/>
            <w:gridSpan w:val="2"/>
          </w:tcPr>
          <w:p>
            <w:pPr>
              <w:ind w:left="720"/>
              <w:spacing w:after="0"/>
              <w:rPr>
                <w:sz w:val="20"/>
                <w:szCs w:val="20"/>
                <w:color w:val="auto"/>
              </w:rPr>
            </w:pPr>
            <w:r>
              <w:rPr>
                <w:rFonts w:ascii="Arial" w:cs="Arial" w:eastAsia="Arial" w:hAnsi="Arial"/>
                <w:sz w:val="18"/>
                <w:szCs w:val="18"/>
                <w:color w:val="auto"/>
              </w:rPr>
              <w:t>Accumulated impairment losses as of January 1, 2016</w:t>
            </w: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(1,587)</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(531)</w:t>
            </w:r>
          </w:p>
        </w:tc>
        <w:tc>
          <w:tcPr>
            <w:tcW w:w="10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(2,118)</w:t>
            </w:r>
          </w:p>
        </w:tc>
      </w:tr>
      <w:tr>
        <w:trPr>
          <w:trHeight w:val="243"/>
        </w:trPr>
        <w:tc>
          <w:tcPr>
            <w:tcW w:w="6240" w:type="dxa"/>
            <w:vAlign w:val="bottom"/>
            <w:gridSpan w:val="2"/>
          </w:tcPr>
          <w:p>
            <w:pPr>
              <w:ind w:left="520"/>
              <w:spacing w:after="0"/>
              <w:rPr>
                <w:sz w:val="20"/>
                <w:szCs w:val="20"/>
                <w:color w:val="auto"/>
              </w:rPr>
            </w:pPr>
            <w:r>
              <w:rPr>
                <w:rFonts w:ascii="Arial" w:cs="Arial" w:eastAsia="Arial" w:hAnsi="Arial"/>
                <w:sz w:val="18"/>
                <w:szCs w:val="18"/>
                <w:color w:val="auto"/>
              </w:rPr>
              <w:t>Goodwill as of January 1, 2016</w:t>
            </w:r>
          </w:p>
        </w:tc>
        <w:tc>
          <w:tcPr>
            <w:tcW w:w="2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537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436</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973</w:t>
            </w:r>
          </w:p>
        </w:tc>
      </w:tr>
      <w:tr>
        <w:trPr>
          <w:trHeight w:val="270"/>
        </w:trPr>
        <w:tc>
          <w:tcPr>
            <w:tcW w:w="6240" w:type="dxa"/>
            <w:vAlign w:val="bottom"/>
            <w:gridSpan w:val="2"/>
          </w:tcPr>
          <w:p>
            <w:pPr>
              <w:ind w:left="720"/>
              <w:spacing w:after="0"/>
              <w:rPr>
                <w:sz w:val="20"/>
                <w:szCs w:val="20"/>
                <w:color w:val="auto"/>
              </w:rPr>
            </w:pPr>
            <w:r>
              <w:rPr>
                <w:rFonts w:ascii="Arial" w:cs="Arial" w:eastAsia="Arial" w:hAnsi="Arial"/>
                <w:sz w:val="18"/>
                <w:szCs w:val="18"/>
                <w:color w:val="auto"/>
              </w:rPr>
              <w:t>Acquisitions</w:t>
            </w:r>
          </w:p>
        </w:tc>
        <w:tc>
          <w:tcPr>
            <w:tcW w:w="220" w:type="dxa"/>
            <w:vAlign w:val="bottom"/>
          </w:tcPr>
          <w:p>
            <w:pPr>
              <w:spacing w:after="0"/>
              <w:rPr>
                <w:sz w:val="23"/>
                <w:szCs w:val="23"/>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77"/>
        </w:trPr>
        <w:tc>
          <w:tcPr>
            <w:tcW w:w="6240" w:type="dxa"/>
            <w:vAlign w:val="bottom"/>
            <w:gridSpan w:val="2"/>
          </w:tcPr>
          <w:p>
            <w:pPr>
              <w:ind w:left="720"/>
              <w:spacing w:after="0"/>
              <w:rPr>
                <w:sz w:val="20"/>
                <w:szCs w:val="20"/>
                <w:color w:val="auto"/>
              </w:rPr>
            </w:pPr>
            <w:r>
              <w:rPr>
                <w:rFonts w:ascii="Arial" w:cs="Arial" w:eastAsia="Arial" w:hAnsi="Arial"/>
                <w:sz w:val="18"/>
                <w:szCs w:val="18"/>
                <w:color w:val="auto"/>
              </w:rPr>
              <w:t>Currency translation adjustments and other</w:t>
            </w: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r>
      <w:tr>
        <w:trPr>
          <w:trHeight w:val="243"/>
        </w:trPr>
        <w:tc>
          <w:tcPr>
            <w:tcW w:w="6240" w:type="dxa"/>
            <w:vAlign w:val="bottom"/>
            <w:gridSpan w:val="2"/>
          </w:tcPr>
          <w:p>
            <w:pPr>
              <w:ind w:left="520"/>
              <w:spacing w:after="0"/>
              <w:rPr>
                <w:sz w:val="20"/>
                <w:szCs w:val="20"/>
                <w:color w:val="auto"/>
              </w:rPr>
            </w:pPr>
            <w:r>
              <w:rPr>
                <w:rFonts w:ascii="Arial" w:cs="Arial" w:eastAsia="Arial" w:hAnsi="Arial"/>
                <w:sz w:val="18"/>
                <w:szCs w:val="18"/>
                <w:color w:val="auto"/>
              </w:rPr>
              <w:t>Goodwill as of December 31, 2016</w:t>
            </w:r>
          </w:p>
        </w:tc>
        <w:tc>
          <w:tcPr>
            <w:tcW w:w="2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552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455</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1,007</w:t>
            </w:r>
          </w:p>
        </w:tc>
      </w:tr>
      <w:tr>
        <w:trPr>
          <w:trHeight w:val="270"/>
        </w:trPr>
        <w:tc>
          <w:tcPr>
            <w:tcW w:w="6240" w:type="dxa"/>
            <w:vAlign w:val="bottom"/>
            <w:gridSpan w:val="2"/>
          </w:tcPr>
          <w:p>
            <w:pPr>
              <w:ind w:left="720"/>
              <w:spacing w:after="0"/>
              <w:rPr>
                <w:sz w:val="20"/>
                <w:szCs w:val="20"/>
                <w:color w:val="auto"/>
              </w:rPr>
            </w:pPr>
            <w:r>
              <w:rPr>
                <w:rFonts w:ascii="Arial" w:cs="Arial" w:eastAsia="Arial" w:hAnsi="Arial"/>
                <w:sz w:val="18"/>
                <w:szCs w:val="18"/>
                <w:color w:val="auto"/>
              </w:rPr>
              <w:t>Acquisitions</w:t>
            </w:r>
          </w:p>
        </w:tc>
        <w:tc>
          <w:tcPr>
            <w:tcW w:w="220" w:type="dxa"/>
            <w:vAlign w:val="bottom"/>
          </w:tcPr>
          <w:p>
            <w:pPr>
              <w:spacing w:after="0"/>
              <w:rPr>
                <w:sz w:val="23"/>
                <w:szCs w:val="23"/>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77"/>
        </w:trPr>
        <w:tc>
          <w:tcPr>
            <w:tcW w:w="6240" w:type="dxa"/>
            <w:vAlign w:val="bottom"/>
            <w:gridSpan w:val="2"/>
          </w:tcPr>
          <w:p>
            <w:pPr>
              <w:ind w:left="720"/>
              <w:spacing w:after="0"/>
              <w:rPr>
                <w:sz w:val="20"/>
                <w:szCs w:val="20"/>
                <w:color w:val="auto"/>
              </w:rPr>
            </w:pPr>
            <w:r>
              <w:rPr>
                <w:rFonts w:ascii="Arial" w:cs="Arial" w:eastAsia="Arial" w:hAnsi="Arial"/>
                <w:sz w:val="18"/>
                <w:szCs w:val="18"/>
                <w:color w:val="auto"/>
              </w:rPr>
              <w:t>Currency translation adjustments and other</w:t>
            </w:r>
          </w:p>
        </w:tc>
        <w:tc>
          <w:tcPr>
            <w:tcW w:w="220" w:type="dxa"/>
            <w:vAlign w:val="bottom"/>
          </w:tcPr>
          <w:p>
            <w:pPr>
              <w:spacing w:after="0"/>
              <w:rPr>
                <w:sz w:val="24"/>
                <w:szCs w:val="24"/>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50"/>
        </w:trPr>
        <w:tc>
          <w:tcPr>
            <w:tcW w:w="6240" w:type="dxa"/>
            <w:vAlign w:val="bottom"/>
            <w:gridSpan w:val="2"/>
          </w:tcPr>
          <w:p>
            <w:pPr>
              <w:ind w:left="520"/>
              <w:spacing w:after="0"/>
              <w:rPr>
                <w:sz w:val="20"/>
                <w:szCs w:val="20"/>
                <w:color w:val="auto"/>
              </w:rPr>
            </w:pPr>
            <w:r>
              <w:rPr>
                <w:rFonts w:ascii="Arial" w:cs="Arial" w:eastAsia="Arial" w:hAnsi="Arial"/>
                <w:sz w:val="18"/>
                <w:szCs w:val="18"/>
                <w:color w:val="auto"/>
              </w:rPr>
              <w:t>Goodwill as of December 31, 2017</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552</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521</w:t>
            </w:r>
          </w:p>
        </w:tc>
        <w:tc>
          <w:tcPr>
            <w:tcW w:w="100" w:type="dxa"/>
            <w:vAlign w:val="bottom"/>
          </w:tcPr>
          <w:p>
            <w:pPr>
              <w:spacing w:after="0"/>
              <w:rPr>
                <w:sz w:val="21"/>
                <w:szCs w:val="21"/>
                <w:color w:val="auto"/>
              </w:rPr>
            </w:pPr>
          </w:p>
        </w:tc>
        <w:tc>
          <w:tcPr>
            <w:tcW w:w="50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1,073</w:t>
            </w:r>
          </w:p>
        </w:tc>
      </w:tr>
      <w:tr>
        <w:trPr>
          <w:trHeight w:val="20"/>
        </w:trPr>
        <w:tc>
          <w:tcPr>
            <w:tcW w:w="140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ind w:left="500" w:hanging="492"/>
        <w:spacing w:after="0"/>
        <w:tabs>
          <w:tab w:leader="none" w:pos="500"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color w:val="auto"/>
        </w:rPr>
        <w:t>Vehicle Rental Activities</w:t>
      </w:r>
    </w:p>
    <w:p>
      <w:pPr>
        <w:spacing w:after="0" w:line="193"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The components of vehicles, net within assets under vehicle programs are as follows:</w:t>
      </w:r>
    </w:p>
    <w:p>
      <w:pPr>
        <w:spacing w:after="0" w:line="163" w:lineRule="exact"/>
        <w:rPr>
          <w:sz w:val="20"/>
          <w:szCs w:val="20"/>
          <w:color w:val="auto"/>
        </w:rPr>
      </w:pPr>
    </w:p>
    <w:tbl>
      <w:tblPr>
        <w:tblLayout w:type="fixed"/>
        <w:tblInd w:w="500" w:type="dxa"/>
        <w:tblCellMar>
          <w:top w:w="0" w:type="dxa"/>
          <w:left w:w="0" w:type="dxa"/>
          <w:bottom w:w="0" w:type="dxa"/>
          <w:right w:w="0" w:type="dxa"/>
        </w:tblCellMar>
      </w:tblPr>
      <w:tr>
        <w:trPr>
          <w:trHeight w:val="246"/>
        </w:trPr>
        <w:tc>
          <w:tcPr>
            <w:tcW w:w="57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2700" w:type="dxa"/>
            <w:vAlign w:val="bottom"/>
            <w:tcBorders>
              <w:bottom w:val="single" w:sz="8" w:color="auto"/>
            </w:tcBorders>
            <w:gridSpan w:val="4"/>
          </w:tcPr>
          <w:p>
            <w:pPr>
              <w:jc w:val="right"/>
              <w:ind w:right="570"/>
              <w:spacing w:after="0"/>
              <w:rPr>
                <w:sz w:val="20"/>
                <w:szCs w:val="20"/>
                <w:color w:val="auto"/>
              </w:rPr>
            </w:pPr>
            <w:r>
              <w:rPr>
                <w:rFonts w:ascii="Arial" w:cs="Arial" w:eastAsia="Arial" w:hAnsi="Arial"/>
                <w:sz w:val="18"/>
                <w:szCs w:val="18"/>
                <w:b w:val="1"/>
                <w:bCs w:val="1"/>
                <w:color w:val="auto"/>
              </w:rPr>
              <w:t>As of December 31,</w:t>
            </w:r>
          </w:p>
        </w:tc>
        <w:tc>
          <w:tcPr>
            <w:tcW w:w="0" w:type="dxa"/>
            <w:vAlign w:val="bottom"/>
          </w:tcPr>
          <w:p>
            <w:pPr>
              <w:spacing w:after="0"/>
              <w:rPr>
                <w:sz w:val="1"/>
                <w:szCs w:val="1"/>
                <w:color w:val="auto"/>
              </w:rPr>
            </w:pPr>
          </w:p>
        </w:tc>
      </w:tr>
      <w:tr>
        <w:trPr>
          <w:trHeight w:val="264"/>
        </w:trPr>
        <w:tc>
          <w:tcPr>
            <w:tcW w:w="57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243"/>
        </w:trPr>
        <w:tc>
          <w:tcPr>
            <w:tcW w:w="5740" w:type="dxa"/>
            <w:vAlign w:val="bottom"/>
          </w:tcPr>
          <w:p>
            <w:pPr>
              <w:ind w:left="20"/>
              <w:spacing w:after="0"/>
              <w:rPr>
                <w:sz w:val="20"/>
                <w:szCs w:val="20"/>
                <w:color w:val="auto"/>
              </w:rPr>
            </w:pPr>
            <w:r>
              <w:rPr>
                <w:rFonts w:ascii="Arial" w:cs="Arial" w:eastAsia="Arial" w:hAnsi="Arial"/>
                <w:sz w:val="18"/>
                <w:szCs w:val="18"/>
                <w:color w:val="auto"/>
              </w:rPr>
              <w:t>Rental vehicles</w:t>
            </w: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11,652</w:t>
            </w:r>
          </w:p>
        </w:tc>
        <w:tc>
          <w:tcPr>
            <w:tcW w:w="100" w:type="dxa"/>
            <w:vAlign w:val="bottom"/>
          </w:tcPr>
          <w:p>
            <w:pPr>
              <w:spacing w:after="0"/>
              <w:rPr>
                <w:sz w:val="21"/>
                <w:szCs w:val="21"/>
                <w:color w:val="auto"/>
              </w:rPr>
            </w:pPr>
          </w:p>
        </w:tc>
        <w:tc>
          <w:tcPr>
            <w:tcW w:w="4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10,937</w:t>
            </w:r>
          </w:p>
        </w:tc>
        <w:tc>
          <w:tcPr>
            <w:tcW w:w="0" w:type="dxa"/>
            <w:vAlign w:val="bottom"/>
          </w:tcPr>
          <w:p>
            <w:pPr>
              <w:spacing w:after="0"/>
              <w:rPr>
                <w:sz w:val="1"/>
                <w:szCs w:val="1"/>
                <w:color w:val="auto"/>
              </w:rPr>
            </w:pPr>
          </w:p>
        </w:tc>
      </w:tr>
      <w:tr>
        <w:trPr>
          <w:trHeight w:val="277"/>
        </w:trPr>
        <w:tc>
          <w:tcPr>
            <w:tcW w:w="5740" w:type="dxa"/>
            <w:vAlign w:val="bottom"/>
          </w:tcPr>
          <w:p>
            <w:pPr>
              <w:ind w:left="20"/>
              <w:spacing w:after="0"/>
              <w:rPr>
                <w:sz w:val="20"/>
                <w:szCs w:val="20"/>
                <w:color w:val="auto"/>
              </w:rPr>
            </w:pPr>
            <w:r>
              <w:rPr>
                <w:rFonts w:ascii="Arial" w:cs="Arial" w:eastAsia="Arial" w:hAnsi="Arial"/>
                <w:sz w:val="18"/>
                <w:szCs w:val="18"/>
                <w:color w:val="auto"/>
              </w:rPr>
              <w:t>Less: Accumulated depreciation</w:t>
            </w: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(1,652)</w:t>
            </w:r>
          </w:p>
        </w:tc>
        <w:tc>
          <w:tcPr>
            <w:tcW w:w="10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(1,454)</w:t>
            </w:r>
          </w:p>
        </w:tc>
        <w:tc>
          <w:tcPr>
            <w:tcW w:w="0" w:type="dxa"/>
            <w:vAlign w:val="bottom"/>
          </w:tcPr>
          <w:p>
            <w:pPr>
              <w:spacing w:after="0"/>
              <w:rPr>
                <w:sz w:val="1"/>
                <w:szCs w:val="1"/>
                <w:color w:val="auto"/>
              </w:rPr>
            </w:pPr>
          </w:p>
        </w:tc>
      </w:tr>
      <w:tr>
        <w:trPr>
          <w:trHeight w:val="243"/>
        </w:trPr>
        <w:tc>
          <w:tcPr>
            <w:tcW w:w="57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10,000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9,483</w:t>
            </w:r>
          </w:p>
        </w:tc>
        <w:tc>
          <w:tcPr>
            <w:tcW w:w="0" w:type="dxa"/>
            <w:vAlign w:val="bottom"/>
          </w:tcPr>
          <w:p>
            <w:pPr>
              <w:spacing w:after="0"/>
              <w:rPr>
                <w:sz w:val="1"/>
                <w:szCs w:val="1"/>
                <w:color w:val="auto"/>
              </w:rPr>
            </w:pPr>
          </w:p>
        </w:tc>
      </w:tr>
      <w:tr>
        <w:trPr>
          <w:trHeight w:val="277"/>
        </w:trPr>
        <w:tc>
          <w:tcPr>
            <w:tcW w:w="5740" w:type="dxa"/>
            <w:vAlign w:val="bottom"/>
          </w:tcPr>
          <w:p>
            <w:pPr>
              <w:ind w:left="20"/>
              <w:spacing w:after="0"/>
              <w:rPr>
                <w:sz w:val="20"/>
                <w:szCs w:val="20"/>
                <w:color w:val="auto"/>
              </w:rPr>
            </w:pPr>
            <w:r>
              <w:rPr>
                <w:rFonts w:ascii="Arial" w:cs="Arial" w:eastAsia="Arial" w:hAnsi="Arial"/>
                <w:sz w:val="18"/>
                <w:szCs w:val="18"/>
                <w:color w:val="auto"/>
              </w:rPr>
              <w:t>Vehicles held for sale</w:t>
            </w: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626</w:t>
            </w:r>
          </w:p>
        </w:tc>
        <w:tc>
          <w:tcPr>
            <w:tcW w:w="10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981</w:t>
            </w:r>
          </w:p>
        </w:tc>
        <w:tc>
          <w:tcPr>
            <w:tcW w:w="0" w:type="dxa"/>
            <w:vAlign w:val="bottom"/>
          </w:tcPr>
          <w:p>
            <w:pPr>
              <w:spacing w:after="0"/>
              <w:rPr>
                <w:sz w:val="1"/>
                <w:szCs w:val="1"/>
                <w:color w:val="auto"/>
              </w:rPr>
            </w:pPr>
          </w:p>
        </w:tc>
      </w:tr>
      <w:tr>
        <w:trPr>
          <w:trHeight w:val="250"/>
        </w:trPr>
        <w:tc>
          <w:tcPr>
            <w:tcW w:w="5740" w:type="dxa"/>
            <w:vAlign w:val="bottom"/>
          </w:tcPr>
          <w:p>
            <w:pPr>
              <w:ind w:left="20"/>
              <w:spacing w:after="0"/>
              <w:rPr>
                <w:sz w:val="20"/>
                <w:szCs w:val="20"/>
                <w:color w:val="auto"/>
              </w:rPr>
            </w:pPr>
            <w:r>
              <w:rPr>
                <w:rFonts w:ascii="Arial" w:cs="Arial" w:eastAsia="Arial" w:hAnsi="Arial"/>
                <w:sz w:val="18"/>
                <w:szCs w:val="18"/>
                <w:color w:val="auto"/>
              </w:rPr>
              <w:t>Vehicles, net</w:t>
            </w: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10,626</w:t>
            </w:r>
          </w:p>
        </w:tc>
        <w:tc>
          <w:tcPr>
            <w:tcW w:w="100" w:type="dxa"/>
            <w:vAlign w:val="bottom"/>
          </w:tcPr>
          <w:p>
            <w:pPr>
              <w:spacing w:after="0"/>
              <w:rPr>
                <w:sz w:val="21"/>
                <w:szCs w:val="21"/>
                <w:color w:val="auto"/>
              </w:rPr>
            </w:pPr>
          </w:p>
        </w:tc>
        <w:tc>
          <w:tcPr>
            <w:tcW w:w="4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10,464</w:t>
            </w:r>
          </w:p>
        </w:tc>
        <w:tc>
          <w:tcPr>
            <w:tcW w:w="0" w:type="dxa"/>
            <w:vAlign w:val="bottom"/>
          </w:tcPr>
          <w:p>
            <w:pPr>
              <w:spacing w:after="0"/>
              <w:rPr>
                <w:sz w:val="1"/>
                <w:szCs w:val="1"/>
                <w:color w:val="auto"/>
              </w:rPr>
            </w:pPr>
          </w:p>
        </w:tc>
      </w:tr>
      <w:tr>
        <w:trPr>
          <w:trHeight w:val="20"/>
        </w:trPr>
        <w:tc>
          <w:tcPr>
            <w:tcW w:w="7300" w:type="dxa"/>
            <w:vAlign w:val="bottom"/>
            <w:gridSpan w:val="4"/>
            <w:vMerge w:val="restart"/>
          </w:tcPr>
          <w:p>
            <w:pPr>
              <w:spacing w:after="0"/>
              <w:rPr>
                <w:sz w:val="20"/>
                <w:szCs w:val="20"/>
                <w:color w:val="auto"/>
              </w:rPr>
            </w:pPr>
            <w:r>
              <w:rPr>
                <w:rFonts w:ascii="Arial" w:cs="Arial" w:eastAsia="Arial" w:hAnsi="Arial"/>
                <w:sz w:val="18"/>
                <w:szCs w:val="18"/>
                <w:color w:val="auto"/>
              </w:rPr>
              <w:t>The components of vehicle depreciation and lease charges, net are summarized below:</w:t>
            </w: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7300" w:type="dxa"/>
            <w:vAlign w:val="bottom"/>
            <w:gridSpan w:val="4"/>
            <w:vMerge w:val="continue"/>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574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gridSpan w:val="6"/>
          </w:tcPr>
          <w:p>
            <w:pPr>
              <w:jc w:val="right"/>
              <w:ind w:right="50"/>
              <w:spacing w:after="0"/>
              <w:rPr>
                <w:sz w:val="20"/>
                <w:szCs w:val="20"/>
                <w:color w:val="auto"/>
              </w:rPr>
            </w:pPr>
            <w:r>
              <w:rPr>
                <w:rFonts w:ascii="Arial" w:cs="Arial" w:eastAsia="Arial" w:hAnsi="Arial"/>
                <w:sz w:val="18"/>
                <w:szCs w:val="18"/>
                <w:b w:val="1"/>
                <w:bCs w:val="1"/>
                <w:color w:val="auto"/>
              </w:rPr>
              <w:t>Year Ended December 31,</w:t>
            </w: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74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2015</w:t>
            </w:r>
          </w:p>
        </w:tc>
        <w:tc>
          <w:tcPr>
            <w:tcW w:w="0" w:type="dxa"/>
            <w:vAlign w:val="bottom"/>
          </w:tcPr>
          <w:p>
            <w:pPr>
              <w:spacing w:after="0"/>
              <w:rPr>
                <w:sz w:val="1"/>
                <w:szCs w:val="1"/>
                <w:color w:val="auto"/>
              </w:rPr>
            </w:pPr>
          </w:p>
        </w:tc>
      </w:tr>
      <w:tr>
        <w:trPr>
          <w:trHeight w:val="243"/>
        </w:trPr>
        <w:tc>
          <w:tcPr>
            <w:tcW w:w="5740" w:type="dxa"/>
            <w:vAlign w:val="bottom"/>
          </w:tcPr>
          <w:p>
            <w:pPr>
              <w:ind w:left="20"/>
              <w:spacing w:after="0"/>
              <w:rPr>
                <w:sz w:val="20"/>
                <w:szCs w:val="20"/>
                <w:color w:val="auto"/>
              </w:rPr>
            </w:pPr>
            <w:r>
              <w:rPr>
                <w:rFonts w:ascii="Arial" w:cs="Arial" w:eastAsia="Arial" w:hAnsi="Arial"/>
                <w:sz w:val="18"/>
                <w:szCs w:val="18"/>
                <w:color w:val="auto"/>
              </w:rPr>
              <w:t>Depreciation expense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1,947</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1,877</w:t>
            </w:r>
          </w:p>
        </w:tc>
        <w:tc>
          <w:tcPr>
            <w:tcW w:w="100" w:type="dxa"/>
            <w:vAlign w:val="bottom"/>
          </w:tcPr>
          <w:p>
            <w:pPr>
              <w:spacing w:after="0"/>
              <w:rPr>
                <w:sz w:val="21"/>
                <w:szCs w:val="21"/>
                <w:color w:val="auto"/>
              </w:rPr>
            </w:pPr>
          </w:p>
        </w:tc>
        <w:tc>
          <w:tcPr>
            <w:tcW w:w="4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1,837</w:t>
            </w:r>
          </w:p>
        </w:tc>
        <w:tc>
          <w:tcPr>
            <w:tcW w:w="0" w:type="dxa"/>
            <w:vAlign w:val="bottom"/>
          </w:tcPr>
          <w:p>
            <w:pPr>
              <w:spacing w:after="0"/>
              <w:rPr>
                <w:sz w:val="1"/>
                <w:szCs w:val="1"/>
                <w:color w:val="auto"/>
              </w:rPr>
            </w:pPr>
          </w:p>
        </w:tc>
      </w:tr>
      <w:tr>
        <w:trPr>
          <w:trHeight w:val="270"/>
        </w:trPr>
        <w:tc>
          <w:tcPr>
            <w:tcW w:w="5740" w:type="dxa"/>
            <w:vAlign w:val="bottom"/>
          </w:tcPr>
          <w:p>
            <w:pPr>
              <w:ind w:left="20"/>
              <w:spacing w:after="0"/>
              <w:rPr>
                <w:sz w:val="20"/>
                <w:szCs w:val="20"/>
                <w:color w:val="auto"/>
              </w:rPr>
            </w:pPr>
            <w:r>
              <w:rPr>
                <w:rFonts w:ascii="Arial" w:cs="Arial" w:eastAsia="Arial" w:hAnsi="Arial"/>
                <w:sz w:val="18"/>
                <w:szCs w:val="18"/>
                <w:color w:val="auto"/>
              </w:rPr>
              <w:t>Lease charges</w:t>
            </w:r>
          </w:p>
        </w:tc>
        <w:tc>
          <w:tcPr>
            <w:tcW w:w="32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222</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180</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77"/>
        </w:trPr>
        <w:tc>
          <w:tcPr>
            <w:tcW w:w="5740" w:type="dxa"/>
            <w:vAlign w:val="bottom"/>
          </w:tcPr>
          <w:p>
            <w:pPr>
              <w:ind w:left="20"/>
              <w:spacing w:after="0"/>
              <w:rPr>
                <w:sz w:val="20"/>
                <w:szCs w:val="20"/>
                <w:color w:val="auto"/>
              </w:rPr>
            </w:pPr>
            <w:r>
              <w:rPr>
                <w:rFonts w:ascii="Arial" w:cs="Arial" w:eastAsia="Arial" w:hAnsi="Arial"/>
                <w:sz w:val="18"/>
                <w:szCs w:val="18"/>
                <w:color w:val="auto"/>
              </w:rPr>
              <w:t>(Gain) loss on sale of vehicles, net</w:t>
            </w: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50"/>
        </w:trPr>
        <w:tc>
          <w:tcPr>
            <w:tcW w:w="5740" w:type="dxa"/>
            <w:vAlign w:val="bottom"/>
          </w:tcPr>
          <w:p>
            <w:pPr>
              <w:ind w:left="20"/>
              <w:spacing w:after="0"/>
              <w:rPr>
                <w:sz w:val="20"/>
                <w:szCs w:val="20"/>
                <w:color w:val="auto"/>
              </w:rPr>
            </w:pPr>
            <w:r>
              <w:rPr>
                <w:rFonts w:ascii="Arial" w:cs="Arial" w:eastAsia="Arial" w:hAnsi="Arial"/>
                <w:sz w:val="18"/>
                <w:szCs w:val="18"/>
                <w:color w:val="auto"/>
              </w:rPr>
              <w:t>Vehicle depreciation and lease charges, net</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2,221</w:t>
            </w:r>
          </w:p>
        </w:tc>
        <w:tc>
          <w:tcPr>
            <w:tcW w:w="100" w:type="dxa"/>
            <w:vAlign w:val="bottom"/>
          </w:tcPr>
          <w:p>
            <w:pPr>
              <w:spacing w:after="0"/>
              <w:rPr>
                <w:sz w:val="21"/>
                <w:szCs w:val="21"/>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2,047</w:t>
            </w:r>
          </w:p>
        </w:tc>
        <w:tc>
          <w:tcPr>
            <w:tcW w:w="100" w:type="dxa"/>
            <w:vAlign w:val="bottom"/>
          </w:tcPr>
          <w:p>
            <w:pPr>
              <w:spacing w:after="0"/>
              <w:rPr>
                <w:sz w:val="21"/>
                <w:szCs w:val="21"/>
                <w:color w:val="auto"/>
              </w:rPr>
            </w:pPr>
          </w:p>
        </w:tc>
        <w:tc>
          <w:tcPr>
            <w:tcW w:w="4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1,933</w:t>
            </w: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500" w:right="120"/>
        <w:spacing w:after="0" w:line="278" w:lineRule="auto"/>
        <w:rPr>
          <w:sz w:val="20"/>
          <w:szCs w:val="20"/>
          <w:color w:val="auto"/>
        </w:rPr>
      </w:pPr>
      <w:r>
        <w:rPr>
          <w:rFonts w:ascii="Arial" w:cs="Arial" w:eastAsia="Arial" w:hAnsi="Arial"/>
          <w:sz w:val="17"/>
          <w:szCs w:val="17"/>
          <w:color w:val="auto"/>
        </w:rPr>
        <w:t>At December 31, 2017, 2016 and 2015, the Company had payables related to vehicle purchases included in liabilities under vehicle programs - other of $346 million, $321 million and $269 million, respectively, and receivables related to vehicle sales included in assets under vehicle programs - receivables from vehicle manufacturers and other of $545 million, $520 million and $433 million, respectively.</w:t>
      </w:r>
    </w:p>
    <w:p>
      <w:pPr>
        <w:spacing w:after="0" w:line="163" w:lineRule="exact"/>
        <w:rPr>
          <w:sz w:val="20"/>
          <w:szCs w:val="20"/>
          <w:color w:val="auto"/>
        </w:rPr>
      </w:pPr>
    </w:p>
    <w:p>
      <w:pPr>
        <w:ind w:left="500" w:hanging="492"/>
        <w:spacing w:after="0"/>
        <w:tabs>
          <w:tab w:leader="none" w:pos="500" w:val="left"/>
        </w:tabs>
        <w:numPr>
          <w:ilvl w:val="0"/>
          <w:numId w:val="68"/>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47" w:lineRule="exact"/>
        <w:rPr>
          <w:rFonts w:ascii="Arial" w:cs="Arial" w:eastAsia="Arial" w:hAnsi="Arial"/>
          <w:sz w:val="18"/>
          <w:szCs w:val="18"/>
          <w:b w:val="1"/>
          <w:bCs w:val="1"/>
          <w:color w:val="auto"/>
        </w:rPr>
      </w:pPr>
    </w:p>
    <w:p>
      <w:pPr>
        <w:ind w:left="500"/>
        <w:spacing w:after="0" w:line="252" w:lineRule="auto"/>
        <w:rPr>
          <w:rFonts w:ascii="Arial" w:cs="Arial" w:eastAsia="Arial" w:hAnsi="Arial"/>
          <w:sz w:val="18"/>
          <w:szCs w:val="18"/>
          <w:b w:val="1"/>
          <w:bCs w:val="1"/>
          <w:color w:val="auto"/>
        </w:rPr>
      </w:pPr>
      <w:r>
        <w:rPr>
          <w:rFonts w:ascii="Arial" w:cs="Arial" w:eastAsia="Arial" w:hAnsi="Arial"/>
          <w:sz w:val="18"/>
          <w:szCs w:val="18"/>
          <w:color w:val="auto"/>
        </w:rPr>
        <w:t>On December 22, 2017 the U.S. enacted tax reform legislation (“the Tax Act) that made substantial changes to corporate income tax laws. Among the key provisions are, a U.S. corporate tax rate reduction from 35% to 21% effective for tax years beginning January 1, 2018, a one-time transition tax on the deemed repatriation of cumulative earnings from foreign subsidiaries and changes to U.S. taxation of foreign earnings from a worldwide to a territorial tax system effective for tax years beginning January 1, 2018. The Company is recognizing the effects of the Tax Act in its Consolidated Financial Statements in accordance with Staff Accounting Bulletin No. 118, which provides SEC staff guidance for the application of FASB Accounting Standards Codification Topic 740, Income Taxes, in the reporting period that the Tax Act was signed into law.</w:t>
      </w:r>
    </w:p>
    <w:p>
      <w:pPr>
        <w:spacing w:after="0" w:line="166" w:lineRule="exact"/>
        <w:rPr>
          <w:rFonts w:ascii="Arial" w:cs="Arial" w:eastAsia="Arial" w:hAnsi="Arial"/>
          <w:sz w:val="18"/>
          <w:szCs w:val="18"/>
          <w:b w:val="1"/>
          <w:bCs w:val="1"/>
          <w:color w:val="auto"/>
        </w:rPr>
      </w:pPr>
    </w:p>
    <w:p>
      <w:pPr>
        <w:jc w:val="both"/>
        <w:ind w:left="500"/>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The Company has recorded a provisional income tax benefit of $317 million related to the remeasurement of its net deferred income tax liabilities as a result of the reduced corporate tax rate, and a provisional tax expense of $104 million for the one-time transition tax on the deemed repatriation of cumulative foreign subsidiary earnings.</w:t>
      </w:r>
    </w:p>
    <w:p>
      <w:pPr>
        <w:spacing w:after="0" w:line="161" w:lineRule="exact"/>
        <w:rPr>
          <w:rFonts w:ascii="Arial" w:cs="Arial" w:eastAsia="Arial" w:hAnsi="Arial"/>
          <w:sz w:val="18"/>
          <w:szCs w:val="18"/>
          <w:b w:val="1"/>
          <w:bCs w:val="1"/>
          <w:color w:val="auto"/>
        </w:rPr>
      </w:pPr>
    </w:p>
    <w:p>
      <w:pPr>
        <w:ind w:left="500" w:right="380"/>
        <w:spacing w:after="0" w:line="262" w:lineRule="auto"/>
        <w:rPr>
          <w:rFonts w:ascii="Arial" w:cs="Arial" w:eastAsia="Arial" w:hAnsi="Arial"/>
          <w:sz w:val="18"/>
          <w:szCs w:val="18"/>
          <w:b w:val="1"/>
          <w:bCs w:val="1"/>
          <w:color w:val="auto"/>
        </w:rPr>
      </w:pPr>
      <w:r>
        <w:rPr>
          <w:rFonts w:ascii="Arial" w:cs="Arial" w:eastAsia="Arial" w:hAnsi="Arial"/>
          <w:sz w:val="18"/>
          <w:szCs w:val="18"/>
          <w:color w:val="auto"/>
        </w:rPr>
        <w:t>The Company has not finalized the accounting for the effects of the Tax Act due to the complex analysis necessary to determine the historical earnings of foreign subsidiaries, the ability to utilize tax attributes such</w:t>
      </w:r>
    </w:p>
    <w:p>
      <w:pPr>
        <w:sectPr>
          <w:pgSz w:w="11900" w:h="16838" w:orient="portrait"/>
          <w:cols w:equalWidth="0" w:num="1">
            <w:col w:w="11340"/>
          </w:cols>
          <w:pgMar w:left="240" w:top="108" w:right="319" w:bottom="1440" w:gutter="0" w:footer="0" w:header="0"/>
        </w:sectPr>
      </w:pPr>
    </w:p>
    <w:p>
      <w:pPr>
        <w:spacing w:after="0" w:line="39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340"/>
          </w:cols>
          <w:pgMar w:left="240" w:top="108" w:right="319" w:bottom="1440" w:gutter="0" w:footer="0" w:header="0"/>
          <w:type w:val="continuous"/>
        </w:sectPr>
      </w:pPr>
    </w:p>
    <w:bookmarkStart w:id="91" w:name="page92"/>
    <w:bookmarkEnd w:id="9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left="500" w:right="100"/>
        <w:spacing w:after="0" w:line="254" w:lineRule="auto"/>
        <w:rPr>
          <w:sz w:val="20"/>
          <w:szCs w:val="20"/>
          <w:color w:val="auto"/>
        </w:rPr>
      </w:pPr>
      <w:r>
        <w:rPr>
          <w:rFonts w:ascii="Arial" w:cs="Arial" w:eastAsia="Arial" w:hAnsi="Arial"/>
          <w:sz w:val="18"/>
          <w:szCs w:val="18"/>
          <w:color w:val="auto"/>
        </w:rPr>
        <w:t>as foreign tax credits, and the impact of the repeal of the like-kind exchange provision for personal property together with the corresponding impact on deferred tax components and valuation allowances. Any adjustments to these provisional amounts will be recorded when the Company finalizes its accounting of the tax effects within a subsequent measurement period that will not exceed one year from the date of the enactment of the Tax Act.</w:t>
      </w:r>
    </w:p>
    <w:p>
      <w:pPr>
        <w:spacing w:after="0" w:line="326" w:lineRule="exact"/>
        <w:rPr>
          <w:sz w:val="20"/>
          <w:szCs w:val="20"/>
          <w:color w:val="auto"/>
        </w:rPr>
      </w:pPr>
    </w:p>
    <w:tbl>
      <w:tblPr>
        <w:tblLayout w:type="fixed"/>
        <w:tblInd w:w="500" w:type="dxa"/>
        <w:tblCellMar>
          <w:top w:w="0" w:type="dxa"/>
          <w:left w:w="0" w:type="dxa"/>
          <w:bottom w:w="0" w:type="dxa"/>
          <w:right w:w="0" w:type="dxa"/>
        </w:tblCellMar>
      </w:tblPr>
      <w:tr>
        <w:trPr>
          <w:trHeight w:val="217"/>
        </w:trPr>
        <w:tc>
          <w:tcPr>
            <w:tcW w:w="5760" w:type="dxa"/>
            <w:vAlign w:val="bottom"/>
          </w:tcPr>
          <w:p>
            <w:pPr>
              <w:spacing w:after="0"/>
              <w:rPr>
                <w:sz w:val="20"/>
                <w:szCs w:val="20"/>
                <w:color w:val="auto"/>
              </w:rPr>
            </w:pPr>
            <w:r>
              <w:rPr>
                <w:rFonts w:ascii="Arial" w:cs="Arial" w:eastAsia="Arial" w:hAnsi="Arial"/>
                <w:sz w:val="18"/>
                <w:szCs w:val="18"/>
                <w:color w:val="auto"/>
              </w:rPr>
              <w:t>The provision for (benefit from) income taxes consists of the following:</w:t>
            </w:r>
          </w:p>
        </w:tc>
        <w:tc>
          <w:tcPr>
            <w:tcW w:w="9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399"/>
        </w:trPr>
        <w:tc>
          <w:tcPr>
            <w:tcW w:w="576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6"/>
          </w:tcPr>
          <w:p>
            <w:pPr>
              <w:jc w:val="right"/>
              <w:ind w:right="30"/>
              <w:spacing w:after="0"/>
              <w:rPr>
                <w:sz w:val="20"/>
                <w:szCs w:val="20"/>
                <w:color w:val="auto"/>
              </w:rPr>
            </w:pPr>
            <w:r>
              <w:rPr>
                <w:rFonts w:ascii="Arial" w:cs="Arial" w:eastAsia="Arial" w:hAnsi="Arial"/>
                <w:sz w:val="18"/>
                <w:szCs w:val="18"/>
                <w:b w:val="1"/>
                <w:bCs w:val="1"/>
                <w:color w:val="auto"/>
              </w:rPr>
              <w:t>Year Ended December 31,</w:t>
            </w:r>
          </w:p>
        </w:tc>
        <w:tc>
          <w:tcPr>
            <w:tcW w:w="1040" w:type="dxa"/>
            <w:vAlign w:val="bottom"/>
            <w:tcBorders>
              <w:bottom w:val="single" w:sz="8" w:color="auto"/>
            </w:tcBorders>
          </w:tcPr>
          <w:p>
            <w:pPr>
              <w:spacing w:after="0"/>
              <w:rPr>
                <w:sz w:val="24"/>
                <w:szCs w:val="24"/>
                <w:color w:val="auto"/>
              </w:rPr>
            </w:pPr>
          </w:p>
        </w:tc>
      </w:tr>
      <w:tr>
        <w:trPr>
          <w:trHeight w:val="264"/>
        </w:trPr>
        <w:tc>
          <w:tcPr>
            <w:tcW w:w="5760" w:type="dxa"/>
            <w:vAlign w:val="bottom"/>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2017</w:t>
            </w:r>
          </w:p>
        </w:tc>
        <w:tc>
          <w:tcPr>
            <w:tcW w:w="48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2015</w:t>
            </w:r>
          </w:p>
        </w:tc>
      </w:tr>
      <w:tr>
        <w:trPr>
          <w:trHeight w:val="230"/>
        </w:trPr>
        <w:tc>
          <w:tcPr>
            <w:tcW w:w="5760" w:type="dxa"/>
            <w:vAlign w:val="bottom"/>
          </w:tcPr>
          <w:p>
            <w:pPr>
              <w:ind w:left="20"/>
              <w:spacing w:after="0"/>
              <w:rPr>
                <w:sz w:val="20"/>
                <w:szCs w:val="20"/>
                <w:color w:val="auto"/>
              </w:rPr>
            </w:pPr>
            <w:r>
              <w:rPr>
                <w:rFonts w:ascii="Arial" w:cs="Arial" w:eastAsia="Arial" w:hAnsi="Arial"/>
                <w:sz w:val="18"/>
                <w:szCs w:val="18"/>
                <w:b w:val="1"/>
                <w:bCs w:val="1"/>
                <w:color w:val="auto"/>
              </w:rPr>
              <w:t>Current</w:t>
            </w:r>
          </w:p>
        </w:tc>
        <w:tc>
          <w:tcPr>
            <w:tcW w:w="9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97"/>
        </w:trPr>
        <w:tc>
          <w:tcPr>
            <w:tcW w:w="5760" w:type="dxa"/>
            <w:vAlign w:val="bottom"/>
          </w:tcPr>
          <w:p>
            <w:pPr>
              <w:ind w:left="120"/>
              <w:spacing w:after="0"/>
              <w:rPr>
                <w:sz w:val="20"/>
                <w:szCs w:val="20"/>
                <w:color w:val="auto"/>
              </w:rPr>
            </w:pPr>
            <w:r>
              <w:rPr>
                <w:rFonts w:ascii="Arial" w:cs="Arial" w:eastAsia="Arial" w:hAnsi="Arial"/>
                <w:sz w:val="18"/>
                <w:szCs w:val="18"/>
                <w:color w:val="auto"/>
              </w:rPr>
              <w:t>Federal</w:t>
            </w:r>
          </w:p>
        </w:tc>
        <w:tc>
          <w:tcPr>
            <w:tcW w:w="960" w:type="dxa"/>
            <w:vAlign w:val="bottom"/>
          </w:tcPr>
          <w:p>
            <w:pPr>
              <w:jc w:val="right"/>
              <w:ind w:right="750"/>
              <w:spacing w:after="0"/>
              <w:rPr>
                <w:sz w:val="20"/>
                <w:szCs w:val="20"/>
                <w:color w:val="auto"/>
              </w:rPr>
            </w:pPr>
            <w:r>
              <w:rPr>
                <w:rFonts w:ascii="Arial" w:cs="Arial" w:eastAsia="Arial" w:hAnsi="Arial"/>
                <w:sz w:val="18"/>
                <w:szCs w:val="18"/>
                <w:color w:val="auto"/>
                <w:w w:val="99"/>
              </w:rPr>
              <w:t>$</w:t>
            </w: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4"/>
                <w:szCs w:val="24"/>
                <w:color w:val="auto"/>
              </w:rPr>
            </w:pPr>
          </w:p>
        </w:tc>
        <w:tc>
          <w:tcPr>
            <w:tcW w:w="4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70"/>
        </w:trPr>
        <w:tc>
          <w:tcPr>
            <w:tcW w:w="5760" w:type="dxa"/>
            <w:vAlign w:val="bottom"/>
          </w:tcPr>
          <w:p>
            <w:pPr>
              <w:ind w:left="120"/>
              <w:spacing w:after="0"/>
              <w:rPr>
                <w:sz w:val="20"/>
                <w:szCs w:val="20"/>
                <w:color w:val="auto"/>
              </w:rPr>
            </w:pPr>
            <w:r>
              <w:rPr>
                <w:rFonts w:ascii="Arial" w:cs="Arial" w:eastAsia="Arial" w:hAnsi="Arial"/>
                <w:sz w:val="18"/>
                <w:szCs w:val="18"/>
                <w:color w:val="auto"/>
              </w:rPr>
              <w:t>State</w:t>
            </w:r>
          </w:p>
        </w:tc>
        <w:tc>
          <w:tcPr>
            <w:tcW w:w="960" w:type="dxa"/>
            <w:vAlign w:val="bottom"/>
          </w:tcPr>
          <w:p>
            <w:pPr>
              <w:spacing w:after="0"/>
              <w:rPr>
                <w:sz w:val="23"/>
                <w:szCs w:val="23"/>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77"/>
        </w:trPr>
        <w:tc>
          <w:tcPr>
            <w:tcW w:w="5760" w:type="dxa"/>
            <w:vAlign w:val="bottom"/>
          </w:tcPr>
          <w:p>
            <w:pPr>
              <w:ind w:left="120"/>
              <w:spacing w:after="0"/>
              <w:rPr>
                <w:sz w:val="20"/>
                <w:szCs w:val="20"/>
                <w:color w:val="auto"/>
              </w:rPr>
            </w:pPr>
            <w:r>
              <w:rPr>
                <w:rFonts w:ascii="Arial" w:cs="Arial" w:eastAsia="Arial" w:hAnsi="Arial"/>
                <w:sz w:val="18"/>
                <w:szCs w:val="18"/>
                <w:color w:val="auto"/>
              </w:rPr>
              <w:t>Foreign</w:t>
            </w:r>
          </w:p>
        </w:tc>
        <w:tc>
          <w:tcPr>
            <w:tcW w:w="9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r>
      <w:tr>
        <w:trPr>
          <w:trHeight w:val="250"/>
        </w:trPr>
        <w:tc>
          <w:tcPr>
            <w:tcW w:w="5760" w:type="dxa"/>
            <w:vAlign w:val="bottom"/>
          </w:tcPr>
          <w:p>
            <w:pPr>
              <w:ind w:left="120"/>
              <w:spacing w:after="0"/>
              <w:rPr>
                <w:sz w:val="20"/>
                <w:szCs w:val="20"/>
                <w:color w:val="auto"/>
              </w:rPr>
            </w:pPr>
            <w:r>
              <w:rPr>
                <w:rFonts w:ascii="Arial" w:cs="Arial" w:eastAsia="Arial" w:hAnsi="Arial"/>
                <w:sz w:val="18"/>
                <w:szCs w:val="18"/>
                <w:color w:val="auto"/>
              </w:rPr>
              <w:t>Current income tax provision</w:t>
            </w:r>
          </w:p>
        </w:tc>
        <w:tc>
          <w:tcPr>
            <w:tcW w:w="96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r>
      <w:tr>
        <w:trPr>
          <w:trHeight w:val="513"/>
        </w:trPr>
        <w:tc>
          <w:tcPr>
            <w:tcW w:w="5760" w:type="dxa"/>
            <w:vAlign w:val="bottom"/>
          </w:tcPr>
          <w:p>
            <w:pPr>
              <w:ind w:left="20"/>
              <w:spacing w:after="0"/>
              <w:rPr>
                <w:sz w:val="20"/>
                <w:szCs w:val="20"/>
                <w:color w:val="auto"/>
              </w:rPr>
            </w:pPr>
            <w:r>
              <w:rPr>
                <w:rFonts w:ascii="Arial" w:cs="Arial" w:eastAsia="Arial" w:hAnsi="Arial"/>
                <w:sz w:val="18"/>
                <w:szCs w:val="18"/>
                <w:b w:val="1"/>
                <w:bCs w:val="1"/>
                <w:color w:val="auto"/>
              </w:rPr>
              <w:t>Deferred</w:t>
            </w:r>
          </w:p>
        </w:tc>
        <w:tc>
          <w:tcPr>
            <w:tcW w:w="9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84"/>
        </w:trPr>
        <w:tc>
          <w:tcPr>
            <w:tcW w:w="5760" w:type="dxa"/>
            <w:vAlign w:val="bottom"/>
          </w:tcPr>
          <w:p>
            <w:pPr>
              <w:ind w:left="120"/>
              <w:spacing w:after="0"/>
              <w:rPr>
                <w:sz w:val="20"/>
                <w:szCs w:val="20"/>
                <w:color w:val="auto"/>
              </w:rPr>
            </w:pPr>
            <w:r>
              <w:rPr>
                <w:rFonts w:ascii="Arial" w:cs="Arial" w:eastAsia="Arial" w:hAnsi="Arial"/>
                <w:sz w:val="18"/>
                <w:szCs w:val="18"/>
                <w:color w:val="auto"/>
              </w:rPr>
              <w:t>Federal</w:t>
            </w:r>
          </w:p>
        </w:tc>
        <w:tc>
          <w:tcPr>
            <w:tcW w:w="96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(205)</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70"/>
        </w:trPr>
        <w:tc>
          <w:tcPr>
            <w:tcW w:w="5760" w:type="dxa"/>
            <w:vAlign w:val="bottom"/>
          </w:tcPr>
          <w:p>
            <w:pPr>
              <w:ind w:left="120"/>
              <w:spacing w:after="0"/>
              <w:rPr>
                <w:sz w:val="20"/>
                <w:szCs w:val="20"/>
                <w:color w:val="auto"/>
              </w:rPr>
            </w:pPr>
            <w:r>
              <w:rPr>
                <w:rFonts w:ascii="Arial" w:cs="Arial" w:eastAsia="Arial" w:hAnsi="Arial"/>
                <w:sz w:val="18"/>
                <w:szCs w:val="18"/>
                <w:color w:val="auto"/>
              </w:rPr>
              <w:t>State</w:t>
            </w:r>
          </w:p>
        </w:tc>
        <w:tc>
          <w:tcPr>
            <w:tcW w:w="960" w:type="dxa"/>
            <w:vAlign w:val="bottom"/>
          </w:tcPr>
          <w:p>
            <w:pPr>
              <w:spacing w:after="0"/>
              <w:rPr>
                <w:sz w:val="23"/>
                <w:szCs w:val="23"/>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7"/>
        </w:trPr>
        <w:tc>
          <w:tcPr>
            <w:tcW w:w="5760" w:type="dxa"/>
            <w:vAlign w:val="bottom"/>
          </w:tcPr>
          <w:p>
            <w:pPr>
              <w:ind w:left="120"/>
              <w:spacing w:after="0"/>
              <w:rPr>
                <w:sz w:val="20"/>
                <w:szCs w:val="20"/>
                <w:color w:val="auto"/>
              </w:rPr>
            </w:pPr>
            <w:r>
              <w:rPr>
                <w:rFonts w:ascii="Arial" w:cs="Arial" w:eastAsia="Arial" w:hAnsi="Arial"/>
                <w:sz w:val="18"/>
                <w:szCs w:val="18"/>
                <w:color w:val="auto"/>
              </w:rPr>
              <w:t>Foreign</w:t>
            </w:r>
          </w:p>
        </w:tc>
        <w:tc>
          <w:tcPr>
            <w:tcW w:w="9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r>
      <w:tr>
        <w:trPr>
          <w:trHeight w:val="250"/>
        </w:trPr>
        <w:tc>
          <w:tcPr>
            <w:tcW w:w="5760" w:type="dxa"/>
            <w:vAlign w:val="bottom"/>
          </w:tcPr>
          <w:p>
            <w:pPr>
              <w:ind w:left="120"/>
              <w:spacing w:after="0"/>
              <w:rPr>
                <w:sz w:val="20"/>
                <w:szCs w:val="20"/>
                <w:color w:val="auto"/>
              </w:rPr>
            </w:pPr>
            <w:r>
              <w:rPr>
                <w:rFonts w:ascii="Arial" w:cs="Arial" w:eastAsia="Arial" w:hAnsi="Arial"/>
                <w:sz w:val="18"/>
                <w:szCs w:val="18"/>
                <w:color w:val="auto"/>
              </w:rPr>
              <w:t>Deferred income tax provision</w:t>
            </w:r>
          </w:p>
        </w:tc>
        <w:tc>
          <w:tcPr>
            <w:tcW w:w="96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w:t>
            </w:r>
          </w:p>
        </w:tc>
        <w:tc>
          <w:tcPr>
            <w:tcW w:w="1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r>
      <w:tr>
        <w:trPr>
          <w:trHeight w:val="250"/>
        </w:trPr>
        <w:tc>
          <w:tcPr>
            <w:tcW w:w="5760" w:type="dxa"/>
            <w:vAlign w:val="bottom"/>
          </w:tcPr>
          <w:p>
            <w:pPr>
              <w:ind w:left="20"/>
              <w:spacing w:after="0"/>
              <w:rPr>
                <w:sz w:val="20"/>
                <w:szCs w:val="20"/>
                <w:color w:val="auto"/>
              </w:rPr>
            </w:pPr>
            <w:r>
              <w:rPr>
                <w:rFonts w:ascii="Arial" w:cs="Arial" w:eastAsia="Arial" w:hAnsi="Arial"/>
                <w:sz w:val="18"/>
                <w:szCs w:val="18"/>
                <w:color w:val="auto"/>
              </w:rPr>
              <w:t>Provision for (benefit from) income taxes</w:t>
            </w:r>
          </w:p>
        </w:tc>
        <w:tc>
          <w:tcPr>
            <w:tcW w:w="96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w:t>
            </w:r>
          </w:p>
        </w:tc>
        <w:tc>
          <w:tcPr>
            <w:tcW w:w="120" w:type="dxa"/>
            <w:vAlign w:val="bottom"/>
          </w:tcPr>
          <w:p>
            <w:pPr>
              <w:spacing w:after="0"/>
              <w:rPr>
                <w:sz w:val="21"/>
                <w:szCs w:val="21"/>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21"/>
                <w:szCs w:val="21"/>
                <w:color w:val="auto"/>
              </w:rPr>
            </w:pPr>
          </w:p>
        </w:tc>
        <w:tc>
          <w:tcPr>
            <w:tcW w:w="4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w:t>
            </w:r>
          </w:p>
        </w:tc>
      </w:tr>
      <w:tr>
        <w:trPr>
          <w:trHeight w:val="20"/>
        </w:trPr>
        <w:tc>
          <w:tcPr>
            <w:tcW w:w="57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Pretax income for domestic and foreign operations consists of the following:</w:t>
      </w:r>
    </w:p>
    <w:p>
      <w:pPr>
        <w:spacing w:after="0" w:line="163" w:lineRule="exact"/>
        <w:rPr>
          <w:sz w:val="20"/>
          <w:szCs w:val="20"/>
          <w:color w:val="auto"/>
        </w:rPr>
      </w:pPr>
    </w:p>
    <w:tbl>
      <w:tblPr>
        <w:tblLayout w:type="fixed"/>
        <w:tblInd w:w="520" w:type="dxa"/>
        <w:tblCellMar>
          <w:top w:w="0" w:type="dxa"/>
          <w:left w:w="0" w:type="dxa"/>
          <w:bottom w:w="0" w:type="dxa"/>
          <w:right w:w="0" w:type="dxa"/>
        </w:tblCellMar>
      </w:tblPr>
      <w:tr>
        <w:trPr>
          <w:trHeight w:val="246"/>
        </w:trPr>
        <w:tc>
          <w:tcPr>
            <w:tcW w:w="5720" w:type="dxa"/>
            <w:vAlign w:val="bottom"/>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2540" w:type="dxa"/>
            <w:vAlign w:val="bottom"/>
            <w:tcBorders>
              <w:bottom w:val="single" w:sz="8" w:color="auto"/>
            </w:tcBorders>
            <w:gridSpan w:val="6"/>
          </w:tcPr>
          <w:p>
            <w:pPr>
              <w:jc w:val="right"/>
              <w:ind w:right="50"/>
              <w:spacing w:after="0"/>
              <w:rPr>
                <w:sz w:val="20"/>
                <w:szCs w:val="20"/>
                <w:color w:val="auto"/>
              </w:rPr>
            </w:pPr>
            <w:r>
              <w:rPr>
                <w:rFonts w:ascii="Arial" w:cs="Arial" w:eastAsia="Arial" w:hAnsi="Arial"/>
                <w:sz w:val="18"/>
                <w:szCs w:val="18"/>
                <w:b w:val="1"/>
                <w:bCs w:val="1"/>
                <w:color w:val="auto"/>
              </w:rPr>
              <w:t>Year Ended December 31,</w:t>
            </w:r>
          </w:p>
        </w:tc>
        <w:tc>
          <w:tcPr>
            <w:tcW w:w="1040" w:type="dxa"/>
            <w:vAlign w:val="bottom"/>
            <w:tcBorders>
              <w:bottom w:val="single" w:sz="8" w:color="auto"/>
            </w:tcBorders>
          </w:tcPr>
          <w:p>
            <w:pPr>
              <w:spacing w:after="0"/>
              <w:rPr>
                <w:sz w:val="21"/>
                <w:szCs w:val="21"/>
                <w:color w:val="auto"/>
              </w:rPr>
            </w:pPr>
          </w:p>
        </w:tc>
      </w:tr>
      <w:tr>
        <w:trPr>
          <w:trHeight w:val="264"/>
        </w:trPr>
        <w:tc>
          <w:tcPr>
            <w:tcW w:w="5720" w:type="dxa"/>
            <w:vAlign w:val="bottom"/>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2017</w:t>
            </w:r>
          </w:p>
        </w:tc>
        <w:tc>
          <w:tcPr>
            <w:tcW w:w="4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2015</w:t>
            </w:r>
          </w:p>
        </w:tc>
      </w:tr>
      <w:tr>
        <w:trPr>
          <w:trHeight w:val="287"/>
        </w:trPr>
        <w:tc>
          <w:tcPr>
            <w:tcW w:w="5720" w:type="dxa"/>
            <w:vAlign w:val="bottom"/>
          </w:tcPr>
          <w:p>
            <w:pPr>
              <w:spacing w:after="0"/>
              <w:rPr>
                <w:sz w:val="20"/>
                <w:szCs w:val="20"/>
                <w:color w:val="auto"/>
              </w:rPr>
            </w:pPr>
            <w:r>
              <w:rPr>
                <w:rFonts w:ascii="Arial" w:cs="Arial" w:eastAsia="Arial" w:hAnsi="Arial"/>
                <w:sz w:val="18"/>
                <w:szCs w:val="18"/>
                <w:color w:val="auto"/>
              </w:rPr>
              <w:t xml:space="preserve">United States </w:t>
            </w:r>
            <w:r>
              <w:rPr>
                <w:rFonts w:ascii="Arial" w:cs="Arial" w:eastAsia="Arial" w:hAnsi="Arial"/>
                <w:sz w:val="21"/>
                <w:szCs w:val="21"/>
                <w:color w:val="auto"/>
                <w:vertAlign w:val="superscript"/>
              </w:rPr>
              <w:t>(a)</w:t>
            </w:r>
          </w:p>
        </w:tc>
        <w:tc>
          <w:tcPr>
            <w:tcW w:w="1000" w:type="dxa"/>
            <w:vAlign w:val="bottom"/>
          </w:tcPr>
          <w:p>
            <w:pPr>
              <w:jc w:val="right"/>
              <w:ind w:right="790"/>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4"/>
                <w:szCs w:val="24"/>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24"/>
                <w:szCs w:val="24"/>
                <w:color w:val="auto"/>
              </w:rPr>
            </w:pPr>
          </w:p>
        </w:tc>
        <w:tc>
          <w:tcPr>
            <w:tcW w:w="4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258</w:t>
            </w:r>
          </w:p>
        </w:tc>
      </w:tr>
      <w:tr>
        <w:trPr>
          <w:trHeight w:val="233"/>
        </w:trPr>
        <w:tc>
          <w:tcPr>
            <w:tcW w:w="5720" w:type="dxa"/>
            <w:vAlign w:val="bottom"/>
          </w:tcPr>
          <w:p>
            <w:pPr>
              <w:spacing w:after="0"/>
              <w:rPr>
                <w:sz w:val="20"/>
                <w:szCs w:val="20"/>
                <w:color w:val="auto"/>
              </w:rPr>
            </w:pPr>
            <w:r>
              <w:rPr>
                <w:rFonts w:ascii="Arial" w:cs="Arial" w:eastAsia="Arial" w:hAnsi="Arial"/>
                <w:sz w:val="18"/>
                <w:szCs w:val="18"/>
                <w:color w:val="auto"/>
              </w:rPr>
              <w:t>Foreign</w:t>
            </w:r>
          </w:p>
        </w:tc>
        <w:tc>
          <w:tcPr>
            <w:tcW w:w="100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194</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152</w:t>
            </w:r>
          </w:p>
        </w:tc>
        <w:tc>
          <w:tcPr>
            <w:tcW w:w="1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w:t>
            </w:r>
          </w:p>
        </w:tc>
      </w:tr>
      <w:tr>
        <w:trPr>
          <w:trHeight w:val="243"/>
        </w:trPr>
        <w:tc>
          <w:tcPr>
            <w:tcW w:w="5720" w:type="dxa"/>
            <w:vAlign w:val="bottom"/>
          </w:tcPr>
          <w:p>
            <w:pPr>
              <w:spacing w:after="0"/>
              <w:rPr>
                <w:sz w:val="20"/>
                <w:szCs w:val="20"/>
                <w:color w:val="auto"/>
              </w:rPr>
            </w:pPr>
            <w:r>
              <w:rPr>
                <w:rFonts w:ascii="Arial" w:cs="Arial" w:eastAsia="Arial" w:hAnsi="Arial"/>
                <w:sz w:val="18"/>
                <w:szCs w:val="18"/>
                <w:color w:val="auto"/>
              </w:rPr>
              <w:t>Pretax income</w:t>
            </w:r>
          </w:p>
        </w:tc>
        <w:tc>
          <w:tcPr>
            <w:tcW w:w="1000" w:type="dxa"/>
            <w:vAlign w:val="bottom"/>
          </w:tcPr>
          <w:p>
            <w:pPr>
              <w:jc w:val="right"/>
              <w:ind w:right="790"/>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211</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279</w:t>
            </w:r>
          </w:p>
        </w:tc>
        <w:tc>
          <w:tcPr>
            <w:tcW w:w="100" w:type="dxa"/>
            <w:vAlign w:val="bottom"/>
          </w:tcPr>
          <w:p>
            <w:pPr>
              <w:spacing w:after="0"/>
              <w:rPr>
                <w:sz w:val="21"/>
                <w:szCs w:val="21"/>
                <w:color w:val="auto"/>
              </w:rPr>
            </w:pPr>
          </w:p>
        </w:tc>
        <w:tc>
          <w:tcPr>
            <w:tcW w:w="4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382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3958590</wp:posOffset>
            </wp:positionH>
            <wp:positionV relativeFrom="paragraph">
              <wp:posOffset>8890</wp:posOffset>
            </wp:positionV>
            <wp:extent cx="2915920"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915920" cy="26035"/>
                    </a:xfrm>
                    <a:prstGeom prst="rect">
                      <a:avLst/>
                    </a:prstGeom>
                    <a:noFill/>
                  </pic:spPr>
                </pic:pic>
              </a:graphicData>
            </a:graphic>
          </wp:anchor>
        </w:drawing>
      </w:r>
    </w:p>
    <w:p>
      <w:pPr>
        <w:spacing w:after="0" w:line="3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__________</w:t>
      </w:r>
    </w:p>
    <w:p>
      <w:pPr>
        <w:spacing w:after="0" w:line="5" w:lineRule="exact"/>
        <w:rPr>
          <w:sz w:val="20"/>
          <w:szCs w:val="20"/>
          <w:color w:val="auto"/>
        </w:rPr>
      </w:pPr>
    </w:p>
    <w:p>
      <w:pPr>
        <w:ind w:left="1480" w:right="360" w:hanging="986"/>
        <w:spacing w:after="0" w:line="222" w:lineRule="auto"/>
        <w:tabs>
          <w:tab w:leader="none" w:pos="670" w:val="left"/>
        </w:tabs>
        <w:numPr>
          <w:ilvl w:val="0"/>
          <w:numId w:val="69"/>
        </w:numPr>
        <w:rPr>
          <w:rFonts w:ascii="Arial" w:cs="Arial" w:eastAsia="Arial" w:hAnsi="Arial"/>
          <w:sz w:val="21"/>
          <w:szCs w:val="21"/>
          <w:color w:val="auto"/>
          <w:vertAlign w:val="superscript"/>
        </w:rPr>
      </w:pPr>
      <w:r>
        <w:rPr>
          <w:rFonts w:ascii="Arial" w:cs="Arial" w:eastAsia="Arial" w:hAnsi="Arial"/>
          <w:sz w:val="15"/>
          <w:szCs w:val="15"/>
          <w:color w:val="auto"/>
        </w:rPr>
        <w:t>For the years ended December 31, 2017, 2016 and 2015, includes corporate debt extinguishment costs of $3 million, $27 million and $23 million, respectively.</w:t>
      </w:r>
    </w:p>
    <w:p>
      <w:pPr>
        <w:spacing w:after="0" w:line="20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Deferred income tax assets and liabilities are comprised of the following:</w:t>
      </w:r>
    </w:p>
    <w:p>
      <w:pPr>
        <w:spacing w:after="0" w:line="163" w:lineRule="exact"/>
        <w:rPr>
          <w:sz w:val="20"/>
          <w:szCs w:val="20"/>
          <w:color w:val="auto"/>
        </w:rPr>
      </w:pPr>
    </w:p>
    <w:p>
      <w:pPr>
        <w:ind w:left="8500"/>
        <w:spacing w:after="0"/>
        <w:rPr>
          <w:sz w:val="20"/>
          <w:szCs w:val="20"/>
          <w:color w:val="auto"/>
        </w:rPr>
      </w:pPr>
      <w:r>
        <w:rPr>
          <w:rFonts w:ascii="Arial" w:cs="Arial" w:eastAsia="Arial" w:hAnsi="Arial"/>
          <w:sz w:val="18"/>
          <w:szCs w:val="18"/>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4953635</wp:posOffset>
            </wp:positionH>
            <wp:positionV relativeFrom="paragraph">
              <wp:posOffset>28575</wp:posOffset>
            </wp:positionV>
            <wp:extent cx="192087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920875" cy="8890"/>
                    </a:xfrm>
                    <a:prstGeom prst="rect">
                      <a:avLst/>
                    </a:prstGeom>
                    <a:noFill/>
                  </pic:spPr>
                </pic:pic>
              </a:graphicData>
            </a:graphic>
          </wp:anchor>
        </w:drawing>
      </w:r>
    </w:p>
    <w:p>
      <w:pPr>
        <w:sectPr>
          <w:pgSz w:w="11900" w:h="16838" w:orient="portrait"/>
          <w:cols w:equalWidth="0" w:num="1">
            <w:col w:w="11400"/>
          </w:cols>
          <w:pgMar w:left="240" w:top="140" w:right="259" w:bottom="775" w:gutter="0" w:footer="0" w:header="0"/>
        </w:sectPr>
      </w:pPr>
    </w:p>
    <w:p>
      <w:pPr>
        <w:spacing w:after="0" w:line="337" w:lineRule="exact"/>
        <w:rPr>
          <w:sz w:val="20"/>
          <w:szCs w:val="20"/>
          <w:color w:val="auto"/>
        </w:rPr>
      </w:pPr>
    </w:p>
    <w:p>
      <w:pPr>
        <w:jc w:val="right"/>
        <w:ind w:right="4320"/>
        <w:spacing w:after="0"/>
        <w:rPr>
          <w:sz w:val="20"/>
          <w:szCs w:val="20"/>
          <w:color w:val="auto"/>
        </w:rPr>
      </w:pPr>
      <w:r>
        <w:rPr>
          <w:rFonts w:ascii="Arial" w:cs="Arial" w:eastAsia="Arial" w:hAnsi="Arial"/>
          <w:sz w:val="17"/>
          <w:szCs w:val="17"/>
          <w:i w:val="1"/>
          <w:iCs w:val="1"/>
          <w:color w:val="auto"/>
        </w:rPr>
        <w:t>Deferred income tax assets:</w:t>
      </w:r>
    </w:p>
    <w:p>
      <w:pPr>
        <w:spacing w:after="0" w:line="120" w:lineRule="exact"/>
        <w:rPr>
          <w:sz w:val="20"/>
          <w:szCs w:val="20"/>
          <w:color w:val="auto"/>
        </w:rPr>
      </w:pPr>
    </w:p>
    <w:p>
      <w:pPr>
        <w:jc w:val="right"/>
        <w:ind w:right="4380"/>
        <w:spacing w:after="0"/>
        <w:rPr>
          <w:sz w:val="20"/>
          <w:szCs w:val="20"/>
          <w:color w:val="auto"/>
        </w:rPr>
      </w:pPr>
      <w:r>
        <w:rPr>
          <w:rFonts w:ascii="Arial" w:cs="Arial" w:eastAsia="Arial" w:hAnsi="Arial"/>
          <w:sz w:val="18"/>
          <w:szCs w:val="18"/>
          <w:color w:val="auto"/>
        </w:rPr>
        <w:t>Net tax loss carryforwards</w:t>
      </w:r>
    </w:p>
    <w:p>
      <w:pPr>
        <w:spacing w:after="0" w:line="50" w:lineRule="exact"/>
        <w:rPr>
          <w:sz w:val="20"/>
          <w:szCs w:val="20"/>
          <w:color w:val="auto"/>
        </w:rPr>
      </w:pPr>
    </w:p>
    <w:p>
      <w:pPr>
        <w:ind w:left="620"/>
        <w:spacing w:after="0"/>
        <w:rPr>
          <w:sz w:val="20"/>
          <w:szCs w:val="20"/>
          <w:color w:val="auto"/>
        </w:rPr>
      </w:pPr>
      <w:r>
        <w:rPr>
          <w:rFonts w:ascii="Arial" w:cs="Arial" w:eastAsia="Arial" w:hAnsi="Arial"/>
          <w:sz w:val="18"/>
          <w:szCs w:val="18"/>
          <w:color w:val="auto"/>
        </w:rPr>
        <w:t>Accrued liabilities and deferred revenue</w:t>
      </w:r>
    </w:p>
    <w:p>
      <w:pPr>
        <w:spacing w:after="0" w:line="63"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Tax credits</w:t>
      </w:r>
    </w:p>
    <w:p>
      <w:pPr>
        <w:spacing w:after="0" w:line="63" w:lineRule="exact"/>
        <w:rPr>
          <w:sz w:val="20"/>
          <w:szCs w:val="20"/>
          <w:color w:val="auto"/>
        </w:rPr>
      </w:pPr>
    </w:p>
    <w:p>
      <w:pPr>
        <w:ind w:left="620"/>
        <w:spacing w:after="0"/>
        <w:rPr>
          <w:sz w:val="20"/>
          <w:szCs w:val="20"/>
          <w:color w:val="auto"/>
        </w:rPr>
      </w:pPr>
      <w:r>
        <w:rPr>
          <w:rFonts w:ascii="Arial" w:cs="Arial" w:eastAsia="Arial" w:hAnsi="Arial"/>
          <w:sz w:val="18"/>
          <w:szCs w:val="18"/>
          <w:color w:val="auto"/>
        </w:rPr>
        <w:t>Depreciation and amortization</w:t>
      </w:r>
    </w:p>
    <w:p>
      <w:pPr>
        <w:spacing w:after="0" w:line="63" w:lineRule="exact"/>
        <w:rPr>
          <w:sz w:val="20"/>
          <w:szCs w:val="20"/>
          <w:color w:val="auto"/>
        </w:rPr>
      </w:pPr>
    </w:p>
    <w:p>
      <w:pPr>
        <w:ind w:left="620"/>
        <w:spacing w:after="0"/>
        <w:rPr>
          <w:sz w:val="20"/>
          <w:szCs w:val="20"/>
          <w:color w:val="auto"/>
        </w:rPr>
      </w:pPr>
      <w:r>
        <w:rPr>
          <w:rFonts w:ascii="Arial" w:cs="Arial" w:eastAsia="Arial" w:hAnsi="Arial"/>
          <w:sz w:val="18"/>
          <w:szCs w:val="18"/>
          <w:color w:val="auto"/>
        </w:rPr>
        <w:t>Acquisition and integration-related liabilities</w:t>
      </w:r>
    </w:p>
    <w:p>
      <w:pPr>
        <w:spacing w:after="0" w:line="63" w:lineRule="exact"/>
        <w:rPr>
          <w:sz w:val="20"/>
          <w:szCs w:val="20"/>
          <w:color w:val="auto"/>
        </w:rPr>
      </w:pPr>
    </w:p>
    <w:p>
      <w:pPr>
        <w:ind w:left="620"/>
        <w:spacing w:after="0"/>
        <w:rPr>
          <w:sz w:val="20"/>
          <w:szCs w:val="20"/>
          <w:color w:val="auto"/>
        </w:rPr>
      </w:pPr>
      <w:r>
        <w:rPr>
          <w:rFonts w:ascii="Arial" w:cs="Arial" w:eastAsia="Arial" w:hAnsi="Arial"/>
          <w:sz w:val="18"/>
          <w:szCs w:val="18"/>
          <w:color w:val="auto"/>
        </w:rPr>
        <w:t>Provision for doubtful accounts</w:t>
      </w:r>
    </w:p>
    <w:p>
      <w:pPr>
        <w:spacing w:after="0" w:line="63" w:lineRule="exact"/>
        <w:rPr>
          <w:sz w:val="20"/>
          <w:szCs w:val="20"/>
          <w:color w:val="auto"/>
        </w:rPr>
      </w:pPr>
    </w:p>
    <w:p>
      <w:pPr>
        <w:ind w:left="620"/>
        <w:spacing w:after="0"/>
        <w:rPr>
          <w:sz w:val="20"/>
          <w:szCs w:val="20"/>
          <w:color w:val="auto"/>
        </w:rPr>
      </w:pPr>
      <w:r>
        <w:rPr>
          <w:rFonts w:ascii="Arial" w:cs="Arial" w:eastAsia="Arial" w:hAnsi="Arial"/>
          <w:sz w:val="18"/>
          <w:szCs w:val="18"/>
          <w:color w:val="auto"/>
        </w:rPr>
        <w:t>Other</w:t>
      </w:r>
    </w:p>
    <w:p>
      <w:pPr>
        <w:spacing w:after="0" w:line="74" w:lineRule="exact"/>
        <w:rPr>
          <w:sz w:val="20"/>
          <w:szCs w:val="20"/>
          <w:color w:val="auto"/>
        </w:rPr>
      </w:pPr>
    </w:p>
    <w:p>
      <w:pPr>
        <w:ind w:left="620"/>
        <w:spacing w:after="0"/>
        <w:rPr>
          <w:sz w:val="20"/>
          <w:szCs w:val="20"/>
          <w:color w:val="auto"/>
        </w:rPr>
      </w:pPr>
      <w:r>
        <w:rPr>
          <w:rFonts w:ascii="Arial" w:cs="Arial" w:eastAsia="Arial" w:hAnsi="Arial"/>
          <w:sz w:val="18"/>
          <w:szCs w:val="18"/>
          <w:color w:val="auto"/>
        </w:rPr>
        <w:t xml:space="preserve">Valuation allowance </w:t>
      </w:r>
      <w:r>
        <w:rPr>
          <w:rFonts w:ascii="Arial" w:cs="Arial" w:eastAsia="Arial" w:hAnsi="Arial"/>
          <w:sz w:val="21"/>
          <w:szCs w:val="21"/>
          <w:color w:val="auto"/>
          <w:vertAlign w:val="superscript"/>
        </w:rPr>
        <w:t>(a)</w:t>
      </w:r>
    </w:p>
    <w:p>
      <w:pPr>
        <w:spacing w:after="0" w:line="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Deferred income tax assets</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6"/>
        </w:trPr>
        <w:tc>
          <w:tcPr>
            <w:tcW w:w="3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2016</w:t>
            </w:r>
          </w:p>
        </w:tc>
      </w:tr>
      <w:tr>
        <w:trPr>
          <w:trHeight w:val="527"/>
        </w:trPr>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1,104</w:t>
            </w:r>
          </w:p>
        </w:tc>
        <w:tc>
          <w:tcPr>
            <w:tcW w:w="100" w:type="dxa"/>
            <w:vAlign w:val="bottom"/>
          </w:tcPr>
          <w:p>
            <w:pPr>
              <w:spacing w:after="0"/>
              <w:rPr>
                <w:sz w:val="24"/>
                <w:szCs w:val="24"/>
                <w:color w:val="auto"/>
              </w:rPr>
            </w:pP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1,587</w:t>
            </w:r>
          </w:p>
        </w:tc>
      </w:tr>
      <w:tr>
        <w:trPr>
          <w:trHeight w:val="270"/>
        </w:trPr>
        <w:tc>
          <w:tcPr>
            <w:tcW w:w="32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216</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281</w:t>
            </w:r>
          </w:p>
        </w:tc>
      </w:tr>
      <w:tr>
        <w:trPr>
          <w:trHeight w:val="270"/>
        </w:trPr>
        <w:tc>
          <w:tcPr>
            <w:tcW w:w="32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70"/>
        </w:trPr>
        <w:tc>
          <w:tcPr>
            <w:tcW w:w="32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0"/>
        </w:trPr>
        <w:tc>
          <w:tcPr>
            <w:tcW w:w="32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70"/>
        </w:trPr>
        <w:tc>
          <w:tcPr>
            <w:tcW w:w="32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70"/>
        </w:trPr>
        <w:tc>
          <w:tcPr>
            <w:tcW w:w="32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77"/>
        </w:trPr>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w:t>
            </w:r>
          </w:p>
        </w:tc>
      </w:tr>
      <w:tr>
        <w:trPr>
          <w:trHeight w:val="250"/>
        </w:trPr>
        <w:tc>
          <w:tcPr>
            <w:tcW w:w="3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1,075</w:t>
            </w:r>
          </w:p>
        </w:tc>
        <w:tc>
          <w:tcPr>
            <w:tcW w:w="1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1,639</w:t>
            </w:r>
          </w:p>
        </w:tc>
      </w:tr>
    </w:tbl>
    <w:p>
      <w:pPr>
        <w:spacing w:after="0" w:line="200" w:lineRule="exact"/>
        <w:rPr>
          <w:sz w:val="20"/>
          <w:szCs w:val="20"/>
          <w:color w:val="auto"/>
        </w:rPr>
      </w:pPr>
    </w:p>
    <w:p>
      <w:pPr>
        <w:sectPr>
          <w:pgSz w:w="11900" w:h="16838" w:orient="portrait"/>
          <w:cols w:equalWidth="0" w:num="2">
            <w:col w:w="7080" w:space="720"/>
            <w:col w:w="3600"/>
          </w:cols>
          <w:pgMar w:left="240" w:top="140" w:right="259" w:bottom="775" w:gutter="0" w:footer="0" w:header="0"/>
          <w:type w:val="continuous"/>
        </w:sectPr>
      </w:pPr>
    </w:p>
    <w:p>
      <w:pPr>
        <w:spacing w:after="0" w:line="38" w:lineRule="exact"/>
        <w:rPr>
          <w:sz w:val="20"/>
          <w:szCs w:val="20"/>
          <w:color w:val="auto"/>
        </w:rPr>
      </w:pPr>
    </w:p>
    <w:tbl>
      <w:tblPr>
        <w:tblLayout w:type="fixed"/>
        <w:tblInd w:w="520" w:type="dxa"/>
        <w:tblCellMar>
          <w:top w:w="0" w:type="dxa"/>
          <w:left w:w="0" w:type="dxa"/>
          <w:bottom w:w="0" w:type="dxa"/>
          <w:right w:w="0" w:type="dxa"/>
        </w:tblCellMar>
      </w:tblPr>
      <w:tr>
        <w:trPr>
          <w:trHeight w:val="235"/>
        </w:trPr>
        <w:tc>
          <w:tcPr>
            <w:tcW w:w="7280" w:type="dxa"/>
            <w:vAlign w:val="bottom"/>
          </w:tcPr>
          <w:p>
            <w:pPr>
              <w:spacing w:after="0"/>
              <w:rPr>
                <w:sz w:val="20"/>
                <w:szCs w:val="20"/>
                <w:color w:val="auto"/>
              </w:rPr>
            </w:pPr>
            <w:r>
              <w:rPr>
                <w:rFonts w:ascii="Arial" w:cs="Arial" w:eastAsia="Arial" w:hAnsi="Arial"/>
                <w:sz w:val="18"/>
                <w:szCs w:val="18"/>
                <w:i w:val="1"/>
                <w:iCs w:val="1"/>
                <w:color w:val="auto"/>
              </w:rPr>
              <w:t>Deferred income tax liabilities:</w:t>
            </w:r>
          </w:p>
        </w:tc>
        <w:tc>
          <w:tcPr>
            <w:tcW w:w="6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84"/>
        </w:trPr>
        <w:tc>
          <w:tcPr>
            <w:tcW w:w="7280" w:type="dxa"/>
            <w:vAlign w:val="bottom"/>
          </w:tcPr>
          <w:p>
            <w:pPr>
              <w:ind w:left="100"/>
              <w:spacing w:after="0"/>
              <w:rPr>
                <w:sz w:val="20"/>
                <w:szCs w:val="20"/>
                <w:color w:val="auto"/>
              </w:rPr>
            </w:pPr>
            <w:r>
              <w:rPr>
                <w:rFonts w:ascii="Arial" w:cs="Arial" w:eastAsia="Arial" w:hAnsi="Arial"/>
                <w:sz w:val="18"/>
                <w:szCs w:val="18"/>
                <w:color w:val="auto"/>
              </w:rPr>
              <w:t>Depreciation and amortization</w:t>
            </w:r>
          </w:p>
        </w:tc>
        <w:tc>
          <w:tcPr>
            <w:tcW w:w="600" w:type="dxa"/>
            <w:vAlign w:val="bottom"/>
          </w:tcPr>
          <w:p>
            <w:pPr>
              <w:spacing w:after="0"/>
              <w:rPr>
                <w:sz w:val="24"/>
                <w:szCs w:val="24"/>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112</w:t>
            </w:r>
          </w:p>
        </w:tc>
      </w:tr>
      <w:tr>
        <w:trPr>
          <w:trHeight w:val="270"/>
        </w:trPr>
        <w:tc>
          <w:tcPr>
            <w:tcW w:w="7280" w:type="dxa"/>
            <w:vAlign w:val="bottom"/>
          </w:tcPr>
          <w:p>
            <w:pPr>
              <w:ind w:left="100"/>
              <w:spacing w:after="0"/>
              <w:rPr>
                <w:sz w:val="20"/>
                <w:szCs w:val="20"/>
                <w:color w:val="auto"/>
              </w:rPr>
            </w:pPr>
            <w:r>
              <w:rPr>
                <w:rFonts w:ascii="Arial" w:cs="Arial" w:eastAsia="Arial" w:hAnsi="Arial"/>
                <w:sz w:val="18"/>
                <w:szCs w:val="18"/>
                <w:color w:val="auto"/>
              </w:rPr>
              <w:t>Prepaid expenses</w:t>
            </w:r>
          </w:p>
        </w:tc>
        <w:tc>
          <w:tcPr>
            <w:tcW w:w="60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77"/>
        </w:trPr>
        <w:tc>
          <w:tcPr>
            <w:tcW w:w="7280" w:type="dxa"/>
            <w:vAlign w:val="bottom"/>
          </w:tcPr>
          <w:p>
            <w:pPr>
              <w:ind w:left="100"/>
              <w:spacing w:after="0"/>
              <w:rPr>
                <w:sz w:val="20"/>
                <w:szCs w:val="20"/>
                <w:color w:val="auto"/>
              </w:rPr>
            </w:pPr>
            <w:r>
              <w:rPr>
                <w:rFonts w:ascii="Arial" w:cs="Arial" w:eastAsia="Arial" w:hAnsi="Arial"/>
                <w:sz w:val="18"/>
                <w:szCs w:val="18"/>
                <w:color w:val="auto"/>
              </w:rPr>
              <w:t>Other</w:t>
            </w:r>
          </w:p>
        </w:tc>
        <w:tc>
          <w:tcPr>
            <w:tcW w:w="6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r>
      <w:tr>
        <w:trPr>
          <w:trHeight w:val="250"/>
        </w:trPr>
        <w:tc>
          <w:tcPr>
            <w:tcW w:w="7280" w:type="dxa"/>
            <w:vAlign w:val="bottom"/>
          </w:tcPr>
          <w:p>
            <w:pPr>
              <w:spacing w:after="0"/>
              <w:rPr>
                <w:sz w:val="20"/>
                <w:szCs w:val="20"/>
                <w:color w:val="auto"/>
              </w:rPr>
            </w:pPr>
            <w:r>
              <w:rPr>
                <w:rFonts w:ascii="Arial" w:cs="Arial" w:eastAsia="Arial" w:hAnsi="Arial"/>
                <w:sz w:val="18"/>
                <w:szCs w:val="18"/>
                <w:color w:val="auto"/>
              </w:rPr>
              <w:t>Deferred income tax liabilities</w:t>
            </w:r>
          </w:p>
        </w:tc>
        <w:tc>
          <w:tcPr>
            <w:tcW w:w="6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w:t>
            </w:r>
          </w:p>
        </w:tc>
      </w:tr>
      <w:tr>
        <w:trPr>
          <w:trHeight w:val="250"/>
        </w:trPr>
        <w:tc>
          <w:tcPr>
            <w:tcW w:w="7280" w:type="dxa"/>
            <w:vAlign w:val="bottom"/>
          </w:tcPr>
          <w:p>
            <w:pPr>
              <w:spacing w:after="0"/>
              <w:rPr>
                <w:sz w:val="20"/>
                <w:szCs w:val="20"/>
                <w:color w:val="auto"/>
              </w:rPr>
            </w:pPr>
            <w:r>
              <w:rPr>
                <w:rFonts w:ascii="Arial" w:cs="Arial" w:eastAsia="Arial" w:hAnsi="Arial"/>
                <w:sz w:val="18"/>
                <w:szCs w:val="18"/>
                <w:b w:val="1"/>
                <w:bCs w:val="1"/>
                <w:color w:val="auto"/>
              </w:rPr>
              <w:t>Deferred income tax assets, net</w:t>
            </w:r>
          </w:p>
        </w:tc>
        <w:tc>
          <w:tcPr>
            <w:tcW w:w="6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931</w:t>
            </w:r>
          </w:p>
        </w:tc>
        <w:tc>
          <w:tcPr>
            <w:tcW w:w="100" w:type="dxa"/>
            <w:vAlign w:val="bottom"/>
          </w:tcPr>
          <w:p>
            <w:pPr>
              <w:spacing w:after="0"/>
              <w:rPr>
                <w:sz w:val="21"/>
                <w:szCs w:val="21"/>
                <w:color w:val="auto"/>
              </w:rPr>
            </w:pPr>
          </w:p>
        </w:tc>
        <w:tc>
          <w:tcPr>
            <w:tcW w:w="5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1,493</w:t>
            </w:r>
          </w:p>
        </w:tc>
      </w:tr>
      <w:tr>
        <w:trPr>
          <w:trHeight w:val="20"/>
        </w:trPr>
        <w:tc>
          <w:tcPr>
            <w:tcW w:w="72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5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__________</w:t>
      </w:r>
    </w:p>
    <w:p>
      <w:pPr>
        <w:spacing w:after="0" w:line="5" w:lineRule="exact"/>
        <w:rPr>
          <w:sz w:val="20"/>
          <w:szCs w:val="20"/>
          <w:color w:val="auto"/>
        </w:rPr>
      </w:pPr>
    </w:p>
    <w:p>
      <w:pPr>
        <w:ind w:left="1140" w:hanging="646"/>
        <w:spacing w:after="0" w:line="221" w:lineRule="auto"/>
        <w:tabs>
          <w:tab w:leader="none" w:pos="816" w:val="left"/>
        </w:tabs>
        <w:numPr>
          <w:ilvl w:val="0"/>
          <w:numId w:val="70"/>
        </w:numPr>
        <w:rPr>
          <w:rFonts w:ascii="Arial" w:cs="Arial" w:eastAsia="Arial" w:hAnsi="Arial"/>
          <w:sz w:val="22"/>
          <w:szCs w:val="22"/>
          <w:color w:val="auto"/>
          <w:vertAlign w:val="superscript"/>
        </w:rPr>
      </w:pPr>
      <w:r>
        <w:rPr>
          <w:rFonts w:ascii="Arial" w:cs="Arial" w:eastAsia="Arial" w:hAnsi="Arial"/>
          <w:sz w:val="16"/>
          <w:szCs w:val="16"/>
          <w:color w:val="auto"/>
        </w:rPr>
        <w:t>The valuation allowance of $331 million at December 31, 2017 relates to tax loss carryforwards and certain deferred tax assets of $302 million and $29 million, respectively. The valuation allowance will be reduced when and if the Company determines it is more likely than not that the related deferred income tax assets will be realized.</w:t>
      </w:r>
    </w:p>
    <w:p>
      <w:pPr>
        <w:sectPr>
          <w:pgSz w:w="11900" w:h="16838" w:orient="portrait"/>
          <w:cols w:equalWidth="0" w:num="1">
            <w:col w:w="11400"/>
          </w:cols>
          <w:pgMar w:left="240" w:top="140" w:right="259" w:bottom="775" w:gutter="0" w:footer="0" w:header="0"/>
          <w:type w:val="continuous"/>
        </w:sect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400"/>
          </w:cols>
          <w:pgMar w:left="240" w:top="140" w:right="259" w:bottom="775" w:gutter="0" w:footer="0" w:header="0"/>
          <w:type w:val="continuous"/>
        </w:sectPr>
      </w:pPr>
    </w:p>
    <w:bookmarkStart w:id="92" w:name="page93"/>
    <w:bookmarkEnd w:id="9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81" w:lineRule="exact"/>
        <w:rPr>
          <w:sz w:val="20"/>
          <w:szCs w:val="20"/>
          <w:color w:val="auto"/>
        </w:rPr>
      </w:pPr>
    </w:p>
    <w:p>
      <w:pPr>
        <w:ind w:left="820" w:right="140"/>
        <w:spacing w:after="0" w:line="348" w:lineRule="auto"/>
        <w:rPr>
          <w:sz w:val="20"/>
          <w:szCs w:val="20"/>
          <w:color w:val="auto"/>
        </w:rPr>
      </w:pPr>
      <w:r>
        <w:rPr>
          <w:rFonts w:ascii="Arial" w:cs="Arial" w:eastAsia="Arial" w:hAnsi="Arial"/>
          <w:sz w:val="16"/>
          <w:szCs w:val="16"/>
          <w:color w:val="auto"/>
        </w:rPr>
        <w:t>The valuation allowance of $357 million at December 31, 2016 relates to tax loss carryforwards, foreign tax credits and certain deferred tax assets of $289 million, $39 million and $29 million, respectively.</w:t>
      </w:r>
    </w:p>
    <w:p>
      <w:pPr>
        <w:spacing w:after="0" w:line="16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Deferred income tax assets and liabilities related to vehicle programs are comprised of the following:</w:t>
      </w:r>
    </w:p>
    <w:p>
      <w:pPr>
        <w:spacing w:after="0" w:line="163" w:lineRule="exact"/>
        <w:rPr>
          <w:sz w:val="20"/>
          <w:szCs w:val="20"/>
          <w:color w:val="auto"/>
        </w:rPr>
      </w:pPr>
    </w:p>
    <w:tbl>
      <w:tblPr>
        <w:tblLayout w:type="fixed"/>
        <w:tblInd w:w="520" w:type="dxa"/>
        <w:tblCellMar>
          <w:top w:w="0" w:type="dxa"/>
          <w:left w:w="0" w:type="dxa"/>
          <w:bottom w:w="0" w:type="dxa"/>
          <w:right w:w="0" w:type="dxa"/>
        </w:tblCellMar>
      </w:tblPr>
      <w:tr>
        <w:trPr>
          <w:trHeight w:val="246"/>
        </w:trPr>
        <w:tc>
          <w:tcPr>
            <w:tcW w:w="728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2700" w:type="dxa"/>
            <w:vAlign w:val="bottom"/>
            <w:tcBorders>
              <w:bottom w:val="single" w:sz="8" w:color="auto"/>
            </w:tcBorders>
            <w:gridSpan w:val="4"/>
          </w:tcPr>
          <w:p>
            <w:pPr>
              <w:jc w:val="right"/>
              <w:ind w:right="570"/>
              <w:spacing w:after="0"/>
              <w:rPr>
                <w:sz w:val="20"/>
                <w:szCs w:val="20"/>
                <w:color w:val="auto"/>
              </w:rPr>
            </w:pPr>
            <w:r>
              <w:rPr>
                <w:rFonts w:ascii="Arial" w:cs="Arial" w:eastAsia="Arial" w:hAnsi="Arial"/>
                <w:sz w:val="18"/>
                <w:szCs w:val="18"/>
                <w:b w:val="1"/>
                <w:bCs w:val="1"/>
                <w:color w:val="auto"/>
              </w:rPr>
              <w:t>As of December 31,</w:t>
            </w:r>
          </w:p>
        </w:tc>
      </w:tr>
      <w:tr>
        <w:trPr>
          <w:trHeight w:val="264"/>
        </w:trPr>
        <w:tc>
          <w:tcPr>
            <w:tcW w:w="72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2016</w:t>
            </w:r>
          </w:p>
        </w:tc>
      </w:tr>
      <w:tr>
        <w:trPr>
          <w:trHeight w:val="230"/>
        </w:trPr>
        <w:tc>
          <w:tcPr>
            <w:tcW w:w="7280" w:type="dxa"/>
            <w:vAlign w:val="bottom"/>
          </w:tcPr>
          <w:p>
            <w:pPr>
              <w:spacing w:after="0"/>
              <w:rPr>
                <w:sz w:val="20"/>
                <w:szCs w:val="20"/>
                <w:color w:val="auto"/>
              </w:rPr>
            </w:pPr>
            <w:r>
              <w:rPr>
                <w:rFonts w:ascii="Arial" w:cs="Arial" w:eastAsia="Arial" w:hAnsi="Arial"/>
                <w:sz w:val="18"/>
                <w:szCs w:val="18"/>
                <w:i w:val="1"/>
                <w:iCs w:val="1"/>
                <w:color w:val="auto"/>
              </w:rPr>
              <w:t>Deferred income tax assets:</w:t>
            </w: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304"/>
        </w:trPr>
        <w:tc>
          <w:tcPr>
            <w:tcW w:w="728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4"/>
                <w:szCs w:val="24"/>
                <w:color w:val="auto"/>
              </w:rPr>
            </w:pPr>
          </w:p>
        </w:tc>
        <w:tc>
          <w:tcPr>
            <w:tcW w:w="3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r>
      <w:tr>
        <w:trPr>
          <w:trHeight w:val="513"/>
        </w:trPr>
        <w:tc>
          <w:tcPr>
            <w:tcW w:w="7280" w:type="dxa"/>
            <w:vAlign w:val="bottom"/>
          </w:tcPr>
          <w:p>
            <w:pPr>
              <w:spacing w:after="0"/>
              <w:rPr>
                <w:sz w:val="20"/>
                <w:szCs w:val="20"/>
                <w:color w:val="auto"/>
              </w:rPr>
            </w:pPr>
            <w:r>
              <w:rPr>
                <w:rFonts w:ascii="Arial" w:cs="Arial" w:eastAsia="Arial" w:hAnsi="Arial"/>
                <w:sz w:val="18"/>
                <w:szCs w:val="18"/>
                <w:i w:val="1"/>
                <w:iCs w:val="1"/>
                <w:color w:val="auto"/>
              </w:rPr>
              <w:t>Deferred income tax liabilities:</w:t>
            </w: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91"/>
        </w:trPr>
        <w:tc>
          <w:tcPr>
            <w:tcW w:w="728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1,652</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2,481</w:t>
            </w:r>
          </w:p>
        </w:tc>
      </w:tr>
      <w:tr>
        <w:trPr>
          <w:trHeight w:val="250"/>
        </w:trPr>
        <w:tc>
          <w:tcPr>
            <w:tcW w:w="7280" w:type="dxa"/>
            <w:vAlign w:val="bottom"/>
          </w:tcPr>
          <w:p>
            <w:pPr>
              <w:spacing w:after="0"/>
              <w:rPr>
                <w:sz w:val="20"/>
                <w:szCs w:val="20"/>
                <w:color w:val="auto"/>
              </w:rPr>
            </w:pPr>
            <w:r>
              <w:rPr>
                <w:rFonts w:ascii="Arial" w:cs="Arial" w:eastAsia="Arial" w:hAnsi="Arial"/>
                <w:sz w:val="18"/>
                <w:szCs w:val="18"/>
                <w:b w:val="1"/>
                <w:bCs w:val="1"/>
                <w:color w:val="auto"/>
              </w:rPr>
              <w:t>Deferred income tax liabilities under vehicle programs, net</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1,594</w:t>
            </w:r>
          </w:p>
        </w:tc>
        <w:tc>
          <w:tcPr>
            <w:tcW w:w="100" w:type="dxa"/>
            <w:vAlign w:val="bottom"/>
          </w:tcPr>
          <w:p>
            <w:pPr>
              <w:spacing w:after="0"/>
              <w:rPr>
                <w:sz w:val="21"/>
                <w:szCs w:val="21"/>
                <w:color w:val="auto"/>
              </w:rPr>
            </w:pPr>
          </w:p>
        </w:tc>
        <w:tc>
          <w:tcPr>
            <w:tcW w:w="3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2,429</w:t>
            </w:r>
          </w:p>
        </w:tc>
      </w:tr>
      <w:tr>
        <w:trPr>
          <w:trHeight w:val="20"/>
        </w:trPr>
        <w:tc>
          <w:tcPr>
            <w:tcW w:w="7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left="500" w:right="200"/>
        <w:spacing w:after="0" w:line="253" w:lineRule="auto"/>
        <w:rPr>
          <w:sz w:val="20"/>
          <w:szCs w:val="20"/>
          <w:color w:val="auto"/>
        </w:rPr>
      </w:pPr>
      <w:r>
        <w:rPr>
          <w:rFonts w:ascii="Arial" w:cs="Arial" w:eastAsia="Arial" w:hAnsi="Arial"/>
          <w:sz w:val="18"/>
          <w:szCs w:val="18"/>
          <w:color w:val="auto"/>
        </w:rPr>
        <w:t>At December 31, 2017, the Company had U.S. federal net operating loss carryforwards of approximately $3.2 billion, most of which expire in 2031. Such net operating loss carryforwards are primarily related to accelerated depreciation of the Company’s U.S. vehicles. Currently, the Company does not record valuation allowances on the majority of its U.S. federal tax loss carryforwards as there are adequate deferred tax liabilities that could be realized within the carryforward period. At December 31, 2017, the Company had foreign net operating loss carryforwards of approximately $889 million with an indefinite utilization period.</w:t>
      </w:r>
    </w:p>
    <w:p>
      <w:pPr>
        <w:spacing w:after="0" w:line="152" w:lineRule="exact"/>
        <w:rPr>
          <w:sz w:val="20"/>
          <w:szCs w:val="20"/>
          <w:color w:val="auto"/>
        </w:rPr>
      </w:pPr>
    </w:p>
    <w:p>
      <w:pPr>
        <w:ind w:left="500"/>
        <w:spacing w:after="0" w:line="251" w:lineRule="auto"/>
        <w:rPr>
          <w:sz w:val="20"/>
          <w:szCs w:val="20"/>
          <w:color w:val="auto"/>
        </w:rPr>
      </w:pPr>
      <w:r>
        <w:rPr>
          <w:rFonts w:ascii="Arial" w:cs="Arial" w:eastAsia="Arial" w:hAnsi="Arial"/>
          <w:sz w:val="18"/>
          <w:szCs w:val="18"/>
          <w:color w:val="auto"/>
        </w:rPr>
        <w:t>The Tax Act provides companies the ability to offset the one-time transition tax on cumulative earnings of foreign subsidiaries with available tax attributes or elect to pay the tax over an eight year period. Although the Tax Act generally eliminates U.S. federal income taxes on dividends from foreign subsidiaries effective for years beginning January 1, 2018, the Company continues to evaluate the expected manner of recovery to determine whether or not to continue to assert indefinite reinvestment on a part or all of its undistributed foreign earnings. This requires the Company to analyze its global working capital and cash requirements in light of the Tax Act and the potential tax liabilities attributable to a repatriation to the U.S., such as foreign withholding taxes and U.S. tax on currency transaction gains or losses. The Company did not provide for U.S. taxes related to its undistributed earnings of approximately $1.3 billion as of December 31, 2017. The Company will record the tax effects of any change in its assertion within a subsequent measurement period that will not exceed one year from the date of the enactment of the Tax Act.</w:t>
      </w:r>
    </w:p>
    <w:p>
      <w:pPr>
        <w:spacing w:after="0" w:line="15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reconciliation between the U.S. federal income tax statutory rate and the Company’s effective income tax rate is as follows:</w:t>
      </w:r>
    </w:p>
    <w:p>
      <w:pPr>
        <w:spacing w:after="0" w:line="163" w:lineRule="exact"/>
        <w:rPr>
          <w:sz w:val="20"/>
          <w:szCs w:val="20"/>
          <w:color w:val="auto"/>
        </w:rPr>
      </w:pPr>
    </w:p>
    <w:p>
      <w:pPr>
        <w:ind w:left="7340"/>
        <w:spacing w:after="0"/>
        <w:rPr>
          <w:sz w:val="20"/>
          <w:szCs w:val="20"/>
          <w:color w:val="auto"/>
        </w:rPr>
      </w:pPr>
      <w:r>
        <w:rPr>
          <w:rFonts w:ascii="Arial" w:cs="Arial" w:eastAsia="Arial" w:hAnsi="Arial"/>
          <w:sz w:val="18"/>
          <w:szCs w:val="18"/>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3829685</wp:posOffset>
            </wp:positionH>
            <wp:positionV relativeFrom="paragraph">
              <wp:posOffset>28575</wp:posOffset>
            </wp:positionV>
            <wp:extent cx="304419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044190" cy="8890"/>
                    </a:xfrm>
                    <a:prstGeom prst="rect">
                      <a:avLst/>
                    </a:prstGeom>
                    <a:noFill/>
                  </pic:spPr>
                </pic:pic>
              </a:graphicData>
            </a:graphic>
          </wp:anchor>
        </w:drawing>
      </w:r>
    </w:p>
    <w:p>
      <w:pPr>
        <w:spacing w:after="0" w:line="57" w:lineRule="exact"/>
        <w:rPr>
          <w:sz w:val="20"/>
          <w:szCs w:val="20"/>
          <w:color w:val="auto"/>
        </w:rPr>
      </w:pPr>
    </w:p>
    <w:tbl>
      <w:tblPr>
        <w:tblLayout w:type="fixed"/>
        <w:tblInd w:w="520" w:type="dxa"/>
        <w:tblCellMar>
          <w:top w:w="0" w:type="dxa"/>
          <w:left w:w="0" w:type="dxa"/>
          <w:bottom w:w="0" w:type="dxa"/>
          <w:right w:w="0" w:type="dxa"/>
        </w:tblCellMar>
      </w:tblPr>
      <w:tr>
        <w:trPr>
          <w:trHeight w:val="246"/>
        </w:trPr>
        <w:tc>
          <w:tcPr>
            <w:tcW w:w="5520" w:type="dxa"/>
            <w:vAlign w:val="bottom"/>
          </w:tcPr>
          <w:p>
            <w:pPr>
              <w:spacing w:after="0"/>
              <w:rPr>
                <w:sz w:val="21"/>
                <w:szCs w:val="21"/>
                <w:color w:val="auto"/>
              </w:rPr>
            </w:pPr>
          </w:p>
        </w:tc>
        <w:tc>
          <w:tcPr>
            <w:tcW w:w="15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1"/>
                <w:szCs w:val="21"/>
                <w:color w:val="auto"/>
              </w:rPr>
            </w:pPr>
          </w:p>
        </w:tc>
        <w:tc>
          <w:tcPr>
            <w:tcW w:w="15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1"/>
                <w:szCs w:val="21"/>
                <w:color w:val="auto"/>
              </w:rPr>
            </w:pPr>
          </w:p>
        </w:tc>
        <w:tc>
          <w:tcPr>
            <w:tcW w:w="15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2015</w:t>
            </w:r>
          </w:p>
        </w:tc>
      </w:tr>
      <w:tr>
        <w:trPr>
          <w:trHeight w:val="243"/>
        </w:trPr>
        <w:tc>
          <w:tcPr>
            <w:tcW w:w="5520" w:type="dxa"/>
            <w:vAlign w:val="bottom"/>
          </w:tcPr>
          <w:p>
            <w:pPr>
              <w:spacing w:after="0"/>
              <w:rPr>
                <w:sz w:val="20"/>
                <w:szCs w:val="20"/>
                <w:color w:val="auto"/>
              </w:rPr>
            </w:pPr>
            <w:r>
              <w:rPr>
                <w:rFonts w:ascii="Arial" w:cs="Arial" w:eastAsia="Arial" w:hAnsi="Arial"/>
                <w:sz w:val="18"/>
                <w:szCs w:val="18"/>
                <w:color w:val="auto"/>
              </w:rPr>
              <w:t>U.S. federal statutory rate</w:t>
            </w:r>
          </w:p>
        </w:tc>
        <w:tc>
          <w:tcPr>
            <w:tcW w:w="1540" w:type="dxa"/>
            <w:vAlign w:val="bottom"/>
          </w:tcPr>
          <w:p>
            <w:pPr>
              <w:jc w:val="right"/>
              <w:spacing w:after="0"/>
              <w:rPr>
                <w:sz w:val="20"/>
                <w:szCs w:val="20"/>
                <w:color w:val="auto"/>
              </w:rPr>
            </w:pPr>
            <w:r>
              <w:rPr>
                <w:rFonts w:ascii="Arial" w:cs="Arial" w:eastAsia="Arial" w:hAnsi="Arial"/>
                <w:sz w:val="18"/>
                <w:szCs w:val="18"/>
                <w:color w:val="auto"/>
              </w:rPr>
              <w:t>35.0 %</w:t>
            </w:r>
          </w:p>
        </w:tc>
        <w:tc>
          <w:tcPr>
            <w:tcW w:w="1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35.0 %</w:t>
            </w:r>
          </w:p>
        </w:tc>
        <w:tc>
          <w:tcPr>
            <w:tcW w:w="1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35.0 %</w:t>
            </w:r>
          </w:p>
        </w:tc>
      </w:tr>
      <w:tr>
        <w:trPr>
          <w:trHeight w:val="257"/>
        </w:trPr>
        <w:tc>
          <w:tcPr>
            <w:tcW w:w="5520" w:type="dxa"/>
            <w:vAlign w:val="bottom"/>
          </w:tcPr>
          <w:p>
            <w:pPr>
              <w:spacing w:after="0"/>
              <w:rPr>
                <w:sz w:val="20"/>
                <w:szCs w:val="20"/>
                <w:color w:val="auto"/>
              </w:rPr>
            </w:pPr>
            <w:r>
              <w:rPr>
                <w:rFonts w:ascii="Arial" w:cs="Arial" w:eastAsia="Arial" w:hAnsi="Arial"/>
                <w:sz w:val="18"/>
                <w:szCs w:val="18"/>
                <w:color w:val="auto"/>
              </w:rPr>
              <w:t>Adjustments to reconcile to the effective rate:</w:t>
            </w:r>
          </w:p>
        </w:tc>
        <w:tc>
          <w:tcPr>
            <w:tcW w:w="1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20" w:type="dxa"/>
            <w:vAlign w:val="bottom"/>
          </w:tcPr>
          <w:p>
            <w:pPr>
              <w:spacing w:after="0"/>
              <w:rPr>
                <w:sz w:val="22"/>
                <w:szCs w:val="22"/>
                <w:color w:val="auto"/>
              </w:rPr>
            </w:pPr>
          </w:p>
        </w:tc>
      </w:tr>
    </w:tbl>
    <w:p>
      <w:pPr>
        <w:spacing w:after="0" w:line="53" w:lineRule="exact"/>
        <w:rPr>
          <w:sz w:val="20"/>
          <w:szCs w:val="20"/>
          <w:color w:val="auto"/>
        </w:rPr>
      </w:pPr>
    </w:p>
    <w:p>
      <w:pPr>
        <w:sectPr>
          <w:pgSz w:w="11900" w:h="16838" w:orient="portrait"/>
          <w:cols w:equalWidth="0" w:num="1">
            <w:col w:w="11400"/>
          </w:cols>
          <w:pgMar w:left="240" w:top="140" w:right="259" w:bottom="1440" w:gutter="0" w:footer="0" w:header="0"/>
        </w:sectPr>
      </w:pPr>
    </w:p>
    <w:p>
      <w:pPr>
        <w:ind w:left="620" w:right="660"/>
        <w:spacing w:after="0" w:line="313" w:lineRule="auto"/>
        <w:rPr>
          <w:sz w:val="20"/>
          <w:szCs w:val="20"/>
          <w:color w:val="auto"/>
        </w:rPr>
      </w:pPr>
      <w:r>
        <w:rPr>
          <w:rFonts w:ascii="Arial" w:cs="Arial" w:eastAsia="Arial" w:hAnsi="Arial"/>
          <w:sz w:val="18"/>
          <w:szCs w:val="18"/>
          <w:color w:val="auto"/>
        </w:rPr>
        <w:t>State and local income taxes, net of federal tax benefits Changes in valuation allowances</w:t>
      </w:r>
    </w:p>
    <w:p>
      <w:pPr>
        <w:ind w:left="800" w:hanging="161"/>
        <w:spacing w:after="0" w:line="246" w:lineRule="auto"/>
        <w:rPr>
          <w:sz w:val="20"/>
          <w:szCs w:val="20"/>
          <w:color w:val="auto"/>
        </w:rPr>
      </w:pPr>
      <w:r>
        <w:rPr>
          <w:rFonts w:ascii="Arial" w:cs="Arial" w:eastAsia="Arial" w:hAnsi="Arial"/>
          <w:sz w:val="18"/>
          <w:szCs w:val="18"/>
          <w:color w:val="auto"/>
        </w:rPr>
        <w:t>Taxes on foreign operations at rates different than statutory U.S. federal rates</w:t>
      </w:r>
    </w:p>
    <w:p>
      <w:pPr>
        <w:spacing w:after="0" w:line="3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 xml:space="preserve">Resolution of a prior-year tax matter </w:t>
      </w:r>
      <w:r>
        <w:rPr>
          <w:rFonts w:ascii="Arial" w:cs="Arial" w:eastAsia="Arial" w:hAnsi="Arial"/>
          <w:sz w:val="21"/>
          <w:szCs w:val="21"/>
          <w:color w:val="auto"/>
          <w:vertAlign w:val="superscript"/>
        </w:rPr>
        <w:t>(a)</w:t>
      </w:r>
    </w:p>
    <w:p>
      <w:pPr>
        <w:spacing w:after="0" w:line="3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Stock-based compensation</w:t>
      </w:r>
    </w:p>
    <w:p>
      <w:pPr>
        <w:spacing w:after="0" w:line="63" w:lineRule="exact"/>
        <w:rPr>
          <w:sz w:val="20"/>
          <w:szCs w:val="20"/>
          <w:color w:val="auto"/>
        </w:rPr>
      </w:pPr>
    </w:p>
    <w:p>
      <w:pPr>
        <w:ind w:left="620"/>
        <w:spacing w:after="0"/>
        <w:rPr>
          <w:sz w:val="20"/>
          <w:szCs w:val="20"/>
          <w:color w:val="auto"/>
        </w:rPr>
      </w:pPr>
      <w:r>
        <w:rPr>
          <w:rFonts w:ascii="Arial" w:cs="Arial" w:eastAsia="Arial" w:hAnsi="Arial"/>
          <w:sz w:val="18"/>
          <w:szCs w:val="18"/>
          <w:color w:val="auto"/>
        </w:rPr>
        <w:t>Non-deductible transaction-related costs</w:t>
      </w:r>
    </w:p>
    <w:p>
      <w:pPr>
        <w:spacing w:after="0" w:line="63" w:lineRule="exact"/>
        <w:rPr>
          <w:sz w:val="20"/>
          <w:szCs w:val="20"/>
          <w:color w:val="auto"/>
        </w:rPr>
      </w:pPr>
    </w:p>
    <w:p>
      <w:pPr>
        <w:ind w:left="620"/>
        <w:spacing w:after="0"/>
        <w:rPr>
          <w:sz w:val="20"/>
          <w:szCs w:val="20"/>
          <w:color w:val="auto"/>
        </w:rPr>
      </w:pPr>
      <w:r>
        <w:rPr>
          <w:rFonts w:ascii="Arial" w:cs="Arial" w:eastAsia="Arial" w:hAnsi="Arial"/>
          <w:sz w:val="18"/>
          <w:szCs w:val="18"/>
          <w:color w:val="auto"/>
        </w:rPr>
        <w:t>U.S. Tax Act benefit</w:t>
      </w:r>
    </w:p>
    <w:p>
      <w:pPr>
        <w:spacing w:after="0" w:line="63" w:lineRule="exact"/>
        <w:rPr>
          <w:sz w:val="20"/>
          <w:szCs w:val="20"/>
          <w:color w:val="auto"/>
        </w:rPr>
      </w:pPr>
    </w:p>
    <w:p>
      <w:pPr>
        <w:ind w:left="620"/>
        <w:spacing w:after="0"/>
        <w:rPr>
          <w:sz w:val="20"/>
          <w:szCs w:val="20"/>
          <w:color w:val="auto"/>
        </w:rPr>
      </w:pPr>
      <w:r>
        <w:rPr>
          <w:rFonts w:ascii="Arial" w:cs="Arial" w:eastAsia="Arial" w:hAnsi="Arial"/>
          <w:sz w:val="18"/>
          <w:szCs w:val="18"/>
          <w:color w:val="auto"/>
        </w:rPr>
        <w:t>Other non-deductible expenses</w:t>
      </w:r>
    </w:p>
    <w:p>
      <w:pPr>
        <w:spacing w:after="0" w:line="63" w:lineRule="exact"/>
        <w:rPr>
          <w:sz w:val="20"/>
          <w:szCs w:val="20"/>
          <w:color w:val="auto"/>
        </w:rPr>
      </w:pPr>
    </w:p>
    <w:p>
      <w:pPr>
        <w:ind w:left="620"/>
        <w:spacing w:after="0"/>
        <w:rPr>
          <w:sz w:val="20"/>
          <w:szCs w:val="20"/>
          <w:color w:val="auto"/>
        </w:rPr>
      </w:pPr>
      <w:r>
        <w:rPr>
          <w:rFonts w:ascii="Arial" w:cs="Arial" w:eastAsia="Arial" w:hAnsi="Arial"/>
          <w:sz w:val="18"/>
          <w:szCs w:val="18"/>
          <w:color w:val="auto"/>
        </w:rPr>
        <w:t>Other</w:t>
      </w:r>
    </w:p>
    <w:p>
      <w:pPr>
        <w:spacing w:after="0" w:line="200" w:lineRule="exact"/>
        <w:rPr>
          <w:sz w:val="20"/>
          <w:szCs w:val="20"/>
          <w:color w:val="auto"/>
        </w:rPr>
      </w:pPr>
    </w:p>
    <w:p>
      <w:pPr>
        <w:spacing w:after="0" w:line="203" w:lineRule="exact"/>
        <w:rPr>
          <w:sz w:val="20"/>
          <w:szCs w:val="20"/>
          <w:color w:val="auto"/>
        </w:rPr>
      </w:pPr>
    </w:p>
    <w:p>
      <w:pPr>
        <w:ind w:left="500"/>
        <w:spacing w:after="0"/>
        <w:rPr>
          <w:sz w:val="20"/>
          <w:szCs w:val="20"/>
          <w:color w:val="auto"/>
        </w:rPr>
      </w:pPr>
      <w:r>
        <w:rPr>
          <w:rFonts w:ascii="Arial" w:cs="Arial" w:eastAsia="Arial" w:hAnsi="Arial"/>
          <w:sz w:val="16"/>
          <w:szCs w:val="16"/>
          <w:color w:val="auto"/>
        </w:rPr>
        <w:t>__________</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7"/>
        </w:trPr>
        <w:tc>
          <w:tcPr>
            <w:tcW w:w="1540" w:type="dxa"/>
            <w:vAlign w:val="bottom"/>
          </w:tcPr>
          <w:p>
            <w:pPr>
              <w:jc w:val="right"/>
              <w:ind w:right="170"/>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8"/>
                <w:szCs w:val="18"/>
                <w:color w:val="auto"/>
              </w:rPr>
            </w:pPr>
          </w:p>
        </w:tc>
        <w:tc>
          <w:tcPr>
            <w:tcW w:w="1520" w:type="dxa"/>
            <w:vAlign w:val="bottom"/>
          </w:tcPr>
          <w:p>
            <w:pPr>
              <w:jc w:val="right"/>
              <w:ind w:right="17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8"/>
                <w:szCs w:val="18"/>
                <w:color w:val="auto"/>
              </w:rPr>
            </w:pPr>
          </w:p>
        </w:tc>
        <w:tc>
          <w:tcPr>
            <w:tcW w:w="1520" w:type="dxa"/>
            <w:vAlign w:val="bottom"/>
          </w:tcPr>
          <w:p>
            <w:pPr>
              <w:jc w:val="right"/>
              <w:ind w:right="150"/>
              <w:spacing w:after="0"/>
              <w:rPr>
                <w:sz w:val="20"/>
                <w:szCs w:val="20"/>
                <w:color w:val="auto"/>
              </w:rPr>
            </w:pPr>
            <w:r>
              <w:rPr>
                <w:rFonts w:ascii="Arial" w:cs="Arial" w:eastAsia="Arial" w:hAnsi="Arial"/>
                <w:sz w:val="18"/>
                <w:szCs w:val="18"/>
                <w:color w:val="auto"/>
              </w:rPr>
              <w:t>2.8</w:t>
            </w:r>
          </w:p>
        </w:tc>
      </w:tr>
      <w:tr>
        <w:trPr>
          <w:trHeight w:val="270"/>
        </w:trPr>
        <w:tc>
          <w:tcPr>
            <w:tcW w:w="1540" w:type="dxa"/>
            <w:vAlign w:val="bottom"/>
          </w:tcPr>
          <w:p>
            <w:pPr>
              <w:jc w:val="right"/>
              <w:ind w:right="110"/>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3"/>
                <w:szCs w:val="23"/>
                <w:color w:val="auto"/>
              </w:rPr>
            </w:pPr>
          </w:p>
        </w:tc>
        <w:tc>
          <w:tcPr>
            <w:tcW w:w="1520" w:type="dxa"/>
            <w:vAlign w:val="bottom"/>
          </w:tcPr>
          <w:p>
            <w:pPr>
              <w:jc w:val="right"/>
              <w:ind w:right="110"/>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3"/>
                <w:szCs w:val="23"/>
                <w:color w:val="auto"/>
              </w:rPr>
            </w:pPr>
          </w:p>
        </w:tc>
        <w:tc>
          <w:tcPr>
            <w:tcW w:w="1520" w:type="dxa"/>
            <w:vAlign w:val="bottom"/>
          </w:tcPr>
          <w:p>
            <w:pPr>
              <w:jc w:val="right"/>
              <w:ind w:right="90"/>
              <w:spacing w:after="0"/>
              <w:rPr>
                <w:sz w:val="20"/>
                <w:szCs w:val="20"/>
                <w:color w:val="auto"/>
              </w:rPr>
            </w:pPr>
            <w:r>
              <w:rPr>
                <w:rFonts w:ascii="Arial" w:cs="Arial" w:eastAsia="Arial" w:hAnsi="Arial"/>
                <w:sz w:val="18"/>
                <w:szCs w:val="18"/>
                <w:color w:val="auto"/>
              </w:rPr>
              <w:t>(0.6)</w:t>
            </w:r>
          </w:p>
        </w:tc>
      </w:tr>
      <w:tr>
        <w:trPr>
          <w:trHeight w:val="459"/>
        </w:trPr>
        <w:tc>
          <w:tcPr>
            <w:tcW w:w="1540" w:type="dxa"/>
            <w:vAlign w:val="bottom"/>
          </w:tcPr>
          <w:p>
            <w:pPr>
              <w:jc w:val="right"/>
              <w:ind w:right="110"/>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4"/>
                <w:szCs w:val="24"/>
                <w:color w:val="auto"/>
              </w:rPr>
            </w:pPr>
          </w:p>
        </w:tc>
        <w:tc>
          <w:tcPr>
            <w:tcW w:w="1520" w:type="dxa"/>
            <w:vAlign w:val="bottom"/>
          </w:tcPr>
          <w:p>
            <w:pPr>
              <w:jc w:val="right"/>
              <w:ind w:right="17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4"/>
                <w:szCs w:val="24"/>
                <w:color w:val="auto"/>
              </w:rPr>
            </w:pPr>
          </w:p>
        </w:tc>
        <w:tc>
          <w:tcPr>
            <w:tcW w:w="1520" w:type="dxa"/>
            <w:vAlign w:val="bottom"/>
          </w:tcPr>
          <w:p>
            <w:pPr>
              <w:jc w:val="right"/>
              <w:ind w:right="150"/>
              <w:spacing w:after="0"/>
              <w:rPr>
                <w:sz w:val="20"/>
                <w:szCs w:val="20"/>
                <w:color w:val="auto"/>
              </w:rPr>
            </w:pPr>
            <w:r>
              <w:rPr>
                <w:rFonts w:ascii="Arial" w:cs="Arial" w:eastAsia="Arial" w:hAnsi="Arial"/>
                <w:sz w:val="18"/>
                <w:szCs w:val="18"/>
                <w:color w:val="auto"/>
              </w:rPr>
              <w:t>3.7</w:t>
            </w:r>
          </w:p>
        </w:tc>
      </w:tr>
      <w:tr>
        <w:trPr>
          <w:trHeight w:val="270"/>
        </w:trPr>
        <w:tc>
          <w:tcPr>
            <w:tcW w:w="16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90"/>
              <w:spacing w:after="0"/>
              <w:rPr>
                <w:sz w:val="20"/>
                <w:szCs w:val="20"/>
                <w:color w:val="auto"/>
              </w:rPr>
            </w:pPr>
            <w:r>
              <w:rPr>
                <w:rFonts w:ascii="Arial" w:cs="Arial" w:eastAsia="Arial" w:hAnsi="Arial"/>
                <w:sz w:val="18"/>
                <w:szCs w:val="18"/>
                <w:color w:val="auto"/>
              </w:rPr>
              <w:t>(25.6)</w:t>
            </w:r>
          </w:p>
        </w:tc>
      </w:tr>
      <w:tr>
        <w:trPr>
          <w:trHeight w:val="270"/>
        </w:trPr>
        <w:tc>
          <w:tcPr>
            <w:tcW w:w="1540" w:type="dxa"/>
            <w:vAlign w:val="bottom"/>
          </w:tcPr>
          <w:p>
            <w:pPr>
              <w:jc w:val="right"/>
              <w:ind w:right="110"/>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3"/>
                <w:szCs w:val="23"/>
                <w:color w:val="auto"/>
              </w:rPr>
            </w:pPr>
          </w:p>
        </w:tc>
        <w:tc>
          <w:tcPr>
            <w:tcW w:w="16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150"/>
              <w:spacing w:after="0"/>
              <w:rPr>
                <w:sz w:val="20"/>
                <w:szCs w:val="20"/>
                <w:color w:val="auto"/>
              </w:rPr>
            </w:pPr>
            <w:r>
              <w:rPr>
                <w:rFonts w:ascii="Arial" w:cs="Arial" w:eastAsia="Arial" w:hAnsi="Arial"/>
                <w:sz w:val="18"/>
                <w:szCs w:val="18"/>
                <w:color w:val="auto"/>
              </w:rPr>
              <w:t>—</w:t>
            </w:r>
          </w:p>
        </w:tc>
      </w:tr>
      <w:tr>
        <w:trPr>
          <w:trHeight w:val="270"/>
        </w:trPr>
        <w:tc>
          <w:tcPr>
            <w:tcW w:w="16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150"/>
              <w:spacing w:after="0"/>
              <w:rPr>
                <w:sz w:val="20"/>
                <w:szCs w:val="20"/>
                <w:color w:val="auto"/>
              </w:rPr>
            </w:pPr>
            <w:r>
              <w:rPr>
                <w:rFonts w:ascii="Arial" w:cs="Arial" w:eastAsia="Arial" w:hAnsi="Arial"/>
                <w:sz w:val="18"/>
                <w:szCs w:val="18"/>
                <w:color w:val="auto"/>
              </w:rPr>
              <w:t>0.9</w:t>
            </w:r>
          </w:p>
        </w:tc>
      </w:tr>
      <w:tr>
        <w:trPr>
          <w:trHeight w:val="270"/>
        </w:trPr>
        <w:tc>
          <w:tcPr>
            <w:tcW w:w="1540" w:type="dxa"/>
            <w:vAlign w:val="bottom"/>
          </w:tcPr>
          <w:p>
            <w:pPr>
              <w:jc w:val="right"/>
              <w:ind w:right="110"/>
              <w:spacing w:after="0"/>
              <w:rPr>
                <w:sz w:val="20"/>
                <w:szCs w:val="20"/>
                <w:color w:val="auto"/>
              </w:rPr>
            </w:pPr>
            <w:r>
              <w:rPr>
                <w:rFonts w:ascii="Arial" w:cs="Arial" w:eastAsia="Arial" w:hAnsi="Arial"/>
                <w:sz w:val="18"/>
                <w:szCs w:val="18"/>
                <w:color w:val="auto"/>
              </w:rPr>
              <w:t>(100.8)</w:t>
            </w:r>
          </w:p>
        </w:tc>
        <w:tc>
          <w:tcPr>
            <w:tcW w:w="100" w:type="dxa"/>
            <w:vAlign w:val="bottom"/>
          </w:tcPr>
          <w:p>
            <w:pPr>
              <w:spacing w:after="0"/>
              <w:rPr>
                <w:sz w:val="23"/>
                <w:szCs w:val="23"/>
                <w:color w:val="auto"/>
              </w:rPr>
            </w:pPr>
          </w:p>
        </w:tc>
        <w:tc>
          <w:tcPr>
            <w:tcW w:w="16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150"/>
              <w:spacing w:after="0"/>
              <w:rPr>
                <w:sz w:val="20"/>
                <w:szCs w:val="20"/>
                <w:color w:val="auto"/>
              </w:rPr>
            </w:pPr>
            <w:r>
              <w:rPr>
                <w:rFonts w:ascii="Arial" w:cs="Arial" w:eastAsia="Arial" w:hAnsi="Arial"/>
                <w:sz w:val="18"/>
                <w:szCs w:val="18"/>
                <w:color w:val="auto"/>
              </w:rPr>
              <w:t>—</w:t>
            </w:r>
          </w:p>
        </w:tc>
      </w:tr>
      <w:tr>
        <w:trPr>
          <w:trHeight w:val="270"/>
        </w:trPr>
        <w:tc>
          <w:tcPr>
            <w:tcW w:w="1540" w:type="dxa"/>
            <w:vAlign w:val="bottom"/>
          </w:tcPr>
          <w:p>
            <w:pPr>
              <w:jc w:val="right"/>
              <w:ind w:right="170"/>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3"/>
                <w:szCs w:val="23"/>
                <w:color w:val="auto"/>
              </w:rPr>
            </w:pPr>
          </w:p>
        </w:tc>
        <w:tc>
          <w:tcPr>
            <w:tcW w:w="1520" w:type="dxa"/>
            <w:vAlign w:val="bottom"/>
          </w:tcPr>
          <w:p>
            <w:pPr>
              <w:jc w:val="right"/>
              <w:ind w:right="17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3"/>
                <w:szCs w:val="23"/>
                <w:color w:val="auto"/>
              </w:rPr>
            </w:pPr>
          </w:p>
        </w:tc>
        <w:tc>
          <w:tcPr>
            <w:tcW w:w="1520" w:type="dxa"/>
            <w:vAlign w:val="bottom"/>
          </w:tcPr>
          <w:p>
            <w:pPr>
              <w:jc w:val="right"/>
              <w:ind w:right="150"/>
              <w:spacing w:after="0"/>
              <w:rPr>
                <w:sz w:val="20"/>
                <w:szCs w:val="20"/>
                <w:color w:val="auto"/>
              </w:rPr>
            </w:pPr>
            <w:r>
              <w:rPr>
                <w:rFonts w:ascii="Arial" w:cs="Arial" w:eastAsia="Arial" w:hAnsi="Arial"/>
                <w:sz w:val="18"/>
                <w:szCs w:val="18"/>
                <w:color w:val="auto"/>
              </w:rPr>
              <w:t>1.8</w:t>
            </w:r>
          </w:p>
        </w:tc>
      </w:tr>
      <w:tr>
        <w:trPr>
          <w:trHeight w:val="277"/>
        </w:trPr>
        <w:tc>
          <w:tcPr>
            <w:tcW w:w="1540" w:type="dxa"/>
            <w:vAlign w:val="bottom"/>
          </w:tcPr>
          <w:p>
            <w:pPr>
              <w:jc w:val="right"/>
              <w:ind w:right="170"/>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4"/>
                <w:szCs w:val="24"/>
                <w:color w:val="auto"/>
              </w:rPr>
            </w:pPr>
          </w:p>
        </w:tc>
        <w:tc>
          <w:tcPr>
            <w:tcW w:w="16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150"/>
              <w:spacing w:after="0"/>
              <w:rPr>
                <w:sz w:val="20"/>
                <w:szCs w:val="20"/>
                <w:color w:val="auto"/>
              </w:rPr>
            </w:pPr>
            <w:r>
              <w:rPr>
                <w:rFonts w:ascii="Arial" w:cs="Arial" w:eastAsia="Arial" w:hAnsi="Arial"/>
                <w:sz w:val="18"/>
                <w:szCs w:val="18"/>
                <w:color w:val="auto"/>
              </w:rPr>
              <w:t>0.1</w:t>
            </w:r>
          </w:p>
        </w:tc>
      </w:tr>
      <w:tr>
        <w:trPr>
          <w:trHeight w:val="250"/>
        </w:trPr>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(71.1)%</w:t>
            </w:r>
          </w:p>
        </w:tc>
        <w:tc>
          <w:tcPr>
            <w:tcW w:w="100" w:type="dxa"/>
            <w:vAlign w:val="bottom"/>
          </w:tcPr>
          <w:p>
            <w:pPr>
              <w:spacing w:after="0"/>
              <w:rPr>
                <w:sz w:val="21"/>
                <w:szCs w:val="21"/>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41.6 %</w:t>
            </w:r>
          </w:p>
        </w:tc>
        <w:tc>
          <w:tcPr>
            <w:tcW w:w="100" w:type="dxa"/>
            <w:vAlign w:val="bottom"/>
          </w:tcPr>
          <w:p>
            <w:pPr>
              <w:spacing w:after="0"/>
              <w:rPr>
                <w:sz w:val="21"/>
                <w:szCs w:val="21"/>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18.1 %</w:t>
            </w:r>
          </w:p>
        </w:tc>
      </w:tr>
      <w:tr>
        <w:trPr>
          <w:trHeight w:val="20"/>
        </w:trPr>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41" w:lineRule="exact"/>
        <w:rPr>
          <w:sz w:val="20"/>
          <w:szCs w:val="20"/>
          <w:color w:val="auto"/>
        </w:rPr>
      </w:pPr>
    </w:p>
    <w:p>
      <w:pPr>
        <w:sectPr>
          <w:pgSz w:w="11900" w:h="16838" w:orient="portrait"/>
          <w:cols w:equalWidth="0" w:num="2">
            <w:col w:w="5720" w:space="320"/>
            <w:col w:w="5360"/>
          </w:cols>
          <w:pgMar w:left="240" w:top="140" w:right="259" w:bottom="1440" w:gutter="0" w:footer="0" w:header="0"/>
          <w:type w:val="continuous"/>
        </w:sectPr>
      </w:pPr>
    </w:p>
    <w:p>
      <w:pPr>
        <w:ind w:left="820" w:right="260" w:hanging="164"/>
        <w:spacing w:after="0" w:line="234" w:lineRule="auto"/>
        <w:tabs>
          <w:tab w:leader="none" w:pos="820" w:val="left"/>
        </w:tabs>
        <w:numPr>
          <w:ilvl w:val="0"/>
          <w:numId w:val="71"/>
        </w:numPr>
        <w:rPr>
          <w:rFonts w:ascii="Arial" w:cs="Arial" w:eastAsia="Arial" w:hAnsi="Arial"/>
          <w:sz w:val="22"/>
          <w:szCs w:val="22"/>
          <w:color w:val="auto"/>
          <w:vertAlign w:val="superscript"/>
        </w:rPr>
      </w:pPr>
      <w:r>
        <w:rPr>
          <w:rFonts w:ascii="Arial" w:cs="Arial" w:eastAsia="Arial" w:hAnsi="Arial"/>
          <w:sz w:val="16"/>
          <w:szCs w:val="16"/>
          <w:color w:val="auto"/>
        </w:rPr>
        <w:t>For the year ended December 31, 2015, the Company recognized a $98 million income tax benefit from the resolution of a prior</w:t>
      </w:r>
      <w:r>
        <w:rPr>
          <w:rFonts w:ascii="Arial" w:cs="Arial" w:eastAsia="Arial" w:hAnsi="Arial"/>
          <w:sz w:val="18"/>
          <w:szCs w:val="18"/>
          <w:color w:val="auto"/>
        </w:rPr>
        <w:t>-</w:t>
      </w:r>
      <w:r>
        <w:rPr>
          <w:rFonts w:ascii="Arial" w:cs="Arial" w:eastAsia="Arial" w:hAnsi="Arial"/>
          <w:sz w:val="16"/>
          <w:szCs w:val="16"/>
          <w:color w:val="auto"/>
        </w:rPr>
        <w:t>year income tax matter.</w:t>
      </w:r>
    </w:p>
    <w:p>
      <w:pPr>
        <w:spacing w:after="0" w:line="19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is a tabular reconciliation of the gross amount of unrecognized tax benefits for the year:</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400"/>
          </w:cols>
          <w:pgMar w:left="240" w:top="140" w:right="259" w:bottom="1440" w:gutter="0" w:footer="0" w:header="0"/>
          <w:type w:val="continuous"/>
        </w:sectPr>
      </w:pPr>
    </w:p>
    <w:bookmarkStart w:id="93" w:name="page94"/>
    <w:bookmarkEnd w:id="93"/>
    <w:tbl>
      <w:tblPr>
        <w:tblLayout w:type="fixed"/>
        <w:tblInd w:w="0" w:type="dxa"/>
        <w:tblCellMar>
          <w:top w:w="0" w:type="dxa"/>
          <w:left w:w="0" w:type="dxa"/>
          <w:bottom w:w="0" w:type="dxa"/>
          <w:right w:w="0" w:type="dxa"/>
        </w:tblCellMar>
      </w:tblPr>
      <w:tr>
        <w:trPr>
          <w:trHeight w:val="207"/>
        </w:trPr>
        <w:tc>
          <w:tcPr>
            <w:tcW w:w="628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10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662"/>
        </w:trPr>
        <w:tc>
          <w:tcPr>
            <w:tcW w:w="1400" w:type="dxa"/>
            <w:vAlign w:val="bottom"/>
            <w:tcBorders>
              <w:top w:val="single" w:sz="8" w:color="0000EE"/>
            </w:tcBorders>
          </w:tcPr>
          <w:p>
            <w:pPr>
              <w:spacing w:after="0"/>
              <w:rPr>
                <w:sz w:val="24"/>
                <w:szCs w:val="24"/>
                <w:color w:val="auto"/>
              </w:rPr>
            </w:pPr>
          </w:p>
        </w:tc>
        <w:tc>
          <w:tcPr>
            <w:tcW w:w="4880" w:type="dxa"/>
            <w:vAlign w:val="bottom"/>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2017</w:t>
            </w:r>
          </w:p>
        </w:tc>
        <w:tc>
          <w:tcPr>
            <w:tcW w:w="4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2015</w:t>
            </w:r>
          </w:p>
        </w:tc>
      </w:tr>
      <w:tr>
        <w:trPr>
          <w:trHeight w:val="243"/>
        </w:trPr>
        <w:tc>
          <w:tcPr>
            <w:tcW w:w="6280" w:type="dxa"/>
            <w:vAlign w:val="bottom"/>
            <w:gridSpan w:val="2"/>
          </w:tcPr>
          <w:p>
            <w:pPr>
              <w:ind w:left="520"/>
              <w:spacing w:after="0"/>
              <w:rPr>
                <w:sz w:val="20"/>
                <w:szCs w:val="20"/>
                <w:color w:val="auto"/>
              </w:rPr>
            </w:pPr>
            <w:r>
              <w:rPr>
                <w:rFonts w:ascii="Arial" w:cs="Arial" w:eastAsia="Arial" w:hAnsi="Arial"/>
                <w:sz w:val="18"/>
                <w:szCs w:val="18"/>
                <w:color w:val="auto"/>
              </w:rPr>
              <w:t>Balance at January 1</w:t>
            </w:r>
          </w:p>
        </w:tc>
        <w:tc>
          <w:tcPr>
            <w:tcW w:w="1000" w:type="dxa"/>
            <w:vAlign w:val="bottom"/>
          </w:tcPr>
          <w:p>
            <w:pPr>
              <w:jc w:val="right"/>
              <w:ind w:right="790"/>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1"/>
                <w:szCs w:val="21"/>
                <w:color w:val="auto"/>
              </w:rPr>
            </w:pP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70"/>
        </w:trPr>
        <w:tc>
          <w:tcPr>
            <w:tcW w:w="6280" w:type="dxa"/>
            <w:vAlign w:val="bottom"/>
            <w:gridSpan w:val="2"/>
          </w:tcPr>
          <w:p>
            <w:pPr>
              <w:ind w:left="620"/>
              <w:spacing w:after="0"/>
              <w:rPr>
                <w:sz w:val="20"/>
                <w:szCs w:val="20"/>
                <w:color w:val="auto"/>
              </w:rPr>
            </w:pPr>
            <w:r>
              <w:rPr>
                <w:rFonts w:ascii="Arial" w:cs="Arial" w:eastAsia="Arial" w:hAnsi="Arial"/>
                <w:sz w:val="18"/>
                <w:szCs w:val="18"/>
                <w:color w:val="auto"/>
              </w:rPr>
              <w:t>Additions for tax positions related to current year</w:t>
            </w:r>
          </w:p>
        </w:tc>
        <w:tc>
          <w:tcPr>
            <w:tcW w:w="1000" w:type="dxa"/>
            <w:vAlign w:val="bottom"/>
          </w:tcPr>
          <w:p>
            <w:pPr>
              <w:spacing w:after="0"/>
              <w:rPr>
                <w:sz w:val="23"/>
                <w:szCs w:val="23"/>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70"/>
        </w:trPr>
        <w:tc>
          <w:tcPr>
            <w:tcW w:w="6280" w:type="dxa"/>
            <w:vAlign w:val="bottom"/>
            <w:gridSpan w:val="2"/>
          </w:tcPr>
          <w:p>
            <w:pPr>
              <w:ind w:left="620"/>
              <w:spacing w:after="0"/>
              <w:rPr>
                <w:sz w:val="20"/>
                <w:szCs w:val="20"/>
                <w:color w:val="auto"/>
              </w:rPr>
            </w:pPr>
            <w:r>
              <w:rPr>
                <w:rFonts w:ascii="Arial" w:cs="Arial" w:eastAsia="Arial" w:hAnsi="Arial"/>
                <w:sz w:val="18"/>
                <w:szCs w:val="18"/>
                <w:color w:val="auto"/>
              </w:rPr>
              <w:t>Additions for tax positions for prior years</w:t>
            </w:r>
          </w:p>
        </w:tc>
        <w:tc>
          <w:tcPr>
            <w:tcW w:w="1000" w:type="dxa"/>
            <w:vAlign w:val="bottom"/>
          </w:tcPr>
          <w:p>
            <w:pPr>
              <w:spacing w:after="0"/>
              <w:rPr>
                <w:sz w:val="23"/>
                <w:szCs w:val="23"/>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70"/>
        </w:trPr>
        <w:tc>
          <w:tcPr>
            <w:tcW w:w="6280" w:type="dxa"/>
            <w:vAlign w:val="bottom"/>
            <w:gridSpan w:val="2"/>
          </w:tcPr>
          <w:p>
            <w:pPr>
              <w:ind w:left="620"/>
              <w:spacing w:after="0"/>
              <w:rPr>
                <w:sz w:val="20"/>
                <w:szCs w:val="20"/>
                <w:color w:val="auto"/>
              </w:rPr>
            </w:pPr>
            <w:r>
              <w:rPr>
                <w:rFonts w:ascii="Arial" w:cs="Arial" w:eastAsia="Arial" w:hAnsi="Arial"/>
                <w:sz w:val="18"/>
                <w:szCs w:val="18"/>
                <w:color w:val="auto"/>
              </w:rPr>
              <w:t>Reductions for tax positions for prior years</w:t>
            </w:r>
          </w:p>
        </w:tc>
        <w:tc>
          <w:tcPr>
            <w:tcW w:w="1000" w:type="dxa"/>
            <w:vAlign w:val="bottom"/>
          </w:tcPr>
          <w:p>
            <w:pPr>
              <w:spacing w:after="0"/>
              <w:rPr>
                <w:sz w:val="23"/>
                <w:szCs w:val="23"/>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70"/>
        </w:trPr>
        <w:tc>
          <w:tcPr>
            <w:tcW w:w="6280" w:type="dxa"/>
            <w:vAlign w:val="bottom"/>
            <w:gridSpan w:val="2"/>
          </w:tcPr>
          <w:p>
            <w:pPr>
              <w:ind w:left="620"/>
              <w:spacing w:after="0"/>
              <w:rPr>
                <w:sz w:val="20"/>
                <w:szCs w:val="20"/>
                <w:color w:val="auto"/>
              </w:rPr>
            </w:pPr>
            <w:r>
              <w:rPr>
                <w:rFonts w:ascii="Arial" w:cs="Arial" w:eastAsia="Arial" w:hAnsi="Arial"/>
                <w:sz w:val="18"/>
                <w:szCs w:val="18"/>
                <w:color w:val="auto"/>
              </w:rPr>
              <w:t>Settlements</w:t>
            </w:r>
          </w:p>
        </w:tc>
        <w:tc>
          <w:tcPr>
            <w:tcW w:w="1000" w:type="dxa"/>
            <w:vAlign w:val="bottom"/>
          </w:tcPr>
          <w:p>
            <w:pPr>
              <w:spacing w:after="0"/>
              <w:rPr>
                <w:sz w:val="23"/>
                <w:szCs w:val="23"/>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7"/>
        </w:trPr>
        <w:tc>
          <w:tcPr>
            <w:tcW w:w="6280" w:type="dxa"/>
            <w:vAlign w:val="bottom"/>
            <w:gridSpan w:val="2"/>
          </w:tcPr>
          <w:p>
            <w:pPr>
              <w:ind w:left="620"/>
              <w:spacing w:after="0"/>
              <w:rPr>
                <w:sz w:val="20"/>
                <w:szCs w:val="20"/>
                <w:color w:val="auto"/>
              </w:rPr>
            </w:pPr>
            <w:r>
              <w:rPr>
                <w:rFonts w:ascii="Arial" w:cs="Arial" w:eastAsia="Arial" w:hAnsi="Arial"/>
                <w:sz w:val="18"/>
                <w:szCs w:val="18"/>
                <w:color w:val="auto"/>
              </w:rPr>
              <w:t>Statute of limitations</w:t>
            </w:r>
          </w:p>
        </w:tc>
        <w:tc>
          <w:tcPr>
            <w:tcW w:w="100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50"/>
        </w:trPr>
        <w:tc>
          <w:tcPr>
            <w:tcW w:w="6280" w:type="dxa"/>
            <w:vAlign w:val="bottom"/>
            <w:gridSpan w:val="2"/>
          </w:tcPr>
          <w:p>
            <w:pPr>
              <w:ind w:left="520"/>
              <w:spacing w:after="0"/>
              <w:rPr>
                <w:sz w:val="20"/>
                <w:szCs w:val="20"/>
                <w:color w:val="auto"/>
              </w:rPr>
            </w:pPr>
            <w:r>
              <w:rPr>
                <w:rFonts w:ascii="Arial" w:cs="Arial" w:eastAsia="Arial" w:hAnsi="Arial"/>
                <w:sz w:val="18"/>
                <w:szCs w:val="18"/>
                <w:color w:val="auto"/>
              </w:rPr>
              <w:t>Balance at December 31</w:t>
            </w:r>
          </w:p>
        </w:tc>
        <w:tc>
          <w:tcPr>
            <w:tcW w:w="1000" w:type="dxa"/>
            <w:vAlign w:val="bottom"/>
            <w:tcBorders>
              <w:top w:val="single" w:sz="8" w:color="auto"/>
              <w:bottom w:val="single" w:sz="8" w:color="auto"/>
            </w:tcBorders>
          </w:tcPr>
          <w:p>
            <w:pPr>
              <w:jc w:val="right"/>
              <w:ind w:right="790"/>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1"/>
                <w:szCs w:val="21"/>
                <w:color w:val="auto"/>
              </w:rPr>
            </w:pPr>
          </w:p>
        </w:tc>
        <w:tc>
          <w:tcPr>
            <w:tcW w:w="34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w:t>
            </w:r>
          </w:p>
        </w:tc>
      </w:tr>
      <w:tr>
        <w:trPr>
          <w:trHeight w:val="20"/>
        </w:trPr>
        <w:tc>
          <w:tcPr>
            <w:tcW w:w="140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Company does not anticipate that total unrecognized tax benefits will change significantly in 2018.</w:t>
      </w:r>
    </w:p>
    <w:p>
      <w:pPr>
        <w:spacing w:after="0" w:line="171" w:lineRule="exact"/>
        <w:rPr>
          <w:sz w:val="20"/>
          <w:szCs w:val="20"/>
          <w:color w:val="auto"/>
        </w:rPr>
      </w:pPr>
    </w:p>
    <w:p>
      <w:pPr>
        <w:ind w:left="500" w:right="60"/>
        <w:spacing w:after="0" w:line="254" w:lineRule="auto"/>
        <w:rPr>
          <w:sz w:val="20"/>
          <w:szCs w:val="20"/>
          <w:color w:val="auto"/>
        </w:rPr>
      </w:pPr>
      <w:r>
        <w:rPr>
          <w:rFonts w:ascii="Arial" w:cs="Arial" w:eastAsia="Arial" w:hAnsi="Arial"/>
          <w:sz w:val="18"/>
          <w:szCs w:val="18"/>
          <w:color w:val="auto"/>
        </w:rPr>
        <w:t>The Company is subject to taxation in the United States and various foreign jurisdictions. As of December 31, 2017, the 2014 through 2016 tax years generally remain subject to examination by the federal tax authorities. The 2012 through 2016 tax years generally remain subject to examination by various state tax authorities. In significant foreign jurisdictions, the 2011 through 2016 tax years generally remain subject to examination by their respective tax authorities.</w:t>
      </w:r>
    </w:p>
    <w:p>
      <w:pPr>
        <w:spacing w:after="0" w:line="150" w:lineRule="exact"/>
        <w:rPr>
          <w:sz w:val="20"/>
          <w:szCs w:val="20"/>
          <w:color w:val="auto"/>
        </w:rPr>
      </w:pPr>
    </w:p>
    <w:p>
      <w:pPr>
        <w:ind w:left="500" w:right="100"/>
        <w:spacing w:after="0" w:line="256" w:lineRule="auto"/>
        <w:rPr>
          <w:sz w:val="20"/>
          <w:szCs w:val="20"/>
          <w:color w:val="auto"/>
        </w:rPr>
      </w:pPr>
      <w:r>
        <w:rPr>
          <w:rFonts w:ascii="Arial" w:cs="Arial" w:eastAsia="Arial" w:hAnsi="Arial"/>
          <w:sz w:val="18"/>
          <w:szCs w:val="18"/>
          <w:color w:val="auto"/>
        </w:rPr>
        <w:t>Substantially all of the gross amount of the unrecognized tax benefits at December 31, 2017, 2016 and 2015, if recognized, would affect the Company’s provision for, or benefit from, income taxes. As of December 31, 2017, the Company’s unrecognized tax benefits were offset by tax loss carryforwards in the amount of $19 million.</w:t>
      </w:r>
    </w:p>
    <w:p>
      <w:pPr>
        <w:spacing w:after="0" w:line="148" w:lineRule="exact"/>
        <w:rPr>
          <w:sz w:val="20"/>
          <w:szCs w:val="20"/>
          <w:color w:val="auto"/>
        </w:rPr>
      </w:pPr>
    </w:p>
    <w:tbl>
      <w:tblPr>
        <w:tblLayout w:type="fixed"/>
        <w:tblInd w:w="500" w:type="dxa"/>
        <w:tblCellMar>
          <w:top w:w="0" w:type="dxa"/>
          <w:left w:w="0" w:type="dxa"/>
          <w:bottom w:w="0" w:type="dxa"/>
          <w:right w:w="0" w:type="dxa"/>
        </w:tblCellMar>
      </w:tblPr>
      <w:tr>
        <w:trPr>
          <w:trHeight w:val="217"/>
        </w:trPr>
        <w:tc>
          <w:tcPr>
            <w:tcW w:w="7300" w:type="dxa"/>
            <w:vAlign w:val="bottom"/>
          </w:tcPr>
          <w:p>
            <w:pPr>
              <w:spacing w:after="0"/>
              <w:rPr>
                <w:sz w:val="20"/>
                <w:szCs w:val="20"/>
                <w:color w:val="auto"/>
              </w:rPr>
            </w:pPr>
            <w:r>
              <w:rPr>
                <w:rFonts w:ascii="Arial" w:cs="Arial" w:eastAsia="Arial" w:hAnsi="Arial"/>
                <w:sz w:val="18"/>
                <w:szCs w:val="18"/>
                <w:color w:val="auto"/>
              </w:rPr>
              <w:t>The following table presents unrecognized tax benefits:</w:t>
            </w:r>
          </w:p>
        </w:tc>
        <w:tc>
          <w:tcPr>
            <w:tcW w:w="1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0" w:type="dxa"/>
            <w:vAlign w:val="bottom"/>
          </w:tcPr>
          <w:p>
            <w:pPr>
              <w:spacing w:after="0"/>
              <w:rPr>
                <w:sz w:val="18"/>
                <w:szCs w:val="18"/>
                <w:color w:val="auto"/>
              </w:rPr>
            </w:pPr>
          </w:p>
        </w:tc>
      </w:tr>
      <w:tr>
        <w:trPr>
          <w:trHeight w:val="399"/>
        </w:trPr>
        <w:tc>
          <w:tcPr>
            <w:tcW w:w="7300" w:type="dxa"/>
            <w:vAlign w:val="bottom"/>
          </w:tcPr>
          <w:p>
            <w:pPr>
              <w:spacing w:after="0"/>
              <w:rPr>
                <w:sz w:val="24"/>
                <w:szCs w:val="24"/>
                <w:color w:val="auto"/>
              </w:rPr>
            </w:pPr>
          </w:p>
        </w:tc>
        <w:tc>
          <w:tcPr>
            <w:tcW w:w="2620" w:type="dxa"/>
            <w:vAlign w:val="bottom"/>
            <w:tcBorders>
              <w:bottom w:val="single" w:sz="8" w:color="auto"/>
            </w:tcBorders>
            <w:gridSpan w:val="4"/>
          </w:tcPr>
          <w:p>
            <w:pPr>
              <w:jc w:val="right"/>
              <w:ind w:right="170"/>
              <w:spacing w:after="0"/>
              <w:rPr>
                <w:sz w:val="20"/>
                <w:szCs w:val="20"/>
                <w:color w:val="auto"/>
              </w:rPr>
            </w:pPr>
            <w:r>
              <w:rPr>
                <w:rFonts w:ascii="Arial" w:cs="Arial" w:eastAsia="Arial" w:hAnsi="Arial"/>
                <w:sz w:val="18"/>
                <w:szCs w:val="18"/>
                <w:b w:val="1"/>
                <w:bCs w:val="1"/>
                <w:color w:val="auto"/>
              </w:rPr>
              <w:t>As of December 31,</w:t>
            </w:r>
          </w:p>
        </w:tc>
        <w:tc>
          <w:tcPr>
            <w:tcW w:w="400" w:type="dxa"/>
            <w:vAlign w:val="bottom"/>
            <w:tcBorders>
              <w:bottom w:val="single" w:sz="8" w:color="auto"/>
            </w:tcBorders>
          </w:tcPr>
          <w:p>
            <w:pPr>
              <w:spacing w:after="0"/>
              <w:rPr>
                <w:sz w:val="24"/>
                <w:szCs w:val="24"/>
                <w:color w:val="auto"/>
              </w:rPr>
            </w:pPr>
          </w:p>
        </w:tc>
      </w:tr>
      <w:tr>
        <w:trPr>
          <w:trHeight w:val="264"/>
        </w:trPr>
        <w:tc>
          <w:tcPr>
            <w:tcW w:w="7300" w:type="dxa"/>
            <w:vAlign w:val="bottom"/>
          </w:tcPr>
          <w:p>
            <w:pPr>
              <w:spacing w:after="0"/>
              <w:rPr>
                <w:sz w:val="22"/>
                <w:szCs w:val="22"/>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2017</w:t>
            </w:r>
          </w:p>
        </w:tc>
        <w:tc>
          <w:tcPr>
            <w:tcW w:w="4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2016</w:t>
            </w:r>
          </w:p>
        </w:tc>
        <w:tc>
          <w:tcPr>
            <w:tcW w:w="400" w:type="dxa"/>
            <w:vAlign w:val="bottom"/>
            <w:tcBorders>
              <w:bottom w:val="single" w:sz="8" w:color="auto"/>
            </w:tcBorders>
          </w:tcPr>
          <w:p>
            <w:pPr>
              <w:spacing w:after="0"/>
              <w:rPr>
                <w:sz w:val="22"/>
                <w:szCs w:val="22"/>
                <w:color w:val="auto"/>
              </w:rPr>
            </w:pPr>
          </w:p>
        </w:tc>
      </w:tr>
      <w:tr>
        <w:trPr>
          <w:trHeight w:val="294"/>
        </w:trPr>
        <w:tc>
          <w:tcPr>
            <w:tcW w:w="7300" w:type="dxa"/>
            <w:vAlign w:val="bottom"/>
          </w:tcPr>
          <w:p>
            <w:pPr>
              <w:ind w:left="20"/>
              <w:spacing w:after="0"/>
              <w:rPr>
                <w:sz w:val="20"/>
                <w:szCs w:val="20"/>
                <w:color w:val="auto"/>
              </w:rPr>
            </w:pPr>
            <w:r>
              <w:rPr>
                <w:rFonts w:ascii="Arial" w:cs="Arial" w:eastAsia="Arial" w:hAnsi="Arial"/>
                <w:sz w:val="18"/>
                <w:szCs w:val="18"/>
                <w:color w:val="auto"/>
              </w:rPr>
              <w:t xml:space="preserve">Unrecognized tax benefit in non-current income taxes payable </w:t>
            </w:r>
            <w:r>
              <w:rPr>
                <w:rFonts w:ascii="Arial" w:cs="Arial" w:eastAsia="Arial" w:hAnsi="Arial"/>
                <w:sz w:val="21"/>
                <w:szCs w:val="21"/>
                <w:color w:val="auto"/>
                <w:vertAlign w:val="superscript"/>
              </w:rPr>
              <w:t>(a)</w:t>
            </w:r>
          </w:p>
        </w:tc>
        <w:tc>
          <w:tcPr>
            <w:tcW w:w="1040" w:type="dxa"/>
            <w:vAlign w:val="bottom"/>
          </w:tcPr>
          <w:p>
            <w:pPr>
              <w:jc w:val="right"/>
              <w:ind w:right="830"/>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4"/>
                <w:szCs w:val="24"/>
                <w:color w:val="auto"/>
              </w:rPr>
            </w:pPr>
          </w:p>
        </w:tc>
        <w:tc>
          <w:tcPr>
            <w:tcW w:w="1060" w:type="dxa"/>
            <w:vAlign w:val="bottom"/>
          </w:tcPr>
          <w:p>
            <w:pPr>
              <w:jc w:val="right"/>
              <w:ind w:right="83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76"/>
        </w:trPr>
        <w:tc>
          <w:tcPr>
            <w:tcW w:w="7300" w:type="dxa"/>
            <w:vAlign w:val="bottom"/>
          </w:tcPr>
          <w:p>
            <w:pPr>
              <w:ind w:left="20"/>
              <w:spacing w:after="0"/>
              <w:rPr>
                <w:sz w:val="20"/>
                <w:szCs w:val="20"/>
                <w:color w:val="auto"/>
              </w:rPr>
            </w:pPr>
            <w:r>
              <w:rPr>
                <w:rFonts w:ascii="Arial" w:cs="Arial" w:eastAsia="Arial" w:hAnsi="Arial"/>
                <w:sz w:val="18"/>
                <w:szCs w:val="18"/>
                <w:color w:val="auto"/>
              </w:rPr>
              <w:t xml:space="preserve">Accrued interest payable on potential tax liabilities </w:t>
            </w:r>
            <w:r>
              <w:rPr>
                <w:rFonts w:ascii="Arial" w:cs="Arial" w:eastAsia="Arial" w:hAnsi="Arial"/>
                <w:sz w:val="21"/>
                <w:szCs w:val="21"/>
                <w:color w:val="auto"/>
                <w:vertAlign w:val="superscript"/>
              </w:rPr>
              <w:t>(b)</w:t>
            </w:r>
          </w:p>
        </w:tc>
        <w:tc>
          <w:tcPr>
            <w:tcW w:w="1040" w:type="dxa"/>
            <w:vAlign w:val="bottom"/>
          </w:tcPr>
          <w:p>
            <w:pPr>
              <w:spacing w:after="0"/>
              <w:rPr>
                <w:sz w:val="24"/>
                <w:szCs w:val="24"/>
                <w:color w:val="auto"/>
              </w:rPr>
            </w:pP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29</w:t>
            </w:r>
          </w:p>
        </w:tc>
      </w:tr>
    </w:tbl>
    <w:p>
      <w:pPr>
        <w:spacing w:after="0" w:line="12" w:lineRule="exact"/>
        <w:rPr>
          <w:sz w:val="20"/>
          <w:szCs w:val="20"/>
          <w:color w:val="auto"/>
        </w:rPr>
      </w:pPr>
    </w:p>
    <w:p>
      <w:pPr>
        <w:ind w:left="500"/>
        <w:spacing w:after="0"/>
        <w:rPr>
          <w:sz w:val="20"/>
          <w:szCs w:val="20"/>
          <w:color w:val="auto"/>
        </w:rPr>
      </w:pPr>
      <w:r>
        <w:rPr>
          <w:rFonts w:ascii="Arial" w:cs="Arial" w:eastAsia="Arial" w:hAnsi="Arial"/>
          <w:sz w:val="16"/>
          <w:szCs w:val="16"/>
          <w:color w:val="auto"/>
        </w:rPr>
        <w:t>__________</w:t>
      </w:r>
    </w:p>
    <w:p>
      <w:pPr>
        <w:spacing w:after="0" w:line="5" w:lineRule="exact"/>
        <w:rPr>
          <w:sz w:val="20"/>
          <w:szCs w:val="20"/>
          <w:color w:val="auto"/>
        </w:rPr>
      </w:pPr>
    </w:p>
    <w:p>
      <w:pPr>
        <w:ind w:left="820" w:hanging="326"/>
        <w:spacing w:after="0" w:line="219" w:lineRule="auto"/>
        <w:tabs>
          <w:tab w:leader="none" w:pos="820" w:val="left"/>
        </w:tabs>
        <w:numPr>
          <w:ilvl w:val="0"/>
          <w:numId w:val="72"/>
        </w:numPr>
        <w:rPr>
          <w:rFonts w:ascii="Arial" w:cs="Arial" w:eastAsia="Arial" w:hAnsi="Arial"/>
          <w:sz w:val="22"/>
          <w:szCs w:val="22"/>
          <w:color w:val="auto"/>
          <w:vertAlign w:val="superscript"/>
        </w:rPr>
      </w:pPr>
      <w:r>
        <w:rPr>
          <w:rFonts w:ascii="Arial" w:cs="Arial" w:eastAsia="Arial" w:hAnsi="Arial"/>
          <w:sz w:val="16"/>
          <w:szCs w:val="16"/>
          <w:color w:val="auto"/>
        </w:rPr>
        <w:t>Pursuant to the agreements governing the disposition of certain subsidiaries in 2006, the Company is entitled to indemnification for certain pre-disposition tax contingencies. As of December 31, 2017 and 2016, $13 million and $15 million, respectively, of unrecognized tax benefits are related to tax contingencies for which the Company believes it is entitled to indemnification.</w:t>
      </w:r>
    </w:p>
    <w:p>
      <w:pPr>
        <w:ind w:left="820" w:right="220" w:hanging="326"/>
        <w:spacing w:after="0" w:line="221" w:lineRule="auto"/>
        <w:tabs>
          <w:tab w:leader="none" w:pos="820" w:val="left"/>
        </w:tabs>
        <w:numPr>
          <w:ilvl w:val="0"/>
          <w:numId w:val="72"/>
        </w:numPr>
        <w:rPr>
          <w:rFonts w:ascii="Arial" w:cs="Arial" w:eastAsia="Arial" w:hAnsi="Arial"/>
          <w:sz w:val="22"/>
          <w:szCs w:val="22"/>
          <w:color w:val="auto"/>
          <w:vertAlign w:val="superscript"/>
        </w:rPr>
      </w:pPr>
      <w:r>
        <w:rPr>
          <w:rFonts w:ascii="Arial" w:cs="Arial" w:eastAsia="Arial" w:hAnsi="Arial"/>
          <w:sz w:val="16"/>
          <w:szCs w:val="16"/>
          <w:color w:val="auto"/>
        </w:rPr>
        <w:t>The Company recognizes potential interest related to unrecognized tax benefits within interest expense related to corporate debt, net on the accompanying Consolidated Statements of Operations. Penalties incurred during the years ended December 31, 2017, 2016 and 2015, were not significant and were recognized as a component of the provision for income taxes.</w:t>
      </w:r>
    </w:p>
    <w:p>
      <w:pPr>
        <w:sectPr>
          <w:pgSz w:w="11900" w:h="16838" w:orient="portrait"/>
          <w:cols w:equalWidth="0" w:num="1">
            <w:col w:w="11400"/>
          </w:cols>
          <w:pgMar w:left="240" w:top="108" w:right="259" w:bottom="1440" w:gutter="0" w:footer="0" w:header="0"/>
        </w:sectPr>
      </w:pPr>
    </w:p>
    <w:p>
      <w:pPr>
        <w:spacing w:after="0" w:line="187" w:lineRule="exact"/>
        <w:rPr>
          <w:sz w:val="20"/>
          <w:szCs w:val="20"/>
          <w:color w:val="auto"/>
        </w:rPr>
      </w:pPr>
    </w:p>
    <w:p>
      <w:pPr>
        <w:ind w:left="500" w:hanging="492"/>
        <w:spacing w:after="0"/>
        <w:tabs>
          <w:tab w:leader="none" w:pos="500" w:val="left"/>
        </w:tabs>
        <w:numPr>
          <w:ilvl w:val="0"/>
          <w:numId w:val="73"/>
        </w:numPr>
        <w:rPr>
          <w:rFonts w:ascii="Arial" w:cs="Arial" w:eastAsia="Arial" w:hAnsi="Arial"/>
          <w:sz w:val="18"/>
          <w:szCs w:val="18"/>
          <w:b w:val="1"/>
          <w:bCs w:val="1"/>
          <w:color w:val="auto"/>
        </w:rPr>
      </w:pPr>
      <w:r>
        <w:rPr>
          <w:rFonts w:ascii="Arial" w:cs="Arial" w:eastAsia="Arial" w:hAnsi="Arial"/>
          <w:sz w:val="18"/>
          <w:szCs w:val="18"/>
          <w:b w:val="1"/>
          <w:bCs w:val="1"/>
          <w:color w:val="auto"/>
        </w:rPr>
        <w:t>Other Current Assets</w:t>
      </w:r>
    </w:p>
    <w:p>
      <w:pPr>
        <w:spacing w:after="0" w:line="193"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7"/>
          <w:szCs w:val="17"/>
          <w:color w:val="auto"/>
        </w:rPr>
        <w:t>Other current assets consisted of:</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Prepaid expenses</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Sales and use taxes</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Other</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Other current assets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28575</wp:posOffset>
            </wp:positionV>
            <wp:extent cx="192087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920875"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3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2016</w:t>
            </w:r>
          </w:p>
        </w:tc>
      </w:tr>
      <w:tr>
        <w:trPr>
          <w:trHeight w:val="243"/>
        </w:trPr>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196</w:t>
            </w:r>
          </w:p>
        </w:tc>
        <w:tc>
          <w:tcPr>
            <w:tcW w:w="100" w:type="dxa"/>
            <w:vAlign w:val="bottom"/>
          </w:tcPr>
          <w:p>
            <w:pPr>
              <w:spacing w:after="0"/>
              <w:rPr>
                <w:sz w:val="21"/>
                <w:szCs w:val="21"/>
                <w:color w:val="auto"/>
              </w:rPr>
            </w:pP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212</w:t>
            </w:r>
          </w:p>
        </w:tc>
      </w:tr>
      <w:tr>
        <w:trPr>
          <w:trHeight w:val="270"/>
        </w:trPr>
        <w:tc>
          <w:tcPr>
            <w:tcW w:w="32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174</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153</w:t>
            </w:r>
          </w:p>
        </w:tc>
      </w:tr>
      <w:tr>
        <w:trPr>
          <w:trHeight w:val="277"/>
        </w:trPr>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163</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w:t>
            </w:r>
          </w:p>
        </w:tc>
      </w:tr>
      <w:tr>
        <w:trPr>
          <w:trHeight w:val="250"/>
        </w:trPr>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533</w:t>
            </w:r>
          </w:p>
        </w:tc>
        <w:tc>
          <w:tcPr>
            <w:tcW w:w="100" w:type="dxa"/>
            <w:vAlign w:val="bottom"/>
          </w:tcPr>
          <w:p>
            <w:pPr>
              <w:spacing w:after="0"/>
              <w:rPr>
                <w:sz w:val="21"/>
                <w:szCs w:val="21"/>
                <w:color w:val="auto"/>
              </w:rPr>
            </w:pPr>
          </w:p>
        </w:tc>
        <w:tc>
          <w:tcPr>
            <w:tcW w:w="3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519</w:t>
            </w:r>
          </w:p>
        </w:tc>
      </w:tr>
      <w:tr>
        <w:trPr>
          <w:trHeight w:val="20"/>
        </w:trPr>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080" w:space="720"/>
            <w:col w:w="3600"/>
          </w:cols>
          <w:pgMar w:left="240" w:top="108" w:right="259" w:bottom="1440" w:gutter="0" w:footer="0" w:header="0"/>
          <w:type w:val="continuous"/>
        </w:sect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400"/>
          </w:cols>
          <w:pgMar w:left="240" w:top="108" w:right="259" w:bottom="1440" w:gutter="0" w:footer="0" w:header="0"/>
          <w:type w:val="continuous"/>
        </w:sectPr>
      </w:pPr>
    </w:p>
    <w:bookmarkStart w:id="94" w:name="page95"/>
    <w:bookmarkEnd w:id="9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ind w:left="500" w:hanging="492"/>
        <w:spacing w:after="0"/>
        <w:tabs>
          <w:tab w:leader="none" w:pos="500" w:val="left"/>
        </w:tabs>
        <w:numPr>
          <w:ilvl w:val="0"/>
          <w:numId w:val="74"/>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 net</w:t>
      </w:r>
    </w:p>
    <w:p>
      <w:pPr>
        <w:spacing w:after="0" w:line="193"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Property and equipment, net consisted of:</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Land</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Buildings and leasehold improvements</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Capitalized software</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Furniture, fixtures and equipment</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Projects in process</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Buses and support vehicles</w:t>
      </w:r>
    </w:p>
    <w:p>
      <w:pPr>
        <w:spacing w:after="0" w:line="333" w:lineRule="exact"/>
        <w:rPr>
          <w:sz w:val="20"/>
          <w:szCs w:val="20"/>
          <w:color w:val="auto"/>
        </w:rPr>
      </w:pPr>
    </w:p>
    <w:p>
      <w:pPr>
        <w:ind w:left="520" w:right="2640"/>
        <w:spacing w:after="0" w:line="324" w:lineRule="auto"/>
        <w:rPr>
          <w:sz w:val="20"/>
          <w:szCs w:val="20"/>
          <w:color w:val="auto"/>
        </w:rPr>
      </w:pPr>
      <w:r>
        <w:rPr>
          <w:rFonts w:ascii="Arial" w:cs="Arial" w:eastAsia="Arial" w:hAnsi="Arial"/>
          <w:sz w:val="18"/>
          <w:szCs w:val="18"/>
          <w:color w:val="auto"/>
        </w:rPr>
        <w:t>Less: Accumulated depreciation and amortization Property and equipment, net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28575</wp:posOffset>
            </wp:positionV>
            <wp:extent cx="192087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920875" cy="8890"/>
                    </a:xfrm>
                    <a:prstGeom prst="rect">
                      <a:avLst/>
                    </a:prstGeom>
                    <a:noFill/>
                  </pic:spPr>
                </pic:pic>
              </a:graphicData>
            </a:graphic>
          </wp:anchor>
        </w:drawing>
      </w:r>
    </w:p>
    <w:p>
      <w:pPr>
        <w:spacing w:after="0" w:line="57" w:lineRule="exact"/>
        <w:rPr>
          <w:sz w:val="20"/>
          <w:szCs w:val="20"/>
          <w:color w:val="auto"/>
        </w:rPr>
      </w:pPr>
    </w:p>
    <w:p>
      <w:pPr>
        <w:ind w:left="500"/>
        <w:spacing w:after="0"/>
        <w:tabs>
          <w:tab w:leader="none" w:pos="2060" w:val="left"/>
        </w:tabs>
        <w:rPr>
          <w:sz w:val="20"/>
          <w:szCs w:val="20"/>
          <w:color w:val="auto"/>
        </w:rPr>
      </w:pPr>
      <w:r>
        <w:rPr>
          <w:rFonts w:ascii="Arial" w:cs="Arial" w:eastAsia="Arial" w:hAnsi="Arial"/>
          <w:sz w:val="18"/>
          <w:szCs w:val="18"/>
          <w:b w:val="1"/>
          <w:bCs w:val="1"/>
          <w:color w:val="auto"/>
        </w:rPr>
        <w:t>2017</w:t>
      </w:r>
      <w:r>
        <w:rPr>
          <w:sz w:val="20"/>
          <w:szCs w:val="20"/>
          <w:color w:val="auto"/>
        </w:rPr>
        <w:tab/>
      </w:r>
      <w:r>
        <w:rPr>
          <w:rFonts w:ascii="Arial" w:cs="Arial" w:eastAsia="Arial" w:hAnsi="Arial"/>
          <w:sz w:val="18"/>
          <w:szCs w:val="18"/>
          <w:b w:val="1"/>
          <w:bCs w:val="1"/>
          <w:color w:val="auto"/>
        </w:rPr>
        <w:t>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28575</wp:posOffset>
            </wp:positionV>
            <wp:extent cx="192087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920875" cy="8890"/>
                    </a:xfrm>
                    <a:prstGeom prst="rect">
                      <a:avLst/>
                    </a:prstGeom>
                    <a:noFill/>
                  </pic:spPr>
                </pic:pic>
              </a:graphicData>
            </a:graphic>
          </wp:anchor>
        </w:drawing>
      </w:r>
    </w:p>
    <w:p>
      <w:pPr>
        <w:spacing w:after="0" w:line="65" w:lineRule="exact"/>
        <w:rPr>
          <w:sz w:val="20"/>
          <w:szCs w:val="20"/>
          <w:color w:val="auto"/>
        </w:rPr>
      </w:pPr>
    </w:p>
    <w:p>
      <w:pPr>
        <w:spacing w:after="0"/>
        <w:tabs>
          <w:tab w:leader="none" w:pos="1120" w:val="left"/>
          <w:tab w:leader="none" w:pos="1560" w:val="left"/>
          <w:tab w:leader="none" w:pos="27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49</w:t>
        <w:tab/>
        <w:t>$</w:t>
      </w:r>
      <w:r>
        <w:rPr>
          <w:sz w:val="20"/>
          <w:szCs w:val="20"/>
          <w:color w:val="auto"/>
        </w:rPr>
        <w:tab/>
      </w:r>
      <w:r>
        <w:rPr>
          <w:rFonts w:ascii="Arial" w:cs="Arial" w:eastAsia="Arial" w:hAnsi="Arial"/>
          <w:sz w:val="17"/>
          <w:szCs w:val="17"/>
          <w:color w:val="auto"/>
        </w:rPr>
        <w:t>47</w:t>
      </w:r>
    </w:p>
    <w:p>
      <w:pPr>
        <w:spacing w:after="0" w:line="63" w:lineRule="exact"/>
        <w:rPr>
          <w:sz w:val="20"/>
          <w:szCs w:val="20"/>
          <w:color w:val="auto"/>
        </w:rPr>
      </w:pPr>
    </w:p>
    <w:p>
      <w:pPr>
        <w:ind w:left="1040"/>
        <w:spacing w:after="0"/>
        <w:tabs>
          <w:tab w:leader="none" w:pos="2600" w:val="left"/>
        </w:tabs>
        <w:rPr>
          <w:sz w:val="20"/>
          <w:szCs w:val="20"/>
          <w:color w:val="auto"/>
        </w:rPr>
      </w:pPr>
      <w:r>
        <w:rPr>
          <w:rFonts w:ascii="Arial" w:cs="Arial" w:eastAsia="Arial" w:hAnsi="Arial"/>
          <w:sz w:val="18"/>
          <w:szCs w:val="18"/>
          <w:color w:val="auto"/>
        </w:rPr>
        <w:t>626</w:t>
      </w:r>
      <w:r>
        <w:rPr>
          <w:sz w:val="20"/>
          <w:szCs w:val="20"/>
          <w:color w:val="auto"/>
        </w:rPr>
        <w:tab/>
      </w:r>
      <w:r>
        <w:rPr>
          <w:rFonts w:ascii="Arial" w:cs="Arial" w:eastAsia="Arial" w:hAnsi="Arial"/>
          <w:sz w:val="18"/>
          <w:szCs w:val="18"/>
          <w:color w:val="auto"/>
        </w:rPr>
        <w:t>597</w:t>
      </w:r>
    </w:p>
    <w:p>
      <w:pPr>
        <w:spacing w:after="0" w:line="63" w:lineRule="exact"/>
        <w:rPr>
          <w:sz w:val="20"/>
          <w:szCs w:val="20"/>
          <w:color w:val="auto"/>
        </w:rPr>
      </w:pPr>
    </w:p>
    <w:p>
      <w:pPr>
        <w:ind w:left="1040"/>
        <w:spacing w:after="0"/>
        <w:tabs>
          <w:tab w:leader="none" w:pos="2600" w:val="left"/>
        </w:tabs>
        <w:rPr>
          <w:sz w:val="20"/>
          <w:szCs w:val="20"/>
          <w:color w:val="auto"/>
        </w:rPr>
      </w:pPr>
      <w:r>
        <w:rPr>
          <w:rFonts w:ascii="Arial" w:cs="Arial" w:eastAsia="Arial" w:hAnsi="Arial"/>
          <w:sz w:val="18"/>
          <w:szCs w:val="18"/>
          <w:color w:val="auto"/>
        </w:rPr>
        <w:t>583</w:t>
      </w:r>
      <w:r>
        <w:rPr>
          <w:sz w:val="20"/>
          <w:szCs w:val="20"/>
          <w:color w:val="auto"/>
        </w:rPr>
        <w:tab/>
      </w:r>
      <w:r>
        <w:rPr>
          <w:rFonts w:ascii="Arial" w:cs="Arial" w:eastAsia="Arial" w:hAnsi="Arial"/>
          <w:sz w:val="18"/>
          <w:szCs w:val="18"/>
          <w:color w:val="auto"/>
        </w:rPr>
        <w:t>524</w:t>
      </w:r>
    </w:p>
    <w:p>
      <w:pPr>
        <w:spacing w:after="0" w:line="63" w:lineRule="exact"/>
        <w:rPr>
          <w:sz w:val="20"/>
          <w:szCs w:val="20"/>
          <w:color w:val="auto"/>
        </w:rPr>
      </w:pPr>
    </w:p>
    <w:p>
      <w:pPr>
        <w:ind w:left="1040"/>
        <w:spacing w:after="0"/>
        <w:tabs>
          <w:tab w:leader="none" w:pos="2600" w:val="left"/>
        </w:tabs>
        <w:rPr>
          <w:sz w:val="20"/>
          <w:szCs w:val="20"/>
          <w:color w:val="auto"/>
        </w:rPr>
      </w:pPr>
      <w:r>
        <w:rPr>
          <w:rFonts w:ascii="Arial" w:cs="Arial" w:eastAsia="Arial" w:hAnsi="Arial"/>
          <w:sz w:val="18"/>
          <w:szCs w:val="18"/>
          <w:color w:val="auto"/>
        </w:rPr>
        <w:t>387</w:t>
      </w:r>
      <w:r>
        <w:rPr>
          <w:sz w:val="20"/>
          <w:szCs w:val="20"/>
          <w:color w:val="auto"/>
        </w:rPr>
        <w:tab/>
      </w:r>
      <w:r>
        <w:rPr>
          <w:rFonts w:ascii="Arial" w:cs="Arial" w:eastAsia="Arial" w:hAnsi="Arial"/>
          <w:sz w:val="18"/>
          <w:szCs w:val="18"/>
          <w:color w:val="auto"/>
        </w:rPr>
        <w:t>354</w:t>
      </w:r>
    </w:p>
    <w:p>
      <w:pPr>
        <w:spacing w:after="0" w:line="63" w:lineRule="exact"/>
        <w:rPr>
          <w:sz w:val="20"/>
          <w:szCs w:val="20"/>
          <w:color w:val="auto"/>
        </w:rPr>
      </w:pPr>
    </w:p>
    <w:p>
      <w:pPr>
        <w:ind w:left="1040"/>
        <w:spacing w:after="0"/>
        <w:tabs>
          <w:tab w:leader="none" w:pos="2700" w:val="left"/>
        </w:tabs>
        <w:rPr>
          <w:sz w:val="20"/>
          <w:szCs w:val="20"/>
          <w:color w:val="auto"/>
        </w:rPr>
      </w:pPr>
      <w:r>
        <w:rPr>
          <w:rFonts w:ascii="Arial" w:cs="Arial" w:eastAsia="Arial" w:hAnsi="Arial"/>
          <w:sz w:val="18"/>
          <w:szCs w:val="18"/>
          <w:color w:val="auto"/>
        </w:rPr>
        <w:t>118</w:t>
      </w:r>
      <w:r>
        <w:rPr>
          <w:sz w:val="20"/>
          <w:szCs w:val="20"/>
          <w:color w:val="auto"/>
        </w:rPr>
        <w:tab/>
      </w:r>
      <w:r>
        <w:rPr>
          <w:rFonts w:ascii="Arial" w:cs="Arial" w:eastAsia="Arial" w:hAnsi="Arial"/>
          <w:sz w:val="18"/>
          <w:szCs w:val="18"/>
          <w:color w:val="auto"/>
        </w:rPr>
        <w:t>99</w:t>
      </w:r>
    </w:p>
    <w:p>
      <w:pPr>
        <w:spacing w:after="0" w:line="63" w:lineRule="exact"/>
        <w:rPr>
          <w:sz w:val="20"/>
          <w:szCs w:val="20"/>
          <w:color w:val="auto"/>
        </w:rPr>
      </w:pPr>
    </w:p>
    <w:p>
      <w:pPr>
        <w:ind w:left="2720" w:hanging="1575"/>
        <w:spacing w:after="0"/>
        <w:tabs>
          <w:tab w:leader="none" w:pos="27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91</w:t>
      </w:r>
    </w:p>
    <w:p>
      <w:pPr>
        <w:spacing w:after="0" w:line="63"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1,8561,712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-156210</wp:posOffset>
            </wp:positionV>
            <wp:extent cx="192087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920875" cy="8890"/>
                    </a:xfrm>
                    <a:prstGeom prst="rect">
                      <a:avLst/>
                    </a:prstGeom>
                    <a:noFill/>
                  </pic:spPr>
                </pic:pic>
              </a:graphicData>
            </a:graphic>
          </wp:anchor>
        </w:drawing>
      </w:r>
    </w:p>
    <w:p>
      <w:pPr>
        <w:spacing w:after="0" w:line="43" w:lineRule="exact"/>
        <w:rPr>
          <w:sz w:val="20"/>
          <w:szCs w:val="20"/>
          <w:color w:val="auto"/>
        </w:rPr>
      </w:pPr>
    </w:p>
    <w:p>
      <w:pPr>
        <w:jc w:val="both"/>
        <w:ind w:left="840"/>
        <w:spacing w:after="0"/>
        <w:tabs>
          <w:tab w:leader="none" w:pos="2380" w:val="left"/>
        </w:tabs>
        <w:rPr>
          <w:sz w:val="20"/>
          <w:szCs w:val="20"/>
          <w:color w:val="auto"/>
        </w:rPr>
      </w:pPr>
      <w:r>
        <w:rPr>
          <w:rFonts w:ascii="Arial" w:cs="Arial" w:eastAsia="Arial" w:hAnsi="Arial"/>
          <w:sz w:val="18"/>
          <w:szCs w:val="18"/>
          <w:color w:val="auto"/>
        </w:rPr>
        <w:t>(1,152)</w:t>
      </w:r>
      <w:r>
        <w:rPr>
          <w:sz w:val="20"/>
          <w:szCs w:val="20"/>
          <w:color w:val="auto"/>
        </w:rPr>
        <w:tab/>
      </w:r>
      <w:r>
        <w:rPr>
          <w:rFonts w:ascii="Arial" w:cs="Arial" w:eastAsia="Arial" w:hAnsi="Arial"/>
          <w:sz w:val="18"/>
          <w:szCs w:val="18"/>
          <w:color w:val="auto"/>
        </w:rPr>
        <w:t>(1,027)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14605</wp:posOffset>
            </wp:positionV>
            <wp:extent cx="192087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920875" cy="8890"/>
                    </a:xfrm>
                    <a:prstGeom prst="rect">
                      <a:avLst/>
                    </a:prstGeom>
                    <a:noFill/>
                  </pic:spPr>
                </pic:pic>
              </a:graphicData>
            </a:graphic>
          </wp:anchor>
        </w:drawing>
      </w:r>
    </w:p>
    <w:p>
      <w:pPr>
        <w:spacing w:after="0" w:line="43" w:lineRule="exact"/>
        <w:rPr>
          <w:sz w:val="20"/>
          <w:szCs w:val="20"/>
          <w:color w:val="auto"/>
        </w:rPr>
      </w:pPr>
    </w:p>
    <w:p>
      <w:pPr>
        <w:spacing w:after="0"/>
        <w:tabs>
          <w:tab w:leader="none" w:pos="1020" w:val="left"/>
          <w:tab w:leader="none" w:pos="1560" w:val="left"/>
          <w:tab w:leader="none" w:pos="26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704</w:t>
        <w:tab/>
        <w:t>$</w:t>
      </w:r>
      <w:r>
        <w:rPr>
          <w:sz w:val="20"/>
          <w:szCs w:val="20"/>
          <w:color w:val="auto"/>
        </w:rPr>
        <w:tab/>
      </w:r>
      <w:r>
        <w:rPr>
          <w:rFonts w:ascii="Arial" w:cs="Arial" w:eastAsia="Arial" w:hAnsi="Arial"/>
          <w:sz w:val="17"/>
          <w:szCs w:val="17"/>
          <w:color w:val="auto"/>
        </w:rPr>
        <w:t>685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14605</wp:posOffset>
            </wp:positionV>
            <wp:extent cx="1920875"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920875" cy="26035"/>
                    </a:xfrm>
                    <a:prstGeom prst="rect">
                      <a:avLst/>
                    </a:prstGeom>
                    <a:noFill/>
                  </pic:spPr>
                </pic:pic>
              </a:graphicData>
            </a:graphic>
          </wp:anchor>
        </w:drawing>
      </w:r>
    </w:p>
    <w:p>
      <w:pPr>
        <w:spacing w:after="0" w:line="225" w:lineRule="exact"/>
        <w:rPr>
          <w:sz w:val="20"/>
          <w:szCs w:val="20"/>
          <w:color w:val="auto"/>
        </w:rPr>
      </w:pPr>
    </w:p>
    <w:p>
      <w:pPr>
        <w:sectPr>
          <w:pgSz w:w="11900" w:h="16838" w:orient="portrait"/>
          <w:cols w:equalWidth="0" w:num="2">
            <w:col w:w="7100" w:space="720"/>
            <w:col w:w="3520"/>
          </w:cols>
          <w:pgMar w:left="240" w:top="140" w:right="319" w:bottom="572" w:gutter="0" w:footer="0" w:header="0"/>
        </w:sectPr>
      </w:pPr>
    </w:p>
    <w:p>
      <w:pPr>
        <w:ind w:left="500" w:right="200"/>
        <w:spacing w:after="0" w:line="256" w:lineRule="auto"/>
        <w:rPr>
          <w:sz w:val="20"/>
          <w:szCs w:val="20"/>
          <w:color w:val="auto"/>
        </w:rPr>
      </w:pPr>
      <w:r>
        <w:rPr>
          <w:rFonts w:ascii="Arial" w:cs="Arial" w:eastAsia="Arial" w:hAnsi="Arial"/>
          <w:sz w:val="18"/>
          <w:szCs w:val="18"/>
          <w:color w:val="auto"/>
        </w:rPr>
        <w:t>Depreciation and amortization expense relating to property and equipment during 2017, 2016 and 2015 was $197 million, $188 million and $159 million, respectively (including $95 million, $87 million and $61 million, respectively, of amortization expense relating to capitalized software).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080" w:type="dxa"/>
            <w:vAlign w:val="bottom"/>
          </w:tcPr>
          <w:p>
            <w:pPr>
              <w:spacing w:after="0"/>
              <w:rPr>
                <w:sz w:val="20"/>
                <w:szCs w:val="20"/>
                <w:color w:val="auto"/>
              </w:rPr>
            </w:pPr>
            <w:r>
              <w:rPr>
                <w:rFonts w:ascii="Arial" w:cs="Arial" w:eastAsia="Arial" w:hAnsi="Arial"/>
                <w:sz w:val="18"/>
                <w:szCs w:val="18"/>
                <w:b w:val="1"/>
                <w:bCs w:val="1"/>
                <w:color w:val="auto"/>
              </w:rPr>
              <w:t>11.   Accounts Payable and Other Current Liabilities</w:t>
            </w:r>
          </w:p>
        </w:tc>
        <w:tc>
          <w:tcPr>
            <w:tcW w:w="1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6080" w:type="dxa"/>
            <w:vAlign w:val="bottom"/>
          </w:tcPr>
          <w:p>
            <w:pPr>
              <w:ind w:left="500"/>
              <w:spacing w:after="0"/>
              <w:rPr>
                <w:sz w:val="20"/>
                <w:szCs w:val="20"/>
                <w:color w:val="auto"/>
              </w:rPr>
            </w:pPr>
            <w:r>
              <w:rPr>
                <w:rFonts w:ascii="Arial" w:cs="Arial" w:eastAsia="Arial" w:hAnsi="Arial"/>
                <w:sz w:val="18"/>
                <w:szCs w:val="18"/>
                <w:color w:val="auto"/>
              </w:rPr>
              <w:t>Accounts payable and other current liabilities consisted of:</w:t>
            </w:r>
          </w:p>
        </w:tc>
        <w:tc>
          <w:tcPr>
            <w:tcW w:w="1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60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6"/>
          </w:tcPr>
          <w:p>
            <w:pPr>
              <w:jc w:val="right"/>
              <w:ind w:right="576"/>
              <w:spacing w:after="0"/>
              <w:rPr>
                <w:sz w:val="20"/>
                <w:szCs w:val="20"/>
                <w:color w:val="auto"/>
              </w:rPr>
            </w:pPr>
            <w:r>
              <w:rPr>
                <w:rFonts w:ascii="Arial" w:cs="Arial" w:eastAsia="Arial" w:hAnsi="Arial"/>
                <w:sz w:val="18"/>
                <w:szCs w:val="18"/>
                <w:b w:val="1"/>
                <w:bCs w:val="1"/>
                <w:color w:val="auto"/>
              </w:rPr>
              <w:t>As of December 31,</w:t>
            </w:r>
          </w:p>
        </w:tc>
        <w:tc>
          <w:tcPr>
            <w:tcW w:w="0" w:type="dxa"/>
            <w:vAlign w:val="bottom"/>
          </w:tcPr>
          <w:p>
            <w:pPr>
              <w:spacing w:after="0"/>
              <w:rPr>
                <w:sz w:val="1"/>
                <w:szCs w:val="1"/>
                <w:color w:val="auto"/>
              </w:rPr>
            </w:pPr>
          </w:p>
        </w:tc>
      </w:tr>
      <w:tr>
        <w:trPr>
          <w:trHeight w:val="264"/>
        </w:trPr>
        <w:tc>
          <w:tcPr>
            <w:tcW w:w="608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35"/>
              <w:spacing w:after="0"/>
              <w:rPr>
                <w:sz w:val="20"/>
                <w:szCs w:val="20"/>
                <w:color w:val="auto"/>
              </w:rPr>
            </w:pPr>
            <w:r>
              <w:rPr>
                <w:rFonts w:ascii="Arial" w:cs="Arial" w:eastAsia="Arial" w:hAnsi="Arial"/>
                <w:sz w:val="18"/>
                <w:szCs w:val="18"/>
                <w:b w:val="1"/>
                <w:bCs w:val="1"/>
                <w:color w:val="auto"/>
              </w:rPr>
              <w:t>2017</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36"/>
              <w:spacing w:after="0"/>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243"/>
        </w:trPr>
        <w:tc>
          <w:tcPr>
            <w:tcW w:w="6080" w:type="dxa"/>
            <w:vAlign w:val="bottom"/>
          </w:tcPr>
          <w:p>
            <w:pPr>
              <w:ind w:left="520"/>
              <w:spacing w:after="0"/>
              <w:rPr>
                <w:sz w:val="20"/>
                <w:szCs w:val="20"/>
                <w:color w:val="auto"/>
              </w:rPr>
            </w:pPr>
            <w:r>
              <w:rPr>
                <w:rFonts w:ascii="Arial" w:cs="Arial" w:eastAsia="Arial" w:hAnsi="Arial"/>
                <w:sz w:val="18"/>
                <w:szCs w:val="18"/>
                <w:color w:val="auto"/>
              </w:rPr>
              <w:t>Accounts payable</w:t>
            </w:r>
          </w:p>
        </w:tc>
        <w:tc>
          <w:tcPr>
            <w:tcW w:w="1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359</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343</w:t>
            </w:r>
          </w:p>
        </w:tc>
        <w:tc>
          <w:tcPr>
            <w:tcW w:w="0" w:type="dxa"/>
            <w:vAlign w:val="bottom"/>
          </w:tcPr>
          <w:p>
            <w:pPr>
              <w:spacing w:after="0"/>
              <w:rPr>
                <w:sz w:val="1"/>
                <w:szCs w:val="1"/>
                <w:color w:val="auto"/>
              </w:rPr>
            </w:pPr>
          </w:p>
        </w:tc>
      </w:tr>
      <w:tr>
        <w:trPr>
          <w:trHeight w:val="270"/>
        </w:trPr>
        <w:tc>
          <w:tcPr>
            <w:tcW w:w="6080" w:type="dxa"/>
            <w:vAlign w:val="bottom"/>
          </w:tcPr>
          <w:p>
            <w:pPr>
              <w:ind w:left="520"/>
              <w:spacing w:after="0"/>
              <w:rPr>
                <w:sz w:val="20"/>
                <w:szCs w:val="20"/>
                <w:color w:val="auto"/>
              </w:rPr>
            </w:pPr>
            <w:r>
              <w:rPr>
                <w:rFonts w:ascii="Arial" w:cs="Arial" w:eastAsia="Arial" w:hAnsi="Arial"/>
                <w:sz w:val="18"/>
                <w:szCs w:val="18"/>
                <w:color w:val="auto"/>
              </w:rPr>
              <w:t>Accrued sales and use taxes</w:t>
            </w:r>
          </w:p>
        </w:tc>
        <w:tc>
          <w:tcPr>
            <w:tcW w:w="16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218</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70"/>
        </w:trPr>
        <w:tc>
          <w:tcPr>
            <w:tcW w:w="6080" w:type="dxa"/>
            <w:vAlign w:val="bottom"/>
          </w:tcPr>
          <w:p>
            <w:pPr>
              <w:ind w:left="520"/>
              <w:spacing w:after="0"/>
              <w:rPr>
                <w:sz w:val="20"/>
                <w:szCs w:val="20"/>
                <w:color w:val="auto"/>
              </w:rPr>
            </w:pPr>
            <w:r>
              <w:rPr>
                <w:rFonts w:ascii="Arial" w:cs="Arial" w:eastAsia="Arial" w:hAnsi="Arial"/>
                <w:sz w:val="18"/>
                <w:szCs w:val="18"/>
                <w:color w:val="auto"/>
              </w:rPr>
              <w:t>Accrued payroll and related</w:t>
            </w:r>
          </w:p>
        </w:tc>
        <w:tc>
          <w:tcPr>
            <w:tcW w:w="16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176</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70"/>
        </w:trPr>
        <w:tc>
          <w:tcPr>
            <w:tcW w:w="6080" w:type="dxa"/>
            <w:vAlign w:val="bottom"/>
          </w:tcPr>
          <w:p>
            <w:pPr>
              <w:ind w:left="520"/>
              <w:spacing w:after="0"/>
              <w:rPr>
                <w:sz w:val="20"/>
                <w:szCs w:val="20"/>
                <w:color w:val="auto"/>
              </w:rPr>
            </w:pPr>
            <w:r>
              <w:rPr>
                <w:rFonts w:ascii="Arial" w:cs="Arial" w:eastAsia="Arial" w:hAnsi="Arial"/>
                <w:sz w:val="18"/>
                <w:szCs w:val="18"/>
                <w:color w:val="auto"/>
              </w:rPr>
              <w:t>Public liability and property damage insurance liabilities – current</w:t>
            </w:r>
          </w:p>
        </w:tc>
        <w:tc>
          <w:tcPr>
            <w:tcW w:w="16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145</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70"/>
        </w:trPr>
        <w:tc>
          <w:tcPr>
            <w:tcW w:w="6080" w:type="dxa"/>
            <w:vAlign w:val="bottom"/>
          </w:tcPr>
          <w:p>
            <w:pPr>
              <w:ind w:left="520"/>
              <w:spacing w:after="0"/>
              <w:rPr>
                <w:sz w:val="20"/>
                <w:szCs w:val="20"/>
                <w:color w:val="auto"/>
              </w:rPr>
            </w:pPr>
            <w:r>
              <w:rPr>
                <w:rFonts w:ascii="Arial" w:cs="Arial" w:eastAsia="Arial" w:hAnsi="Arial"/>
                <w:sz w:val="18"/>
                <w:szCs w:val="18"/>
                <w:color w:val="auto"/>
              </w:rPr>
              <w:t>Deferred revenue – current</w:t>
            </w:r>
          </w:p>
        </w:tc>
        <w:tc>
          <w:tcPr>
            <w:tcW w:w="16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135</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70"/>
        </w:trPr>
        <w:tc>
          <w:tcPr>
            <w:tcW w:w="6080" w:type="dxa"/>
            <w:vAlign w:val="bottom"/>
          </w:tcPr>
          <w:p>
            <w:pPr>
              <w:ind w:left="520"/>
              <w:spacing w:after="0"/>
              <w:rPr>
                <w:sz w:val="20"/>
                <w:szCs w:val="20"/>
                <w:color w:val="auto"/>
              </w:rPr>
            </w:pPr>
            <w:r>
              <w:rPr>
                <w:rFonts w:ascii="Arial" w:cs="Arial" w:eastAsia="Arial" w:hAnsi="Arial"/>
                <w:sz w:val="18"/>
                <w:szCs w:val="18"/>
                <w:color w:val="auto"/>
              </w:rPr>
              <w:t>Accrued commissions</w:t>
            </w:r>
          </w:p>
        </w:tc>
        <w:tc>
          <w:tcPr>
            <w:tcW w:w="16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117</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70"/>
        </w:trPr>
        <w:tc>
          <w:tcPr>
            <w:tcW w:w="6080" w:type="dxa"/>
            <w:vAlign w:val="bottom"/>
          </w:tcPr>
          <w:p>
            <w:pPr>
              <w:ind w:left="520"/>
              <w:spacing w:after="0"/>
              <w:rPr>
                <w:sz w:val="20"/>
                <w:szCs w:val="20"/>
                <w:color w:val="auto"/>
              </w:rPr>
            </w:pPr>
            <w:r>
              <w:rPr>
                <w:rFonts w:ascii="Arial" w:cs="Arial" w:eastAsia="Arial" w:hAnsi="Arial"/>
                <w:sz w:val="18"/>
                <w:szCs w:val="18"/>
                <w:color w:val="auto"/>
              </w:rPr>
              <w:t>Accrued insurance</w:t>
            </w:r>
          </w:p>
        </w:tc>
        <w:tc>
          <w:tcPr>
            <w:tcW w:w="16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103</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77"/>
        </w:trPr>
        <w:tc>
          <w:tcPr>
            <w:tcW w:w="6080" w:type="dxa"/>
            <w:vAlign w:val="bottom"/>
          </w:tcPr>
          <w:p>
            <w:pPr>
              <w:ind w:left="520"/>
              <w:spacing w:after="0"/>
              <w:rPr>
                <w:sz w:val="20"/>
                <w:szCs w:val="20"/>
                <w:color w:val="auto"/>
              </w:rPr>
            </w:pPr>
            <w:r>
              <w:rPr>
                <w:rFonts w:ascii="Arial" w:cs="Arial" w:eastAsia="Arial" w:hAnsi="Arial"/>
                <w:sz w:val="18"/>
                <w:szCs w:val="18"/>
                <w:color w:val="auto"/>
              </w:rPr>
              <w:t>Other</w:t>
            </w:r>
          </w:p>
        </w:tc>
        <w:tc>
          <w:tcPr>
            <w:tcW w:w="1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366</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w:t>
            </w:r>
          </w:p>
        </w:tc>
        <w:tc>
          <w:tcPr>
            <w:tcW w:w="0" w:type="dxa"/>
            <w:vAlign w:val="bottom"/>
          </w:tcPr>
          <w:p>
            <w:pPr>
              <w:spacing w:after="0"/>
              <w:rPr>
                <w:sz w:val="1"/>
                <w:szCs w:val="1"/>
                <w:color w:val="auto"/>
              </w:rPr>
            </w:pPr>
          </w:p>
        </w:tc>
      </w:tr>
      <w:tr>
        <w:trPr>
          <w:trHeight w:val="250"/>
        </w:trPr>
        <w:tc>
          <w:tcPr>
            <w:tcW w:w="6080" w:type="dxa"/>
            <w:vAlign w:val="bottom"/>
          </w:tcPr>
          <w:p>
            <w:pPr>
              <w:ind w:left="520"/>
              <w:spacing w:after="0"/>
              <w:rPr>
                <w:sz w:val="20"/>
                <w:szCs w:val="20"/>
                <w:color w:val="auto"/>
              </w:rPr>
            </w:pPr>
            <w:r>
              <w:rPr>
                <w:rFonts w:ascii="Arial" w:cs="Arial" w:eastAsia="Arial" w:hAnsi="Arial"/>
                <w:sz w:val="18"/>
                <w:szCs w:val="18"/>
                <w:color w:val="auto"/>
              </w:rPr>
              <w:t>Accounts payable and other current liabilities</w:t>
            </w:r>
          </w:p>
        </w:tc>
        <w:tc>
          <w:tcPr>
            <w:tcW w:w="1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1,619</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1,488</w:t>
            </w:r>
          </w:p>
        </w:tc>
        <w:tc>
          <w:tcPr>
            <w:tcW w:w="0" w:type="dxa"/>
            <w:vAlign w:val="bottom"/>
          </w:tcPr>
          <w:p>
            <w:pPr>
              <w:spacing w:after="0"/>
              <w:rPr>
                <w:sz w:val="1"/>
                <w:szCs w:val="1"/>
                <w:color w:val="auto"/>
              </w:rPr>
            </w:pPr>
          </w:p>
        </w:tc>
      </w:tr>
      <w:tr>
        <w:trPr>
          <w:trHeight w:val="20"/>
        </w:trPr>
        <w:tc>
          <w:tcPr>
            <w:tcW w:w="6080" w:type="dxa"/>
            <w:vAlign w:val="bottom"/>
            <w:vMerge w:val="restart"/>
          </w:tcPr>
          <w:p>
            <w:pPr>
              <w:spacing w:after="0"/>
              <w:rPr>
                <w:sz w:val="20"/>
                <w:szCs w:val="20"/>
                <w:color w:val="auto"/>
              </w:rPr>
            </w:pPr>
            <w:r>
              <w:rPr>
                <w:rFonts w:ascii="Arial" w:cs="Arial" w:eastAsia="Arial" w:hAnsi="Arial"/>
                <w:sz w:val="18"/>
                <w:szCs w:val="18"/>
                <w:b w:val="1"/>
                <w:bCs w:val="1"/>
                <w:color w:val="auto"/>
              </w:rPr>
              <w:t>12.   Long-term Corporate Debt and Borrowing Arrangements</w:t>
            </w:r>
          </w:p>
        </w:tc>
        <w:tc>
          <w:tcPr>
            <w:tcW w:w="1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2"/>
        </w:trPr>
        <w:tc>
          <w:tcPr>
            <w:tcW w:w="6080" w:type="dxa"/>
            <w:vAlign w:val="bottom"/>
            <w:vMerge w:val="continue"/>
          </w:tcPr>
          <w:p>
            <w:pPr>
              <w:spacing w:after="0"/>
              <w:rPr>
                <w:sz w:val="24"/>
                <w:szCs w:val="24"/>
                <w:color w:val="auto"/>
              </w:rPr>
            </w:pPr>
          </w:p>
        </w:tc>
        <w:tc>
          <w:tcPr>
            <w:tcW w:w="1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6080" w:type="dxa"/>
            <w:vAlign w:val="bottom"/>
          </w:tcPr>
          <w:p>
            <w:pPr>
              <w:ind w:left="500"/>
              <w:spacing w:after="0"/>
              <w:rPr>
                <w:sz w:val="20"/>
                <w:szCs w:val="20"/>
                <w:color w:val="auto"/>
              </w:rPr>
            </w:pPr>
            <w:r>
              <w:rPr>
                <w:rFonts w:ascii="Arial" w:cs="Arial" w:eastAsia="Arial" w:hAnsi="Arial"/>
                <w:sz w:val="18"/>
                <w:szCs w:val="18"/>
                <w:color w:val="auto"/>
              </w:rPr>
              <w:t>Long-term debt and other borrowing arrangements consisted of:</w:t>
            </w:r>
          </w:p>
        </w:tc>
        <w:tc>
          <w:tcPr>
            <w:tcW w:w="1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6080" w:type="dxa"/>
            <w:vAlign w:val="bottom"/>
          </w:tcPr>
          <w:p>
            <w:pPr>
              <w:spacing w:after="0"/>
              <w:rPr>
                <w:sz w:val="24"/>
                <w:szCs w:val="24"/>
                <w:color w:val="auto"/>
              </w:rPr>
            </w:pPr>
          </w:p>
        </w:tc>
        <w:tc>
          <w:tcPr>
            <w:tcW w:w="1720" w:type="dxa"/>
            <w:vAlign w:val="bottom"/>
            <w:gridSpan w:val="2"/>
            <w:vMerge w:val="restart"/>
          </w:tcPr>
          <w:p>
            <w:pPr>
              <w:ind w:left="500"/>
              <w:spacing w:after="0"/>
              <w:rPr>
                <w:sz w:val="20"/>
                <w:szCs w:val="20"/>
                <w:color w:val="auto"/>
              </w:rPr>
            </w:pPr>
            <w:r>
              <w:rPr>
                <w:rFonts w:ascii="Arial" w:cs="Arial" w:eastAsia="Arial" w:hAnsi="Arial"/>
                <w:sz w:val="16"/>
                <w:szCs w:val="16"/>
                <w:b w:val="1"/>
                <w:bCs w:val="1"/>
                <w:color w:val="auto"/>
              </w:rPr>
              <w:t>Maturity</w:t>
            </w:r>
          </w:p>
        </w:tc>
        <w:tc>
          <w:tcPr>
            <w:tcW w:w="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6"/>
          </w:tcPr>
          <w:p>
            <w:pPr>
              <w:jc w:val="right"/>
              <w:ind w:right="636"/>
              <w:spacing w:after="0"/>
              <w:rPr>
                <w:sz w:val="20"/>
                <w:szCs w:val="20"/>
                <w:color w:val="auto"/>
              </w:rPr>
            </w:pPr>
            <w:r>
              <w:rPr>
                <w:rFonts w:ascii="Arial" w:cs="Arial" w:eastAsia="Arial" w:hAnsi="Arial"/>
                <w:sz w:val="16"/>
                <w:szCs w:val="16"/>
                <w:b w:val="1"/>
                <w:bCs w:val="1"/>
                <w:color w:val="auto"/>
              </w:rPr>
              <w:t>As of December 31,</w:t>
            </w:r>
          </w:p>
        </w:tc>
        <w:tc>
          <w:tcPr>
            <w:tcW w:w="0" w:type="dxa"/>
            <w:vAlign w:val="bottom"/>
          </w:tcPr>
          <w:p>
            <w:pPr>
              <w:spacing w:after="0"/>
              <w:rPr>
                <w:sz w:val="1"/>
                <w:szCs w:val="1"/>
                <w:color w:val="auto"/>
              </w:rPr>
            </w:pPr>
          </w:p>
        </w:tc>
      </w:tr>
      <w:tr>
        <w:trPr>
          <w:trHeight w:val="36"/>
        </w:trPr>
        <w:tc>
          <w:tcPr>
            <w:tcW w:w="6080" w:type="dxa"/>
            <w:vAlign w:val="bottom"/>
          </w:tcPr>
          <w:p>
            <w:pPr>
              <w:spacing w:after="0"/>
              <w:rPr>
                <w:sz w:val="3"/>
                <w:szCs w:val="3"/>
                <w:color w:val="auto"/>
              </w:rPr>
            </w:pPr>
          </w:p>
        </w:tc>
        <w:tc>
          <w:tcPr>
            <w:tcW w:w="1720" w:type="dxa"/>
            <w:vAlign w:val="bottom"/>
            <w:gridSpan w:val="2"/>
            <w:vMerge w:val="continue"/>
          </w:tcPr>
          <w:p>
            <w:pPr>
              <w:spacing w:after="0"/>
              <w:rPr>
                <w:sz w:val="3"/>
                <w:szCs w:val="3"/>
                <w:color w:val="auto"/>
              </w:rPr>
            </w:pPr>
          </w:p>
        </w:tc>
        <w:tc>
          <w:tcPr>
            <w:tcW w:w="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8"/>
        </w:trPr>
        <w:tc>
          <w:tcPr>
            <w:tcW w:w="6080" w:type="dxa"/>
            <w:vAlign w:val="bottom"/>
          </w:tcPr>
          <w:p>
            <w:pPr>
              <w:spacing w:after="0"/>
              <w:rPr>
                <w:sz w:val="19"/>
                <w:szCs w:val="19"/>
                <w:color w:val="auto"/>
              </w:rPr>
            </w:pPr>
          </w:p>
        </w:tc>
        <w:tc>
          <w:tcPr>
            <w:tcW w:w="164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Date</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35"/>
              <w:spacing w:after="0"/>
              <w:rPr>
                <w:sz w:val="20"/>
                <w:szCs w:val="20"/>
                <w:color w:val="auto"/>
              </w:rPr>
            </w:pPr>
            <w:r>
              <w:rPr>
                <w:rFonts w:ascii="Arial" w:cs="Arial" w:eastAsia="Arial" w:hAnsi="Arial"/>
                <w:sz w:val="16"/>
                <w:szCs w:val="16"/>
                <w:b w:val="1"/>
                <w:bCs w:val="1"/>
                <w:color w:val="auto"/>
              </w:rPr>
              <w:t>2017</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6"/>
              <w:spacing w:after="0"/>
              <w:rPr>
                <w:sz w:val="20"/>
                <w:szCs w:val="20"/>
                <w:color w:val="auto"/>
              </w:rPr>
            </w:pPr>
            <w:r>
              <w:rPr>
                <w:rFonts w:ascii="Arial" w:cs="Arial" w:eastAsia="Arial" w:hAnsi="Arial"/>
                <w:sz w:val="16"/>
                <w:szCs w:val="16"/>
                <w:b w:val="1"/>
                <w:bCs w:val="1"/>
                <w:color w:val="auto"/>
              </w:rPr>
              <w:t>2016</w:t>
            </w:r>
          </w:p>
        </w:tc>
        <w:tc>
          <w:tcPr>
            <w:tcW w:w="0" w:type="dxa"/>
            <w:vAlign w:val="bottom"/>
          </w:tcPr>
          <w:p>
            <w:pPr>
              <w:spacing w:after="0"/>
              <w:rPr>
                <w:sz w:val="1"/>
                <w:szCs w:val="1"/>
                <w:color w:val="auto"/>
              </w:rPr>
            </w:pPr>
          </w:p>
        </w:tc>
      </w:tr>
      <w:tr>
        <w:trPr>
          <w:trHeight w:val="237"/>
        </w:trPr>
        <w:tc>
          <w:tcPr>
            <w:tcW w:w="6080" w:type="dxa"/>
            <w:vAlign w:val="bottom"/>
          </w:tcPr>
          <w:p>
            <w:pPr>
              <w:ind w:left="520"/>
              <w:spacing w:after="0"/>
              <w:rPr>
                <w:sz w:val="20"/>
                <w:szCs w:val="20"/>
                <w:color w:val="auto"/>
              </w:rPr>
            </w:pPr>
            <w:r>
              <w:rPr>
                <w:rFonts w:ascii="Arial" w:cs="Arial" w:eastAsia="Arial" w:hAnsi="Arial"/>
                <w:sz w:val="16"/>
                <w:szCs w:val="16"/>
                <w:color w:val="auto"/>
              </w:rPr>
              <w:t>Floating Rate Senior Notes</w:t>
            </w:r>
          </w:p>
        </w:tc>
        <w:tc>
          <w:tcPr>
            <w:tcW w:w="1720" w:type="dxa"/>
            <w:vAlign w:val="bottom"/>
            <w:gridSpan w:val="2"/>
          </w:tcPr>
          <w:p>
            <w:pPr>
              <w:jc w:val="right"/>
              <w:ind w:right="100"/>
              <w:spacing w:after="0"/>
              <w:rPr>
                <w:sz w:val="20"/>
                <w:szCs w:val="20"/>
                <w:color w:val="auto"/>
              </w:rPr>
            </w:pPr>
            <w:r>
              <w:rPr>
                <w:rFonts w:ascii="Arial" w:cs="Arial" w:eastAsia="Arial" w:hAnsi="Arial"/>
                <w:sz w:val="16"/>
                <w:szCs w:val="16"/>
                <w:color w:val="auto"/>
              </w:rPr>
              <w:t>December 2017</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2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249</w:t>
            </w:r>
          </w:p>
        </w:tc>
        <w:tc>
          <w:tcPr>
            <w:tcW w:w="0" w:type="dxa"/>
            <w:vAlign w:val="bottom"/>
          </w:tcPr>
          <w:p>
            <w:pPr>
              <w:spacing w:after="0"/>
              <w:rPr>
                <w:sz w:val="1"/>
                <w:szCs w:val="1"/>
                <w:color w:val="auto"/>
              </w:rPr>
            </w:pPr>
          </w:p>
        </w:tc>
      </w:tr>
      <w:tr>
        <w:trPr>
          <w:trHeight w:val="270"/>
        </w:trPr>
        <w:tc>
          <w:tcPr>
            <w:tcW w:w="6080" w:type="dxa"/>
            <w:vAlign w:val="bottom"/>
          </w:tcPr>
          <w:p>
            <w:pPr>
              <w:ind w:left="520"/>
              <w:spacing w:after="0"/>
              <w:rPr>
                <w:sz w:val="20"/>
                <w:szCs w:val="20"/>
                <w:color w:val="auto"/>
              </w:rPr>
            </w:pPr>
            <w:r>
              <w:rPr>
                <w:rFonts w:ascii="Arial" w:cs="Arial" w:eastAsia="Arial" w:hAnsi="Arial"/>
                <w:sz w:val="16"/>
                <w:szCs w:val="16"/>
                <w:color w:val="auto"/>
              </w:rPr>
              <w:t>Floating Rate Term Loan</w:t>
            </w:r>
          </w:p>
        </w:tc>
        <w:tc>
          <w:tcPr>
            <w:tcW w:w="1720" w:type="dxa"/>
            <w:vAlign w:val="bottom"/>
            <w:gridSpan w:val="2"/>
          </w:tcPr>
          <w:p>
            <w:pPr>
              <w:jc w:val="right"/>
              <w:ind w:right="100"/>
              <w:spacing w:after="0"/>
              <w:rPr>
                <w:sz w:val="20"/>
                <w:szCs w:val="20"/>
                <w:color w:val="auto"/>
              </w:rPr>
            </w:pPr>
            <w:r>
              <w:rPr>
                <w:rFonts w:ascii="Arial" w:cs="Arial" w:eastAsia="Arial" w:hAnsi="Arial"/>
                <w:sz w:val="16"/>
                <w:szCs w:val="16"/>
                <w:color w:val="auto"/>
              </w:rPr>
              <w:t>March 2019</w:t>
            </w: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2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144</w:t>
            </w:r>
          </w:p>
        </w:tc>
        <w:tc>
          <w:tcPr>
            <w:tcW w:w="0" w:type="dxa"/>
            <w:vAlign w:val="bottom"/>
          </w:tcPr>
          <w:p>
            <w:pPr>
              <w:spacing w:after="0"/>
              <w:rPr>
                <w:sz w:val="1"/>
                <w:szCs w:val="1"/>
                <w:color w:val="auto"/>
              </w:rPr>
            </w:pPr>
          </w:p>
        </w:tc>
      </w:tr>
      <w:tr>
        <w:trPr>
          <w:trHeight w:val="270"/>
        </w:trPr>
        <w:tc>
          <w:tcPr>
            <w:tcW w:w="6080" w:type="dxa"/>
            <w:vAlign w:val="bottom"/>
          </w:tcPr>
          <w:p>
            <w:pPr>
              <w:ind w:left="520"/>
              <w:spacing w:after="0"/>
              <w:rPr>
                <w:sz w:val="20"/>
                <w:szCs w:val="20"/>
                <w:color w:val="auto"/>
              </w:rPr>
            </w:pPr>
            <w:r>
              <w:rPr>
                <w:rFonts w:ascii="Arial" w:cs="Arial" w:eastAsia="Arial" w:hAnsi="Arial"/>
                <w:sz w:val="16"/>
                <w:szCs w:val="16"/>
                <w:color w:val="auto"/>
              </w:rPr>
              <w:t>6% euro-denominated Senior Notes</w:t>
            </w:r>
          </w:p>
        </w:tc>
        <w:tc>
          <w:tcPr>
            <w:tcW w:w="1720" w:type="dxa"/>
            <w:vAlign w:val="bottom"/>
            <w:gridSpan w:val="2"/>
          </w:tcPr>
          <w:p>
            <w:pPr>
              <w:jc w:val="right"/>
              <w:ind w:right="100"/>
              <w:spacing w:after="0"/>
              <w:rPr>
                <w:sz w:val="20"/>
                <w:szCs w:val="20"/>
                <w:color w:val="auto"/>
              </w:rPr>
            </w:pPr>
            <w:r>
              <w:rPr>
                <w:rFonts w:ascii="Arial" w:cs="Arial" w:eastAsia="Arial" w:hAnsi="Arial"/>
                <w:sz w:val="16"/>
                <w:szCs w:val="16"/>
                <w:color w:val="auto"/>
              </w:rPr>
              <w:t>March 2021</w:t>
            </w: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2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194</w:t>
            </w:r>
          </w:p>
        </w:tc>
        <w:tc>
          <w:tcPr>
            <w:tcW w:w="0" w:type="dxa"/>
            <w:vAlign w:val="bottom"/>
          </w:tcPr>
          <w:p>
            <w:pPr>
              <w:spacing w:after="0"/>
              <w:rPr>
                <w:sz w:val="1"/>
                <w:szCs w:val="1"/>
                <w:color w:val="auto"/>
              </w:rPr>
            </w:pPr>
          </w:p>
        </w:tc>
      </w:tr>
      <w:tr>
        <w:trPr>
          <w:trHeight w:val="319"/>
        </w:trPr>
        <w:tc>
          <w:tcPr>
            <w:tcW w:w="6080" w:type="dxa"/>
            <w:vAlign w:val="bottom"/>
          </w:tcPr>
          <w:p>
            <w:pPr>
              <w:ind w:left="520"/>
              <w:spacing w:after="0"/>
              <w:rPr>
                <w:sz w:val="20"/>
                <w:szCs w:val="20"/>
                <w:color w:val="auto"/>
              </w:rPr>
            </w:pPr>
            <w:r>
              <w:rPr>
                <w:rFonts w:ascii="Arial" w:cs="Arial" w:eastAsia="Arial" w:hAnsi="Arial"/>
                <w:sz w:val="16"/>
                <w:szCs w:val="16"/>
                <w:color w:val="auto"/>
              </w:rPr>
              <w:t xml:space="preserve">Floating Rate Term Loan </w:t>
            </w:r>
            <w:r>
              <w:rPr>
                <w:rFonts w:ascii="Arial" w:cs="Arial" w:eastAsia="Arial" w:hAnsi="Arial"/>
                <w:sz w:val="21"/>
                <w:szCs w:val="21"/>
                <w:color w:val="auto"/>
                <w:vertAlign w:val="superscript"/>
              </w:rPr>
              <w:t>(a)</w:t>
            </w:r>
          </w:p>
        </w:tc>
        <w:tc>
          <w:tcPr>
            <w:tcW w:w="1720" w:type="dxa"/>
            <w:vAlign w:val="bottom"/>
            <w:gridSpan w:val="2"/>
          </w:tcPr>
          <w:p>
            <w:pPr>
              <w:jc w:val="right"/>
              <w:ind w:right="100"/>
              <w:spacing w:after="0"/>
              <w:rPr>
                <w:sz w:val="20"/>
                <w:szCs w:val="20"/>
                <w:color w:val="auto"/>
              </w:rPr>
            </w:pPr>
            <w:r>
              <w:rPr>
                <w:rFonts w:ascii="Arial" w:cs="Arial" w:eastAsia="Arial" w:hAnsi="Arial"/>
                <w:sz w:val="16"/>
                <w:szCs w:val="16"/>
                <w:color w:val="auto"/>
              </w:rPr>
              <w:t>March 2022</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1,136</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816</w:t>
            </w:r>
          </w:p>
        </w:tc>
        <w:tc>
          <w:tcPr>
            <w:tcW w:w="0" w:type="dxa"/>
            <w:vAlign w:val="bottom"/>
          </w:tcPr>
          <w:p>
            <w:pPr>
              <w:spacing w:after="0"/>
              <w:rPr>
                <w:sz w:val="1"/>
                <w:szCs w:val="1"/>
                <w:color w:val="auto"/>
              </w:rPr>
            </w:pPr>
          </w:p>
        </w:tc>
      </w:tr>
      <w:tr>
        <w:trPr>
          <w:trHeight w:val="222"/>
        </w:trPr>
        <w:tc>
          <w:tcPr>
            <w:tcW w:w="6080" w:type="dxa"/>
            <w:vAlign w:val="bottom"/>
          </w:tcPr>
          <w:p>
            <w:pPr>
              <w:ind w:left="520"/>
              <w:spacing w:after="0"/>
              <w:rPr>
                <w:sz w:val="20"/>
                <w:szCs w:val="20"/>
                <w:color w:val="auto"/>
              </w:rPr>
            </w:pPr>
            <w:r>
              <w:rPr>
                <w:rFonts w:ascii="Arial" w:cs="Arial" w:eastAsia="Arial" w:hAnsi="Arial"/>
                <w:sz w:val="16"/>
                <w:szCs w:val="16"/>
                <w:color w:val="auto"/>
              </w:rPr>
              <w:t>5⅛% Senior Notes</w:t>
            </w:r>
          </w:p>
        </w:tc>
        <w:tc>
          <w:tcPr>
            <w:tcW w:w="1720" w:type="dxa"/>
            <w:vAlign w:val="bottom"/>
            <w:gridSpan w:val="2"/>
          </w:tcPr>
          <w:p>
            <w:pPr>
              <w:jc w:val="right"/>
              <w:ind w:right="100"/>
              <w:spacing w:after="0"/>
              <w:rPr>
                <w:sz w:val="20"/>
                <w:szCs w:val="20"/>
                <w:color w:val="auto"/>
              </w:rPr>
            </w:pPr>
            <w:r>
              <w:rPr>
                <w:rFonts w:ascii="Arial" w:cs="Arial" w:eastAsia="Arial" w:hAnsi="Arial"/>
                <w:sz w:val="16"/>
                <w:szCs w:val="16"/>
                <w:color w:val="auto"/>
              </w:rPr>
              <w:t>June 2022</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400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400</w:t>
            </w:r>
          </w:p>
        </w:tc>
        <w:tc>
          <w:tcPr>
            <w:tcW w:w="0" w:type="dxa"/>
            <w:vAlign w:val="bottom"/>
          </w:tcPr>
          <w:p>
            <w:pPr>
              <w:spacing w:after="0"/>
              <w:rPr>
                <w:sz w:val="1"/>
                <w:szCs w:val="1"/>
                <w:color w:val="auto"/>
              </w:rPr>
            </w:pPr>
          </w:p>
        </w:tc>
      </w:tr>
      <w:tr>
        <w:trPr>
          <w:trHeight w:val="270"/>
        </w:trPr>
        <w:tc>
          <w:tcPr>
            <w:tcW w:w="6080" w:type="dxa"/>
            <w:vAlign w:val="bottom"/>
          </w:tcPr>
          <w:p>
            <w:pPr>
              <w:ind w:left="520"/>
              <w:spacing w:after="0"/>
              <w:rPr>
                <w:sz w:val="20"/>
                <w:szCs w:val="20"/>
                <w:color w:val="auto"/>
              </w:rPr>
            </w:pPr>
            <w:r>
              <w:rPr>
                <w:rFonts w:ascii="Arial" w:cs="Arial" w:eastAsia="Arial" w:hAnsi="Arial"/>
                <w:sz w:val="16"/>
                <w:szCs w:val="16"/>
                <w:color w:val="auto"/>
              </w:rPr>
              <w:t>5½% Senior Notes</w:t>
            </w:r>
          </w:p>
        </w:tc>
        <w:tc>
          <w:tcPr>
            <w:tcW w:w="1720" w:type="dxa"/>
            <w:vAlign w:val="bottom"/>
            <w:gridSpan w:val="2"/>
          </w:tcPr>
          <w:p>
            <w:pPr>
              <w:jc w:val="right"/>
              <w:ind w:right="100"/>
              <w:spacing w:after="0"/>
              <w:rPr>
                <w:sz w:val="20"/>
                <w:szCs w:val="20"/>
                <w:color w:val="auto"/>
              </w:rPr>
            </w:pPr>
            <w:r>
              <w:rPr>
                <w:rFonts w:ascii="Arial" w:cs="Arial" w:eastAsia="Arial" w:hAnsi="Arial"/>
                <w:sz w:val="16"/>
                <w:szCs w:val="16"/>
                <w:color w:val="auto"/>
              </w:rPr>
              <w:t>April 2023</w:t>
            </w: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675</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675</w:t>
            </w:r>
          </w:p>
        </w:tc>
        <w:tc>
          <w:tcPr>
            <w:tcW w:w="0" w:type="dxa"/>
            <w:vAlign w:val="bottom"/>
          </w:tcPr>
          <w:p>
            <w:pPr>
              <w:spacing w:after="0"/>
              <w:rPr>
                <w:sz w:val="1"/>
                <w:szCs w:val="1"/>
                <w:color w:val="auto"/>
              </w:rPr>
            </w:pPr>
          </w:p>
        </w:tc>
      </w:tr>
      <w:tr>
        <w:trPr>
          <w:trHeight w:val="270"/>
        </w:trPr>
        <w:tc>
          <w:tcPr>
            <w:tcW w:w="6080" w:type="dxa"/>
            <w:vAlign w:val="bottom"/>
          </w:tcPr>
          <w:p>
            <w:pPr>
              <w:ind w:left="520"/>
              <w:spacing w:after="0"/>
              <w:rPr>
                <w:sz w:val="20"/>
                <w:szCs w:val="20"/>
                <w:color w:val="auto"/>
              </w:rPr>
            </w:pPr>
            <w:r>
              <w:rPr>
                <w:rFonts w:ascii="Arial" w:cs="Arial" w:eastAsia="Arial" w:hAnsi="Arial"/>
                <w:sz w:val="16"/>
                <w:szCs w:val="16"/>
                <w:color w:val="auto"/>
              </w:rPr>
              <w:t>6⅜% Senior Notes</w:t>
            </w:r>
          </w:p>
        </w:tc>
        <w:tc>
          <w:tcPr>
            <w:tcW w:w="1720" w:type="dxa"/>
            <w:vAlign w:val="bottom"/>
            <w:gridSpan w:val="2"/>
          </w:tcPr>
          <w:p>
            <w:pPr>
              <w:jc w:val="right"/>
              <w:ind w:right="100"/>
              <w:spacing w:after="0"/>
              <w:rPr>
                <w:sz w:val="20"/>
                <w:szCs w:val="20"/>
                <w:color w:val="auto"/>
              </w:rPr>
            </w:pPr>
            <w:r>
              <w:rPr>
                <w:rFonts w:ascii="Arial" w:cs="Arial" w:eastAsia="Arial" w:hAnsi="Arial"/>
                <w:sz w:val="16"/>
                <w:szCs w:val="16"/>
                <w:color w:val="auto"/>
              </w:rPr>
              <w:t>April 2024</w:t>
            </w: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350</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350</w:t>
            </w:r>
          </w:p>
        </w:tc>
        <w:tc>
          <w:tcPr>
            <w:tcW w:w="0" w:type="dxa"/>
            <w:vAlign w:val="bottom"/>
          </w:tcPr>
          <w:p>
            <w:pPr>
              <w:spacing w:after="0"/>
              <w:rPr>
                <w:sz w:val="1"/>
                <w:szCs w:val="1"/>
                <w:color w:val="auto"/>
              </w:rPr>
            </w:pPr>
          </w:p>
        </w:tc>
      </w:tr>
      <w:tr>
        <w:trPr>
          <w:trHeight w:val="270"/>
        </w:trPr>
        <w:tc>
          <w:tcPr>
            <w:tcW w:w="6080" w:type="dxa"/>
            <w:vAlign w:val="bottom"/>
          </w:tcPr>
          <w:p>
            <w:pPr>
              <w:ind w:left="520"/>
              <w:spacing w:after="0"/>
              <w:rPr>
                <w:sz w:val="20"/>
                <w:szCs w:val="20"/>
                <w:color w:val="auto"/>
              </w:rPr>
            </w:pPr>
            <w:r>
              <w:rPr>
                <w:rFonts w:ascii="Arial" w:cs="Arial" w:eastAsia="Arial" w:hAnsi="Arial"/>
                <w:sz w:val="16"/>
                <w:szCs w:val="16"/>
                <w:color w:val="auto"/>
              </w:rPr>
              <w:t>4⅛% euro-denominated Senior Notes</w:t>
            </w:r>
          </w:p>
        </w:tc>
        <w:tc>
          <w:tcPr>
            <w:tcW w:w="1720" w:type="dxa"/>
            <w:vAlign w:val="bottom"/>
            <w:gridSpan w:val="2"/>
          </w:tcPr>
          <w:p>
            <w:pPr>
              <w:jc w:val="right"/>
              <w:ind w:right="100"/>
              <w:spacing w:after="0"/>
              <w:rPr>
                <w:sz w:val="20"/>
                <w:szCs w:val="20"/>
                <w:color w:val="auto"/>
              </w:rPr>
            </w:pPr>
            <w:r>
              <w:rPr>
                <w:rFonts w:ascii="Arial" w:cs="Arial" w:eastAsia="Arial" w:hAnsi="Arial"/>
                <w:sz w:val="16"/>
                <w:szCs w:val="16"/>
                <w:color w:val="auto"/>
              </w:rPr>
              <w:t>November 2024</w:t>
            </w: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360</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316</w:t>
            </w:r>
          </w:p>
        </w:tc>
        <w:tc>
          <w:tcPr>
            <w:tcW w:w="0" w:type="dxa"/>
            <w:vAlign w:val="bottom"/>
          </w:tcPr>
          <w:p>
            <w:pPr>
              <w:spacing w:after="0"/>
              <w:rPr>
                <w:sz w:val="1"/>
                <w:szCs w:val="1"/>
                <w:color w:val="auto"/>
              </w:rPr>
            </w:pPr>
          </w:p>
        </w:tc>
      </w:tr>
      <w:tr>
        <w:trPr>
          <w:trHeight w:val="270"/>
        </w:trPr>
        <w:tc>
          <w:tcPr>
            <w:tcW w:w="6080" w:type="dxa"/>
            <w:vAlign w:val="bottom"/>
          </w:tcPr>
          <w:p>
            <w:pPr>
              <w:ind w:left="520"/>
              <w:spacing w:after="0"/>
              <w:rPr>
                <w:sz w:val="20"/>
                <w:szCs w:val="20"/>
                <w:color w:val="auto"/>
              </w:rPr>
            </w:pPr>
            <w:r>
              <w:rPr>
                <w:rFonts w:ascii="Arial" w:cs="Arial" w:eastAsia="Arial" w:hAnsi="Arial"/>
                <w:sz w:val="16"/>
                <w:szCs w:val="16"/>
                <w:color w:val="auto"/>
              </w:rPr>
              <w:t>5¼% Senior Notes</w:t>
            </w:r>
          </w:p>
        </w:tc>
        <w:tc>
          <w:tcPr>
            <w:tcW w:w="1720" w:type="dxa"/>
            <w:vAlign w:val="bottom"/>
            <w:gridSpan w:val="2"/>
          </w:tcPr>
          <w:p>
            <w:pPr>
              <w:jc w:val="right"/>
              <w:ind w:right="100"/>
              <w:spacing w:after="0"/>
              <w:rPr>
                <w:sz w:val="20"/>
                <w:szCs w:val="20"/>
                <w:color w:val="auto"/>
              </w:rPr>
            </w:pPr>
            <w:r>
              <w:rPr>
                <w:rFonts w:ascii="Arial" w:cs="Arial" w:eastAsia="Arial" w:hAnsi="Arial"/>
                <w:sz w:val="16"/>
                <w:szCs w:val="16"/>
                <w:color w:val="auto"/>
              </w:rPr>
              <w:t>March 2025</w:t>
            </w: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375</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375</w:t>
            </w:r>
          </w:p>
        </w:tc>
        <w:tc>
          <w:tcPr>
            <w:tcW w:w="0" w:type="dxa"/>
            <w:vAlign w:val="bottom"/>
          </w:tcPr>
          <w:p>
            <w:pPr>
              <w:spacing w:after="0"/>
              <w:rPr>
                <w:sz w:val="1"/>
                <w:szCs w:val="1"/>
                <w:color w:val="auto"/>
              </w:rPr>
            </w:pPr>
          </w:p>
        </w:tc>
      </w:tr>
      <w:tr>
        <w:trPr>
          <w:trHeight w:val="270"/>
        </w:trPr>
        <w:tc>
          <w:tcPr>
            <w:tcW w:w="6080" w:type="dxa"/>
            <w:vAlign w:val="bottom"/>
          </w:tcPr>
          <w:p>
            <w:pPr>
              <w:ind w:left="520"/>
              <w:spacing w:after="0"/>
              <w:rPr>
                <w:sz w:val="20"/>
                <w:szCs w:val="20"/>
                <w:color w:val="auto"/>
              </w:rPr>
            </w:pPr>
            <w:r>
              <w:rPr>
                <w:rFonts w:ascii="Arial" w:cs="Arial" w:eastAsia="Arial" w:hAnsi="Arial"/>
                <w:sz w:val="16"/>
                <w:szCs w:val="16"/>
                <w:color w:val="auto"/>
              </w:rPr>
              <w:t>4½% euro-denominated Senior Notes</w:t>
            </w:r>
          </w:p>
        </w:tc>
        <w:tc>
          <w:tcPr>
            <w:tcW w:w="1720" w:type="dxa"/>
            <w:vAlign w:val="bottom"/>
            <w:gridSpan w:val="2"/>
          </w:tcPr>
          <w:p>
            <w:pPr>
              <w:jc w:val="right"/>
              <w:ind w:right="100"/>
              <w:spacing w:after="0"/>
              <w:rPr>
                <w:sz w:val="20"/>
                <w:szCs w:val="20"/>
                <w:color w:val="auto"/>
              </w:rPr>
            </w:pPr>
            <w:r>
              <w:rPr>
                <w:rFonts w:ascii="Arial" w:cs="Arial" w:eastAsia="Arial" w:hAnsi="Arial"/>
                <w:sz w:val="16"/>
                <w:szCs w:val="16"/>
                <w:color w:val="auto"/>
              </w:rPr>
              <w:t>May 2025</w:t>
            </w: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300</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19"/>
        </w:trPr>
        <w:tc>
          <w:tcPr>
            <w:tcW w:w="6080" w:type="dxa"/>
            <w:vAlign w:val="bottom"/>
          </w:tcPr>
          <w:p>
            <w:pPr>
              <w:ind w:left="520"/>
              <w:spacing w:after="0"/>
              <w:rPr>
                <w:sz w:val="20"/>
                <w:szCs w:val="20"/>
                <w:color w:val="auto"/>
              </w:rPr>
            </w:pPr>
            <w:r>
              <w:rPr>
                <w:rFonts w:ascii="Arial" w:cs="Arial" w:eastAsia="Arial" w:hAnsi="Arial"/>
                <w:sz w:val="16"/>
                <w:szCs w:val="16"/>
                <w:color w:val="auto"/>
              </w:rPr>
              <w:t xml:space="preserve">Other </w:t>
            </w:r>
            <w:r>
              <w:rPr>
                <w:rFonts w:ascii="Arial" w:cs="Arial" w:eastAsia="Arial" w:hAnsi="Arial"/>
                <w:sz w:val="21"/>
                <w:szCs w:val="21"/>
                <w:color w:val="auto"/>
                <w:vertAlign w:val="superscript"/>
              </w:rPr>
              <w:t>(b)</w:t>
            </w:r>
          </w:p>
        </w:tc>
        <w:tc>
          <w:tcPr>
            <w:tcW w:w="1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49</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57</w:t>
            </w:r>
          </w:p>
        </w:tc>
        <w:tc>
          <w:tcPr>
            <w:tcW w:w="0" w:type="dxa"/>
            <w:vAlign w:val="bottom"/>
          </w:tcPr>
          <w:p>
            <w:pPr>
              <w:spacing w:after="0"/>
              <w:rPr>
                <w:sz w:val="1"/>
                <w:szCs w:val="1"/>
                <w:color w:val="auto"/>
              </w:rPr>
            </w:pPr>
          </w:p>
        </w:tc>
      </w:tr>
      <w:tr>
        <w:trPr>
          <w:trHeight w:val="235"/>
        </w:trPr>
        <w:tc>
          <w:tcPr>
            <w:tcW w:w="6080" w:type="dxa"/>
            <w:vAlign w:val="bottom"/>
          </w:tcPr>
          <w:p>
            <w:pPr>
              <w:ind w:left="520"/>
              <w:spacing w:after="0"/>
              <w:rPr>
                <w:sz w:val="20"/>
                <w:szCs w:val="20"/>
                <w:color w:val="auto"/>
              </w:rPr>
            </w:pPr>
            <w:r>
              <w:rPr>
                <w:rFonts w:ascii="Arial" w:cs="Arial" w:eastAsia="Arial" w:hAnsi="Arial"/>
                <w:sz w:val="16"/>
                <w:szCs w:val="16"/>
                <w:color w:val="auto"/>
              </w:rPr>
              <w:t>Deferred financing fees</w:t>
            </w:r>
          </w:p>
        </w:tc>
        <w:tc>
          <w:tcPr>
            <w:tcW w:w="1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w:t>
            </w:r>
          </w:p>
        </w:tc>
        <w:tc>
          <w:tcPr>
            <w:tcW w:w="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w:t>
            </w:r>
          </w:p>
        </w:tc>
        <w:tc>
          <w:tcPr>
            <w:tcW w:w="0" w:type="dxa"/>
            <w:vAlign w:val="bottom"/>
          </w:tcPr>
          <w:p>
            <w:pPr>
              <w:spacing w:after="0"/>
              <w:rPr>
                <w:sz w:val="1"/>
                <w:szCs w:val="1"/>
                <w:color w:val="auto"/>
              </w:rPr>
            </w:pPr>
          </w:p>
        </w:tc>
      </w:tr>
      <w:tr>
        <w:trPr>
          <w:trHeight w:val="237"/>
        </w:trPr>
        <w:tc>
          <w:tcPr>
            <w:tcW w:w="6080" w:type="dxa"/>
            <w:vAlign w:val="bottom"/>
          </w:tcPr>
          <w:p>
            <w:pPr>
              <w:ind w:left="520"/>
              <w:spacing w:after="0"/>
              <w:rPr>
                <w:sz w:val="20"/>
                <w:szCs w:val="20"/>
                <w:color w:val="auto"/>
              </w:rPr>
            </w:pPr>
            <w:r>
              <w:rPr>
                <w:rFonts w:ascii="Arial" w:cs="Arial" w:eastAsia="Arial" w:hAnsi="Arial"/>
                <w:sz w:val="16"/>
                <w:szCs w:val="16"/>
                <w:color w:val="auto"/>
              </w:rPr>
              <w:t>Total</w:t>
            </w:r>
          </w:p>
        </w:tc>
        <w:tc>
          <w:tcPr>
            <w:tcW w:w="1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3,599</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3,523</w:t>
            </w:r>
          </w:p>
        </w:tc>
        <w:tc>
          <w:tcPr>
            <w:tcW w:w="0" w:type="dxa"/>
            <w:vAlign w:val="bottom"/>
          </w:tcPr>
          <w:p>
            <w:pPr>
              <w:spacing w:after="0"/>
              <w:rPr>
                <w:sz w:val="1"/>
                <w:szCs w:val="1"/>
                <w:color w:val="auto"/>
              </w:rPr>
            </w:pPr>
          </w:p>
        </w:tc>
      </w:tr>
      <w:tr>
        <w:trPr>
          <w:trHeight w:val="283"/>
        </w:trPr>
        <w:tc>
          <w:tcPr>
            <w:tcW w:w="6080" w:type="dxa"/>
            <w:vAlign w:val="bottom"/>
          </w:tcPr>
          <w:p>
            <w:pPr>
              <w:ind w:left="520"/>
              <w:spacing w:after="0"/>
              <w:rPr>
                <w:sz w:val="20"/>
                <w:szCs w:val="20"/>
                <w:color w:val="auto"/>
              </w:rPr>
            </w:pPr>
            <w:r>
              <w:rPr>
                <w:rFonts w:ascii="Arial" w:cs="Arial" w:eastAsia="Arial" w:hAnsi="Arial"/>
                <w:sz w:val="16"/>
                <w:szCs w:val="16"/>
                <w:color w:val="auto"/>
              </w:rPr>
              <w:t>Less: Short-term debt and current portion of long-term debt</w:t>
            </w:r>
          </w:p>
        </w:tc>
        <w:tc>
          <w:tcPr>
            <w:tcW w:w="1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w:t>
            </w:r>
          </w:p>
        </w:tc>
        <w:tc>
          <w:tcPr>
            <w:tcW w:w="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279</w:t>
            </w:r>
          </w:p>
        </w:tc>
        <w:tc>
          <w:tcPr>
            <w:tcW w:w="0" w:type="dxa"/>
            <w:vAlign w:val="bottom"/>
          </w:tcPr>
          <w:p>
            <w:pPr>
              <w:spacing w:after="0"/>
              <w:rPr>
                <w:sz w:val="1"/>
                <w:szCs w:val="1"/>
                <w:color w:val="auto"/>
              </w:rPr>
            </w:pPr>
          </w:p>
        </w:tc>
      </w:tr>
      <w:tr>
        <w:trPr>
          <w:trHeight w:val="237"/>
        </w:trPr>
        <w:tc>
          <w:tcPr>
            <w:tcW w:w="6080" w:type="dxa"/>
            <w:vAlign w:val="bottom"/>
          </w:tcPr>
          <w:p>
            <w:pPr>
              <w:ind w:left="520"/>
              <w:spacing w:after="0"/>
              <w:rPr>
                <w:sz w:val="20"/>
                <w:szCs w:val="20"/>
                <w:color w:val="auto"/>
              </w:rPr>
            </w:pPr>
            <w:r>
              <w:rPr>
                <w:rFonts w:ascii="Arial" w:cs="Arial" w:eastAsia="Arial" w:hAnsi="Arial"/>
                <w:sz w:val="16"/>
                <w:szCs w:val="16"/>
                <w:b w:val="1"/>
                <w:bCs w:val="1"/>
                <w:color w:val="auto"/>
              </w:rPr>
              <w:t>Long-term debt</w:t>
            </w:r>
          </w:p>
        </w:tc>
        <w:tc>
          <w:tcPr>
            <w:tcW w:w="1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3,573</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3,244</w:t>
            </w:r>
          </w:p>
        </w:tc>
        <w:tc>
          <w:tcPr>
            <w:tcW w:w="0" w:type="dxa"/>
            <w:vAlign w:val="bottom"/>
          </w:tcPr>
          <w:p>
            <w:pPr>
              <w:spacing w:after="0"/>
              <w:rPr>
                <w:sz w:val="1"/>
                <w:szCs w:val="1"/>
                <w:color w:val="auto"/>
              </w:rPr>
            </w:pPr>
          </w:p>
        </w:tc>
      </w:tr>
      <w:tr>
        <w:trPr>
          <w:trHeight w:val="20"/>
        </w:trPr>
        <w:tc>
          <w:tcPr>
            <w:tcW w:w="6080" w:type="dxa"/>
            <w:vAlign w:val="bottom"/>
            <w:vMerge w:val="restart"/>
          </w:tcPr>
          <w:p>
            <w:pPr>
              <w:ind w:left="500"/>
              <w:spacing w:after="0"/>
              <w:rPr>
                <w:sz w:val="20"/>
                <w:szCs w:val="20"/>
                <w:color w:val="auto"/>
              </w:rPr>
            </w:pPr>
            <w:r>
              <w:rPr>
                <w:rFonts w:ascii="Arial" w:cs="Arial" w:eastAsia="Arial" w:hAnsi="Arial"/>
                <w:sz w:val="16"/>
                <w:szCs w:val="16"/>
                <w:color w:val="auto"/>
              </w:rPr>
              <w:t>__________</w:t>
            </w:r>
          </w:p>
        </w:tc>
        <w:tc>
          <w:tcPr>
            <w:tcW w:w="1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080" w:type="dxa"/>
            <w:vAlign w:val="bottom"/>
            <w:vMerge w:val="continue"/>
          </w:tcPr>
          <w:p>
            <w:pPr>
              <w:spacing w:after="0"/>
              <w:rPr>
                <w:sz w:val="19"/>
                <w:szCs w:val="19"/>
                <w:color w:val="auto"/>
              </w:rPr>
            </w:pPr>
          </w:p>
        </w:tc>
        <w:tc>
          <w:tcPr>
            <w:tcW w:w="1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5" w:lineRule="exact"/>
        <w:rPr>
          <w:sz w:val="20"/>
          <w:szCs w:val="20"/>
          <w:color w:val="auto"/>
        </w:rPr>
      </w:pPr>
    </w:p>
    <w:p>
      <w:pPr>
        <w:ind w:left="820" w:hanging="326"/>
        <w:spacing w:after="0" w:line="218" w:lineRule="auto"/>
        <w:tabs>
          <w:tab w:leader="none" w:pos="820" w:val="left"/>
        </w:tabs>
        <w:numPr>
          <w:ilvl w:val="0"/>
          <w:numId w:val="76"/>
        </w:numPr>
        <w:rPr>
          <w:rFonts w:ascii="Arial" w:cs="Arial" w:eastAsia="Arial" w:hAnsi="Arial"/>
          <w:sz w:val="18"/>
          <w:szCs w:val="18"/>
          <w:color w:val="auto"/>
          <w:vertAlign w:val="superscript"/>
        </w:rPr>
      </w:pPr>
      <w:r>
        <w:rPr>
          <w:rFonts w:ascii="Arial" w:cs="Arial" w:eastAsia="Arial" w:hAnsi="Arial"/>
          <w:sz w:val="14"/>
          <w:szCs w:val="14"/>
          <w:color w:val="auto"/>
        </w:rPr>
        <w:t>The floating rate term loan is part of the Company’s senior revolving credit facility, which is secured by pledges of capital stock of certain subsidiaries of the Company, and liens on substantially all of the Company’s intellectual property and certain other real</w:t>
      </w:r>
    </w:p>
    <w:p>
      <w:pPr>
        <w:sectPr>
          <w:pgSz w:w="11900" w:h="16838" w:orient="portrait"/>
          <w:cols w:equalWidth="0" w:num="1">
            <w:col w:w="11340"/>
          </w:cols>
          <w:pgMar w:left="240" w:top="140" w:right="319" w:bottom="572" w:gutter="0" w:footer="0" w:header="0"/>
          <w:type w:val="continuous"/>
        </w:sectPr>
      </w:pPr>
    </w:p>
    <w:p>
      <w:pPr>
        <w:spacing w:after="0" w:line="2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340"/>
          </w:cols>
          <w:pgMar w:left="240" w:top="140" w:right="319" w:bottom="572" w:gutter="0" w:footer="0" w:header="0"/>
          <w:type w:val="continuous"/>
        </w:sectPr>
      </w:pPr>
    </w:p>
    <w:bookmarkStart w:id="95" w:name="page96"/>
    <w:bookmarkEnd w:id="9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97" w:lineRule="exact"/>
        <w:rPr>
          <w:sz w:val="20"/>
          <w:szCs w:val="20"/>
          <w:color w:val="auto"/>
        </w:rPr>
      </w:pPr>
    </w:p>
    <w:p>
      <w:pPr>
        <w:ind w:left="820"/>
        <w:spacing w:after="0"/>
        <w:rPr>
          <w:sz w:val="20"/>
          <w:szCs w:val="20"/>
          <w:color w:val="auto"/>
        </w:rPr>
      </w:pPr>
      <w:r>
        <w:rPr>
          <w:rFonts w:ascii="Arial" w:cs="Arial" w:eastAsia="Arial" w:hAnsi="Arial"/>
          <w:sz w:val="14"/>
          <w:szCs w:val="14"/>
          <w:color w:val="auto"/>
        </w:rPr>
        <w:t>and personal property.</w:t>
      </w:r>
    </w:p>
    <w:p>
      <w:pPr>
        <w:spacing w:after="0" w:line="20" w:lineRule="exact"/>
        <w:rPr>
          <w:sz w:val="20"/>
          <w:szCs w:val="20"/>
          <w:color w:val="auto"/>
        </w:rPr>
      </w:pPr>
    </w:p>
    <w:p>
      <w:pPr>
        <w:ind w:left="820" w:hanging="326"/>
        <w:spacing w:after="0"/>
        <w:tabs>
          <w:tab w:leader="none" w:pos="820" w:val="left"/>
        </w:tabs>
        <w:numPr>
          <w:ilvl w:val="0"/>
          <w:numId w:val="77"/>
        </w:numPr>
        <w:rPr>
          <w:rFonts w:ascii="Arial" w:cs="Arial" w:eastAsia="Arial" w:hAnsi="Arial"/>
          <w:sz w:val="18"/>
          <w:szCs w:val="18"/>
          <w:color w:val="auto"/>
          <w:vertAlign w:val="superscript"/>
        </w:rPr>
      </w:pPr>
      <w:r>
        <w:rPr>
          <w:rFonts w:ascii="Arial" w:cs="Arial" w:eastAsia="Arial" w:hAnsi="Arial"/>
          <w:sz w:val="14"/>
          <w:szCs w:val="14"/>
          <w:color w:val="auto"/>
        </w:rPr>
        <w:t>Primarily includes capital leases which are secured by liens on the related assets.</w:t>
      </w:r>
    </w:p>
    <w:p>
      <w:pPr>
        <w:spacing w:after="0" w:line="124"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Term Loan</w:t>
      </w:r>
    </w:p>
    <w:p>
      <w:pPr>
        <w:spacing w:after="0" w:line="175" w:lineRule="exact"/>
        <w:rPr>
          <w:sz w:val="20"/>
          <w:szCs w:val="20"/>
          <w:color w:val="auto"/>
        </w:rPr>
      </w:pPr>
    </w:p>
    <w:p>
      <w:pPr>
        <w:ind w:left="500" w:right="220"/>
        <w:spacing w:after="0" w:line="261" w:lineRule="auto"/>
        <w:rPr>
          <w:sz w:val="20"/>
          <w:szCs w:val="20"/>
          <w:color w:val="auto"/>
        </w:rPr>
      </w:pPr>
      <w:r>
        <w:rPr>
          <w:rFonts w:ascii="Arial" w:cs="Arial" w:eastAsia="Arial" w:hAnsi="Arial"/>
          <w:sz w:val="18"/>
          <w:szCs w:val="18"/>
          <w:i w:val="1"/>
          <w:iCs w:val="1"/>
          <w:color w:val="auto"/>
        </w:rPr>
        <w:t xml:space="preserve">Floating Rate Term Loan due 2019. </w:t>
      </w:r>
      <w:r>
        <w:rPr>
          <w:rFonts w:ascii="Arial" w:cs="Arial" w:eastAsia="Arial" w:hAnsi="Arial"/>
          <w:sz w:val="18"/>
          <w:szCs w:val="18"/>
          <w:color w:val="auto"/>
        </w:rPr>
        <w:t>The Company issued $500 million, $200 million, and $300 million of Floating Rate Term Loan due</w:t>
      </w:r>
      <w:r>
        <w:rPr>
          <w:rFonts w:ascii="Arial" w:cs="Arial" w:eastAsia="Arial" w:hAnsi="Arial"/>
          <w:sz w:val="18"/>
          <w:szCs w:val="18"/>
          <w:i w:val="1"/>
          <w:iCs w:val="1"/>
          <w:color w:val="auto"/>
        </w:rPr>
        <w:t xml:space="preserve"> </w:t>
      </w:r>
      <w:r>
        <w:rPr>
          <w:rFonts w:ascii="Arial" w:cs="Arial" w:eastAsia="Arial" w:hAnsi="Arial"/>
          <w:sz w:val="18"/>
          <w:szCs w:val="18"/>
          <w:color w:val="auto"/>
        </w:rPr>
        <w:t>2019 in March 2012, October 2012 and October 2013, respectively, under the Company’s senior credit facility. The term loan bears interest at the greater of three-month LIBOR or 0.75%, plus 225 basis points, for an aggregate rate of 3.25% at December 31, 2016. In March 2017, the Company repaid all of it outstanding Floating Rate Term Loan due 2019.</w:t>
      </w:r>
    </w:p>
    <w:p>
      <w:pPr>
        <w:spacing w:after="0" w:line="126" w:lineRule="exact"/>
        <w:rPr>
          <w:sz w:val="20"/>
          <w:szCs w:val="20"/>
          <w:color w:val="auto"/>
        </w:rPr>
      </w:pPr>
    </w:p>
    <w:p>
      <w:pPr>
        <w:ind w:left="500" w:right="80"/>
        <w:spacing w:after="0" w:line="261" w:lineRule="auto"/>
        <w:rPr>
          <w:sz w:val="20"/>
          <w:szCs w:val="20"/>
          <w:color w:val="auto"/>
        </w:rPr>
      </w:pPr>
      <w:r>
        <w:rPr>
          <w:rFonts w:ascii="Arial" w:cs="Arial" w:eastAsia="Arial" w:hAnsi="Arial"/>
          <w:sz w:val="18"/>
          <w:szCs w:val="18"/>
          <w:i w:val="1"/>
          <w:iCs w:val="1"/>
          <w:color w:val="auto"/>
        </w:rPr>
        <w:t xml:space="preserve">Floating Rate Term Loan due 2022. </w:t>
      </w:r>
      <w:r>
        <w:rPr>
          <w:rFonts w:ascii="Arial" w:cs="Arial" w:eastAsia="Arial" w:hAnsi="Arial"/>
          <w:sz w:val="18"/>
          <w:szCs w:val="18"/>
          <w:color w:val="auto"/>
        </w:rPr>
        <w:t>In May 2016, the Company extended the maturity date for $ 825 million of its $ 970 million existing</w:t>
      </w:r>
      <w:r>
        <w:rPr>
          <w:rFonts w:ascii="Arial" w:cs="Arial" w:eastAsia="Arial" w:hAnsi="Arial"/>
          <w:sz w:val="18"/>
          <w:szCs w:val="18"/>
          <w:i w:val="1"/>
          <w:iCs w:val="1"/>
          <w:color w:val="auto"/>
        </w:rPr>
        <w:t xml:space="preserve"> </w:t>
      </w:r>
      <w:r>
        <w:rPr>
          <w:rFonts w:ascii="Arial" w:cs="Arial" w:eastAsia="Arial" w:hAnsi="Arial"/>
          <w:sz w:val="18"/>
          <w:szCs w:val="18"/>
          <w:color w:val="auto"/>
        </w:rPr>
        <w:t>corporate floating rate term loan borrowing by three years to March 2022. The extended portion then bore interest at LIBOR plus 2.50%, subject to a LIBOR floor of 0.75%, for an aggregate rate of 3.50%; however, the Company entered into an interest rate swap to hedge $600 million of its interest rate exposure related to the floating rate term loan at an aggregate rate of 4.21%.</w:t>
      </w:r>
    </w:p>
    <w:p>
      <w:pPr>
        <w:spacing w:after="0" w:line="144" w:lineRule="exact"/>
        <w:rPr>
          <w:sz w:val="20"/>
          <w:szCs w:val="20"/>
          <w:color w:val="auto"/>
        </w:rPr>
      </w:pPr>
    </w:p>
    <w:p>
      <w:pPr>
        <w:ind w:left="500" w:right="120"/>
        <w:spacing w:after="0" w:line="253" w:lineRule="auto"/>
        <w:rPr>
          <w:sz w:val="20"/>
          <w:szCs w:val="20"/>
          <w:color w:val="auto"/>
        </w:rPr>
      </w:pPr>
      <w:r>
        <w:rPr>
          <w:rFonts w:ascii="Arial" w:cs="Arial" w:eastAsia="Arial" w:hAnsi="Arial"/>
          <w:sz w:val="18"/>
          <w:szCs w:val="18"/>
          <w:color w:val="auto"/>
        </w:rPr>
        <w:t>In March 2017, the Company increased its Floating Rate Term Loan due 2022 to $ 1.1 billion and reduced the loan interest rate to three-month LIBOR plus 2.00%, for an aggregate rate of 3.70%; however, the Company entered into an interest rate swap to hedge $700 million of its interest rate exposure related to the floating rate term loan at an aggregate rate of 3.79%. The Company used the incremental term loan proceeds to repay all of its outstanding Floating Rate Term Loan due 2019. In June 2017, the Company used the remaining proceeds to redeem the remainder of its outstanding Floating Rate Senior Notes due 2017.</w:t>
      </w:r>
    </w:p>
    <w:p>
      <w:pPr>
        <w:spacing w:after="0" w:line="13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Senior Notes</w:t>
      </w:r>
    </w:p>
    <w:p>
      <w:pPr>
        <w:spacing w:after="0" w:line="175" w:lineRule="exact"/>
        <w:rPr>
          <w:sz w:val="20"/>
          <w:szCs w:val="20"/>
          <w:color w:val="auto"/>
        </w:rPr>
      </w:pPr>
    </w:p>
    <w:p>
      <w:pPr>
        <w:ind w:left="500" w:right="60"/>
        <w:spacing w:after="0" w:line="258" w:lineRule="auto"/>
        <w:rPr>
          <w:sz w:val="20"/>
          <w:szCs w:val="20"/>
          <w:color w:val="auto"/>
        </w:rPr>
      </w:pPr>
      <w:r>
        <w:rPr>
          <w:rFonts w:ascii="Arial" w:cs="Arial" w:eastAsia="Arial" w:hAnsi="Arial"/>
          <w:sz w:val="18"/>
          <w:szCs w:val="18"/>
          <w:i w:val="1"/>
          <w:iCs w:val="1"/>
          <w:color w:val="auto"/>
        </w:rPr>
        <w:t xml:space="preserve">Floating Rate Senior Notes due 2017. </w:t>
      </w:r>
      <w:r>
        <w:rPr>
          <w:rFonts w:ascii="Arial" w:cs="Arial" w:eastAsia="Arial" w:hAnsi="Arial"/>
          <w:sz w:val="18"/>
          <w:szCs w:val="18"/>
          <w:color w:val="auto"/>
        </w:rPr>
        <w:t>In November 2013, the Company issued its Floating Rate Senior Notes at 98.75% of their face</w:t>
      </w:r>
      <w:r>
        <w:rPr>
          <w:rFonts w:ascii="Arial" w:cs="Arial" w:eastAsia="Arial" w:hAnsi="Arial"/>
          <w:sz w:val="18"/>
          <w:szCs w:val="18"/>
          <w:i w:val="1"/>
          <w:iCs w:val="1"/>
          <w:color w:val="auto"/>
        </w:rPr>
        <w:t xml:space="preserve"> </w:t>
      </w:r>
      <w:r>
        <w:rPr>
          <w:rFonts w:ascii="Arial" w:cs="Arial" w:eastAsia="Arial" w:hAnsi="Arial"/>
          <w:sz w:val="18"/>
          <w:szCs w:val="18"/>
          <w:color w:val="auto"/>
        </w:rPr>
        <w:t>value for aggregate proceeds of $247 million. The interest rate on these notes is equal to three-month LIBOR plus 275 basis points, for an aggregate rate of 3.68% at December 31, 2017; however, the Company has entered into an interest rate swap to hedge its interest rate exposure related to these notes at an aggregate rate of 3.58%. In June 2017, the Company repaid all of it outstanding Floating Rate Senior Notes due 2017.</w:t>
      </w:r>
    </w:p>
    <w:p>
      <w:pPr>
        <w:spacing w:after="0" w:line="184" w:lineRule="exact"/>
        <w:rPr>
          <w:sz w:val="20"/>
          <w:szCs w:val="20"/>
          <w:color w:val="auto"/>
        </w:rPr>
      </w:pPr>
    </w:p>
    <w:p>
      <w:pPr>
        <w:ind w:left="500" w:right="140"/>
        <w:spacing w:after="0" w:line="258" w:lineRule="auto"/>
        <w:rPr>
          <w:sz w:val="20"/>
          <w:szCs w:val="20"/>
          <w:color w:val="auto"/>
        </w:rPr>
      </w:pPr>
      <w:r>
        <w:rPr>
          <w:rFonts w:ascii="Arial" w:cs="Arial" w:eastAsia="Arial" w:hAnsi="Arial"/>
          <w:sz w:val="18"/>
          <w:szCs w:val="18"/>
          <w:i w:val="1"/>
          <w:iCs w:val="1"/>
          <w:color w:val="auto"/>
        </w:rPr>
        <w:t xml:space="preserve">6% euro-denominated Senior Notes due 2021. </w:t>
      </w:r>
      <w:r>
        <w:rPr>
          <w:rFonts w:ascii="Arial" w:cs="Arial" w:eastAsia="Arial" w:hAnsi="Arial"/>
          <w:sz w:val="18"/>
          <w:szCs w:val="18"/>
          <w:color w:val="auto"/>
        </w:rPr>
        <w:t>In March 2013, the Company issued €250 million (approximately $325 million, at</w:t>
      </w:r>
      <w:r>
        <w:rPr>
          <w:rFonts w:ascii="Arial" w:cs="Arial" w:eastAsia="Arial" w:hAnsi="Arial"/>
          <w:sz w:val="18"/>
          <w:szCs w:val="18"/>
          <w:i w:val="1"/>
          <w:iCs w:val="1"/>
          <w:color w:val="auto"/>
        </w:rPr>
        <w:t xml:space="preserve"> </w:t>
      </w:r>
      <w:r>
        <w:rPr>
          <w:rFonts w:ascii="Arial" w:cs="Arial" w:eastAsia="Arial" w:hAnsi="Arial"/>
          <w:sz w:val="18"/>
          <w:szCs w:val="18"/>
          <w:color w:val="auto"/>
        </w:rPr>
        <w:t>issuance) of 6% euro-denominated Senior Notes due March 2021, at par, with interest payable semi-annually. The notes are unsecured obligations of the Company’s Avis Budget Finance plc subsidiary, are guaranteed on a senior basis by the Company and certain of its domestic subsidiaries and rank equally with all of the Company’s existing senior unsecured debt. The Company has the right to redeem these notes in whole or in part on or after April 1, 2016 at specified redemption prices plus accrued interest.</w:t>
      </w:r>
    </w:p>
    <w:p>
      <w:pPr>
        <w:spacing w:after="0" w:line="202" w:lineRule="exact"/>
        <w:rPr>
          <w:sz w:val="20"/>
          <w:szCs w:val="20"/>
          <w:color w:val="auto"/>
        </w:rPr>
      </w:pPr>
    </w:p>
    <w:p>
      <w:pPr>
        <w:ind w:left="500"/>
        <w:spacing w:after="0" w:line="254" w:lineRule="auto"/>
        <w:rPr>
          <w:sz w:val="20"/>
          <w:szCs w:val="20"/>
          <w:color w:val="auto"/>
        </w:rPr>
      </w:pPr>
      <w:r>
        <w:rPr>
          <w:rFonts w:ascii="Arial" w:cs="Arial" w:eastAsia="Arial" w:hAnsi="Arial"/>
          <w:sz w:val="18"/>
          <w:szCs w:val="18"/>
          <w:color w:val="auto"/>
        </w:rPr>
        <w:t>In March 2014, the Company issued €200 million (approximately $275 million, at issuance) of additional 6% euro-denominated Senior Notes due 2021. These notes were sold at 106.75% of their face value for aggregate proceeds of approximately $295 million, with a yield to maturity of 4.85%. In April 2014, the Company used the proceeds to repurchase $292 million principal amount of its 8¼% Senior Notes.</w:t>
      </w:r>
    </w:p>
    <w:p>
      <w:pPr>
        <w:spacing w:after="0" w:line="204" w:lineRule="exact"/>
        <w:rPr>
          <w:sz w:val="20"/>
          <w:szCs w:val="20"/>
          <w:color w:val="auto"/>
        </w:rPr>
      </w:pPr>
    </w:p>
    <w:p>
      <w:pPr>
        <w:ind w:left="500" w:right="360"/>
        <w:spacing w:after="0" w:line="256" w:lineRule="auto"/>
        <w:rPr>
          <w:sz w:val="20"/>
          <w:szCs w:val="20"/>
          <w:color w:val="auto"/>
        </w:rPr>
      </w:pPr>
      <w:r>
        <w:rPr>
          <w:rFonts w:ascii="Arial" w:cs="Arial" w:eastAsia="Arial" w:hAnsi="Arial"/>
          <w:sz w:val="18"/>
          <w:szCs w:val="18"/>
          <w:color w:val="auto"/>
        </w:rPr>
        <w:t>In October 2016, the Company redeemed €275 million (approximately $302 million) of its principal amount for €287 million (approximately $315 million) plus accrued interest. In April 2017, the Company redeemed its outstanding €175 million (approximately $187 million) principal amount for €180 million (approximately $193 million ) plus accrued interest.</w:t>
      </w:r>
    </w:p>
    <w:p>
      <w:pPr>
        <w:spacing w:after="0" w:line="184" w:lineRule="exact"/>
        <w:rPr>
          <w:sz w:val="20"/>
          <w:szCs w:val="20"/>
          <w:color w:val="auto"/>
        </w:rPr>
      </w:pPr>
    </w:p>
    <w:p>
      <w:pPr>
        <w:ind w:left="500" w:right="40"/>
        <w:spacing w:after="0" w:line="261" w:lineRule="auto"/>
        <w:rPr>
          <w:sz w:val="20"/>
          <w:szCs w:val="20"/>
          <w:color w:val="auto"/>
        </w:rPr>
      </w:pPr>
      <w:r>
        <w:rPr>
          <w:rFonts w:ascii="Arial" w:cs="Arial" w:eastAsia="Arial" w:hAnsi="Arial"/>
          <w:sz w:val="18"/>
          <w:szCs w:val="18"/>
          <w:i w:val="1"/>
          <w:iCs w:val="1"/>
          <w:color w:val="auto"/>
        </w:rPr>
        <w:t>5</w:t>
      </w:r>
      <w:r>
        <w:rPr>
          <w:rFonts w:ascii="Arial" w:cs="Arial" w:eastAsia="Arial" w:hAnsi="Arial"/>
          <w:sz w:val="18"/>
          <w:szCs w:val="18"/>
          <w:color w:val="auto"/>
        </w:rPr>
        <w:t>⅛</w:t>
      </w:r>
      <w:r>
        <w:rPr>
          <w:rFonts w:ascii="Arial" w:cs="Arial" w:eastAsia="Arial" w:hAnsi="Arial"/>
          <w:sz w:val="18"/>
          <w:szCs w:val="18"/>
          <w:i w:val="1"/>
          <w:iCs w:val="1"/>
          <w:color w:val="auto"/>
        </w:rPr>
        <w:t xml:space="preserve">% Senior Notes due 2022. </w:t>
      </w:r>
      <w:r>
        <w:rPr>
          <w:rFonts w:ascii="Arial" w:cs="Arial" w:eastAsia="Arial" w:hAnsi="Arial"/>
          <w:sz w:val="18"/>
          <w:szCs w:val="18"/>
          <w:color w:val="auto"/>
        </w:rPr>
        <w:t>In May 2014, the Company issued $400 million of 5⅛% Senior Notes due 2022 at par. In June 2014,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used the proceeds to repurchase the remaining $395 million principal amount of its 8¼% Senior Notes. The notes were issued at par, with interest payable semi-annually. The Company has the right to redeem these notes in whole or in part at any time on or after June 1, 2017 at specified redemption prices plus accrued interest.</w:t>
      </w:r>
    </w:p>
    <w:p>
      <w:pPr>
        <w:spacing w:after="0" w:line="180" w:lineRule="exact"/>
        <w:rPr>
          <w:sz w:val="20"/>
          <w:szCs w:val="20"/>
          <w:color w:val="auto"/>
        </w:rPr>
      </w:pPr>
    </w:p>
    <w:p>
      <w:pPr>
        <w:ind w:left="500" w:right="320"/>
        <w:spacing w:after="0" w:line="282" w:lineRule="auto"/>
        <w:rPr>
          <w:sz w:val="20"/>
          <w:szCs w:val="20"/>
          <w:color w:val="auto"/>
        </w:rPr>
      </w:pPr>
      <w:r>
        <w:rPr>
          <w:rFonts w:ascii="Arial" w:cs="Arial" w:eastAsia="Arial" w:hAnsi="Arial"/>
          <w:sz w:val="18"/>
          <w:szCs w:val="18"/>
          <w:i w:val="1"/>
          <w:iCs w:val="1"/>
          <w:color w:val="auto"/>
        </w:rPr>
        <w:t xml:space="preserve">5½% Senior Notes due 2023. </w:t>
      </w:r>
      <w:r>
        <w:rPr>
          <w:rFonts w:ascii="Arial" w:cs="Arial" w:eastAsia="Arial" w:hAnsi="Arial"/>
          <w:sz w:val="18"/>
          <w:szCs w:val="18"/>
          <w:color w:val="auto"/>
        </w:rPr>
        <w:t>In April 2013, the Company completed an offering of $500 million of 5½% Senior Notes due April 2023.</w:t>
      </w:r>
      <w:r>
        <w:rPr>
          <w:rFonts w:ascii="Arial" w:cs="Arial" w:eastAsia="Arial" w:hAnsi="Arial"/>
          <w:sz w:val="18"/>
          <w:szCs w:val="18"/>
          <w:i w:val="1"/>
          <w:iCs w:val="1"/>
          <w:color w:val="auto"/>
        </w:rPr>
        <w:t xml:space="preserve"> </w:t>
      </w:r>
      <w:r>
        <w:rPr>
          <w:rFonts w:ascii="Arial" w:cs="Arial" w:eastAsia="Arial" w:hAnsi="Arial"/>
          <w:sz w:val="18"/>
          <w:szCs w:val="18"/>
          <w:color w:val="auto"/>
        </w:rPr>
        <w:t>The notes were issued at par, with interest payable semi-annually. The</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400"/>
          </w:cols>
          <w:pgMar w:left="240" w:top="140" w:right="259" w:bottom="1440" w:gutter="0" w:footer="0" w:header="0"/>
        </w:sectPr>
      </w:pPr>
    </w:p>
    <w:bookmarkStart w:id="96" w:name="page97"/>
    <w:bookmarkEnd w:id="9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left="500" w:right="360"/>
        <w:spacing w:after="0" w:line="262" w:lineRule="auto"/>
        <w:rPr>
          <w:sz w:val="20"/>
          <w:szCs w:val="20"/>
          <w:color w:val="auto"/>
        </w:rPr>
      </w:pPr>
      <w:r>
        <w:rPr>
          <w:rFonts w:ascii="Arial" w:cs="Arial" w:eastAsia="Arial" w:hAnsi="Arial"/>
          <w:sz w:val="18"/>
          <w:szCs w:val="18"/>
          <w:color w:val="auto"/>
        </w:rPr>
        <w:t>Company has the right to redeem these notes in whole or in part on or after April 1, 2018 at specified redemption prices plus accrued interest.</w:t>
      </w:r>
    </w:p>
    <w:p>
      <w:pPr>
        <w:spacing w:after="0" w:line="196" w:lineRule="exact"/>
        <w:rPr>
          <w:sz w:val="20"/>
          <w:szCs w:val="20"/>
          <w:color w:val="auto"/>
        </w:rPr>
      </w:pPr>
    </w:p>
    <w:p>
      <w:pPr>
        <w:ind w:left="500" w:right="20"/>
        <w:spacing w:after="0" w:line="254" w:lineRule="auto"/>
        <w:rPr>
          <w:sz w:val="20"/>
          <w:szCs w:val="20"/>
          <w:color w:val="auto"/>
        </w:rPr>
      </w:pPr>
      <w:r>
        <w:rPr>
          <w:rFonts w:ascii="Arial" w:cs="Arial" w:eastAsia="Arial" w:hAnsi="Arial"/>
          <w:sz w:val="18"/>
          <w:szCs w:val="18"/>
          <w:color w:val="auto"/>
        </w:rPr>
        <w:t>In November 2014, the Company issued $175 million of additional 5½% Senior Notes due 2023 at 99.625% of their face value, with interest payable semi-annually. The Company has the right to redeem these notes in whole or in part on or after April 1, 2018 at specified redemption prices plus accrued interest. The Company used the proceeds from the issuance to partially fund the acquisition of its Budget licensee for Southern California and Las Vegas.</w:t>
      </w:r>
    </w:p>
    <w:p>
      <w:pPr>
        <w:spacing w:after="0" w:line="186" w:lineRule="exact"/>
        <w:rPr>
          <w:sz w:val="20"/>
          <w:szCs w:val="20"/>
          <w:color w:val="auto"/>
        </w:rPr>
      </w:pPr>
    </w:p>
    <w:p>
      <w:pPr>
        <w:ind w:left="500" w:right="260"/>
        <w:spacing w:after="0" w:line="261" w:lineRule="auto"/>
        <w:rPr>
          <w:sz w:val="20"/>
          <w:szCs w:val="20"/>
          <w:color w:val="auto"/>
        </w:rPr>
      </w:pPr>
      <w:r>
        <w:rPr>
          <w:rFonts w:ascii="Arial" w:cs="Arial" w:eastAsia="Arial" w:hAnsi="Arial"/>
          <w:sz w:val="18"/>
          <w:szCs w:val="18"/>
          <w:i w:val="1"/>
          <w:iCs w:val="1"/>
          <w:color w:val="auto"/>
        </w:rPr>
        <w:t>6⅜% Senior Notes due 2024</w:t>
      </w:r>
      <w:r>
        <w:rPr>
          <w:rFonts w:ascii="Arial" w:cs="Arial" w:eastAsia="Arial" w:hAnsi="Arial"/>
          <w:sz w:val="18"/>
          <w:szCs w:val="18"/>
          <w:color w:val="auto"/>
        </w:rPr>
        <w:t>. In March 2016, the Company issued $ 350 million of 6⅜% Senior Notes due 2024 at par, with interest</w:t>
      </w:r>
      <w:r>
        <w:rPr>
          <w:rFonts w:ascii="Arial" w:cs="Arial" w:eastAsia="Arial" w:hAnsi="Arial"/>
          <w:sz w:val="18"/>
          <w:szCs w:val="18"/>
          <w:i w:val="1"/>
          <w:iCs w:val="1"/>
          <w:color w:val="auto"/>
        </w:rPr>
        <w:t xml:space="preserve"> </w:t>
      </w:r>
      <w:r>
        <w:rPr>
          <w:rFonts w:ascii="Arial" w:cs="Arial" w:eastAsia="Arial" w:hAnsi="Arial"/>
          <w:sz w:val="18"/>
          <w:szCs w:val="18"/>
          <w:color w:val="auto"/>
        </w:rPr>
        <w:t>payable semi-annually. The Company has the right to redeem these notes in whole or in part at any time on or after April 1, 2019 at specified redemption prices plus accrued interest. In May 2016, the Company used the net proceeds from the offering to redeem $300 million principal amount of its previous 4⅞% Senior Notes and for general corporate purposes.</w:t>
      </w:r>
    </w:p>
    <w:p>
      <w:pPr>
        <w:spacing w:after="0" w:line="180" w:lineRule="exact"/>
        <w:rPr>
          <w:sz w:val="20"/>
          <w:szCs w:val="20"/>
          <w:color w:val="auto"/>
        </w:rPr>
      </w:pPr>
    </w:p>
    <w:p>
      <w:pPr>
        <w:ind w:left="500"/>
        <w:spacing w:after="0" w:line="255" w:lineRule="auto"/>
        <w:rPr>
          <w:sz w:val="20"/>
          <w:szCs w:val="20"/>
          <w:color w:val="auto"/>
        </w:rPr>
      </w:pPr>
      <w:r>
        <w:rPr>
          <w:rFonts w:ascii="Arial" w:cs="Arial" w:eastAsia="Arial" w:hAnsi="Arial"/>
          <w:sz w:val="18"/>
          <w:szCs w:val="18"/>
          <w:i w:val="1"/>
          <w:iCs w:val="1"/>
          <w:color w:val="auto"/>
        </w:rPr>
        <w:t xml:space="preserve">4⅛% euro-denominated Senior Notes due 2024. </w:t>
      </w:r>
      <w:r>
        <w:rPr>
          <w:rFonts w:ascii="Arial" w:cs="Arial" w:eastAsia="Arial" w:hAnsi="Arial"/>
          <w:sz w:val="18"/>
          <w:szCs w:val="18"/>
          <w:color w:val="auto"/>
        </w:rPr>
        <w:t>In September 2016, the Company issued €300 million (approximately $337 million, at</w:t>
      </w:r>
      <w:r>
        <w:rPr>
          <w:rFonts w:ascii="Arial" w:cs="Arial" w:eastAsia="Arial" w:hAnsi="Arial"/>
          <w:sz w:val="18"/>
          <w:szCs w:val="18"/>
          <w:i w:val="1"/>
          <w:iCs w:val="1"/>
          <w:color w:val="auto"/>
        </w:rPr>
        <w:t xml:space="preserve"> </w:t>
      </w:r>
      <w:r>
        <w:rPr>
          <w:rFonts w:ascii="Arial" w:cs="Arial" w:eastAsia="Arial" w:hAnsi="Arial"/>
          <w:sz w:val="18"/>
          <w:szCs w:val="18"/>
          <w:color w:val="auto"/>
        </w:rPr>
        <w:t>issuance) of 4⅛% euro-denominated Senior Notes due 2024 at par, with interest payable semi-annually. The notes are unsecured obligations of the Company’s Avis Budget Finance plc subsidiary, are guaranteed on a senior basis by the Company and certain of its domestic subsidiaries and rank equally with all of the Company’s existing senior unsecured debt. The Company has the right to redeem these notes in whole or in part at any time on or after November 15, 2019 at specified redemption prices plus accrued interest. In October 2016, the Company used the net proceeds from the offering primarily to redeem €275 million of its outstanding 6% euro-denominated Senior Notes due 2021.</w:t>
      </w:r>
    </w:p>
    <w:p>
      <w:pPr>
        <w:spacing w:after="0" w:line="189" w:lineRule="exact"/>
        <w:rPr>
          <w:sz w:val="20"/>
          <w:szCs w:val="20"/>
          <w:color w:val="auto"/>
        </w:rPr>
      </w:pPr>
    </w:p>
    <w:p>
      <w:pPr>
        <w:ind w:left="500" w:right="260"/>
        <w:spacing w:after="0" w:line="261" w:lineRule="auto"/>
        <w:rPr>
          <w:sz w:val="20"/>
          <w:szCs w:val="20"/>
          <w:color w:val="auto"/>
        </w:rPr>
      </w:pPr>
      <w:r>
        <w:rPr>
          <w:rFonts w:ascii="Arial" w:cs="Arial" w:eastAsia="Arial" w:hAnsi="Arial"/>
          <w:sz w:val="18"/>
          <w:szCs w:val="18"/>
          <w:i w:val="1"/>
          <w:iCs w:val="1"/>
          <w:color w:val="auto"/>
        </w:rPr>
        <w:t>5¼% Senior Notes due 2025</w:t>
      </w:r>
      <w:r>
        <w:rPr>
          <w:rFonts w:ascii="Arial" w:cs="Arial" w:eastAsia="Arial" w:hAnsi="Arial"/>
          <w:sz w:val="18"/>
          <w:szCs w:val="18"/>
          <w:color w:val="auto"/>
        </w:rPr>
        <w:t>. In March 2015, the Company issued $ 375 million of 5¼% Senior Notes due 2025 at par, with interest</w:t>
      </w:r>
      <w:r>
        <w:rPr>
          <w:rFonts w:ascii="Arial" w:cs="Arial" w:eastAsia="Arial" w:hAnsi="Arial"/>
          <w:sz w:val="18"/>
          <w:szCs w:val="18"/>
          <w:i w:val="1"/>
          <w:iCs w:val="1"/>
          <w:color w:val="auto"/>
        </w:rPr>
        <w:t xml:space="preserve"> </w:t>
      </w:r>
      <w:r>
        <w:rPr>
          <w:rFonts w:ascii="Arial" w:cs="Arial" w:eastAsia="Arial" w:hAnsi="Arial"/>
          <w:sz w:val="18"/>
          <w:szCs w:val="18"/>
          <w:color w:val="auto"/>
        </w:rPr>
        <w:t>payable semi-annually. The Company has the right to redeem these notes in whole or in part at any time on or after March 15, 2020 at specified redemption prices plus accrued interest. In April 2015, the Company used net proceeds from the offering to redeem the remaining $223 million principal amount of its 9¾% Senior Notes and to partially fund the acquisition of Maggiore.</w:t>
      </w:r>
    </w:p>
    <w:p>
      <w:pPr>
        <w:spacing w:after="0" w:line="180" w:lineRule="exact"/>
        <w:rPr>
          <w:sz w:val="20"/>
          <w:szCs w:val="20"/>
          <w:color w:val="auto"/>
        </w:rPr>
      </w:pPr>
    </w:p>
    <w:p>
      <w:pPr>
        <w:ind w:left="500" w:right="40"/>
        <w:spacing w:after="0" w:line="255" w:lineRule="auto"/>
        <w:rPr>
          <w:sz w:val="20"/>
          <w:szCs w:val="20"/>
          <w:color w:val="auto"/>
        </w:rPr>
      </w:pPr>
      <w:r>
        <w:rPr>
          <w:rFonts w:ascii="Arial" w:cs="Arial" w:eastAsia="Arial" w:hAnsi="Arial"/>
          <w:sz w:val="18"/>
          <w:szCs w:val="18"/>
          <w:i w:val="1"/>
          <w:iCs w:val="1"/>
          <w:color w:val="auto"/>
        </w:rPr>
        <w:t xml:space="preserve">4½% euro-denominated Senior Notes due 2025. </w:t>
      </w:r>
      <w:r>
        <w:rPr>
          <w:rFonts w:ascii="Arial" w:cs="Arial" w:eastAsia="Arial" w:hAnsi="Arial"/>
          <w:sz w:val="18"/>
          <w:szCs w:val="18"/>
          <w:color w:val="auto"/>
        </w:rPr>
        <w:t>In March 2017, the Company issued €250 million of 4½% euro-denominated Senior</w:t>
      </w:r>
      <w:r>
        <w:rPr>
          <w:rFonts w:ascii="Arial" w:cs="Arial" w:eastAsia="Arial" w:hAnsi="Arial"/>
          <w:sz w:val="18"/>
          <w:szCs w:val="18"/>
          <w:i w:val="1"/>
          <w:iCs w:val="1"/>
          <w:color w:val="auto"/>
        </w:rPr>
        <w:t xml:space="preserve"> </w:t>
      </w:r>
      <w:r>
        <w:rPr>
          <w:rFonts w:ascii="Arial" w:cs="Arial" w:eastAsia="Arial" w:hAnsi="Arial"/>
          <w:sz w:val="18"/>
          <w:szCs w:val="18"/>
          <w:color w:val="auto"/>
        </w:rPr>
        <w:t>Notes due 2025, at par, with interest payable semi-annually. The notes are unsecured obligations of the Company’s Avis Budget Finance plc subsidiary, are guaranteed on a senior basis by the Company and certain of its domestic subsidiaries and rank equally with all of the Company’s existing senior unsecured debt. The Company has the right to redeem these notes in whole or in part on or after May 15, 2020 at specified redemption prices plus accrued interest. In April 2017, the Company used the net proceeds from the offering to redeem its outstanding €175 million principal amount of 6% euro-denominated Senior Notes due 2021 for €180 million plus accrued interest. In June 2017, the Company used the remaining proceeds to redeem a portion of its Floating Rate Senior Notes due 2017.</w:t>
      </w:r>
    </w:p>
    <w:p>
      <w:pPr>
        <w:spacing w:after="0" w:line="207" w:lineRule="exact"/>
        <w:rPr>
          <w:sz w:val="20"/>
          <w:szCs w:val="20"/>
          <w:color w:val="auto"/>
        </w:rPr>
      </w:pPr>
    </w:p>
    <w:p>
      <w:pPr>
        <w:jc w:val="both"/>
        <w:ind w:left="500" w:right="200"/>
        <w:spacing w:after="0" w:line="256" w:lineRule="auto"/>
        <w:rPr>
          <w:sz w:val="20"/>
          <w:szCs w:val="20"/>
          <w:color w:val="auto"/>
        </w:rPr>
      </w:pPr>
      <w:r>
        <w:rPr>
          <w:rFonts w:ascii="Arial" w:cs="Arial" w:eastAsia="Arial" w:hAnsi="Arial"/>
          <w:sz w:val="18"/>
          <w:szCs w:val="18"/>
          <w:color w:val="auto"/>
        </w:rPr>
        <w:t>The 5⅛% Senior Notes, the 5½% Senior Notes, 6⅜% Senior Notes and the 5¼% Senior Notes are senior unsecured obligations of the Company’s Avis Budget Car Rental, LLC (“ABCR”) subsidiary, are guaranteed by the Company and certain of its domestic subsidiaries and rank equally in right of payment with all of the Company’s existing and future senior unsecured indebtedness.</w:t>
      </w:r>
    </w:p>
    <w:p>
      <w:pPr>
        <w:spacing w:after="0" w:line="202" w:lineRule="exact"/>
        <w:rPr>
          <w:sz w:val="20"/>
          <w:szCs w:val="20"/>
          <w:color w:val="auto"/>
        </w:rPr>
      </w:pPr>
    </w:p>
    <w:p>
      <w:pPr>
        <w:ind w:left="500" w:right="640"/>
        <w:spacing w:after="0" w:line="262" w:lineRule="auto"/>
        <w:rPr>
          <w:sz w:val="20"/>
          <w:szCs w:val="20"/>
          <w:color w:val="auto"/>
        </w:rPr>
      </w:pPr>
      <w:r>
        <w:rPr>
          <w:rFonts w:ascii="Arial" w:cs="Arial" w:eastAsia="Arial" w:hAnsi="Arial"/>
          <w:sz w:val="18"/>
          <w:szCs w:val="18"/>
          <w:color w:val="auto"/>
        </w:rPr>
        <w:t>In connection with the debt amendments and repayments for the years ended December 31, 2017, 2016 and 2015, the Company recorded $3 million, $27 million and $23 million in early extinguishment of debt costs, respectively.</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420"/>
          </w:cols>
          <w:pgMar w:left="240" w:top="140" w:right="239" w:bottom="1440" w:gutter="0" w:footer="0" w:header="0"/>
        </w:sectPr>
      </w:pPr>
    </w:p>
    <w:bookmarkStart w:id="97" w:name="page98"/>
    <w:bookmarkEnd w:id="97"/>
    <w:tbl>
      <w:tblPr>
        <w:tblLayout w:type="fixed"/>
        <w:tblInd w:w="0" w:type="dxa"/>
        <w:tblCellMar>
          <w:top w:w="0" w:type="dxa"/>
          <w:left w:w="0" w:type="dxa"/>
          <w:bottom w:w="0" w:type="dxa"/>
          <w:right w:w="0" w:type="dxa"/>
        </w:tblCellMar>
      </w:tblPr>
      <w:tr>
        <w:trPr>
          <w:trHeight w:val="207"/>
        </w:trPr>
        <w:tc>
          <w:tcPr>
            <w:tcW w:w="936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
        </w:trPr>
        <w:tc>
          <w:tcPr>
            <w:tcW w:w="1400" w:type="dxa"/>
            <w:vAlign w:val="bottom"/>
            <w:shd w:val="clear" w:color="auto" w:fill="0000EE"/>
          </w:tcPr>
          <w:p>
            <w:pPr>
              <w:spacing w:after="0" w:line="20" w:lineRule="exact"/>
              <w:rPr>
                <w:sz w:val="1"/>
                <w:szCs w:val="1"/>
                <w:color w:val="auto"/>
              </w:rPr>
            </w:pPr>
          </w:p>
        </w:tc>
        <w:tc>
          <w:tcPr>
            <w:tcW w:w="79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642"/>
        </w:trPr>
        <w:tc>
          <w:tcPr>
            <w:tcW w:w="9360" w:type="dxa"/>
            <w:vAlign w:val="bottom"/>
            <w:gridSpan w:val="2"/>
          </w:tcPr>
          <w:p>
            <w:pPr>
              <w:ind w:left="500"/>
              <w:spacing w:after="0"/>
              <w:rPr>
                <w:sz w:val="20"/>
                <w:szCs w:val="20"/>
                <w:color w:val="auto"/>
              </w:rPr>
            </w:pPr>
            <w:r>
              <w:rPr>
                <w:rFonts w:ascii="Arial" w:cs="Arial" w:eastAsia="Arial" w:hAnsi="Arial"/>
                <w:sz w:val="18"/>
                <w:szCs w:val="18"/>
                <w:b w:val="1"/>
                <w:bCs w:val="1"/>
                <w:color w:val="auto"/>
              </w:rPr>
              <w:t>Debt Maturities</w:t>
            </w: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378"/>
        </w:trPr>
        <w:tc>
          <w:tcPr>
            <w:tcW w:w="9360" w:type="dxa"/>
            <w:vAlign w:val="bottom"/>
            <w:gridSpan w:val="2"/>
          </w:tcPr>
          <w:p>
            <w:pPr>
              <w:ind w:left="500"/>
              <w:spacing w:after="0"/>
              <w:rPr>
                <w:sz w:val="20"/>
                <w:szCs w:val="20"/>
                <w:color w:val="auto"/>
              </w:rPr>
            </w:pPr>
            <w:r>
              <w:rPr>
                <w:rFonts w:ascii="Arial" w:cs="Arial" w:eastAsia="Arial" w:hAnsi="Arial"/>
                <w:sz w:val="18"/>
                <w:szCs w:val="18"/>
                <w:color w:val="auto"/>
              </w:rPr>
              <w:t>The following table provides contractual maturities of the Company’s corporate debt at December 31, 2017:</w:t>
            </w: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385"/>
        </w:trPr>
        <w:tc>
          <w:tcPr>
            <w:tcW w:w="9360" w:type="dxa"/>
            <w:vAlign w:val="bottom"/>
            <w:gridSpan w:val="2"/>
          </w:tcPr>
          <w:p>
            <w:pPr>
              <w:ind w:left="520"/>
              <w:spacing w:after="0"/>
              <w:rPr>
                <w:sz w:val="20"/>
                <w:szCs w:val="20"/>
                <w:color w:val="auto"/>
              </w:rPr>
            </w:pPr>
            <w:r>
              <w:rPr>
                <w:rFonts w:ascii="Arial" w:cs="Arial" w:eastAsia="Arial" w:hAnsi="Arial"/>
                <w:sz w:val="18"/>
                <w:szCs w:val="18"/>
                <w:b w:val="1"/>
                <w:bCs w:val="1"/>
                <w:color w:val="auto"/>
              </w:rPr>
              <w:t>Year</w:t>
            </w:r>
          </w:p>
        </w:tc>
        <w:tc>
          <w:tcPr>
            <w:tcW w:w="2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Amount</w:t>
            </w:r>
          </w:p>
        </w:tc>
      </w:tr>
      <w:tr>
        <w:trPr>
          <w:trHeight w:val="243"/>
        </w:trPr>
        <w:tc>
          <w:tcPr>
            <w:tcW w:w="1400" w:type="dxa"/>
            <w:vAlign w:val="bottom"/>
          </w:tcPr>
          <w:p>
            <w:pPr>
              <w:ind w:left="520"/>
              <w:spacing w:after="0"/>
              <w:rPr>
                <w:sz w:val="20"/>
                <w:szCs w:val="20"/>
                <w:color w:val="auto"/>
              </w:rPr>
            </w:pPr>
            <w:r>
              <w:rPr>
                <w:rFonts w:ascii="Arial" w:cs="Arial" w:eastAsia="Arial" w:hAnsi="Arial"/>
                <w:sz w:val="18"/>
                <w:szCs w:val="18"/>
                <w:color w:val="auto"/>
              </w:rPr>
              <w:t>2018</w:t>
            </w:r>
          </w:p>
        </w:tc>
        <w:tc>
          <w:tcPr>
            <w:tcW w:w="7960" w:type="dxa"/>
            <w:vAlign w:val="bottom"/>
          </w:tcPr>
          <w:p>
            <w:pPr>
              <w:spacing w:after="0"/>
              <w:rPr>
                <w:sz w:val="21"/>
                <w:szCs w:val="21"/>
                <w:color w:val="auto"/>
              </w:rPr>
            </w:pP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57"/>
        </w:trPr>
        <w:tc>
          <w:tcPr>
            <w:tcW w:w="1400" w:type="dxa"/>
            <w:vAlign w:val="bottom"/>
          </w:tcPr>
          <w:p>
            <w:pPr>
              <w:ind w:left="520"/>
              <w:spacing w:after="0"/>
              <w:rPr>
                <w:sz w:val="20"/>
                <w:szCs w:val="20"/>
                <w:color w:val="auto"/>
              </w:rPr>
            </w:pPr>
            <w:r>
              <w:rPr>
                <w:rFonts w:ascii="Arial" w:cs="Arial" w:eastAsia="Arial" w:hAnsi="Arial"/>
                <w:sz w:val="18"/>
                <w:szCs w:val="18"/>
                <w:color w:val="auto"/>
              </w:rPr>
              <w:t>2019</w:t>
            </w:r>
          </w:p>
        </w:tc>
        <w:tc>
          <w:tcPr>
            <w:tcW w:w="79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57"/>
        </w:trPr>
        <w:tc>
          <w:tcPr>
            <w:tcW w:w="1400" w:type="dxa"/>
            <w:vAlign w:val="bottom"/>
          </w:tcPr>
          <w:p>
            <w:pPr>
              <w:ind w:left="520"/>
              <w:spacing w:after="0"/>
              <w:rPr>
                <w:sz w:val="20"/>
                <w:szCs w:val="20"/>
                <w:color w:val="auto"/>
              </w:rPr>
            </w:pPr>
            <w:r>
              <w:rPr>
                <w:rFonts w:ascii="Arial" w:cs="Arial" w:eastAsia="Arial" w:hAnsi="Arial"/>
                <w:sz w:val="18"/>
                <w:szCs w:val="18"/>
                <w:color w:val="auto"/>
              </w:rPr>
              <w:t>2020</w:t>
            </w:r>
          </w:p>
        </w:tc>
        <w:tc>
          <w:tcPr>
            <w:tcW w:w="79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57"/>
        </w:trPr>
        <w:tc>
          <w:tcPr>
            <w:tcW w:w="1400" w:type="dxa"/>
            <w:vAlign w:val="bottom"/>
          </w:tcPr>
          <w:p>
            <w:pPr>
              <w:ind w:left="520"/>
              <w:spacing w:after="0"/>
              <w:rPr>
                <w:sz w:val="20"/>
                <w:szCs w:val="20"/>
                <w:color w:val="auto"/>
              </w:rPr>
            </w:pPr>
            <w:r>
              <w:rPr>
                <w:rFonts w:ascii="Arial" w:cs="Arial" w:eastAsia="Arial" w:hAnsi="Arial"/>
                <w:sz w:val="18"/>
                <w:szCs w:val="18"/>
                <w:color w:val="auto"/>
              </w:rPr>
              <w:t>2021</w:t>
            </w:r>
          </w:p>
        </w:tc>
        <w:tc>
          <w:tcPr>
            <w:tcW w:w="79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57"/>
        </w:trPr>
        <w:tc>
          <w:tcPr>
            <w:tcW w:w="1400" w:type="dxa"/>
            <w:vAlign w:val="bottom"/>
          </w:tcPr>
          <w:p>
            <w:pPr>
              <w:ind w:left="520"/>
              <w:spacing w:after="0"/>
              <w:rPr>
                <w:sz w:val="20"/>
                <w:szCs w:val="20"/>
                <w:color w:val="auto"/>
              </w:rPr>
            </w:pPr>
            <w:r>
              <w:rPr>
                <w:rFonts w:ascii="Arial" w:cs="Arial" w:eastAsia="Arial" w:hAnsi="Arial"/>
                <w:sz w:val="18"/>
                <w:szCs w:val="18"/>
                <w:color w:val="auto"/>
              </w:rPr>
              <w:t>2022</w:t>
            </w:r>
          </w:p>
        </w:tc>
        <w:tc>
          <w:tcPr>
            <w:tcW w:w="79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1,493</w:t>
            </w:r>
          </w:p>
        </w:tc>
      </w:tr>
      <w:tr>
        <w:trPr>
          <w:trHeight w:val="264"/>
        </w:trPr>
        <w:tc>
          <w:tcPr>
            <w:tcW w:w="9360" w:type="dxa"/>
            <w:vAlign w:val="bottom"/>
            <w:gridSpan w:val="2"/>
          </w:tcPr>
          <w:p>
            <w:pPr>
              <w:ind w:left="520"/>
              <w:spacing w:after="0"/>
              <w:rPr>
                <w:sz w:val="20"/>
                <w:szCs w:val="20"/>
                <w:color w:val="auto"/>
              </w:rPr>
            </w:pPr>
            <w:r>
              <w:rPr>
                <w:rFonts w:ascii="Arial" w:cs="Arial" w:eastAsia="Arial" w:hAnsi="Arial"/>
                <w:sz w:val="18"/>
                <w:szCs w:val="18"/>
                <w:color w:val="auto"/>
              </w:rPr>
              <w:t>Thereafter</w:t>
            </w:r>
          </w:p>
        </w:tc>
        <w:tc>
          <w:tcPr>
            <w:tcW w:w="2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2,076</w:t>
            </w:r>
          </w:p>
        </w:tc>
      </w:tr>
      <w:tr>
        <w:trPr>
          <w:trHeight w:val="250"/>
        </w:trPr>
        <w:tc>
          <w:tcPr>
            <w:tcW w:w="1400" w:type="dxa"/>
            <w:vAlign w:val="bottom"/>
          </w:tcPr>
          <w:p>
            <w:pPr>
              <w:spacing w:after="0"/>
              <w:rPr>
                <w:sz w:val="21"/>
                <w:szCs w:val="21"/>
                <w:color w:val="auto"/>
              </w:rPr>
            </w:pPr>
          </w:p>
        </w:tc>
        <w:tc>
          <w:tcPr>
            <w:tcW w:w="7960" w:type="dxa"/>
            <w:vAlign w:val="bottom"/>
          </w:tcPr>
          <w:p>
            <w:pPr>
              <w:spacing w:after="0"/>
              <w:rPr>
                <w:sz w:val="21"/>
                <w:szCs w:val="21"/>
                <w:color w:val="auto"/>
              </w:rPr>
            </w:pPr>
          </w:p>
        </w:tc>
        <w:tc>
          <w:tcPr>
            <w:tcW w:w="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3,645</w:t>
            </w:r>
          </w:p>
        </w:tc>
      </w:tr>
      <w:tr>
        <w:trPr>
          <w:trHeight w:val="20"/>
        </w:trPr>
        <w:tc>
          <w:tcPr>
            <w:tcW w:w="1400" w:type="dxa"/>
            <w:vAlign w:val="bottom"/>
          </w:tcPr>
          <w:p>
            <w:pPr>
              <w:spacing w:after="0" w:line="20" w:lineRule="exact"/>
              <w:rPr>
                <w:sz w:val="1"/>
                <w:szCs w:val="1"/>
                <w:color w:val="auto"/>
              </w:rPr>
            </w:pPr>
          </w:p>
        </w:tc>
        <w:tc>
          <w:tcPr>
            <w:tcW w:w="79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Committed Credit Facilities And Available Funding Arrangements</w:t>
      </w:r>
    </w:p>
    <w:p>
      <w:pPr>
        <w:spacing w:after="0" w:line="19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At December 31, 2017, the committed corporate credit facilities available to the Company and/or its subsidiaries were as follows:</w:t>
      </w:r>
    </w:p>
    <w:p>
      <w:pPr>
        <w:spacing w:after="0" w:line="154" w:lineRule="exact"/>
        <w:rPr>
          <w:sz w:val="20"/>
          <w:szCs w:val="20"/>
          <w:color w:val="auto"/>
        </w:rPr>
      </w:pPr>
    </w:p>
    <w:tbl>
      <w:tblPr>
        <w:tblLayout w:type="fixed"/>
        <w:tblInd w:w="500" w:type="dxa"/>
        <w:tblCellMar>
          <w:top w:w="0" w:type="dxa"/>
          <w:left w:w="0" w:type="dxa"/>
          <w:bottom w:w="0" w:type="dxa"/>
          <w:right w:w="0" w:type="dxa"/>
        </w:tblCellMar>
      </w:tblPr>
      <w:tr>
        <w:trPr>
          <w:trHeight w:val="189"/>
        </w:trPr>
        <w:tc>
          <w:tcPr>
            <w:tcW w:w="4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gridSpan w:val="2"/>
          </w:tcPr>
          <w:p>
            <w:pPr>
              <w:ind w:left="60"/>
              <w:spacing w:after="0"/>
              <w:rPr>
                <w:sz w:val="20"/>
                <w:szCs w:val="20"/>
                <w:color w:val="auto"/>
              </w:rPr>
            </w:pPr>
            <w:r>
              <w:rPr>
                <w:rFonts w:ascii="Arial" w:cs="Arial" w:eastAsia="Arial" w:hAnsi="Arial"/>
                <w:sz w:val="16"/>
                <w:szCs w:val="16"/>
                <w:b w:val="1"/>
                <w:bCs w:val="1"/>
                <w:color w:val="auto"/>
              </w:rPr>
              <w:t>Outstanding</w:t>
            </w:r>
          </w:p>
        </w:tc>
        <w:tc>
          <w:tcPr>
            <w:tcW w:w="1560" w:type="dxa"/>
            <w:vAlign w:val="bottom"/>
            <w:gridSpan w:val="3"/>
          </w:tcPr>
          <w:p>
            <w:pPr>
              <w:ind w:left="100"/>
              <w:spacing w:after="0"/>
              <w:rPr>
                <w:sz w:val="20"/>
                <w:szCs w:val="20"/>
                <w:color w:val="auto"/>
              </w:rPr>
            </w:pPr>
            <w:r>
              <w:rPr>
                <w:rFonts w:ascii="Arial" w:cs="Arial" w:eastAsia="Arial" w:hAnsi="Arial"/>
                <w:sz w:val="16"/>
                <w:szCs w:val="16"/>
                <w:b w:val="1"/>
                <w:bCs w:val="1"/>
                <w:color w:val="auto"/>
              </w:rPr>
              <w:t>Letters of Credit</w:t>
            </w:r>
          </w:p>
        </w:tc>
        <w:tc>
          <w:tcPr>
            <w:tcW w:w="240" w:type="dxa"/>
            <w:vAlign w:val="bottom"/>
          </w:tcPr>
          <w:p>
            <w:pPr>
              <w:spacing w:after="0"/>
              <w:rPr>
                <w:sz w:val="16"/>
                <w:szCs w:val="16"/>
                <w:color w:val="auto"/>
              </w:rPr>
            </w:pPr>
          </w:p>
        </w:tc>
        <w:tc>
          <w:tcPr>
            <w:tcW w:w="1200" w:type="dxa"/>
            <w:vAlign w:val="bottom"/>
          </w:tcPr>
          <w:p>
            <w:pPr>
              <w:jc w:val="right"/>
              <w:ind w:right="279"/>
              <w:spacing w:after="0"/>
              <w:rPr>
                <w:sz w:val="20"/>
                <w:szCs w:val="20"/>
                <w:color w:val="auto"/>
              </w:rPr>
            </w:pPr>
            <w:r>
              <w:rPr>
                <w:rFonts w:ascii="Arial" w:cs="Arial" w:eastAsia="Arial" w:hAnsi="Arial"/>
                <w:sz w:val="16"/>
                <w:szCs w:val="16"/>
                <w:b w:val="1"/>
                <w:bCs w:val="1"/>
                <w:color w:val="auto"/>
              </w:rPr>
              <w:t>Available</w:t>
            </w:r>
          </w:p>
        </w:tc>
      </w:tr>
      <w:tr>
        <w:trPr>
          <w:trHeight w:val="228"/>
        </w:trPr>
        <w:tc>
          <w:tcPr>
            <w:tcW w:w="4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Total Capacity</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Borrowings</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Issued</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Capacity</w:t>
            </w:r>
          </w:p>
        </w:tc>
      </w:tr>
      <w:tr>
        <w:trPr>
          <w:trHeight w:val="307"/>
        </w:trPr>
        <w:tc>
          <w:tcPr>
            <w:tcW w:w="4220" w:type="dxa"/>
            <w:vAlign w:val="bottom"/>
          </w:tcPr>
          <w:p>
            <w:pPr>
              <w:ind w:left="20"/>
              <w:spacing w:after="0"/>
              <w:rPr>
                <w:sz w:val="20"/>
                <w:szCs w:val="20"/>
                <w:color w:val="auto"/>
              </w:rPr>
            </w:pPr>
            <w:r>
              <w:rPr>
                <w:rFonts w:ascii="Arial" w:cs="Arial" w:eastAsia="Arial" w:hAnsi="Arial"/>
                <w:sz w:val="16"/>
                <w:szCs w:val="16"/>
                <w:color w:val="auto"/>
              </w:rPr>
              <w:t xml:space="preserve">Senior revolving credit facility maturing 2021 </w:t>
            </w:r>
            <w:r>
              <w:rPr>
                <w:rFonts w:ascii="Arial" w:cs="Arial" w:eastAsia="Arial" w:hAnsi="Arial"/>
                <w:sz w:val="21"/>
                <w:szCs w:val="21"/>
                <w:color w:val="auto"/>
                <w:vertAlign w:val="superscript"/>
              </w:rPr>
              <w:t>(a)</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1,800</w:t>
            </w:r>
          </w:p>
        </w:tc>
        <w:tc>
          <w:tcPr>
            <w:tcW w:w="12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782</w:t>
            </w:r>
          </w:p>
        </w:tc>
        <w:tc>
          <w:tcPr>
            <w:tcW w:w="100" w:type="dxa"/>
            <w:vAlign w:val="bottom"/>
          </w:tcPr>
          <w:p>
            <w:pPr>
              <w:spacing w:after="0"/>
              <w:rPr>
                <w:sz w:val="24"/>
                <w:szCs w:val="24"/>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1,018</w:t>
            </w:r>
          </w:p>
        </w:tc>
      </w:tr>
      <w:tr>
        <w:trPr>
          <w:trHeight w:val="272"/>
        </w:trPr>
        <w:tc>
          <w:tcPr>
            <w:tcW w:w="4220" w:type="dxa"/>
            <w:vAlign w:val="bottom"/>
          </w:tcPr>
          <w:p>
            <w:pPr>
              <w:ind w:left="20"/>
              <w:spacing w:after="0"/>
              <w:rPr>
                <w:sz w:val="20"/>
                <w:szCs w:val="20"/>
                <w:color w:val="auto"/>
              </w:rPr>
            </w:pPr>
            <w:r>
              <w:rPr>
                <w:rFonts w:ascii="Arial" w:cs="Arial" w:eastAsia="Arial" w:hAnsi="Arial"/>
                <w:sz w:val="16"/>
                <w:szCs w:val="16"/>
                <w:color w:val="auto"/>
              </w:rPr>
              <w:t xml:space="preserve">Other facilities </w:t>
            </w:r>
            <w:r>
              <w:rPr>
                <w:rFonts w:ascii="Arial" w:cs="Arial" w:eastAsia="Arial" w:hAnsi="Arial"/>
                <w:sz w:val="21"/>
                <w:szCs w:val="21"/>
                <w:color w:val="auto"/>
                <w:vertAlign w:val="superscript"/>
              </w:rPr>
              <w:t>(b)</w:t>
            </w:r>
          </w:p>
        </w:tc>
        <w:tc>
          <w:tcPr>
            <w:tcW w:w="14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4220" w:type="dxa"/>
            <w:vAlign w:val="bottom"/>
          </w:tcPr>
          <w:p>
            <w:pPr>
              <w:spacing w:after="0"/>
              <w:rPr>
                <w:sz w:val="20"/>
                <w:szCs w:val="20"/>
                <w:color w:val="auto"/>
              </w:rPr>
            </w:pPr>
            <w:r>
              <w:rPr>
                <w:rFonts w:ascii="Arial" w:cs="Arial" w:eastAsia="Arial" w:hAnsi="Arial"/>
                <w:sz w:val="18"/>
                <w:szCs w:val="18"/>
                <w:color w:val="auto"/>
              </w:rPr>
              <w:t>__________</w:t>
            </w: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r>
    </w:tbl>
    <w:p>
      <w:pPr>
        <w:spacing w:after="0" w:line="5" w:lineRule="exact"/>
        <w:rPr>
          <w:sz w:val="20"/>
          <w:szCs w:val="20"/>
          <w:color w:val="auto"/>
        </w:rPr>
      </w:pPr>
    </w:p>
    <w:p>
      <w:pPr>
        <w:ind w:left="820" w:hanging="326"/>
        <w:spacing w:after="0"/>
        <w:tabs>
          <w:tab w:leader="none" w:pos="820" w:val="left"/>
        </w:tabs>
        <w:numPr>
          <w:ilvl w:val="0"/>
          <w:numId w:val="78"/>
        </w:numPr>
        <w:rPr>
          <w:rFonts w:ascii="Arial" w:cs="Arial" w:eastAsia="Arial" w:hAnsi="Arial"/>
          <w:sz w:val="18"/>
          <w:szCs w:val="18"/>
          <w:color w:val="auto"/>
          <w:vertAlign w:val="superscript"/>
        </w:rPr>
      </w:pPr>
      <w:r>
        <w:rPr>
          <w:rFonts w:ascii="Arial" w:cs="Arial" w:eastAsia="Arial" w:hAnsi="Arial"/>
          <w:sz w:val="14"/>
          <w:szCs w:val="14"/>
          <w:color w:val="auto"/>
        </w:rPr>
        <w:t>The senior revolving credit facility bears interest at one-month LIBOR plus 200 basis points and is part of the Company’s senior credit facility, which is secured by pledges of capital stock of certain subsidiaries of the Company, and liens on substantially all of the Company’s intellectual property and certain other real and personal property.</w:t>
      </w:r>
    </w:p>
    <w:p>
      <w:pPr>
        <w:spacing w:after="0" w:line="118" w:lineRule="exact"/>
        <w:rPr>
          <w:rFonts w:ascii="Arial" w:cs="Arial" w:eastAsia="Arial" w:hAnsi="Arial"/>
          <w:sz w:val="18"/>
          <w:szCs w:val="18"/>
          <w:color w:val="auto"/>
          <w:vertAlign w:val="superscript"/>
        </w:rPr>
      </w:pPr>
    </w:p>
    <w:p>
      <w:pPr>
        <w:ind w:left="820" w:hanging="326"/>
        <w:spacing w:after="0" w:line="199" w:lineRule="auto"/>
        <w:tabs>
          <w:tab w:leader="none" w:pos="820" w:val="left"/>
        </w:tabs>
        <w:numPr>
          <w:ilvl w:val="0"/>
          <w:numId w:val="78"/>
        </w:numPr>
        <w:rPr>
          <w:rFonts w:ascii="Arial" w:cs="Arial" w:eastAsia="Arial" w:hAnsi="Arial"/>
          <w:sz w:val="18"/>
          <w:szCs w:val="18"/>
          <w:color w:val="auto"/>
          <w:vertAlign w:val="superscript"/>
        </w:rPr>
      </w:pPr>
      <w:r>
        <w:rPr>
          <w:rFonts w:ascii="Arial" w:cs="Arial" w:eastAsia="Arial" w:hAnsi="Arial"/>
          <w:sz w:val="14"/>
          <w:szCs w:val="14"/>
          <w:color w:val="auto"/>
        </w:rPr>
        <w:t>These facilities encompass bank overdraft lines of credit, bearing interest of 3.10% to 3.18% as of December 31, 2017.</w:t>
      </w:r>
    </w:p>
    <w:p>
      <w:pPr>
        <w:spacing w:after="0" w:line="201" w:lineRule="exact"/>
        <w:rPr>
          <w:sz w:val="20"/>
          <w:szCs w:val="20"/>
          <w:color w:val="auto"/>
        </w:rPr>
      </w:pPr>
    </w:p>
    <w:p>
      <w:pPr>
        <w:ind w:left="500" w:right="100"/>
        <w:spacing w:after="0" w:line="262" w:lineRule="auto"/>
        <w:rPr>
          <w:sz w:val="20"/>
          <w:szCs w:val="20"/>
          <w:color w:val="auto"/>
        </w:rPr>
      </w:pPr>
      <w:r>
        <w:rPr>
          <w:rFonts w:ascii="Arial" w:cs="Arial" w:eastAsia="Arial" w:hAnsi="Arial"/>
          <w:sz w:val="18"/>
          <w:szCs w:val="18"/>
          <w:color w:val="auto"/>
        </w:rPr>
        <w:t>At December 31, 2017 and 2016, the Company had various uncommitted credit facilities available, which bear interest at rates of 0.75% to 5.25%, under which it had drawn approximately $2 million and $5 million, respectively.</w:t>
      </w:r>
    </w:p>
    <w:p>
      <w:pPr>
        <w:spacing w:after="0" w:line="174"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Debt Covenants</w:t>
      </w:r>
    </w:p>
    <w:p>
      <w:pPr>
        <w:spacing w:after="0" w:line="247" w:lineRule="exact"/>
        <w:rPr>
          <w:sz w:val="20"/>
          <w:szCs w:val="20"/>
          <w:color w:val="auto"/>
        </w:rPr>
      </w:pPr>
    </w:p>
    <w:p>
      <w:pPr>
        <w:ind w:left="500" w:right="160"/>
        <w:spacing w:after="0" w:line="253" w:lineRule="auto"/>
        <w:rPr>
          <w:sz w:val="20"/>
          <w:szCs w:val="20"/>
          <w:color w:val="auto"/>
        </w:rPr>
      </w:pPr>
      <w:r>
        <w:rPr>
          <w:rFonts w:ascii="Arial" w:cs="Arial" w:eastAsia="Arial" w:hAnsi="Arial"/>
          <w:sz w:val="18"/>
          <w:szCs w:val="18"/>
          <w:color w:val="auto"/>
        </w:rPr>
        <w:t>The agreements governing the Company’s indebtedness contain restrictive covenants, including restrictions on dividends paid to the Company by certain of its subsidiaries, the incurrence of additional indebtedness by the Company and certain of its subsidiaries, acquisitions, mergers, liquidations, and sale and leaseback transactions. The Company’s senior credit facility also contains a maximum leverage ratio requirement. As of December 31, 2017, the Company was in compliance with the financial covenants governing its indebtedness.</w:t>
      </w:r>
    </w:p>
    <w:p>
      <w:pPr>
        <w:spacing w:after="0" w:line="184" w:lineRule="exact"/>
        <w:rPr>
          <w:sz w:val="20"/>
          <w:szCs w:val="20"/>
          <w:color w:val="auto"/>
        </w:rPr>
      </w:pPr>
    </w:p>
    <w:p>
      <w:pPr>
        <w:ind w:left="500" w:hanging="492"/>
        <w:spacing w:after="0"/>
        <w:tabs>
          <w:tab w:leader="none" w:pos="500" w:val="left"/>
        </w:tabs>
        <w:numPr>
          <w:ilvl w:val="0"/>
          <w:numId w:val="79"/>
        </w:numPr>
        <w:rPr>
          <w:rFonts w:ascii="Arial" w:cs="Arial" w:eastAsia="Arial" w:hAnsi="Arial"/>
          <w:sz w:val="18"/>
          <w:szCs w:val="18"/>
          <w:b w:val="1"/>
          <w:bCs w:val="1"/>
          <w:color w:val="auto"/>
        </w:rPr>
      </w:pPr>
      <w:r>
        <w:rPr>
          <w:rFonts w:ascii="Arial" w:cs="Arial" w:eastAsia="Arial" w:hAnsi="Arial"/>
          <w:sz w:val="18"/>
          <w:szCs w:val="18"/>
          <w:b w:val="1"/>
          <w:bCs w:val="1"/>
          <w:color w:val="auto"/>
        </w:rPr>
        <w:t>Debt under Vehicle Programs and Borrowing Arrangements</w:t>
      </w:r>
    </w:p>
    <w:p>
      <w:pPr>
        <w:spacing w:after="0" w:line="193" w:lineRule="exact"/>
        <w:rPr>
          <w:rFonts w:ascii="Arial" w:cs="Arial" w:eastAsia="Arial" w:hAnsi="Arial"/>
          <w:sz w:val="18"/>
          <w:szCs w:val="18"/>
          <w:b w:val="1"/>
          <w:bCs w:val="1"/>
          <w:color w:val="auto"/>
        </w:rPr>
      </w:pPr>
    </w:p>
    <w:p>
      <w:pPr>
        <w:ind w:left="500" w:right="280"/>
        <w:spacing w:after="0" w:line="262" w:lineRule="auto"/>
        <w:rPr>
          <w:rFonts w:ascii="Arial" w:cs="Arial" w:eastAsia="Arial" w:hAnsi="Arial"/>
          <w:sz w:val="18"/>
          <w:szCs w:val="18"/>
          <w:b w:val="1"/>
          <w:bCs w:val="1"/>
          <w:color w:val="auto"/>
        </w:rPr>
      </w:pPr>
      <w:r>
        <w:rPr>
          <w:rFonts w:ascii="Arial" w:cs="Arial" w:eastAsia="Arial" w:hAnsi="Arial"/>
          <w:sz w:val="18"/>
          <w:szCs w:val="18"/>
          <w:color w:val="auto"/>
        </w:rPr>
        <w:t>Debt under vehicle programs, including related party debt due to Avis Budget Rental Car Funding (AESOP) LLC (“Avis Budget Rental Car Funding”), consisted of:</w:t>
      </w:r>
    </w:p>
    <w:p>
      <w:pPr>
        <w:spacing w:after="0" w:line="134" w:lineRule="exact"/>
        <w:rPr>
          <w:sz w:val="20"/>
          <w:szCs w:val="20"/>
          <w:color w:val="auto"/>
        </w:rPr>
      </w:pPr>
    </w:p>
    <w:tbl>
      <w:tblPr>
        <w:tblLayout w:type="fixed"/>
        <w:tblInd w:w="500" w:type="dxa"/>
        <w:tblCellMar>
          <w:top w:w="0" w:type="dxa"/>
          <w:left w:w="0" w:type="dxa"/>
          <w:bottom w:w="0" w:type="dxa"/>
          <w:right w:w="0" w:type="dxa"/>
        </w:tblCellMar>
      </w:tblPr>
      <w:tr>
        <w:trPr>
          <w:trHeight w:val="246"/>
        </w:trPr>
        <w:tc>
          <w:tcPr>
            <w:tcW w:w="724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2680" w:type="dxa"/>
            <w:vAlign w:val="bottom"/>
            <w:tcBorders>
              <w:bottom w:val="single" w:sz="8" w:color="auto"/>
            </w:tcBorders>
            <w:gridSpan w:val="4"/>
          </w:tcPr>
          <w:p>
            <w:pPr>
              <w:jc w:val="right"/>
              <w:ind w:right="570"/>
              <w:spacing w:after="0"/>
              <w:rPr>
                <w:sz w:val="20"/>
                <w:szCs w:val="20"/>
                <w:color w:val="auto"/>
              </w:rPr>
            </w:pPr>
            <w:r>
              <w:rPr>
                <w:rFonts w:ascii="Arial" w:cs="Arial" w:eastAsia="Arial" w:hAnsi="Arial"/>
                <w:sz w:val="18"/>
                <w:szCs w:val="18"/>
                <w:b w:val="1"/>
                <w:bCs w:val="1"/>
                <w:color w:val="auto"/>
              </w:rPr>
              <w:t>As of December 31,</w:t>
            </w:r>
          </w:p>
        </w:tc>
        <w:tc>
          <w:tcPr>
            <w:tcW w:w="0" w:type="dxa"/>
            <w:vAlign w:val="bottom"/>
          </w:tcPr>
          <w:p>
            <w:pPr>
              <w:spacing w:after="0"/>
              <w:rPr>
                <w:sz w:val="1"/>
                <w:szCs w:val="1"/>
                <w:color w:val="auto"/>
              </w:rPr>
            </w:pPr>
          </w:p>
        </w:tc>
      </w:tr>
      <w:tr>
        <w:trPr>
          <w:trHeight w:val="264"/>
        </w:trPr>
        <w:tc>
          <w:tcPr>
            <w:tcW w:w="724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243"/>
        </w:trPr>
        <w:tc>
          <w:tcPr>
            <w:tcW w:w="7240" w:type="dxa"/>
            <w:vAlign w:val="bottom"/>
          </w:tcPr>
          <w:p>
            <w:pPr>
              <w:ind w:left="20"/>
              <w:spacing w:after="0"/>
              <w:rPr>
                <w:sz w:val="20"/>
                <w:szCs w:val="20"/>
                <w:color w:val="auto"/>
              </w:rPr>
            </w:pPr>
            <w:r>
              <w:rPr>
                <w:rFonts w:ascii="Arial" w:cs="Arial" w:eastAsia="Arial" w:hAnsi="Arial"/>
                <w:sz w:val="18"/>
                <w:szCs w:val="18"/>
                <w:color w:val="auto"/>
              </w:rPr>
              <w:t>Americas – Debt due to Avis Budget Rental Car Funding</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6,516</w:t>
            </w:r>
          </w:p>
        </w:tc>
        <w:tc>
          <w:tcPr>
            <w:tcW w:w="100" w:type="dxa"/>
            <w:vAlign w:val="bottom"/>
          </w:tcPr>
          <w:p>
            <w:pPr>
              <w:spacing w:after="0"/>
              <w:rPr>
                <w:sz w:val="21"/>
                <w:szCs w:val="21"/>
                <w:color w:val="auto"/>
              </w:rPr>
            </w:pP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6,733</w:t>
            </w:r>
          </w:p>
        </w:tc>
        <w:tc>
          <w:tcPr>
            <w:tcW w:w="0" w:type="dxa"/>
            <w:vAlign w:val="bottom"/>
          </w:tcPr>
          <w:p>
            <w:pPr>
              <w:spacing w:after="0"/>
              <w:rPr>
                <w:sz w:val="1"/>
                <w:szCs w:val="1"/>
                <w:color w:val="auto"/>
              </w:rPr>
            </w:pPr>
          </w:p>
        </w:tc>
      </w:tr>
      <w:tr>
        <w:trPr>
          <w:trHeight w:val="270"/>
        </w:trPr>
        <w:tc>
          <w:tcPr>
            <w:tcW w:w="7240" w:type="dxa"/>
            <w:vAlign w:val="bottom"/>
          </w:tcPr>
          <w:p>
            <w:pPr>
              <w:ind w:left="20"/>
              <w:spacing w:after="0"/>
              <w:rPr>
                <w:sz w:val="20"/>
                <w:szCs w:val="20"/>
                <w:color w:val="auto"/>
              </w:rPr>
            </w:pPr>
            <w:r>
              <w:rPr>
                <w:rFonts w:ascii="Arial" w:cs="Arial" w:eastAsia="Arial" w:hAnsi="Arial"/>
                <w:sz w:val="18"/>
                <w:szCs w:val="18"/>
                <w:color w:val="auto"/>
              </w:rPr>
              <w:t>Americas – Debt borrowings</w:t>
            </w:r>
          </w:p>
        </w:tc>
        <w:tc>
          <w:tcPr>
            <w:tcW w:w="32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660</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577</w:t>
            </w:r>
          </w:p>
        </w:tc>
        <w:tc>
          <w:tcPr>
            <w:tcW w:w="0" w:type="dxa"/>
            <w:vAlign w:val="bottom"/>
          </w:tcPr>
          <w:p>
            <w:pPr>
              <w:spacing w:after="0"/>
              <w:rPr>
                <w:sz w:val="1"/>
                <w:szCs w:val="1"/>
                <w:color w:val="auto"/>
              </w:rPr>
            </w:pPr>
          </w:p>
        </w:tc>
      </w:tr>
      <w:tr>
        <w:trPr>
          <w:trHeight w:val="323"/>
        </w:trPr>
        <w:tc>
          <w:tcPr>
            <w:tcW w:w="7240" w:type="dxa"/>
            <w:vAlign w:val="bottom"/>
          </w:tcPr>
          <w:p>
            <w:pPr>
              <w:ind w:left="20"/>
              <w:spacing w:after="0"/>
              <w:rPr>
                <w:sz w:val="20"/>
                <w:szCs w:val="20"/>
                <w:color w:val="auto"/>
              </w:rPr>
            </w:pPr>
            <w:r>
              <w:rPr>
                <w:rFonts w:ascii="Arial" w:cs="Arial" w:eastAsia="Arial" w:hAnsi="Arial"/>
                <w:sz w:val="18"/>
                <w:szCs w:val="18"/>
                <w:color w:val="auto"/>
              </w:rPr>
              <w:t xml:space="preserve">International – Debt borrowings </w:t>
            </w:r>
            <w:r>
              <w:rPr>
                <w:rFonts w:ascii="Arial" w:cs="Arial" w:eastAsia="Arial" w:hAnsi="Arial"/>
                <w:sz w:val="21"/>
                <w:szCs w:val="21"/>
                <w:color w:val="auto"/>
                <w:vertAlign w:val="superscript"/>
              </w:rPr>
              <w:t>(a)</w:t>
            </w:r>
          </w:p>
        </w:tc>
        <w:tc>
          <w:tcPr>
            <w:tcW w:w="320" w:type="dxa"/>
            <w:vAlign w:val="bottom"/>
          </w:tcPr>
          <w:p>
            <w:pPr>
              <w:spacing w:after="0"/>
              <w:rPr>
                <w:sz w:val="24"/>
                <w:szCs w:val="24"/>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1,942</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1,449</w:t>
            </w:r>
          </w:p>
        </w:tc>
        <w:tc>
          <w:tcPr>
            <w:tcW w:w="0" w:type="dxa"/>
            <w:vAlign w:val="bottom"/>
          </w:tcPr>
          <w:p>
            <w:pPr>
              <w:spacing w:after="0"/>
              <w:rPr>
                <w:sz w:val="1"/>
                <w:szCs w:val="1"/>
                <w:color w:val="auto"/>
              </w:rPr>
            </w:pPr>
          </w:p>
        </w:tc>
      </w:tr>
      <w:tr>
        <w:trPr>
          <w:trHeight w:val="217"/>
        </w:trPr>
        <w:tc>
          <w:tcPr>
            <w:tcW w:w="7240" w:type="dxa"/>
            <w:vAlign w:val="bottom"/>
          </w:tcPr>
          <w:p>
            <w:pPr>
              <w:ind w:left="20"/>
              <w:spacing w:after="0"/>
              <w:rPr>
                <w:sz w:val="20"/>
                <w:szCs w:val="20"/>
                <w:color w:val="auto"/>
              </w:rPr>
            </w:pPr>
            <w:r>
              <w:rPr>
                <w:rFonts w:ascii="Arial" w:cs="Arial" w:eastAsia="Arial" w:hAnsi="Arial"/>
                <w:sz w:val="18"/>
                <w:szCs w:val="18"/>
                <w:color w:val="auto"/>
              </w:rPr>
              <w:t>International – Capital leases</w:t>
            </w:r>
          </w:p>
        </w:tc>
        <w:tc>
          <w:tcPr>
            <w:tcW w:w="32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70"/>
        </w:trPr>
        <w:tc>
          <w:tcPr>
            <w:tcW w:w="7240" w:type="dxa"/>
            <w:vAlign w:val="bottom"/>
          </w:tcPr>
          <w:p>
            <w:pPr>
              <w:ind w:left="20"/>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84"/>
        </w:trPr>
        <w:tc>
          <w:tcPr>
            <w:tcW w:w="7240" w:type="dxa"/>
            <w:vAlign w:val="bottom"/>
          </w:tcPr>
          <w:p>
            <w:pPr>
              <w:ind w:left="20"/>
              <w:spacing w:after="0"/>
              <w:rPr>
                <w:sz w:val="20"/>
                <w:szCs w:val="20"/>
                <w:color w:val="auto"/>
              </w:rPr>
            </w:pPr>
            <w:r>
              <w:rPr>
                <w:rFonts w:ascii="Arial" w:cs="Arial" w:eastAsia="Arial" w:hAnsi="Arial"/>
                <w:sz w:val="18"/>
                <w:szCs w:val="18"/>
                <w:color w:val="auto"/>
              </w:rPr>
              <w:t xml:space="preserve">Deferred financing fees </w:t>
            </w:r>
            <w:r>
              <w:rPr>
                <w:rFonts w:ascii="Arial" w:cs="Arial" w:eastAsia="Arial" w:hAnsi="Arial"/>
                <w:sz w:val="21"/>
                <w:szCs w:val="21"/>
                <w:color w:val="auto"/>
                <w:vertAlign w:val="superscript"/>
              </w:rPr>
              <w:t>(b)</w:t>
            </w:r>
          </w:p>
        </w:tc>
        <w:tc>
          <w:tcPr>
            <w:tcW w:w="3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50"/>
        </w:trPr>
        <w:tc>
          <w:tcPr>
            <w:tcW w:w="7240" w:type="dxa"/>
            <w:vAlign w:val="bottom"/>
          </w:tcPr>
          <w:p>
            <w:pPr>
              <w:ind w:left="2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9,221</w:t>
            </w:r>
          </w:p>
        </w:tc>
        <w:tc>
          <w:tcPr>
            <w:tcW w:w="100" w:type="dxa"/>
            <w:vAlign w:val="bottom"/>
          </w:tcPr>
          <w:p>
            <w:pPr>
              <w:spacing w:after="0"/>
              <w:rPr>
                <w:sz w:val="21"/>
                <w:szCs w:val="21"/>
                <w:color w:val="auto"/>
              </w:rPr>
            </w:pPr>
          </w:p>
        </w:tc>
        <w:tc>
          <w:tcPr>
            <w:tcW w:w="3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8,878</w:t>
            </w:r>
          </w:p>
        </w:tc>
        <w:tc>
          <w:tcPr>
            <w:tcW w:w="0" w:type="dxa"/>
            <w:vAlign w:val="bottom"/>
          </w:tcPr>
          <w:p>
            <w:pPr>
              <w:spacing w:after="0"/>
              <w:rPr>
                <w:sz w:val="1"/>
                <w:szCs w:val="1"/>
                <w:color w:val="auto"/>
              </w:rPr>
            </w:pPr>
          </w:p>
        </w:tc>
      </w:tr>
      <w:tr>
        <w:trPr>
          <w:trHeight w:val="20"/>
        </w:trPr>
        <w:tc>
          <w:tcPr>
            <w:tcW w:w="7240" w:type="dxa"/>
            <w:vAlign w:val="bottom"/>
            <w:vMerge w:val="restart"/>
          </w:tcPr>
          <w:p>
            <w:pPr>
              <w:spacing w:after="0"/>
              <w:rPr>
                <w:sz w:val="20"/>
                <w:szCs w:val="20"/>
                <w:color w:val="auto"/>
              </w:rPr>
            </w:pPr>
            <w:r>
              <w:rPr>
                <w:rFonts w:ascii="Arial" w:cs="Arial" w:eastAsia="Arial" w:hAnsi="Arial"/>
                <w:sz w:val="18"/>
                <w:szCs w:val="18"/>
                <w:color w:val="auto"/>
              </w:rPr>
              <w:t>__________</w:t>
            </w: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724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820" w:hanging="326"/>
        <w:spacing w:after="0" w:line="184" w:lineRule="auto"/>
        <w:tabs>
          <w:tab w:leader="none" w:pos="820" w:val="left"/>
        </w:tabs>
        <w:numPr>
          <w:ilvl w:val="0"/>
          <w:numId w:val="80"/>
        </w:numPr>
        <w:rPr>
          <w:rFonts w:ascii="Arial" w:cs="Arial" w:eastAsia="Arial" w:hAnsi="Arial"/>
          <w:sz w:val="22"/>
          <w:szCs w:val="22"/>
          <w:color w:val="auto"/>
          <w:vertAlign w:val="superscript"/>
        </w:rPr>
      </w:pPr>
      <w:r>
        <w:rPr>
          <w:rFonts w:ascii="Arial" w:cs="Arial" w:eastAsia="Arial" w:hAnsi="Arial"/>
          <w:sz w:val="16"/>
          <w:szCs w:val="16"/>
          <w:color w:val="auto"/>
        </w:rPr>
        <w:t>The increase reflects additional borrowings principally to fund increases in the Company's car rental fleet.</w:t>
      </w:r>
    </w:p>
    <w:p>
      <w:pPr>
        <w:ind w:left="820" w:right="500" w:hanging="326"/>
        <w:spacing w:after="0" w:line="210" w:lineRule="auto"/>
        <w:tabs>
          <w:tab w:leader="none" w:pos="820" w:val="left"/>
        </w:tabs>
        <w:numPr>
          <w:ilvl w:val="0"/>
          <w:numId w:val="80"/>
        </w:numPr>
        <w:rPr>
          <w:rFonts w:ascii="Arial" w:cs="Arial" w:eastAsia="Arial" w:hAnsi="Arial"/>
          <w:sz w:val="22"/>
          <w:szCs w:val="22"/>
          <w:color w:val="auto"/>
          <w:vertAlign w:val="superscript"/>
        </w:rPr>
      </w:pPr>
      <w:r>
        <w:rPr>
          <w:rFonts w:ascii="Arial" w:cs="Arial" w:eastAsia="Arial" w:hAnsi="Arial"/>
          <w:sz w:val="16"/>
          <w:szCs w:val="16"/>
          <w:color w:val="auto"/>
        </w:rPr>
        <w:t>Deferred financing fees related to Debt due to Avis Budget Rental Car Funding as of December 31, 2017 and 2016 were $36 million and $38 million, respectively.</w:t>
      </w:r>
    </w:p>
    <w:p>
      <w:pPr>
        <w:sectPr>
          <w:pgSz w:w="11900" w:h="16838" w:orient="portrait"/>
          <w:cols w:equalWidth="0" w:num="1">
            <w:col w:w="11380"/>
          </w:cols>
          <w:pgMar w:left="240" w:top="108" w:right="279" w:bottom="1440" w:gutter="0" w:footer="0" w:header="0"/>
        </w:sectPr>
      </w:pPr>
    </w:p>
    <w:p>
      <w:pPr>
        <w:spacing w:after="0" w:line="3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380"/>
          </w:cols>
          <w:pgMar w:left="240" w:top="108" w:right="279" w:bottom="1440" w:gutter="0" w:footer="0" w:header="0"/>
          <w:type w:val="continuous"/>
        </w:sectPr>
      </w:pPr>
    </w:p>
    <w:bookmarkStart w:id="98" w:name="page99"/>
    <w:bookmarkEnd w:id="9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Americas</w:t>
      </w:r>
    </w:p>
    <w:p>
      <w:pPr>
        <w:spacing w:after="0" w:line="229" w:lineRule="exact"/>
        <w:rPr>
          <w:sz w:val="20"/>
          <w:szCs w:val="20"/>
          <w:color w:val="auto"/>
        </w:rPr>
      </w:pPr>
    </w:p>
    <w:p>
      <w:pPr>
        <w:ind w:left="500"/>
        <w:spacing w:after="0" w:line="251" w:lineRule="auto"/>
        <w:rPr>
          <w:sz w:val="20"/>
          <w:szCs w:val="20"/>
          <w:color w:val="auto"/>
        </w:rPr>
      </w:pPr>
      <w:r>
        <w:rPr>
          <w:rFonts w:ascii="Arial" w:cs="Arial" w:eastAsia="Arial" w:hAnsi="Arial"/>
          <w:sz w:val="18"/>
          <w:szCs w:val="18"/>
          <w:i w:val="1"/>
          <w:iCs w:val="1"/>
          <w:color w:val="auto"/>
        </w:rPr>
        <w:t>Debt due to Avis Budget Rental Car Funding</w:t>
      </w:r>
      <w:r>
        <w:rPr>
          <w:rFonts w:ascii="Arial" w:cs="Arial" w:eastAsia="Arial" w:hAnsi="Arial"/>
          <w:sz w:val="18"/>
          <w:szCs w:val="18"/>
          <w:color w:val="auto"/>
        </w:rPr>
        <w:t>. Avis Budget Rental Car Funding, an unconsolidated bankruptcy remote qualifying special</w:t>
      </w:r>
      <w:r>
        <w:rPr>
          <w:rFonts w:ascii="Arial" w:cs="Arial" w:eastAsia="Arial" w:hAnsi="Arial"/>
          <w:sz w:val="18"/>
          <w:szCs w:val="18"/>
          <w:i w:val="1"/>
          <w:iCs w:val="1"/>
          <w:color w:val="auto"/>
        </w:rPr>
        <w:t xml:space="preserve"> </w:t>
      </w:r>
      <w:r>
        <w:rPr>
          <w:rFonts w:ascii="Arial" w:cs="Arial" w:eastAsia="Arial" w:hAnsi="Arial"/>
          <w:sz w:val="18"/>
          <w:szCs w:val="18"/>
          <w:color w:val="auto"/>
        </w:rPr>
        <w:t>purpose limited liability company, issues privately placed notes to investors as well as to banks and bank-sponsored conduit entities. Avis Budget Rental Car Funding uses the proceeds from its note issuances to make loans to a wholly-owned subsidiary of the Company, AESOP Leasing LP (“AESOP Leasing”), on a continuing basis. AESOP Leasing is required to use the proceeds of such loans to acquire or finance the acquisition of vehicles used in the Company’s rental car operations. By issuing debt through the Avis Budget Rental Car Funding program, the Company pays a lower rate of interest than if it had issued debt directly to third parties. Avis Budget Rental Car Funding is not consolidated, as the Company is not the “primary beneficiary” of Avis Budget Rental Car Funding. The Company determined that it is not the primary beneficiary because the Company does not have the obligation to absorb the potential losses or receive the benefits of Avis Budget Rental Car Funding’s activities since the Company’s only significant source of variability in the earnings, losses or cash flows of Avis Budget Rental Car Funding is exposure to its own creditworthiness, due to its loan from Avis Budget Rental Car Funding. Because Avis Budget Rental Car Funding is not consolidated, AESOP Leasing’s loan obligations to Avis Budget Rental Car Funding are reflected as related party debt on the Company’s Consolidated Balance Sheets. The Company also has an asset within Assets under vehicle programs on its Consolidated Balance Sheets which represents securities issued to the Company by Avis Budget Rental Car Funding. AESOP Leasing is consolidated, as the Company is the “primary beneficiary” of AESOP Leasing; as a result, the vehicles purchased by AESOP Leasing remain on the Company’s Consolidated Balance Sheets. The Company determined it is the primary beneficiary of AESOP Leasing, as it has the ability to direct its activities, an obligation to absorb a majority of its expected losses and the right to receive the benefits of AESOP Leasing’s activities. AESOP Leasing’s vehicles and related assets, which as of December 31, 2017, approximate $8.2 billion and many of which are subject to manufacturer repurchase and guaranteed depreciation agreements, collateralize the debt issued by Avis Budget Rental Car Funding. The assets and liabilities of AESOP Leasing are presented on the Company’s Consolidated Balance Sheets within Assets under vehicle programs and Liabilities under vehicle programs, respectively. The assets of AESOP Leasing, included within assets under vehicle programs (excluding the investment in Avis Budget Rental Car Funding (AESOP) LLC—related party) are restricted. Such assets may be used only to repay the respective AESOP Leasing liabilities, included within Liabilities under vehicle programs, and to purchase new vehicles, although if certain collateral coverage requirements are met, AESOP Leasing may pay dividends from excess cash. The creditors of AESOP Leasing and Avis Budget Rental Car Funding have no recourse to the general credit of the Company. The Company periodically provides Avis Budget Rental Car Funding with non-contractually required support, in the form of equity and loans, to serve as additional collateral for the debt issued by Avis Budget Rental Car Funding.</w:t>
      </w:r>
    </w:p>
    <w:p>
      <w:pPr>
        <w:spacing w:after="0" w:line="170" w:lineRule="exact"/>
        <w:rPr>
          <w:sz w:val="20"/>
          <w:szCs w:val="20"/>
          <w:color w:val="auto"/>
        </w:rPr>
      </w:pPr>
    </w:p>
    <w:p>
      <w:pPr>
        <w:ind w:left="500"/>
        <w:spacing w:after="0" w:line="254" w:lineRule="auto"/>
        <w:rPr>
          <w:sz w:val="20"/>
          <w:szCs w:val="20"/>
          <w:color w:val="auto"/>
        </w:rPr>
      </w:pPr>
      <w:r>
        <w:rPr>
          <w:rFonts w:ascii="Arial" w:cs="Arial" w:eastAsia="Arial" w:hAnsi="Arial"/>
          <w:sz w:val="18"/>
          <w:szCs w:val="18"/>
          <w:color w:val="auto"/>
        </w:rPr>
        <w:t>The business activities of Avis Budget Rental Car Funding are limited primarily to issuing indebtedness and using the proceeds thereof to make loans to AESOP Leasing for the purpose of acquiring or financing the acquisition of vehicles to be leased to the Company’s rental car subsidiaries and pledging its assets to secure the indebtedness. Because Avis Budget Rental Car Funding is not consolidated by the Company, its results of operations and cash flows are not reflected within the Company’s financial statements.</w:t>
      </w:r>
    </w:p>
    <w:p>
      <w:pPr>
        <w:spacing w:after="0" w:line="150" w:lineRule="exact"/>
        <w:rPr>
          <w:sz w:val="20"/>
          <w:szCs w:val="20"/>
          <w:color w:val="auto"/>
        </w:rPr>
      </w:pPr>
    </w:p>
    <w:p>
      <w:pPr>
        <w:ind w:left="500" w:right="20"/>
        <w:spacing w:after="0" w:line="252" w:lineRule="auto"/>
        <w:rPr>
          <w:sz w:val="20"/>
          <w:szCs w:val="20"/>
          <w:color w:val="auto"/>
        </w:rPr>
      </w:pPr>
      <w:r>
        <w:rPr>
          <w:rFonts w:ascii="Arial" w:cs="Arial" w:eastAsia="Arial" w:hAnsi="Arial"/>
          <w:sz w:val="18"/>
          <w:szCs w:val="18"/>
          <w:color w:val="auto"/>
        </w:rPr>
        <w:t>During March 2016 and June 2016, Avis Budget Rental Car Funding issued approximately $450 million in asset-backed notes with an expected final payment date of June 2021 and approximately $500 million in asset-backed notes with an expected final payment date of November 2021, respectively. During March 2017 and December 2017, Avis Budget Rental Car Funding issued approximately $600 million in asset-backed notes with an expected final payment date of September 2022 and $500 million in asset-backed notes with an expected final payment date of March 2023, respectively. The Company used the proceeds from these borrowings to fund the repayment of maturing vehicle-backed debt and the acquisition of rental cars in the United States. Borrowings under the Avis Budget Rental Car Funding program primarily represent fixed rate notes and had a weighted average interest rate of 3% as of December 31, 2017 and 2016.</w:t>
      </w:r>
    </w:p>
    <w:p>
      <w:pPr>
        <w:spacing w:after="0" w:line="134" w:lineRule="exact"/>
        <w:rPr>
          <w:sz w:val="20"/>
          <w:szCs w:val="20"/>
          <w:color w:val="auto"/>
        </w:rPr>
      </w:pPr>
    </w:p>
    <w:p>
      <w:pPr>
        <w:ind w:left="500" w:right="100"/>
        <w:spacing w:after="0" w:line="258" w:lineRule="auto"/>
        <w:rPr>
          <w:sz w:val="20"/>
          <w:szCs w:val="20"/>
          <w:color w:val="auto"/>
        </w:rPr>
      </w:pPr>
      <w:r>
        <w:rPr>
          <w:rFonts w:ascii="Arial" w:cs="Arial" w:eastAsia="Arial" w:hAnsi="Arial"/>
          <w:sz w:val="18"/>
          <w:szCs w:val="18"/>
          <w:i w:val="1"/>
          <w:iCs w:val="1"/>
          <w:color w:val="auto"/>
        </w:rPr>
        <w:t>Debt borrowings</w:t>
      </w:r>
      <w:r>
        <w:rPr>
          <w:rFonts w:ascii="Arial" w:cs="Arial" w:eastAsia="Arial" w:hAnsi="Arial"/>
          <w:sz w:val="18"/>
          <w:szCs w:val="18"/>
          <w:color w:val="auto"/>
        </w:rPr>
        <w:t>. The Company finances the acquisition of vehicles used in its Canadian rental operations through a consolidated,</w:t>
      </w:r>
      <w:r>
        <w:rPr>
          <w:rFonts w:ascii="Arial" w:cs="Arial" w:eastAsia="Arial" w:hAnsi="Arial"/>
          <w:sz w:val="18"/>
          <w:szCs w:val="18"/>
          <w:i w:val="1"/>
          <w:iCs w:val="1"/>
          <w:color w:val="auto"/>
        </w:rPr>
        <w:t xml:space="preserve"> </w:t>
      </w:r>
      <w:r>
        <w:rPr>
          <w:rFonts w:ascii="Arial" w:cs="Arial" w:eastAsia="Arial" w:hAnsi="Arial"/>
          <w:sz w:val="18"/>
          <w:szCs w:val="18"/>
          <w:color w:val="auto"/>
        </w:rPr>
        <w:t>bankruptcy remote special-purpose entity, which issues privately placed notes to investors and bank-sponsored conduits. The Company finances the acquisition of fleet for its truck rental operations in the United States through a combination of debt facilities and leases. These debt borrowings represent a mix of fixed and floating rate debt and had a weighted average interest rate of 3% and 4% as of December 31, 2017 and 2016, respectively.</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400"/>
          </w:cols>
          <w:pgMar w:left="240" w:top="140" w:right="259" w:bottom="1440" w:gutter="0" w:footer="0" w:header="0"/>
        </w:sectPr>
      </w:pPr>
    </w:p>
    <w:bookmarkStart w:id="99" w:name="page100"/>
    <w:bookmarkEnd w:id="9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International</w:t>
      </w:r>
    </w:p>
    <w:p>
      <w:pPr>
        <w:spacing w:after="0" w:line="175" w:lineRule="exact"/>
        <w:rPr>
          <w:sz w:val="20"/>
          <w:szCs w:val="20"/>
          <w:color w:val="auto"/>
        </w:rPr>
      </w:pPr>
    </w:p>
    <w:p>
      <w:pPr>
        <w:ind w:left="500" w:right="100"/>
        <w:spacing w:after="0" w:line="255" w:lineRule="auto"/>
        <w:rPr>
          <w:sz w:val="20"/>
          <w:szCs w:val="20"/>
          <w:color w:val="auto"/>
        </w:rPr>
      </w:pPr>
      <w:r>
        <w:rPr>
          <w:rFonts w:ascii="Arial" w:cs="Arial" w:eastAsia="Arial" w:hAnsi="Arial"/>
          <w:sz w:val="18"/>
          <w:szCs w:val="18"/>
          <w:i w:val="1"/>
          <w:iCs w:val="1"/>
          <w:color w:val="auto"/>
        </w:rPr>
        <w:t>Debt borrowings</w:t>
      </w:r>
      <w:r>
        <w:rPr>
          <w:rFonts w:ascii="Arial" w:cs="Arial" w:eastAsia="Arial" w:hAnsi="Arial"/>
          <w:sz w:val="18"/>
          <w:szCs w:val="18"/>
          <w:color w:val="auto"/>
        </w:rPr>
        <w:t>. In 2013, the Company entered into a three-year, €500 million (approximately $687 million) European rental fleet</w:t>
      </w:r>
      <w:r>
        <w:rPr>
          <w:rFonts w:ascii="Arial" w:cs="Arial" w:eastAsia="Arial" w:hAnsi="Arial"/>
          <w:sz w:val="18"/>
          <w:szCs w:val="18"/>
          <w:i w:val="1"/>
          <w:iCs w:val="1"/>
          <w:color w:val="auto"/>
        </w:rPr>
        <w:t xml:space="preserve"> </w:t>
      </w:r>
      <w:r>
        <w:rPr>
          <w:rFonts w:ascii="Arial" w:cs="Arial" w:eastAsia="Arial" w:hAnsi="Arial"/>
          <w:sz w:val="18"/>
          <w:szCs w:val="18"/>
          <w:color w:val="auto"/>
        </w:rPr>
        <w:t>securitization program, which is used to finance fleet purchases for certain of the Company’s European operations. During 2017, 2016, 2015 and 2014, the Company increased its capacity under this program by €250 million (approximately $281 million), €400 million (approximately $458 million), €210 million (approximately $235 million) and €290 million (approximately $370 million), respectively, and extended the securitization’s maturity to 2019. The Company finances the acquisition of vehicles used in its International rental car operations through this and other consolidated, bankruptcy remote special-purpose entities, which issue privately placed notes to banks and bank-sponsored conduits. The International borrowings primarily represent floating rate notes and had a weighted average interest rate of 2% as of December 31, 2017 and 2016.</w:t>
      </w:r>
    </w:p>
    <w:p>
      <w:pPr>
        <w:spacing w:after="0" w:line="131" w:lineRule="exact"/>
        <w:rPr>
          <w:sz w:val="20"/>
          <w:szCs w:val="20"/>
          <w:color w:val="auto"/>
        </w:rPr>
      </w:pPr>
    </w:p>
    <w:p>
      <w:pPr>
        <w:ind w:left="500" w:right="120"/>
        <w:spacing w:after="0" w:line="266" w:lineRule="auto"/>
        <w:rPr>
          <w:sz w:val="20"/>
          <w:szCs w:val="20"/>
          <w:color w:val="auto"/>
        </w:rPr>
      </w:pPr>
      <w:r>
        <w:rPr>
          <w:rFonts w:ascii="Arial" w:cs="Arial" w:eastAsia="Arial" w:hAnsi="Arial"/>
          <w:sz w:val="18"/>
          <w:szCs w:val="18"/>
          <w:i w:val="1"/>
          <w:iCs w:val="1"/>
          <w:color w:val="auto"/>
        </w:rPr>
        <w:t xml:space="preserve">Capital leases. </w:t>
      </w:r>
      <w:r>
        <w:rPr>
          <w:rFonts w:ascii="Arial" w:cs="Arial" w:eastAsia="Arial" w:hAnsi="Arial"/>
          <w:sz w:val="18"/>
          <w:szCs w:val="18"/>
          <w:color w:val="auto"/>
        </w:rPr>
        <w:t>The Company obtained a portion of its International vehicles under capital lease arrangements. For the year 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2017 and 2016, the weighted average interest rate on these borrowings were 1% and 2%, respectively. All capital leases are on a fixed repayment basis and interest rates are fixed at the contract date.</w:t>
      </w:r>
    </w:p>
    <w:p>
      <w:pPr>
        <w:spacing w:after="0" w:line="118"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Debt Maturities</w:t>
      </w:r>
    </w:p>
    <w:p>
      <w:pPr>
        <w:spacing w:after="0" w:line="193"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following table provides the contractual maturities of the Company’s debt under vehicle programs, including related party debt due to</w:t>
      </w:r>
    </w:p>
    <w:p>
      <w:pPr>
        <w:spacing w:after="0" w:line="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Avis Budget Rental Car Funding, at December 31, 2017:</w:t>
      </w:r>
    </w:p>
    <w:p>
      <w:pPr>
        <w:spacing w:after="0" w:line="145" w:lineRule="exact"/>
        <w:rPr>
          <w:sz w:val="20"/>
          <w:szCs w:val="20"/>
          <w:color w:val="auto"/>
        </w:rPr>
      </w:pPr>
    </w:p>
    <w:tbl>
      <w:tblPr>
        <w:tblLayout w:type="fixed"/>
        <w:tblInd w:w="500" w:type="dxa"/>
        <w:tblCellMar>
          <w:top w:w="0" w:type="dxa"/>
          <w:left w:w="0" w:type="dxa"/>
          <w:bottom w:w="0" w:type="dxa"/>
          <w:right w:w="0" w:type="dxa"/>
        </w:tblCellMar>
      </w:tblPr>
      <w:tr>
        <w:trPr>
          <w:trHeight w:val="207"/>
        </w:trPr>
        <w:tc>
          <w:tcPr>
            <w:tcW w:w="8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jc w:val="center"/>
              <w:ind w:right="110"/>
              <w:spacing w:after="0"/>
              <w:rPr>
                <w:sz w:val="20"/>
                <w:szCs w:val="20"/>
                <w:color w:val="auto"/>
              </w:rPr>
            </w:pPr>
            <w:r>
              <w:rPr>
                <w:rFonts w:ascii="Arial" w:cs="Arial" w:eastAsia="Arial" w:hAnsi="Arial"/>
                <w:sz w:val="18"/>
                <w:szCs w:val="18"/>
                <w:b w:val="1"/>
                <w:bCs w:val="1"/>
                <w:color w:val="auto"/>
                <w:w w:val="98"/>
              </w:rPr>
              <w:t>Debt under</w:t>
            </w:r>
          </w:p>
        </w:tc>
        <w:tc>
          <w:tcPr>
            <w:tcW w:w="0" w:type="dxa"/>
            <w:vAlign w:val="bottom"/>
          </w:tcPr>
          <w:p>
            <w:pPr>
              <w:spacing w:after="0"/>
              <w:rPr>
                <w:sz w:val="1"/>
                <w:szCs w:val="1"/>
                <w:color w:val="auto"/>
              </w:rPr>
            </w:pPr>
          </w:p>
        </w:tc>
      </w:tr>
      <w:tr>
        <w:trPr>
          <w:trHeight w:val="203"/>
        </w:trPr>
        <w:tc>
          <w:tcPr>
            <w:tcW w:w="8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jc w:val="center"/>
              <w:ind w:right="110"/>
              <w:spacing w:after="0" w:line="202" w:lineRule="exact"/>
              <w:rPr>
                <w:sz w:val="20"/>
                <w:szCs w:val="20"/>
                <w:color w:val="auto"/>
              </w:rPr>
            </w:pPr>
            <w:r>
              <w:rPr>
                <w:rFonts w:ascii="Arial" w:cs="Arial" w:eastAsia="Arial" w:hAnsi="Arial"/>
                <w:sz w:val="18"/>
                <w:szCs w:val="18"/>
                <w:b w:val="1"/>
                <w:bCs w:val="1"/>
                <w:color w:val="auto"/>
                <w:w w:val="98"/>
              </w:rPr>
              <w:t>Vehicle</w:t>
            </w:r>
          </w:p>
        </w:tc>
        <w:tc>
          <w:tcPr>
            <w:tcW w:w="0" w:type="dxa"/>
            <w:vAlign w:val="bottom"/>
          </w:tcPr>
          <w:p>
            <w:pPr>
              <w:spacing w:after="0"/>
              <w:rPr>
                <w:sz w:val="1"/>
                <w:szCs w:val="1"/>
                <w:color w:val="auto"/>
              </w:rPr>
            </w:pPr>
          </w:p>
        </w:tc>
      </w:tr>
      <w:tr>
        <w:trPr>
          <w:trHeight w:val="246"/>
        </w:trPr>
        <w:tc>
          <w:tcPr>
            <w:tcW w:w="87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99"/>
              </w:rPr>
              <w:t>Programs</w:t>
            </w:r>
          </w:p>
        </w:tc>
        <w:tc>
          <w:tcPr>
            <w:tcW w:w="0" w:type="dxa"/>
            <w:vAlign w:val="bottom"/>
          </w:tcPr>
          <w:p>
            <w:pPr>
              <w:spacing w:after="0"/>
              <w:rPr>
                <w:sz w:val="1"/>
                <w:szCs w:val="1"/>
                <w:color w:val="auto"/>
              </w:rPr>
            </w:pPr>
          </w:p>
        </w:tc>
      </w:tr>
      <w:tr>
        <w:trPr>
          <w:trHeight w:val="283"/>
        </w:trPr>
        <w:tc>
          <w:tcPr>
            <w:tcW w:w="8780" w:type="dxa"/>
            <w:vAlign w:val="bottom"/>
          </w:tcPr>
          <w:p>
            <w:pPr>
              <w:ind w:left="20"/>
              <w:spacing w:after="0"/>
              <w:rPr>
                <w:sz w:val="20"/>
                <w:szCs w:val="20"/>
                <w:color w:val="auto"/>
              </w:rPr>
            </w:pPr>
            <w:r>
              <w:rPr>
                <w:rFonts w:ascii="Arial" w:cs="Arial" w:eastAsia="Arial" w:hAnsi="Arial"/>
                <w:sz w:val="18"/>
                <w:szCs w:val="18"/>
                <w:color w:val="auto"/>
              </w:rPr>
              <w:t>2018</w:t>
            </w:r>
            <w:r>
              <w:rPr>
                <w:rFonts w:ascii="Arial" w:cs="Arial" w:eastAsia="Arial" w:hAnsi="Arial"/>
                <w:sz w:val="21"/>
                <w:szCs w:val="21"/>
                <w:color w:val="auto"/>
                <w:vertAlign w:val="superscript"/>
              </w:rPr>
              <w:t>(a)</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1,886</w:t>
            </w:r>
          </w:p>
        </w:tc>
        <w:tc>
          <w:tcPr>
            <w:tcW w:w="0" w:type="dxa"/>
            <w:vAlign w:val="bottom"/>
          </w:tcPr>
          <w:p>
            <w:pPr>
              <w:spacing w:after="0"/>
              <w:rPr>
                <w:sz w:val="1"/>
                <w:szCs w:val="1"/>
                <w:color w:val="auto"/>
              </w:rPr>
            </w:pPr>
          </w:p>
        </w:tc>
      </w:tr>
      <w:tr>
        <w:trPr>
          <w:trHeight w:val="217"/>
        </w:trPr>
        <w:tc>
          <w:tcPr>
            <w:tcW w:w="8780" w:type="dxa"/>
            <w:vAlign w:val="bottom"/>
          </w:tcPr>
          <w:p>
            <w:pPr>
              <w:ind w:left="20"/>
              <w:spacing w:after="0"/>
              <w:rPr>
                <w:sz w:val="20"/>
                <w:szCs w:val="20"/>
                <w:color w:val="auto"/>
              </w:rPr>
            </w:pPr>
            <w:r>
              <w:rPr>
                <w:rFonts w:ascii="Arial" w:cs="Arial" w:eastAsia="Arial" w:hAnsi="Arial"/>
                <w:sz w:val="18"/>
                <w:szCs w:val="18"/>
                <w:color w:val="auto"/>
              </w:rPr>
              <w:t>2019</w:t>
            </w:r>
          </w:p>
        </w:tc>
        <w:tc>
          <w:tcPr>
            <w:tcW w:w="20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3,170</w:t>
            </w:r>
          </w:p>
        </w:tc>
        <w:tc>
          <w:tcPr>
            <w:tcW w:w="0" w:type="dxa"/>
            <w:vAlign w:val="bottom"/>
          </w:tcPr>
          <w:p>
            <w:pPr>
              <w:spacing w:after="0"/>
              <w:rPr>
                <w:sz w:val="1"/>
                <w:szCs w:val="1"/>
                <w:color w:val="auto"/>
              </w:rPr>
            </w:pPr>
          </w:p>
        </w:tc>
      </w:tr>
      <w:tr>
        <w:trPr>
          <w:trHeight w:val="257"/>
        </w:trPr>
        <w:tc>
          <w:tcPr>
            <w:tcW w:w="8780" w:type="dxa"/>
            <w:vAlign w:val="bottom"/>
          </w:tcPr>
          <w:p>
            <w:pPr>
              <w:ind w:left="20"/>
              <w:spacing w:after="0"/>
              <w:rPr>
                <w:sz w:val="20"/>
                <w:szCs w:val="20"/>
                <w:color w:val="auto"/>
              </w:rPr>
            </w:pPr>
            <w:r>
              <w:rPr>
                <w:rFonts w:ascii="Arial" w:cs="Arial" w:eastAsia="Arial" w:hAnsi="Arial"/>
                <w:sz w:val="18"/>
                <w:szCs w:val="18"/>
                <w:color w:val="auto"/>
              </w:rPr>
              <w:t>2020</w:t>
            </w:r>
          </w:p>
        </w:tc>
        <w:tc>
          <w:tcPr>
            <w:tcW w:w="200" w:type="dxa"/>
            <w:vAlign w:val="bottom"/>
          </w:tcPr>
          <w:p>
            <w:pPr>
              <w:spacing w:after="0"/>
              <w:rPr>
                <w:sz w:val="22"/>
                <w:szCs w:val="22"/>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1,868</w:t>
            </w:r>
          </w:p>
        </w:tc>
        <w:tc>
          <w:tcPr>
            <w:tcW w:w="0" w:type="dxa"/>
            <w:vAlign w:val="bottom"/>
          </w:tcPr>
          <w:p>
            <w:pPr>
              <w:spacing w:after="0"/>
              <w:rPr>
                <w:sz w:val="1"/>
                <w:szCs w:val="1"/>
                <w:color w:val="auto"/>
              </w:rPr>
            </w:pPr>
          </w:p>
        </w:tc>
      </w:tr>
      <w:tr>
        <w:trPr>
          <w:trHeight w:val="257"/>
        </w:trPr>
        <w:tc>
          <w:tcPr>
            <w:tcW w:w="8780" w:type="dxa"/>
            <w:vAlign w:val="bottom"/>
          </w:tcPr>
          <w:p>
            <w:pPr>
              <w:ind w:left="20"/>
              <w:spacing w:after="0"/>
              <w:rPr>
                <w:sz w:val="20"/>
                <w:szCs w:val="20"/>
                <w:color w:val="auto"/>
              </w:rPr>
            </w:pPr>
            <w:r>
              <w:rPr>
                <w:rFonts w:ascii="Arial" w:cs="Arial" w:eastAsia="Arial" w:hAnsi="Arial"/>
                <w:sz w:val="18"/>
                <w:szCs w:val="18"/>
                <w:color w:val="auto"/>
              </w:rPr>
              <w:t>2021</w:t>
            </w:r>
          </w:p>
        </w:tc>
        <w:tc>
          <w:tcPr>
            <w:tcW w:w="200" w:type="dxa"/>
            <w:vAlign w:val="bottom"/>
          </w:tcPr>
          <w:p>
            <w:pPr>
              <w:spacing w:after="0"/>
              <w:rPr>
                <w:sz w:val="22"/>
                <w:szCs w:val="22"/>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1,019</w:t>
            </w:r>
          </w:p>
        </w:tc>
        <w:tc>
          <w:tcPr>
            <w:tcW w:w="0" w:type="dxa"/>
            <w:vAlign w:val="bottom"/>
          </w:tcPr>
          <w:p>
            <w:pPr>
              <w:spacing w:after="0"/>
              <w:rPr>
                <w:sz w:val="1"/>
                <w:szCs w:val="1"/>
                <w:color w:val="auto"/>
              </w:rPr>
            </w:pPr>
          </w:p>
        </w:tc>
      </w:tr>
      <w:tr>
        <w:trPr>
          <w:trHeight w:val="257"/>
        </w:trPr>
        <w:tc>
          <w:tcPr>
            <w:tcW w:w="8780" w:type="dxa"/>
            <w:vAlign w:val="bottom"/>
          </w:tcPr>
          <w:p>
            <w:pPr>
              <w:ind w:left="20"/>
              <w:spacing w:after="0"/>
              <w:rPr>
                <w:sz w:val="20"/>
                <w:szCs w:val="20"/>
                <w:color w:val="auto"/>
              </w:rPr>
            </w:pPr>
            <w:r>
              <w:rPr>
                <w:rFonts w:ascii="Arial" w:cs="Arial" w:eastAsia="Arial" w:hAnsi="Arial"/>
                <w:sz w:val="18"/>
                <w:szCs w:val="18"/>
                <w:color w:val="auto"/>
              </w:rPr>
              <w:t>2022</w:t>
            </w:r>
          </w:p>
        </w:tc>
        <w:tc>
          <w:tcPr>
            <w:tcW w:w="200" w:type="dxa"/>
            <w:vAlign w:val="bottom"/>
          </w:tcPr>
          <w:p>
            <w:pPr>
              <w:spacing w:after="0"/>
              <w:rPr>
                <w:sz w:val="22"/>
                <w:szCs w:val="22"/>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883</w:t>
            </w:r>
          </w:p>
        </w:tc>
        <w:tc>
          <w:tcPr>
            <w:tcW w:w="0" w:type="dxa"/>
            <w:vAlign w:val="bottom"/>
          </w:tcPr>
          <w:p>
            <w:pPr>
              <w:spacing w:after="0"/>
              <w:rPr>
                <w:sz w:val="1"/>
                <w:szCs w:val="1"/>
                <w:color w:val="auto"/>
              </w:rPr>
            </w:pPr>
          </w:p>
        </w:tc>
      </w:tr>
      <w:tr>
        <w:trPr>
          <w:trHeight w:val="264"/>
        </w:trPr>
        <w:tc>
          <w:tcPr>
            <w:tcW w:w="878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2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439</w:t>
            </w:r>
          </w:p>
        </w:tc>
        <w:tc>
          <w:tcPr>
            <w:tcW w:w="0" w:type="dxa"/>
            <w:vAlign w:val="bottom"/>
          </w:tcPr>
          <w:p>
            <w:pPr>
              <w:spacing w:after="0"/>
              <w:rPr>
                <w:sz w:val="1"/>
                <w:szCs w:val="1"/>
                <w:color w:val="auto"/>
              </w:rPr>
            </w:pPr>
          </w:p>
        </w:tc>
      </w:tr>
      <w:tr>
        <w:trPr>
          <w:trHeight w:val="250"/>
        </w:trPr>
        <w:tc>
          <w:tcPr>
            <w:tcW w:w="8780" w:type="dxa"/>
            <w:vAlign w:val="bottom"/>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9,265</w:t>
            </w:r>
          </w:p>
        </w:tc>
        <w:tc>
          <w:tcPr>
            <w:tcW w:w="0" w:type="dxa"/>
            <w:vAlign w:val="bottom"/>
          </w:tcPr>
          <w:p>
            <w:pPr>
              <w:spacing w:after="0"/>
              <w:rPr>
                <w:sz w:val="1"/>
                <w:szCs w:val="1"/>
                <w:color w:val="auto"/>
              </w:rPr>
            </w:pPr>
          </w:p>
        </w:tc>
      </w:tr>
      <w:tr>
        <w:trPr>
          <w:trHeight w:val="20"/>
        </w:trPr>
        <w:tc>
          <w:tcPr>
            <w:tcW w:w="8780" w:type="dxa"/>
            <w:vAlign w:val="bottom"/>
            <w:vMerge w:val="restart"/>
          </w:tcPr>
          <w:p>
            <w:pPr>
              <w:spacing w:after="0"/>
              <w:rPr>
                <w:sz w:val="20"/>
                <w:szCs w:val="20"/>
                <w:color w:val="auto"/>
              </w:rPr>
            </w:pPr>
            <w:r>
              <w:rPr>
                <w:rFonts w:ascii="Arial" w:cs="Arial" w:eastAsia="Arial" w:hAnsi="Arial"/>
                <w:sz w:val="16"/>
                <w:szCs w:val="16"/>
                <w:color w:val="auto"/>
              </w:rPr>
              <w:t>__________</w:t>
            </w: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78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820" w:hanging="326"/>
        <w:spacing w:after="0" w:line="205" w:lineRule="auto"/>
        <w:tabs>
          <w:tab w:leader="none" w:pos="820" w:val="left"/>
        </w:tabs>
        <w:numPr>
          <w:ilvl w:val="0"/>
          <w:numId w:val="81"/>
        </w:numPr>
        <w:rPr>
          <w:rFonts w:ascii="Arial" w:cs="Arial" w:eastAsia="Arial" w:hAnsi="Arial"/>
          <w:sz w:val="18"/>
          <w:szCs w:val="18"/>
          <w:color w:val="auto"/>
          <w:vertAlign w:val="superscript"/>
        </w:rPr>
      </w:pPr>
      <w:r>
        <w:rPr>
          <w:rFonts w:ascii="Arial" w:cs="Arial" w:eastAsia="Arial" w:hAnsi="Arial"/>
          <w:sz w:val="14"/>
          <w:szCs w:val="14"/>
          <w:color w:val="auto"/>
        </w:rPr>
        <w:t>Vehicle-backed debt maturing within one year primarily represents term asset-backed securities.</w:t>
      </w:r>
    </w:p>
    <w:p>
      <w:pPr>
        <w:spacing w:after="0" w:line="179"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Committed Credit Facilities And Available Funding Arrangements</w:t>
      </w:r>
    </w:p>
    <w:p>
      <w:pPr>
        <w:spacing w:after="0" w:line="193" w:lineRule="exact"/>
        <w:rPr>
          <w:sz w:val="20"/>
          <w:szCs w:val="20"/>
          <w:color w:val="auto"/>
        </w:rPr>
      </w:pPr>
    </w:p>
    <w:p>
      <w:pPr>
        <w:ind w:left="500" w:right="60"/>
        <w:spacing w:after="0" w:line="262" w:lineRule="auto"/>
        <w:rPr>
          <w:sz w:val="20"/>
          <w:szCs w:val="20"/>
          <w:color w:val="auto"/>
        </w:rPr>
      </w:pPr>
      <w:r>
        <w:rPr>
          <w:rFonts w:ascii="Arial" w:cs="Arial" w:eastAsia="Arial" w:hAnsi="Arial"/>
          <w:sz w:val="18"/>
          <w:szCs w:val="18"/>
          <w:color w:val="auto"/>
        </w:rPr>
        <w:t>The following table presents available funding under the Company’s debt arrangements related to its vehicle programs, including related party debt due to Avis Budget Rental Car Funding, at December 31, 2017:</w:t>
      </w:r>
    </w:p>
    <w:p>
      <w:pPr>
        <w:spacing w:after="0" w:line="125" w:lineRule="exact"/>
        <w:rPr>
          <w:sz w:val="20"/>
          <w:szCs w:val="20"/>
          <w:color w:val="auto"/>
        </w:rPr>
      </w:pPr>
    </w:p>
    <w:tbl>
      <w:tblPr>
        <w:tblLayout w:type="fixed"/>
        <w:tblInd w:w="500" w:type="dxa"/>
        <w:tblCellMar>
          <w:top w:w="0" w:type="dxa"/>
          <w:left w:w="0" w:type="dxa"/>
          <w:bottom w:w="0" w:type="dxa"/>
          <w:right w:w="0" w:type="dxa"/>
        </w:tblCellMar>
      </w:tblPr>
      <w:tr>
        <w:trPr>
          <w:trHeight w:val="189"/>
        </w:trPr>
        <w:tc>
          <w:tcPr>
            <w:tcW w:w="57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Outstanding</w:t>
            </w:r>
          </w:p>
        </w:tc>
        <w:tc>
          <w:tcPr>
            <w:tcW w:w="240" w:type="dxa"/>
            <w:vAlign w:val="bottom"/>
          </w:tcPr>
          <w:p>
            <w:pPr>
              <w:spacing w:after="0"/>
              <w:rPr>
                <w:sz w:val="16"/>
                <w:szCs w:val="16"/>
                <w:color w:val="auto"/>
              </w:rPr>
            </w:pPr>
          </w:p>
        </w:tc>
        <w:tc>
          <w:tcPr>
            <w:tcW w:w="1200" w:type="dxa"/>
            <w:vAlign w:val="bottom"/>
          </w:tcPr>
          <w:p>
            <w:pPr>
              <w:jc w:val="right"/>
              <w:ind w:right="299"/>
              <w:spacing w:after="0"/>
              <w:rPr>
                <w:sz w:val="20"/>
                <w:szCs w:val="20"/>
                <w:color w:val="auto"/>
              </w:rPr>
            </w:pPr>
            <w:r>
              <w:rPr>
                <w:rFonts w:ascii="Arial" w:cs="Arial" w:eastAsia="Arial" w:hAnsi="Arial"/>
                <w:sz w:val="16"/>
                <w:szCs w:val="16"/>
                <w:b w:val="1"/>
                <w:bCs w:val="1"/>
                <w:color w:val="auto"/>
              </w:rPr>
              <w:t>Available</w:t>
            </w:r>
          </w:p>
        </w:tc>
        <w:tc>
          <w:tcPr>
            <w:tcW w:w="0" w:type="dxa"/>
            <w:vAlign w:val="bottom"/>
          </w:tcPr>
          <w:p>
            <w:pPr>
              <w:spacing w:after="0"/>
              <w:rPr>
                <w:sz w:val="1"/>
                <w:szCs w:val="1"/>
                <w:color w:val="auto"/>
              </w:rPr>
            </w:pPr>
          </w:p>
        </w:tc>
      </w:tr>
      <w:tr>
        <w:trPr>
          <w:trHeight w:val="234"/>
        </w:trPr>
        <w:tc>
          <w:tcPr>
            <w:tcW w:w="5720" w:type="dxa"/>
            <w:vAlign w:val="bottom"/>
          </w:tcPr>
          <w:p>
            <w:pPr>
              <w:spacing w:after="0"/>
              <w:rPr>
                <w:sz w:val="20"/>
                <w:szCs w:val="20"/>
                <w:color w:val="auto"/>
              </w:rPr>
            </w:pPr>
          </w:p>
        </w:tc>
        <w:tc>
          <w:tcPr>
            <w:tcW w:w="1540" w:type="dxa"/>
            <w:vAlign w:val="bottom"/>
            <w:gridSpan w:val="3"/>
          </w:tcPr>
          <w:p>
            <w:pPr>
              <w:ind w:left="80"/>
              <w:spacing w:after="0" w:line="234" w:lineRule="exact"/>
              <w:rPr>
                <w:sz w:val="20"/>
                <w:szCs w:val="20"/>
                <w:color w:val="auto"/>
              </w:rPr>
            </w:pPr>
            <w:r>
              <w:rPr>
                <w:rFonts w:ascii="Arial" w:cs="Arial" w:eastAsia="Arial" w:hAnsi="Arial"/>
                <w:sz w:val="16"/>
                <w:szCs w:val="16"/>
                <w:b w:val="1"/>
                <w:bCs w:val="1"/>
                <w:color w:val="auto"/>
              </w:rPr>
              <w:t xml:space="preserve">Total Capacity </w:t>
            </w:r>
            <w:r>
              <w:rPr>
                <w:rFonts w:ascii="Arial" w:cs="Arial" w:eastAsia="Arial" w:hAnsi="Arial"/>
                <w:sz w:val="21"/>
                <w:szCs w:val="21"/>
                <w:b w:val="1"/>
                <w:bCs w:val="1"/>
                <w:color w:val="auto"/>
                <w:vertAlign w:val="superscript"/>
              </w:rPr>
              <w:t>(a)</w:t>
            </w:r>
          </w:p>
        </w:tc>
        <w:tc>
          <w:tcPr>
            <w:tcW w:w="180" w:type="dxa"/>
            <w:vAlign w:val="bottom"/>
          </w:tcPr>
          <w:p>
            <w:pPr>
              <w:spacing w:after="0"/>
              <w:rPr>
                <w:sz w:val="20"/>
                <w:szCs w:val="20"/>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Borrowings</w:t>
            </w:r>
          </w:p>
        </w:tc>
        <w:tc>
          <w:tcPr>
            <w:tcW w:w="240" w:type="dxa"/>
            <w:vAlign w:val="bottom"/>
          </w:tcPr>
          <w:p>
            <w:pPr>
              <w:spacing w:after="0"/>
              <w:rPr>
                <w:sz w:val="20"/>
                <w:szCs w:val="20"/>
                <w:color w:val="auto"/>
              </w:rPr>
            </w:pPr>
          </w:p>
        </w:tc>
        <w:tc>
          <w:tcPr>
            <w:tcW w:w="1200" w:type="dxa"/>
            <w:vAlign w:val="bottom"/>
          </w:tcPr>
          <w:p>
            <w:pPr>
              <w:jc w:val="right"/>
              <w:ind w:right="299"/>
              <w:spacing w:after="0"/>
              <w:rPr>
                <w:sz w:val="20"/>
                <w:szCs w:val="20"/>
                <w:color w:val="auto"/>
              </w:rPr>
            </w:pPr>
            <w:r>
              <w:rPr>
                <w:rFonts w:ascii="Arial" w:cs="Arial" w:eastAsia="Arial" w:hAnsi="Arial"/>
                <w:sz w:val="16"/>
                <w:szCs w:val="16"/>
                <w:b w:val="1"/>
                <w:bCs w:val="1"/>
                <w:color w:val="auto"/>
              </w:rPr>
              <w:t>Capacity</w:t>
            </w:r>
          </w:p>
        </w:tc>
        <w:tc>
          <w:tcPr>
            <w:tcW w:w="0" w:type="dxa"/>
            <w:vAlign w:val="bottom"/>
          </w:tcPr>
          <w:p>
            <w:pPr>
              <w:spacing w:after="0"/>
              <w:rPr>
                <w:sz w:val="1"/>
                <w:szCs w:val="1"/>
                <w:color w:val="auto"/>
              </w:rPr>
            </w:pPr>
          </w:p>
        </w:tc>
      </w:tr>
      <w:tr>
        <w:trPr>
          <w:trHeight w:val="274"/>
        </w:trPr>
        <w:tc>
          <w:tcPr>
            <w:tcW w:w="5720" w:type="dxa"/>
            <w:vAlign w:val="bottom"/>
          </w:tcPr>
          <w:p>
            <w:pPr>
              <w:ind w:left="20"/>
              <w:spacing w:after="0"/>
              <w:rPr>
                <w:sz w:val="20"/>
                <w:szCs w:val="20"/>
                <w:color w:val="auto"/>
              </w:rPr>
            </w:pPr>
            <w:r>
              <w:rPr>
                <w:rFonts w:ascii="Arial" w:cs="Arial" w:eastAsia="Arial" w:hAnsi="Arial"/>
                <w:sz w:val="16"/>
                <w:szCs w:val="16"/>
                <w:color w:val="auto"/>
              </w:rPr>
              <w:t xml:space="preserve">Americas – Debt due to Avis Budget Rental Car Funding </w:t>
            </w:r>
            <w:r>
              <w:rPr>
                <w:rFonts w:ascii="Arial" w:cs="Arial" w:eastAsia="Arial" w:hAnsi="Arial"/>
                <w:sz w:val="21"/>
                <w:szCs w:val="21"/>
                <w:color w:val="auto"/>
                <w:vertAlign w:val="superscript"/>
              </w:rPr>
              <w:t>(b)</w:t>
            </w:r>
          </w:p>
        </w:tc>
        <w:tc>
          <w:tcPr>
            <w:tcW w:w="480" w:type="dxa"/>
            <w:vAlign w:val="bottom"/>
            <w:tcBorders>
              <w:top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9,296</w:t>
            </w:r>
          </w:p>
        </w:tc>
        <w:tc>
          <w:tcPr>
            <w:tcW w:w="100" w:type="dxa"/>
            <w:vAlign w:val="bottom"/>
          </w:tcPr>
          <w:p>
            <w:pPr>
              <w:spacing w:after="0"/>
              <w:rPr>
                <w:sz w:val="23"/>
                <w:szCs w:val="23"/>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6,516</w:t>
            </w:r>
          </w:p>
        </w:tc>
        <w:tc>
          <w:tcPr>
            <w:tcW w:w="100" w:type="dxa"/>
            <w:vAlign w:val="bottom"/>
          </w:tcPr>
          <w:p>
            <w:pPr>
              <w:spacing w:after="0"/>
              <w:rPr>
                <w:sz w:val="23"/>
                <w:szCs w:val="23"/>
                <w:color w:val="auto"/>
              </w:rPr>
            </w:pPr>
          </w:p>
        </w:tc>
        <w:tc>
          <w:tcPr>
            <w:tcW w:w="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2,780</w:t>
            </w:r>
          </w:p>
        </w:tc>
        <w:tc>
          <w:tcPr>
            <w:tcW w:w="0" w:type="dxa"/>
            <w:vAlign w:val="bottom"/>
          </w:tcPr>
          <w:p>
            <w:pPr>
              <w:spacing w:after="0"/>
              <w:rPr>
                <w:sz w:val="1"/>
                <w:szCs w:val="1"/>
                <w:color w:val="auto"/>
              </w:rPr>
            </w:pPr>
          </w:p>
        </w:tc>
      </w:tr>
      <w:tr>
        <w:trPr>
          <w:trHeight w:val="270"/>
        </w:trPr>
        <w:tc>
          <w:tcPr>
            <w:tcW w:w="5720" w:type="dxa"/>
            <w:vAlign w:val="bottom"/>
          </w:tcPr>
          <w:p>
            <w:pPr>
              <w:ind w:left="20"/>
              <w:spacing w:after="0"/>
              <w:rPr>
                <w:sz w:val="20"/>
                <w:szCs w:val="20"/>
                <w:color w:val="auto"/>
              </w:rPr>
            </w:pPr>
            <w:r>
              <w:rPr>
                <w:rFonts w:ascii="Arial" w:cs="Arial" w:eastAsia="Arial" w:hAnsi="Arial"/>
                <w:sz w:val="16"/>
                <w:szCs w:val="16"/>
                <w:color w:val="auto"/>
              </w:rPr>
              <w:t xml:space="preserve">Americas – Debt borrowings </w:t>
            </w:r>
            <w:r>
              <w:rPr>
                <w:rFonts w:ascii="Arial" w:cs="Arial" w:eastAsia="Arial" w:hAnsi="Arial"/>
                <w:sz w:val="21"/>
                <w:szCs w:val="21"/>
                <w:color w:val="auto"/>
                <w:vertAlign w:val="superscript"/>
              </w:rPr>
              <w:t>(c)</w:t>
            </w:r>
          </w:p>
        </w:tc>
        <w:tc>
          <w:tcPr>
            <w:tcW w:w="48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924</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660</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264</w:t>
            </w:r>
          </w:p>
        </w:tc>
        <w:tc>
          <w:tcPr>
            <w:tcW w:w="0" w:type="dxa"/>
            <w:vAlign w:val="bottom"/>
          </w:tcPr>
          <w:p>
            <w:pPr>
              <w:spacing w:after="0"/>
              <w:rPr>
                <w:sz w:val="1"/>
                <w:szCs w:val="1"/>
                <w:color w:val="auto"/>
              </w:rPr>
            </w:pPr>
          </w:p>
        </w:tc>
      </w:tr>
      <w:tr>
        <w:trPr>
          <w:trHeight w:val="270"/>
        </w:trPr>
        <w:tc>
          <w:tcPr>
            <w:tcW w:w="5720" w:type="dxa"/>
            <w:vAlign w:val="bottom"/>
          </w:tcPr>
          <w:p>
            <w:pPr>
              <w:ind w:left="20"/>
              <w:spacing w:after="0"/>
              <w:rPr>
                <w:sz w:val="20"/>
                <w:szCs w:val="20"/>
                <w:color w:val="auto"/>
              </w:rPr>
            </w:pPr>
            <w:r>
              <w:rPr>
                <w:rFonts w:ascii="Arial" w:cs="Arial" w:eastAsia="Arial" w:hAnsi="Arial"/>
                <w:sz w:val="16"/>
                <w:szCs w:val="16"/>
                <w:color w:val="auto"/>
              </w:rPr>
              <w:t xml:space="preserve">International – Debt borrowings </w:t>
            </w:r>
            <w:r>
              <w:rPr>
                <w:rFonts w:ascii="Arial" w:cs="Arial" w:eastAsia="Arial" w:hAnsi="Arial"/>
                <w:sz w:val="21"/>
                <w:szCs w:val="21"/>
                <w:color w:val="auto"/>
                <w:vertAlign w:val="superscript"/>
              </w:rPr>
              <w:t>(d)</w:t>
            </w:r>
          </w:p>
        </w:tc>
        <w:tc>
          <w:tcPr>
            <w:tcW w:w="48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2,942</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1,942</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r>
        <w:trPr>
          <w:trHeight w:val="275"/>
        </w:trPr>
        <w:tc>
          <w:tcPr>
            <w:tcW w:w="5720" w:type="dxa"/>
            <w:vAlign w:val="bottom"/>
          </w:tcPr>
          <w:p>
            <w:pPr>
              <w:ind w:left="20"/>
              <w:spacing w:after="0"/>
              <w:rPr>
                <w:sz w:val="20"/>
                <w:szCs w:val="20"/>
                <w:color w:val="auto"/>
              </w:rPr>
            </w:pPr>
            <w:r>
              <w:rPr>
                <w:rFonts w:ascii="Arial" w:cs="Arial" w:eastAsia="Arial" w:hAnsi="Arial"/>
                <w:sz w:val="16"/>
                <w:szCs w:val="16"/>
                <w:color w:val="auto"/>
              </w:rPr>
              <w:t xml:space="preserve">International – Capital leases </w:t>
            </w:r>
            <w:r>
              <w:rPr>
                <w:rFonts w:ascii="Arial" w:cs="Arial" w:eastAsia="Arial" w:hAnsi="Arial"/>
                <w:sz w:val="21"/>
                <w:szCs w:val="21"/>
                <w:color w:val="auto"/>
                <w:vertAlign w:val="superscript"/>
              </w:rPr>
              <w:t>(e)</w:t>
            </w:r>
          </w:p>
        </w:tc>
        <w:tc>
          <w:tcPr>
            <w:tcW w:w="48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169</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146</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35"/>
        </w:trPr>
        <w:tc>
          <w:tcPr>
            <w:tcW w:w="5720" w:type="dxa"/>
            <w:vAlign w:val="bottom"/>
          </w:tcPr>
          <w:p>
            <w:pPr>
              <w:ind w:left="20"/>
              <w:spacing w:after="0"/>
              <w:rPr>
                <w:sz w:val="20"/>
                <w:szCs w:val="20"/>
                <w:color w:val="auto"/>
              </w:rPr>
            </w:pPr>
            <w:r>
              <w:rPr>
                <w:rFonts w:ascii="Arial" w:cs="Arial" w:eastAsia="Arial" w:hAnsi="Arial"/>
                <w:sz w:val="16"/>
                <w:szCs w:val="16"/>
                <w:color w:val="auto"/>
              </w:rPr>
              <w:t>Other</w:t>
            </w:r>
          </w:p>
        </w:tc>
        <w:tc>
          <w:tcPr>
            <w:tcW w:w="4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5720" w:type="dxa"/>
            <w:vAlign w:val="bottom"/>
          </w:tcPr>
          <w:p>
            <w:pPr>
              <w:ind w:left="20"/>
              <w:spacing w:after="0"/>
              <w:rPr>
                <w:sz w:val="20"/>
                <w:szCs w:val="20"/>
                <w:color w:val="auto"/>
              </w:rPr>
            </w:pPr>
            <w:r>
              <w:rPr>
                <w:rFonts w:ascii="Arial" w:cs="Arial" w:eastAsia="Arial" w:hAnsi="Arial"/>
                <w:sz w:val="16"/>
                <w:szCs w:val="16"/>
                <w:color w:val="auto"/>
              </w:rPr>
              <w:t>Total</w:t>
            </w:r>
          </w:p>
        </w:tc>
        <w:tc>
          <w:tcPr>
            <w:tcW w:w="4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13,332</w:t>
            </w:r>
          </w:p>
        </w:tc>
        <w:tc>
          <w:tcPr>
            <w:tcW w:w="10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9,265</w:t>
            </w:r>
          </w:p>
        </w:tc>
        <w:tc>
          <w:tcPr>
            <w:tcW w:w="100" w:type="dxa"/>
            <w:vAlign w:val="bottom"/>
          </w:tcPr>
          <w:p>
            <w:pPr>
              <w:spacing w:after="0"/>
              <w:rPr>
                <w:sz w:val="20"/>
                <w:szCs w:val="20"/>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4,067</w:t>
            </w:r>
          </w:p>
        </w:tc>
        <w:tc>
          <w:tcPr>
            <w:tcW w:w="0" w:type="dxa"/>
            <w:vAlign w:val="bottom"/>
          </w:tcPr>
          <w:p>
            <w:pPr>
              <w:spacing w:after="0"/>
              <w:rPr>
                <w:sz w:val="1"/>
                <w:szCs w:val="1"/>
                <w:color w:val="auto"/>
              </w:rPr>
            </w:pPr>
          </w:p>
        </w:tc>
      </w:tr>
      <w:tr>
        <w:trPr>
          <w:trHeight w:val="20"/>
        </w:trPr>
        <w:tc>
          <w:tcPr>
            <w:tcW w:w="5720" w:type="dxa"/>
            <w:vAlign w:val="bottom"/>
            <w:vMerge w:val="restart"/>
          </w:tcPr>
          <w:p>
            <w:pPr>
              <w:spacing w:after="0"/>
              <w:rPr>
                <w:sz w:val="20"/>
                <w:szCs w:val="20"/>
                <w:color w:val="auto"/>
              </w:rPr>
            </w:pPr>
            <w:r>
              <w:rPr>
                <w:rFonts w:ascii="Arial" w:cs="Arial" w:eastAsia="Arial" w:hAnsi="Arial"/>
                <w:sz w:val="16"/>
                <w:szCs w:val="16"/>
                <w:color w:val="auto"/>
              </w:rPr>
              <w:t>__________</w:t>
            </w: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720" w:type="dxa"/>
            <w:vAlign w:val="bottom"/>
            <w:vMerge w:val="continue"/>
          </w:tcPr>
          <w:p>
            <w:pPr>
              <w:spacing w:after="0"/>
              <w:rPr>
                <w:sz w:val="15"/>
                <w:szCs w:val="15"/>
                <w:color w:val="auto"/>
              </w:rPr>
            </w:pPr>
          </w:p>
        </w:tc>
        <w:tc>
          <w:tcPr>
            <w:tcW w:w="4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820" w:hanging="326"/>
        <w:spacing w:after="0" w:line="193" w:lineRule="auto"/>
        <w:tabs>
          <w:tab w:leader="none" w:pos="820" w:val="left"/>
        </w:tabs>
        <w:numPr>
          <w:ilvl w:val="0"/>
          <w:numId w:val="82"/>
        </w:numPr>
        <w:rPr>
          <w:rFonts w:ascii="Arial" w:cs="Arial" w:eastAsia="Arial" w:hAnsi="Arial"/>
          <w:sz w:val="18"/>
          <w:szCs w:val="18"/>
          <w:color w:val="auto"/>
          <w:vertAlign w:val="superscript"/>
        </w:rPr>
      </w:pPr>
      <w:r>
        <w:rPr>
          <w:rFonts w:ascii="Arial" w:cs="Arial" w:eastAsia="Arial" w:hAnsi="Arial"/>
          <w:sz w:val="14"/>
          <w:szCs w:val="14"/>
          <w:color w:val="auto"/>
        </w:rPr>
        <w:t>Capacity is subject to maintaining sufficient assets to collateralize debt.</w:t>
      </w:r>
    </w:p>
    <w:p>
      <w:pPr>
        <w:ind w:left="820" w:hanging="326"/>
        <w:spacing w:after="0" w:line="187" w:lineRule="auto"/>
        <w:tabs>
          <w:tab w:leader="none" w:pos="820" w:val="left"/>
        </w:tabs>
        <w:numPr>
          <w:ilvl w:val="0"/>
          <w:numId w:val="82"/>
        </w:numPr>
        <w:rPr>
          <w:rFonts w:ascii="Arial" w:cs="Arial" w:eastAsia="Arial" w:hAnsi="Arial"/>
          <w:sz w:val="18"/>
          <w:szCs w:val="18"/>
          <w:color w:val="auto"/>
          <w:vertAlign w:val="superscript"/>
        </w:rPr>
      </w:pPr>
      <w:r>
        <w:rPr>
          <w:rFonts w:ascii="Arial" w:cs="Arial" w:eastAsia="Arial" w:hAnsi="Arial"/>
          <w:sz w:val="14"/>
          <w:szCs w:val="14"/>
          <w:color w:val="auto"/>
        </w:rPr>
        <w:t>The outstanding debt is collateralized by $8.0 billion of underlying vehicles and related assets.</w:t>
      </w:r>
    </w:p>
    <w:p>
      <w:pPr>
        <w:ind w:left="820" w:hanging="326"/>
        <w:spacing w:after="0" w:line="187" w:lineRule="auto"/>
        <w:tabs>
          <w:tab w:leader="none" w:pos="820" w:val="left"/>
        </w:tabs>
        <w:numPr>
          <w:ilvl w:val="0"/>
          <w:numId w:val="82"/>
        </w:numPr>
        <w:rPr>
          <w:rFonts w:ascii="Arial" w:cs="Arial" w:eastAsia="Arial" w:hAnsi="Arial"/>
          <w:sz w:val="18"/>
          <w:szCs w:val="18"/>
          <w:color w:val="auto"/>
          <w:vertAlign w:val="superscript"/>
        </w:rPr>
      </w:pPr>
      <w:r>
        <w:rPr>
          <w:rFonts w:ascii="Arial" w:cs="Arial" w:eastAsia="Arial" w:hAnsi="Arial"/>
          <w:sz w:val="14"/>
          <w:szCs w:val="14"/>
          <w:color w:val="auto"/>
        </w:rPr>
        <w:t>The outstanding debt is collateralized by $0.9 billion of underlying vehicles and related assets.</w:t>
      </w:r>
    </w:p>
    <w:p>
      <w:pPr>
        <w:ind w:left="820" w:hanging="326"/>
        <w:spacing w:after="0" w:line="187" w:lineRule="auto"/>
        <w:tabs>
          <w:tab w:leader="none" w:pos="820" w:val="left"/>
        </w:tabs>
        <w:numPr>
          <w:ilvl w:val="0"/>
          <w:numId w:val="82"/>
        </w:numPr>
        <w:rPr>
          <w:rFonts w:ascii="Arial" w:cs="Arial" w:eastAsia="Arial" w:hAnsi="Arial"/>
          <w:sz w:val="18"/>
          <w:szCs w:val="18"/>
          <w:color w:val="auto"/>
          <w:vertAlign w:val="superscript"/>
        </w:rPr>
      </w:pPr>
      <w:r>
        <w:rPr>
          <w:rFonts w:ascii="Arial" w:cs="Arial" w:eastAsia="Arial" w:hAnsi="Arial"/>
          <w:sz w:val="14"/>
          <w:szCs w:val="14"/>
          <w:color w:val="auto"/>
        </w:rPr>
        <w:t>The outstanding debt is collateralized by $2.3 billion of underlying vehicles and related assets.</w:t>
      </w:r>
    </w:p>
    <w:p>
      <w:pPr>
        <w:ind w:left="820" w:hanging="326"/>
        <w:spacing w:after="0" w:line="199" w:lineRule="auto"/>
        <w:tabs>
          <w:tab w:leader="none" w:pos="820" w:val="left"/>
        </w:tabs>
        <w:numPr>
          <w:ilvl w:val="0"/>
          <w:numId w:val="82"/>
        </w:numPr>
        <w:rPr>
          <w:rFonts w:ascii="Arial" w:cs="Arial" w:eastAsia="Arial" w:hAnsi="Arial"/>
          <w:sz w:val="18"/>
          <w:szCs w:val="18"/>
          <w:color w:val="auto"/>
          <w:vertAlign w:val="superscript"/>
        </w:rPr>
      </w:pPr>
      <w:r>
        <w:rPr>
          <w:rFonts w:ascii="Arial" w:cs="Arial" w:eastAsia="Arial" w:hAnsi="Arial"/>
          <w:sz w:val="14"/>
          <w:szCs w:val="14"/>
          <w:color w:val="auto"/>
        </w:rPr>
        <w:t>The outstanding debt is collateralized by $0.2 billion of underlying vehicles and related assets.</w:t>
      </w:r>
    </w:p>
    <w:p>
      <w:pPr>
        <w:spacing w:after="0" w:line="152"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Debt Covenants</w:t>
      </w:r>
    </w:p>
    <w:p>
      <w:pPr>
        <w:spacing w:after="0" w:line="193" w:lineRule="exact"/>
        <w:rPr>
          <w:sz w:val="20"/>
          <w:szCs w:val="20"/>
          <w:color w:val="auto"/>
        </w:rPr>
      </w:pPr>
    </w:p>
    <w:p>
      <w:pPr>
        <w:ind w:left="500"/>
        <w:spacing w:after="0" w:line="256" w:lineRule="auto"/>
        <w:rPr>
          <w:sz w:val="20"/>
          <w:szCs w:val="20"/>
          <w:color w:val="auto"/>
        </w:rPr>
      </w:pPr>
      <w:r>
        <w:rPr>
          <w:rFonts w:ascii="Arial" w:cs="Arial" w:eastAsia="Arial" w:hAnsi="Arial"/>
          <w:sz w:val="18"/>
          <w:szCs w:val="18"/>
          <w:color w:val="auto"/>
        </w:rPr>
        <w:t>The agreements under the Company’s vehicle-backed funding programs contain restrictive covenants, including restrictions on dividends paid to the Company by certain of its subsidiaries and restrictions on indebtedness, mergers, liens, liquidations and sale and leaseback transactions, and in some cases also</w:t>
      </w:r>
    </w:p>
    <w:p>
      <w:pPr>
        <w:spacing w:after="0" w:line="2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380"/>
          </w:cols>
          <w:pgMar w:left="240" w:top="140" w:right="279" w:bottom="1440" w:gutter="0" w:footer="0" w:header="0"/>
        </w:sectPr>
      </w:pPr>
    </w:p>
    <w:bookmarkStart w:id="100" w:name="page101"/>
    <w:bookmarkEnd w:id="10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3" w:lineRule="exact"/>
        <w:rPr>
          <w:sz w:val="20"/>
          <w:szCs w:val="20"/>
          <w:color w:val="auto"/>
        </w:rPr>
      </w:pPr>
    </w:p>
    <w:p>
      <w:pPr>
        <w:ind w:left="500" w:right="320"/>
        <w:spacing w:after="0" w:line="256" w:lineRule="auto"/>
        <w:rPr>
          <w:sz w:val="20"/>
          <w:szCs w:val="20"/>
          <w:color w:val="auto"/>
        </w:rPr>
      </w:pPr>
      <w:r>
        <w:rPr>
          <w:rFonts w:ascii="Arial" w:cs="Arial" w:eastAsia="Arial" w:hAnsi="Arial"/>
          <w:sz w:val="18"/>
          <w:szCs w:val="18"/>
          <w:color w:val="auto"/>
        </w:rPr>
        <w:t>require compliance with certain financial requirements. As of December 31, 2017, the Company is not aware of any instances of non-compliance with any of the financial or restrictive covenants contained in the debt agreements under its vehicle-backed funding programs.</w:t>
      </w:r>
    </w:p>
    <w:p>
      <w:pPr>
        <w:spacing w:after="0" w:line="180" w:lineRule="exact"/>
        <w:rPr>
          <w:sz w:val="20"/>
          <w:szCs w:val="20"/>
          <w:color w:val="auto"/>
        </w:rPr>
      </w:pPr>
    </w:p>
    <w:p>
      <w:pPr>
        <w:ind w:left="500" w:right="8040" w:hanging="492"/>
        <w:spacing w:after="0" w:line="477" w:lineRule="auto"/>
        <w:tabs>
          <w:tab w:leader="none" w:pos="500" w:val="left"/>
        </w:tabs>
        <w:numPr>
          <w:ilvl w:val="0"/>
          <w:numId w:val="8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Commitments and Contingencies </w:t>
      </w:r>
      <w:r>
        <w:rPr>
          <w:rFonts w:ascii="Arial" w:cs="Arial" w:eastAsia="Arial" w:hAnsi="Arial"/>
          <w:sz w:val="17"/>
          <w:szCs w:val="17"/>
          <w:b w:val="1"/>
          <w:bCs w:val="1"/>
          <w:i w:val="1"/>
          <w:iCs w:val="1"/>
          <w:color w:val="auto"/>
        </w:rPr>
        <w:t>Lease Commitments</w:t>
      </w:r>
    </w:p>
    <w:p>
      <w:pPr>
        <w:spacing w:after="0" w:line="1" w:lineRule="exact"/>
        <w:rPr>
          <w:rFonts w:ascii="Arial" w:cs="Arial" w:eastAsia="Arial" w:hAnsi="Arial"/>
          <w:sz w:val="17"/>
          <w:szCs w:val="17"/>
          <w:b w:val="1"/>
          <w:bCs w:val="1"/>
          <w:color w:val="auto"/>
        </w:rPr>
      </w:pPr>
    </w:p>
    <w:p>
      <w:pPr>
        <w:ind w:left="500" w:right="120"/>
        <w:spacing w:after="0" w:line="256" w:lineRule="auto"/>
        <w:rPr>
          <w:rFonts w:ascii="Arial" w:cs="Arial" w:eastAsia="Arial" w:hAnsi="Arial"/>
          <w:sz w:val="17"/>
          <w:szCs w:val="17"/>
          <w:b w:val="1"/>
          <w:bCs w:val="1"/>
          <w:color w:val="auto"/>
        </w:rPr>
      </w:pPr>
      <w:r>
        <w:rPr>
          <w:rFonts w:ascii="Arial" w:cs="Arial" w:eastAsia="Arial" w:hAnsi="Arial"/>
          <w:sz w:val="18"/>
          <w:szCs w:val="18"/>
          <w:color w:val="auto"/>
        </w:rPr>
        <w:t>The Company is committed to making rental payments under noncancelable operating leases covering various facilities and equipment. Many of the Company’s operating leases for facilities contain renewal options. These renewal options vary, but the majority include clauses for various term lengths and prevailing market rate rents.</w:t>
      </w:r>
    </w:p>
    <w:p>
      <w:pPr>
        <w:spacing w:after="0" w:line="147" w:lineRule="exact"/>
        <w:rPr>
          <w:rFonts w:ascii="Arial" w:cs="Arial" w:eastAsia="Arial" w:hAnsi="Arial"/>
          <w:sz w:val="17"/>
          <w:szCs w:val="17"/>
          <w:b w:val="1"/>
          <w:bCs w:val="1"/>
          <w:color w:val="auto"/>
        </w:rPr>
      </w:pPr>
    </w:p>
    <w:p>
      <w:pPr>
        <w:ind w:left="500" w:right="60"/>
        <w:spacing w:after="0" w:line="262" w:lineRule="auto"/>
        <w:rPr>
          <w:rFonts w:ascii="Arial" w:cs="Arial" w:eastAsia="Arial" w:hAnsi="Arial"/>
          <w:sz w:val="17"/>
          <w:szCs w:val="17"/>
          <w:b w:val="1"/>
          <w:bCs w:val="1"/>
          <w:color w:val="auto"/>
        </w:rPr>
      </w:pPr>
      <w:r>
        <w:rPr>
          <w:rFonts w:ascii="Arial" w:cs="Arial" w:eastAsia="Arial" w:hAnsi="Arial"/>
          <w:sz w:val="18"/>
          <w:szCs w:val="18"/>
          <w:color w:val="auto"/>
        </w:rPr>
        <w:t>Future minimum lease payments required under noncancelable operating leases, including minimum concession fees charged by airport authorities, which in many locations are recoverable from vehicle rental customers, as of December 31, 2017, are as follows:</w:t>
      </w:r>
    </w:p>
    <w:p>
      <w:pPr>
        <w:spacing w:after="0" w:line="134" w:lineRule="exact"/>
        <w:rPr>
          <w:sz w:val="20"/>
          <w:szCs w:val="20"/>
          <w:color w:val="auto"/>
        </w:rPr>
      </w:pPr>
    </w:p>
    <w:tbl>
      <w:tblPr>
        <w:tblLayout w:type="fixed"/>
        <w:tblInd w:w="520" w:type="dxa"/>
        <w:tblCellMar>
          <w:top w:w="0" w:type="dxa"/>
          <w:left w:w="0" w:type="dxa"/>
          <w:bottom w:w="0" w:type="dxa"/>
          <w:right w:w="0" w:type="dxa"/>
        </w:tblCellMar>
      </w:tblPr>
      <w:tr>
        <w:trPr>
          <w:trHeight w:val="246"/>
        </w:trPr>
        <w:tc>
          <w:tcPr>
            <w:tcW w:w="88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Amount</w:t>
            </w:r>
          </w:p>
        </w:tc>
      </w:tr>
      <w:tr>
        <w:trPr>
          <w:trHeight w:val="243"/>
        </w:trPr>
        <w:tc>
          <w:tcPr>
            <w:tcW w:w="8840" w:type="dxa"/>
            <w:vAlign w:val="bottom"/>
          </w:tcPr>
          <w:p>
            <w:pPr>
              <w:spacing w:after="0"/>
              <w:rPr>
                <w:sz w:val="20"/>
                <w:szCs w:val="20"/>
                <w:color w:val="auto"/>
              </w:rPr>
            </w:pPr>
            <w:r>
              <w:rPr>
                <w:rFonts w:ascii="Arial" w:cs="Arial" w:eastAsia="Arial" w:hAnsi="Arial"/>
                <w:sz w:val="18"/>
                <w:szCs w:val="18"/>
                <w:color w:val="auto"/>
              </w:rPr>
              <w:t>2018</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729</w:t>
            </w:r>
          </w:p>
        </w:tc>
      </w:tr>
      <w:tr>
        <w:trPr>
          <w:trHeight w:val="257"/>
        </w:trPr>
        <w:tc>
          <w:tcPr>
            <w:tcW w:w="8840" w:type="dxa"/>
            <w:vAlign w:val="bottom"/>
          </w:tcPr>
          <w:p>
            <w:pPr>
              <w:spacing w:after="0"/>
              <w:rPr>
                <w:sz w:val="20"/>
                <w:szCs w:val="20"/>
                <w:color w:val="auto"/>
              </w:rPr>
            </w:pPr>
            <w:r>
              <w:rPr>
                <w:rFonts w:ascii="Arial" w:cs="Arial" w:eastAsia="Arial" w:hAnsi="Arial"/>
                <w:sz w:val="18"/>
                <w:szCs w:val="18"/>
                <w:color w:val="auto"/>
              </w:rPr>
              <w:t>2019</w:t>
            </w:r>
          </w:p>
        </w:tc>
        <w:tc>
          <w:tcPr>
            <w:tcW w:w="2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611</w:t>
            </w:r>
          </w:p>
        </w:tc>
      </w:tr>
      <w:tr>
        <w:trPr>
          <w:trHeight w:val="257"/>
        </w:trPr>
        <w:tc>
          <w:tcPr>
            <w:tcW w:w="8840" w:type="dxa"/>
            <w:vAlign w:val="bottom"/>
          </w:tcPr>
          <w:p>
            <w:pPr>
              <w:spacing w:after="0"/>
              <w:rPr>
                <w:sz w:val="20"/>
                <w:szCs w:val="20"/>
                <w:color w:val="auto"/>
              </w:rPr>
            </w:pPr>
            <w:r>
              <w:rPr>
                <w:rFonts w:ascii="Arial" w:cs="Arial" w:eastAsia="Arial" w:hAnsi="Arial"/>
                <w:sz w:val="18"/>
                <w:szCs w:val="18"/>
                <w:color w:val="auto"/>
              </w:rPr>
              <w:t>2020</w:t>
            </w:r>
          </w:p>
        </w:tc>
        <w:tc>
          <w:tcPr>
            <w:tcW w:w="2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401</w:t>
            </w:r>
          </w:p>
        </w:tc>
      </w:tr>
      <w:tr>
        <w:trPr>
          <w:trHeight w:val="257"/>
        </w:trPr>
        <w:tc>
          <w:tcPr>
            <w:tcW w:w="8840" w:type="dxa"/>
            <w:vAlign w:val="bottom"/>
          </w:tcPr>
          <w:p>
            <w:pPr>
              <w:spacing w:after="0"/>
              <w:rPr>
                <w:sz w:val="20"/>
                <w:szCs w:val="20"/>
                <w:color w:val="auto"/>
              </w:rPr>
            </w:pPr>
            <w:r>
              <w:rPr>
                <w:rFonts w:ascii="Arial" w:cs="Arial" w:eastAsia="Arial" w:hAnsi="Arial"/>
                <w:sz w:val="18"/>
                <w:szCs w:val="18"/>
                <w:color w:val="auto"/>
              </w:rPr>
              <w:t>2021</w:t>
            </w:r>
          </w:p>
        </w:tc>
        <w:tc>
          <w:tcPr>
            <w:tcW w:w="2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291</w:t>
            </w:r>
          </w:p>
        </w:tc>
      </w:tr>
      <w:tr>
        <w:trPr>
          <w:trHeight w:val="257"/>
        </w:trPr>
        <w:tc>
          <w:tcPr>
            <w:tcW w:w="8840" w:type="dxa"/>
            <w:vAlign w:val="bottom"/>
          </w:tcPr>
          <w:p>
            <w:pPr>
              <w:spacing w:after="0"/>
              <w:rPr>
                <w:sz w:val="20"/>
                <w:szCs w:val="20"/>
                <w:color w:val="auto"/>
              </w:rPr>
            </w:pPr>
            <w:r>
              <w:rPr>
                <w:rFonts w:ascii="Arial" w:cs="Arial" w:eastAsia="Arial" w:hAnsi="Arial"/>
                <w:sz w:val="18"/>
                <w:szCs w:val="18"/>
                <w:color w:val="auto"/>
              </w:rPr>
              <w:t>2022</w:t>
            </w:r>
          </w:p>
        </w:tc>
        <w:tc>
          <w:tcPr>
            <w:tcW w:w="2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183</w:t>
            </w:r>
          </w:p>
        </w:tc>
      </w:tr>
      <w:tr>
        <w:trPr>
          <w:trHeight w:val="264"/>
        </w:trPr>
        <w:tc>
          <w:tcPr>
            <w:tcW w:w="8840" w:type="dxa"/>
            <w:vAlign w:val="bottom"/>
          </w:tcPr>
          <w:p>
            <w:pPr>
              <w:spacing w:after="0"/>
              <w:rPr>
                <w:sz w:val="20"/>
                <w:szCs w:val="20"/>
                <w:color w:val="auto"/>
              </w:rPr>
            </w:pPr>
            <w:r>
              <w:rPr>
                <w:rFonts w:ascii="Arial" w:cs="Arial" w:eastAsia="Arial" w:hAnsi="Arial"/>
                <w:sz w:val="18"/>
                <w:szCs w:val="18"/>
                <w:color w:val="auto"/>
              </w:rPr>
              <w:t>Thereafter</w:t>
            </w:r>
          </w:p>
        </w:tc>
        <w:tc>
          <w:tcPr>
            <w:tcW w:w="2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549</w:t>
            </w:r>
          </w:p>
        </w:tc>
      </w:tr>
      <w:tr>
        <w:trPr>
          <w:trHeight w:val="250"/>
        </w:trPr>
        <w:tc>
          <w:tcPr>
            <w:tcW w:w="8840" w:type="dxa"/>
            <w:vAlign w:val="bottom"/>
          </w:tcPr>
          <w:p>
            <w:pPr>
              <w:spacing w:after="0"/>
              <w:rPr>
                <w:sz w:val="21"/>
                <w:szCs w:val="21"/>
                <w:color w:val="auto"/>
              </w:rPr>
            </w:pPr>
          </w:p>
        </w:tc>
        <w:tc>
          <w:tcPr>
            <w:tcW w:w="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2,764</w:t>
            </w:r>
          </w:p>
        </w:tc>
      </w:tr>
      <w:tr>
        <w:trPr>
          <w:trHeight w:val="20"/>
        </w:trPr>
        <w:tc>
          <w:tcPr>
            <w:tcW w:w="88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left="500" w:right="180"/>
        <w:spacing w:after="0" w:line="262" w:lineRule="auto"/>
        <w:rPr>
          <w:sz w:val="20"/>
          <w:szCs w:val="20"/>
          <w:color w:val="auto"/>
        </w:rPr>
      </w:pPr>
      <w:r>
        <w:rPr>
          <w:rFonts w:ascii="Arial" w:cs="Arial" w:eastAsia="Arial" w:hAnsi="Arial"/>
          <w:sz w:val="18"/>
          <w:szCs w:val="18"/>
          <w:color w:val="auto"/>
        </w:rPr>
        <w:t>The future minimum lease payments in the above table have been reduced by minimum future sublease rental inflows in the aggregate of $3 million for all periods shown in the table.</w:t>
      </w:r>
    </w:p>
    <w:p>
      <w:pPr>
        <w:spacing w:after="0" w:line="142" w:lineRule="exact"/>
        <w:rPr>
          <w:sz w:val="20"/>
          <w:szCs w:val="20"/>
          <w:color w:val="auto"/>
        </w:rPr>
      </w:pPr>
    </w:p>
    <w:p>
      <w:pPr>
        <w:ind w:left="500" w:right="300"/>
        <w:spacing w:after="0" w:line="254" w:lineRule="auto"/>
        <w:rPr>
          <w:sz w:val="20"/>
          <w:szCs w:val="20"/>
          <w:color w:val="auto"/>
        </w:rPr>
      </w:pPr>
      <w:r>
        <w:rPr>
          <w:rFonts w:ascii="Arial" w:cs="Arial" w:eastAsia="Arial" w:hAnsi="Arial"/>
          <w:sz w:val="18"/>
          <w:szCs w:val="18"/>
          <w:color w:val="auto"/>
        </w:rPr>
        <w:t>The Company maintains concession agreements with various airport authorities that allow the Company to conduct its car rental operations on site. In general, concession fees for airport locations are based on a percentage of total commissionable revenue (as defined by each airport authority), subject to minimum annual guaranteed amounts. These concession fees, which are included in the Company’s total rent expense, were as follows for the years ended December 31:</w:t>
      </w:r>
    </w:p>
    <w:p>
      <w:pPr>
        <w:spacing w:after="0" w:line="142" w:lineRule="exact"/>
        <w:rPr>
          <w:sz w:val="20"/>
          <w:szCs w:val="20"/>
          <w:color w:val="auto"/>
        </w:rPr>
      </w:pPr>
    </w:p>
    <w:tbl>
      <w:tblPr>
        <w:tblLayout w:type="fixed"/>
        <w:tblInd w:w="520" w:type="dxa"/>
        <w:tblCellMar>
          <w:top w:w="0" w:type="dxa"/>
          <w:left w:w="0" w:type="dxa"/>
          <w:bottom w:w="0" w:type="dxa"/>
          <w:right w:w="0" w:type="dxa"/>
        </w:tblCellMar>
      </w:tblPr>
      <w:tr>
        <w:trPr>
          <w:trHeight w:val="246"/>
        </w:trPr>
        <w:tc>
          <w:tcPr>
            <w:tcW w:w="57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2015</w:t>
            </w:r>
          </w:p>
        </w:tc>
      </w:tr>
      <w:tr>
        <w:trPr>
          <w:trHeight w:val="243"/>
        </w:trPr>
        <w:tc>
          <w:tcPr>
            <w:tcW w:w="5720" w:type="dxa"/>
            <w:vAlign w:val="bottom"/>
          </w:tcPr>
          <w:p>
            <w:pPr>
              <w:spacing w:after="0"/>
              <w:rPr>
                <w:sz w:val="20"/>
                <w:szCs w:val="20"/>
                <w:color w:val="auto"/>
              </w:rPr>
            </w:pPr>
            <w:r>
              <w:rPr>
                <w:rFonts w:ascii="Arial" w:cs="Arial" w:eastAsia="Arial" w:hAnsi="Arial"/>
                <w:sz w:val="18"/>
                <w:szCs w:val="18"/>
                <w:color w:val="auto"/>
              </w:rPr>
              <w:t>Rent expense (including minimum concession fees)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715</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699</w:t>
            </w:r>
          </w:p>
        </w:tc>
        <w:tc>
          <w:tcPr>
            <w:tcW w:w="100" w:type="dxa"/>
            <w:vAlign w:val="bottom"/>
          </w:tcPr>
          <w:p>
            <w:pPr>
              <w:spacing w:after="0"/>
              <w:rPr>
                <w:sz w:val="21"/>
                <w:szCs w:val="21"/>
                <w:color w:val="auto"/>
              </w:rPr>
            </w:pP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679</w:t>
            </w:r>
          </w:p>
        </w:tc>
      </w:tr>
      <w:tr>
        <w:trPr>
          <w:trHeight w:val="277"/>
        </w:trPr>
        <w:tc>
          <w:tcPr>
            <w:tcW w:w="5720" w:type="dxa"/>
            <w:vAlign w:val="bottom"/>
          </w:tcPr>
          <w:p>
            <w:pPr>
              <w:spacing w:after="0"/>
              <w:rPr>
                <w:sz w:val="20"/>
                <w:szCs w:val="20"/>
                <w:color w:val="auto"/>
              </w:rPr>
            </w:pPr>
            <w:r>
              <w:rPr>
                <w:rFonts w:ascii="Arial" w:cs="Arial" w:eastAsia="Arial" w:hAnsi="Arial"/>
                <w:sz w:val="18"/>
                <w:szCs w:val="18"/>
                <w:color w:val="auto"/>
              </w:rPr>
              <w:t>Contingent concession expense</w:t>
            </w: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221</w:t>
            </w: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214</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w:t>
            </w:r>
          </w:p>
        </w:tc>
      </w:tr>
      <w:tr>
        <w:trPr>
          <w:trHeight w:val="243"/>
        </w:trPr>
        <w:tc>
          <w:tcPr>
            <w:tcW w:w="57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936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913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874</w:t>
            </w:r>
          </w:p>
        </w:tc>
      </w:tr>
      <w:tr>
        <w:trPr>
          <w:trHeight w:val="277"/>
        </w:trPr>
        <w:tc>
          <w:tcPr>
            <w:tcW w:w="5720" w:type="dxa"/>
            <w:vAlign w:val="bottom"/>
          </w:tcPr>
          <w:p>
            <w:pPr>
              <w:spacing w:after="0"/>
              <w:rPr>
                <w:sz w:val="20"/>
                <w:szCs w:val="20"/>
                <w:color w:val="auto"/>
              </w:rPr>
            </w:pPr>
            <w:r>
              <w:rPr>
                <w:rFonts w:ascii="Arial" w:cs="Arial" w:eastAsia="Arial" w:hAnsi="Arial"/>
                <w:sz w:val="18"/>
                <w:szCs w:val="18"/>
                <w:color w:val="auto"/>
              </w:rPr>
              <w:t>Less: sublease rental income</w:t>
            </w: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r>
      <w:tr>
        <w:trPr>
          <w:trHeight w:val="250"/>
        </w:trPr>
        <w:tc>
          <w:tcPr>
            <w:tcW w:w="5720" w:type="dxa"/>
            <w:vAlign w:val="bottom"/>
          </w:tcPr>
          <w:p>
            <w:pPr>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932</w:t>
            </w:r>
          </w:p>
        </w:tc>
        <w:tc>
          <w:tcPr>
            <w:tcW w:w="100" w:type="dxa"/>
            <w:vAlign w:val="bottom"/>
          </w:tcPr>
          <w:p>
            <w:pPr>
              <w:spacing w:after="0"/>
              <w:rPr>
                <w:sz w:val="21"/>
                <w:szCs w:val="21"/>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908</w:t>
            </w:r>
          </w:p>
        </w:tc>
        <w:tc>
          <w:tcPr>
            <w:tcW w:w="100" w:type="dxa"/>
            <w:vAlign w:val="bottom"/>
          </w:tcPr>
          <w:p>
            <w:pPr>
              <w:spacing w:after="0"/>
              <w:rPr>
                <w:sz w:val="21"/>
                <w:szCs w:val="21"/>
                <w:color w:val="auto"/>
              </w:rPr>
            </w:pPr>
          </w:p>
        </w:tc>
        <w:tc>
          <w:tcPr>
            <w:tcW w:w="3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869</w:t>
            </w:r>
          </w:p>
        </w:tc>
      </w:tr>
      <w:tr>
        <w:trPr>
          <w:trHeight w:val="20"/>
        </w:trPr>
        <w:tc>
          <w:tcPr>
            <w:tcW w:w="57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left="500" w:right="180"/>
        <w:spacing w:after="0" w:line="262" w:lineRule="auto"/>
        <w:rPr>
          <w:sz w:val="20"/>
          <w:szCs w:val="20"/>
          <w:color w:val="auto"/>
        </w:rPr>
      </w:pPr>
      <w:r>
        <w:rPr>
          <w:rFonts w:ascii="Arial" w:cs="Arial" w:eastAsia="Arial" w:hAnsi="Arial"/>
          <w:sz w:val="18"/>
          <w:szCs w:val="18"/>
          <w:color w:val="auto"/>
        </w:rPr>
        <w:t>Commitments under capital leases, other than those within the Company’s vehicle rental programs, for which the future minimum lease payments have been reflected in Note 13-Debt Under Vehicle Programs and Borrowing Arrangements, are not significant.</w:t>
      </w:r>
    </w:p>
    <w:p>
      <w:pPr>
        <w:spacing w:after="0" w:line="142" w:lineRule="exact"/>
        <w:rPr>
          <w:sz w:val="20"/>
          <w:szCs w:val="20"/>
          <w:color w:val="auto"/>
        </w:rPr>
      </w:pPr>
    </w:p>
    <w:p>
      <w:pPr>
        <w:ind w:left="500"/>
        <w:spacing w:after="0" w:line="254" w:lineRule="auto"/>
        <w:rPr>
          <w:sz w:val="20"/>
          <w:szCs w:val="20"/>
          <w:color w:val="auto"/>
        </w:rPr>
      </w:pPr>
      <w:r>
        <w:rPr>
          <w:rFonts w:ascii="Arial" w:cs="Arial" w:eastAsia="Arial" w:hAnsi="Arial"/>
          <w:sz w:val="18"/>
          <w:szCs w:val="18"/>
          <w:color w:val="auto"/>
        </w:rPr>
        <w:t>The Company leases a portion of its vehicles under operating leases, some of which extend through 2024. As of December 31, 2017, the Company has guaranteed up to $ 302 million of residual values for these vehicles at the end of their respective lease terms. The Company believes that, based on current market conditions, the net proceeds from the sale of these vehicles at the end of their lease terms will equal or exceed their net book values and therefore has not recorded a liability related to guaranteed residual values.</w:t>
      </w:r>
    </w:p>
    <w:p>
      <w:pPr>
        <w:spacing w:after="0" w:line="128"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Contingencies</w:t>
      </w:r>
    </w:p>
    <w:p>
      <w:pPr>
        <w:spacing w:after="0" w:line="247" w:lineRule="exact"/>
        <w:rPr>
          <w:sz w:val="20"/>
          <w:szCs w:val="20"/>
          <w:color w:val="auto"/>
        </w:rPr>
      </w:pPr>
    </w:p>
    <w:p>
      <w:pPr>
        <w:ind w:left="500" w:right="60"/>
        <w:spacing w:after="0" w:line="274" w:lineRule="auto"/>
        <w:rPr>
          <w:sz w:val="20"/>
          <w:szCs w:val="20"/>
          <w:color w:val="auto"/>
        </w:rPr>
      </w:pPr>
      <w:r>
        <w:rPr>
          <w:rFonts w:ascii="Arial" w:cs="Arial" w:eastAsia="Arial" w:hAnsi="Arial"/>
          <w:sz w:val="17"/>
          <w:szCs w:val="17"/>
          <w:color w:val="auto"/>
        </w:rPr>
        <w:t>In 2006, the Company completed the spin-offs of its Realogy and Wyndham subsidiaries. The Company does not believe that the impact of any resolution of pre-existing contingent liabilities in connection with the spin-offs should result in a material liability to the Company in relation to its consolidated financial position or liquidity, as Realogy and Wyndham each have agreed to assume responsibility for these liabilities. The Company is also named in litigation that is primarily related to the businesses of its former subsidiaries,</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400"/>
          </w:cols>
          <w:pgMar w:left="240" w:top="140" w:right="259" w:bottom="1440" w:gutter="0" w:footer="0" w:header="0"/>
        </w:sectPr>
      </w:pPr>
    </w:p>
    <w:bookmarkStart w:id="101" w:name="page102"/>
    <w:bookmarkEnd w:id="10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left="500" w:right="540"/>
        <w:spacing w:after="0" w:line="262" w:lineRule="auto"/>
        <w:rPr>
          <w:sz w:val="20"/>
          <w:szCs w:val="20"/>
          <w:color w:val="auto"/>
        </w:rPr>
      </w:pPr>
      <w:r>
        <w:rPr>
          <w:rFonts w:ascii="Arial" w:cs="Arial" w:eastAsia="Arial" w:hAnsi="Arial"/>
          <w:sz w:val="18"/>
          <w:szCs w:val="18"/>
          <w:color w:val="auto"/>
        </w:rPr>
        <w:t>including Realogy and Wyndham. The Company is entitled to indemnification from such entities for any liability resulting from such litigation.</w:t>
      </w:r>
    </w:p>
    <w:p>
      <w:pPr>
        <w:spacing w:after="0" w:line="196" w:lineRule="exact"/>
        <w:rPr>
          <w:sz w:val="20"/>
          <w:szCs w:val="20"/>
          <w:color w:val="auto"/>
        </w:rPr>
      </w:pPr>
    </w:p>
    <w:p>
      <w:pPr>
        <w:ind w:left="500"/>
        <w:spacing w:after="0" w:line="252" w:lineRule="auto"/>
        <w:rPr>
          <w:sz w:val="20"/>
          <w:szCs w:val="20"/>
          <w:color w:val="auto"/>
        </w:rPr>
      </w:pPr>
      <w:r>
        <w:rPr>
          <w:rFonts w:ascii="Arial" w:cs="Arial" w:eastAsia="Arial" w:hAnsi="Arial"/>
          <w:sz w:val="18"/>
          <w:szCs w:val="18"/>
          <w:color w:val="auto"/>
        </w:rPr>
        <w:t>In February 2017, following a state court trial in Georgia, a jury found the Company liable for damages in a case brought by a plaintiff who was injured in a vehicle accident allegedly caused by an employee of an independent contractor of the Company who was acting outside of the scope of employment. In March 2017, the Company was also found liable for damages in a companion case arising from the same incident. The Company considers the attribution of liability to the Company, and the amount of damages awarded, to be unsupported by the facts of these cases and intends to appeal the verdicts. The Company has recognized a liability for the expected loss related to these cases, net of recoverable insurance proceeds, of approximately $12 million.</w:t>
      </w:r>
    </w:p>
    <w:p>
      <w:pPr>
        <w:spacing w:after="0" w:line="209" w:lineRule="exact"/>
        <w:rPr>
          <w:sz w:val="20"/>
          <w:szCs w:val="20"/>
          <w:color w:val="auto"/>
        </w:rPr>
      </w:pPr>
    </w:p>
    <w:p>
      <w:pPr>
        <w:ind w:left="500" w:right="40"/>
        <w:spacing w:after="0" w:line="252" w:lineRule="auto"/>
        <w:rPr>
          <w:sz w:val="20"/>
          <w:szCs w:val="20"/>
          <w:color w:val="auto"/>
        </w:rPr>
      </w:pPr>
      <w:r>
        <w:rPr>
          <w:rFonts w:ascii="Arial" w:cs="Arial" w:eastAsia="Arial" w:hAnsi="Arial"/>
          <w:sz w:val="18"/>
          <w:szCs w:val="18"/>
          <w:color w:val="auto"/>
        </w:rPr>
        <w:t>The Company is involved in claims, legal proceedings and governmental inquiries that are incidental to its vehicle rental and car sharing operations, including, among others, contract and licensee disputes, competition matters, employment and wage-and-hour claims, insurance and liability claims, intellectual property claims, business practice disputes and other regulatory, environmental, commercial and tax matters. Litigation is inherently unpredictable and, although the Company believes that its accruals are adequate and/or that it has valid defenses in these matters, unfavorable resolutions could occur. The Company estimates that the potential exposure resulting from adverse outcomes of legal proceedings in which it is reasonably possible that a loss may be incurred could, in the aggregate, be up to approximately $50 million in excess of amounts accrued as of December 31, 2017; however, the Company does not believe that the impact should result in a material liability to the Company in relation to its consolidated financial condition or results of operations.</w:t>
      </w:r>
    </w:p>
    <w:p>
      <w:pPr>
        <w:spacing w:after="0" w:line="13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Commitments to Purchase Vehicles</w:t>
      </w:r>
    </w:p>
    <w:p>
      <w:pPr>
        <w:spacing w:after="0" w:line="193" w:lineRule="exact"/>
        <w:rPr>
          <w:sz w:val="20"/>
          <w:szCs w:val="20"/>
          <w:color w:val="auto"/>
        </w:rPr>
      </w:pPr>
    </w:p>
    <w:p>
      <w:pPr>
        <w:ind w:left="500" w:right="100"/>
        <w:spacing w:after="0" w:line="254" w:lineRule="auto"/>
        <w:rPr>
          <w:sz w:val="20"/>
          <w:szCs w:val="20"/>
          <w:color w:val="auto"/>
        </w:rPr>
      </w:pPr>
      <w:r>
        <w:rPr>
          <w:rFonts w:ascii="Arial" w:cs="Arial" w:eastAsia="Arial" w:hAnsi="Arial"/>
          <w:sz w:val="18"/>
          <w:szCs w:val="18"/>
          <w:color w:val="auto"/>
        </w:rPr>
        <w:t>The Company maintains agreements with vehicle manufacturers under which the Company has agreed to purchase approximately $8.1 billion of vehicles from manufacturers over the next 12 months financed primarily through the issuance of vehicle-backed debt and cash received upon the disposition of vehicles. Certain of these commitments are subject to the vehicle manufacturers’ satisfying their obligations under their respective repurchase and guaranteed depreciation agreements.</w:t>
      </w:r>
    </w:p>
    <w:p>
      <w:pPr>
        <w:spacing w:after="0" w:line="128"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Other Purchase Commitments</w:t>
      </w:r>
    </w:p>
    <w:p>
      <w:pPr>
        <w:spacing w:after="0" w:line="193" w:lineRule="exact"/>
        <w:rPr>
          <w:sz w:val="20"/>
          <w:szCs w:val="20"/>
          <w:color w:val="auto"/>
        </w:rPr>
      </w:pPr>
    </w:p>
    <w:p>
      <w:pPr>
        <w:ind w:left="500"/>
        <w:spacing w:after="0" w:line="256" w:lineRule="auto"/>
        <w:rPr>
          <w:sz w:val="20"/>
          <w:szCs w:val="20"/>
          <w:color w:val="auto"/>
        </w:rPr>
      </w:pPr>
      <w:r>
        <w:rPr>
          <w:rFonts w:ascii="Arial" w:cs="Arial" w:eastAsia="Arial" w:hAnsi="Arial"/>
          <w:sz w:val="18"/>
          <w:szCs w:val="18"/>
          <w:color w:val="auto"/>
        </w:rPr>
        <w:t>In the normal course of business, the Company makes various commitments to purchase other goods or services from specific suppliers, including those related to marketing, advertising, computer services and capital expenditures. As of December 31, 2017, the Company had approximately $224 million of purchase obligations, which extend through 2022.</w:t>
      </w:r>
    </w:p>
    <w:p>
      <w:pPr>
        <w:spacing w:after="0" w:line="126"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Concentrations</w:t>
      </w:r>
    </w:p>
    <w:p>
      <w:pPr>
        <w:spacing w:after="0" w:line="193" w:lineRule="exact"/>
        <w:rPr>
          <w:sz w:val="20"/>
          <w:szCs w:val="20"/>
          <w:color w:val="auto"/>
        </w:rPr>
      </w:pPr>
    </w:p>
    <w:p>
      <w:pPr>
        <w:ind w:left="500" w:right="20"/>
        <w:spacing w:after="0" w:line="253" w:lineRule="auto"/>
        <w:rPr>
          <w:sz w:val="20"/>
          <w:szCs w:val="20"/>
          <w:color w:val="auto"/>
        </w:rPr>
      </w:pPr>
      <w:r>
        <w:rPr>
          <w:rFonts w:ascii="Arial" w:cs="Arial" w:eastAsia="Arial" w:hAnsi="Arial"/>
          <w:sz w:val="18"/>
          <w:szCs w:val="18"/>
          <w:color w:val="auto"/>
        </w:rPr>
        <w:t>Concentrations of credit risk at December 31, 2017, include (i) risks related to the Company’s repurchase and guaranteed depreciation agreements with domestic and foreign car manufacturers, including Ford, Fiat Chrysler and General Motors, and primarily with respect to receivables for program cars that have been disposed but for which the Company has not yet received payment from the manufacturers and (ii) risks related to Realogy and Wyndham, including receivables of $23 million and $14 million, respectively, related to certain contingent, income tax and other corporate liabilities assumed by Realogy and Wyndham in connection with their disposition.</w:t>
      </w:r>
    </w:p>
    <w:p>
      <w:pPr>
        <w:spacing w:after="0" w:line="13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Asset Retirement Obligations</w:t>
      </w:r>
    </w:p>
    <w:p>
      <w:pPr>
        <w:spacing w:after="0" w:line="193" w:lineRule="exact"/>
        <w:rPr>
          <w:sz w:val="20"/>
          <w:szCs w:val="20"/>
          <w:color w:val="auto"/>
        </w:rPr>
      </w:pPr>
    </w:p>
    <w:p>
      <w:pPr>
        <w:ind w:left="500" w:right="60"/>
        <w:spacing w:after="0" w:line="254" w:lineRule="auto"/>
        <w:rPr>
          <w:sz w:val="20"/>
          <w:szCs w:val="20"/>
          <w:color w:val="auto"/>
        </w:rPr>
      </w:pPr>
      <w:r>
        <w:rPr>
          <w:rFonts w:ascii="Arial" w:cs="Arial" w:eastAsia="Arial" w:hAnsi="Arial"/>
          <w:sz w:val="18"/>
          <w:szCs w:val="18"/>
          <w:color w:val="auto"/>
        </w:rPr>
        <w:t>The Company maintains a liability for asset retirement obligations. An asset retirement obligation is a legal obligation to perform certain activities in connection with the retirement, disposal or abandonment of assets. The Company’s asset retirement obligations, which are measured at discounted fair values, are primarily related to the removal of underground gasoline storage tanks at its rental facilities. The liability accrued for asset retirement obligations was $23 million and $24 million at December 31, 2017 and 2016, respectively.</w:t>
      </w:r>
    </w:p>
    <w:p>
      <w:pPr>
        <w:spacing w:after="0" w:line="128"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Standard Guarantees/Indemnifications</w:t>
      </w:r>
    </w:p>
    <w:p>
      <w:pPr>
        <w:spacing w:after="0" w:line="193" w:lineRule="exact"/>
        <w:rPr>
          <w:sz w:val="20"/>
          <w:szCs w:val="20"/>
          <w:color w:val="auto"/>
        </w:rPr>
      </w:pPr>
    </w:p>
    <w:p>
      <w:pPr>
        <w:ind w:left="500" w:right="280"/>
        <w:spacing w:after="0" w:line="262" w:lineRule="auto"/>
        <w:rPr>
          <w:sz w:val="20"/>
          <w:szCs w:val="20"/>
          <w:color w:val="auto"/>
        </w:rPr>
      </w:pPr>
      <w:r>
        <w:rPr>
          <w:rFonts w:ascii="Arial" w:cs="Arial" w:eastAsia="Arial" w:hAnsi="Arial"/>
          <w:sz w:val="18"/>
          <w:szCs w:val="18"/>
          <w:color w:val="auto"/>
        </w:rPr>
        <w:t>In the ordinary course of business, the Company enters into numerous agreements that contain standard guarantees and indemnities whereby the Company agrees to indemnify another party, among other things,</w:t>
      </w: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380"/>
          </w:cols>
          <w:pgMar w:left="240" w:top="140" w:right="279" w:bottom="1440" w:gutter="0" w:footer="0" w:header="0"/>
        </w:sectPr>
      </w:pPr>
    </w:p>
    <w:bookmarkStart w:id="102" w:name="page103"/>
    <w:bookmarkEnd w:id="10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3" w:lineRule="exact"/>
        <w:rPr>
          <w:sz w:val="20"/>
          <w:szCs w:val="20"/>
          <w:color w:val="auto"/>
        </w:rPr>
      </w:pPr>
    </w:p>
    <w:p>
      <w:pPr>
        <w:ind w:left="500"/>
        <w:spacing w:after="0" w:line="251" w:lineRule="auto"/>
        <w:rPr>
          <w:sz w:val="20"/>
          <w:szCs w:val="20"/>
          <w:color w:val="auto"/>
        </w:rPr>
      </w:pPr>
      <w:r>
        <w:rPr>
          <w:rFonts w:ascii="Arial" w:cs="Arial" w:eastAsia="Arial" w:hAnsi="Arial"/>
          <w:sz w:val="18"/>
          <w:szCs w:val="18"/>
          <w:color w:val="auto"/>
        </w:rPr>
        <w:t>for performance under contracts and any breaches of representations and warranties thereunder. In addition, many of these parties are also indemnified against any third-party claim resulting from the transaction that is contemplated in the underlying agreement. Such guarantees or indemnifications are granted under various agreements, including those governing (i) purchases, sales or outsourcing of assets, businesses or activities, (ii) leases of real estate, (iii) licensing of trademarks, (iv) access to credit facilities and use of derivatives and (v) issuances of debt or equity securities. The guarantees or indemnifications issued are for the benefit of the (i) buyers in sale agreements and sellers in purchase agreements, (ii) landlords in lease contracts, (iii) licensees under licensing agreements, (iv) financial institutions in credit facility arrangements and derivative contracts and (v) underwriters and placement agents in debt or equity security issuances. While some of these guarantees extend only for the duration of the underlying agreement, many may survive the expiration of the term of the agreement or extend into perpetuity (unless subject to a legal statute of limitations). There are no specific limitations on the maximum potential amount of future payments that the Company could be required to make under these guarantees, nor is the Company able to develop an estimate of the maximum potential amount of future payments to be made under these guarantees as the triggering events are not subject to predictability. With respect to certain of the aforementioned guarantees, such as indemnifications provided to landlords against third-party claims for the use of real estate property leased by the Company, the Company maintains insurance coverage that mitigates its potential exposure.</w:t>
      </w:r>
    </w:p>
    <w:p>
      <w:pPr>
        <w:spacing w:after="0" w:line="189" w:lineRule="exact"/>
        <w:rPr>
          <w:sz w:val="20"/>
          <w:szCs w:val="20"/>
          <w:color w:val="auto"/>
        </w:rPr>
      </w:pPr>
    </w:p>
    <w:p>
      <w:pPr>
        <w:ind w:left="500" w:right="8740" w:hanging="492"/>
        <w:spacing w:after="0" w:line="477" w:lineRule="auto"/>
        <w:tabs>
          <w:tab w:leader="none" w:pos="500" w:val="left"/>
        </w:tabs>
        <w:numPr>
          <w:ilvl w:val="0"/>
          <w:numId w:val="8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Stockholders’ Equity </w:t>
      </w:r>
      <w:r>
        <w:rPr>
          <w:rFonts w:ascii="Arial" w:cs="Arial" w:eastAsia="Arial" w:hAnsi="Arial"/>
          <w:sz w:val="17"/>
          <w:szCs w:val="17"/>
          <w:b w:val="1"/>
          <w:bCs w:val="1"/>
          <w:i w:val="1"/>
          <w:iCs w:val="1"/>
          <w:color w:val="auto"/>
        </w:rPr>
        <w:t>Cash Dividend Payments</w:t>
      </w:r>
    </w:p>
    <w:p>
      <w:pPr>
        <w:spacing w:after="0" w:line="1" w:lineRule="exact"/>
        <w:rPr>
          <w:rFonts w:ascii="Arial" w:cs="Arial" w:eastAsia="Arial" w:hAnsi="Arial"/>
          <w:sz w:val="17"/>
          <w:szCs w:val="17"/>
          <w:b w:val="1"/>
          <w:bCs w:val="1"/>
          <w:color w:val="auto"/>
        </w:rPr>
      </w:pPr>
    </w:p>
    <w:p>
      <w:pPr>
        <w:ind w:left="500" w:right="20"/>
        <w:spacing w:after="0" w:line="256" w:lineRule="auto"/>
        <w:rPr>
          <w:rFonts w:ascii="Arial" w:cs="Arial" w:eastAsia="Arial" w:hAnsi="Arial"/>
          <w:sz w:val="17"/>
          <w:szCs w:val="17"/>
          <w:b w:val="1"/>
          <w:bCs w:val="1"/>
          <w:color w:val="auto"/>
        </w:rPr>
      </w:pPr>
      <w:r>
        <w:rPr>
          <w:rFonts w:ascii="Arial" w:cs="Arial" w:eastAsia="Arial" w:hAnsi="Arial"/>
          <w:sz w:val="18"/>
          <w:szCs w:val="18"/>
          <w:color w:val="auto"/>
        </w:rPr>
        <w:t>During 2017, 2016 and 2015, the Company did not declare or pay any cash dividends. The Company’s ability to pay dividends to holders of its common stock is limited by the Company’s senior credit facility, the indentures governing its senior notes and its vehicle financing programs.</w:t>
      </w:r>
    </w:p>
    <w:p>
      <w:pPr>
        <w:spacing w:after="0" w:line="125" w:lineRule="exact"/>
        <w:rPr>
          <w:rFonts w:ascii="Arial" w:cs="Arial" w:eastAsia="Arial" w:hAnsi="Arial"/>
          <w:sz w:val="17"/>
          <w:szCs w:val="17"/>
          <w:b w:val="1"/>
          <w:bCs w:val="1"/>
          <w:color w:val="auto"/>
        </w:rPr>
      </w:pPr>
    </w:p>
    <w:p>
      <w:pPr>
        <w:ind w:left="500"/>
        <w:spacing w:after="0"/>
        <w:rPr>
          <w:rFonts w:ascii="Arial" w:cs="Arial" w:eastAsia="Arial" w:hAnsi="Arial"/>
          <w:sz w:val="17"/>
          <w:szCs w:val="17"/>
          <w:b w:val="1"/>
          <w:bCs w:val="1"/>
          <w:color w:val="auto"/>
        </w:rPr>
      </w:pPr>
      <w:r>
        <w:rPr>
          <w:rFonts w:ascii="Arial" w:cs="Arial" w:eastAsia="Arial" w:hAnsi="Arial"/>
          <w:sz w:val="18"/>
          <w:szCs w:val="18"/>
          <w:b w:val="1"/>
          <w:bCs w:val="1"/>
          <w:i w:val="1"/>
          <w:iCs w:val="1"/>
          <w:color w:val="auto"/>
        </w:rPr>
        <w:t>Share Repurchases</w:t>
      </w:r>
    </w:p>
    <w:p>
      <w:pPr>
        <w:spacing w:after="0" w:line="193" w:lineRule="exact"/>
        <w:rPr>
          <w:rFonts w:ascii="Arial" w:cs="Arial" w:eastAsia="Arial" w:hAnsi="Arial"/>
          <w:sz w:val="17"/>
          <w:szCs w:val="17"/>
          <w:b w:val="1"/>
          <w:bCs w:val="1"/>
          <w:color w:val="auto"/>
        </w:rPr>
      </w:pPr>
    </w:p>
    <w:p>
      <w:pPr>
        <w:ind w:left="500" w:right="20"/>
        <w:spacing w:after="0" w:line="254" w:lineRule="auto"/>
        <w:rPr>
          <w:rFonts w:ascii="Arial" w:cs="Arial" w:eastAsia="Arial" w:hAnsi="Arial"/>
          <w:sz w:val="17"/>
          <w:szCs w:val="17"/>
          <w:b w:val="1"/>
          <w:bCs w:val="1"/>
          <w:color w:val="auto"/>
        </w:rPr>
      </w:pPr>
      <w:r>
        <w:rPr>
          <w:rFonts w:ascii="Arial" w:cs="Arial" w:eastAsia="Arial" w:hAnsi="Arial"/>
          <w:sz w:val="18"/>
          <w:szCs w:val="18"/>
          <w:color w:val="262626"/>
        </w:rPr>
        <w:t xml:space="preserve">The Company’s Board of Directors has authorized the repurchase of up to approximately $1.5 billion of its common stock under a plan originally approved in 2013 and subsequently expanded, most recently in 2016. </w:t>
      </w:r>
      <w:r>
        <w:rPr>
          <w:rFonts w:ascii="Arial" w:cs="Arial" w:eastAsia="Arial" w:hAnsi="Arial"/>
          <w:sz w:val="18"/>
          <w:szCs w:val="18"/>
          <w:color w:val="000000"/>
        </w:rPr>
        <w:t>During 2017, 2016 and 2015, the Company repurchased</w:t>
      </w:r>
      <w:r>
        <w:rPr>
          <w:rFonts w:ascii="Arial" w:cs="Arial" w:eastAsia="Arial" w:hAnsi="Arial"/>
          <w:sz w:val="18"/>
          <w:szCs w:val="18"/>
          <w:color w:val="262626"/>
        </w:rPr>
        <w:t xml:space="preserve"> </w:t>
      </w:r>
      <w:r>
        <w:rPr>
          <w:rFonts w:ascii="Arial" w:cs="Arial" w:eastAsia="Arial" w:hAnsi="Arial"/>
          <w:sz w:val="18"/>
          <w:szCs w:val="18"/>
          <w:color w:val="000000"/>
        </w:rPr>
        <w:t>approximately 27 million shares of common stock at a cost of $1.0 billion under the program. As of December 31, 2017, approximately $100 million of authorization remained available to repurchase common stock under this plan.</w:t>
      </w: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380"/>
          </w:cols>
          <w:pgMar w:left="240" w:top="140" w:right="279" w:bottom="1440" w:gutter="0" w:footer="0" w:header="0"/>
        </w:sectPr>
      </w:pPr>
    </w:p>
    <w:bookmarkStart w:id="103" w:name="page104"/>
    <w:bookmarkEnd w:id="10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1"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Accumulated Other Comprehensive Income (Loss)</w:t>
      </w:r>
    </w:p>
    <w:p>
      <w:pPr>
        <w:spacing w:after="0" w:line="193"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components of accumulated other comprehensive income (loss) are as follows:</w:t>
      </w:r>
    </w:p>
    <w:p>
      <w:pPr>
        <w:sectPr>
          <w:pgSz w:w="11900" w:h="16838" w:orient="portrait"/>
          <w:cols w:equalWidth="0" w:num="1">
            <w:col w:w="11420"/>
          </w:cols>
          <w:pgMar w:left="240" w:top="14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520"/>
        <w:spacing w:after="0"/>
        <w:rPr>
          <w:sz w:val="20"/>
          <w:szCs w:val="20"/>
          <w:color w:val="auto"/>
        </w:rPr>
      </w:pPr>
      <w:r>
        <w:rPr>
          <w:rFonts w:ascii="Arial" w:cs="Arial" w:eastAsia="Arial" w:hAnsi="Arial"/>
          <w:sz w:val="13"/>
          <w:szCs w:val="13"/>
          <w:color w:val="auto"/>
        </w:rPr>
        <w:t>Balance, January 1, 2015</w:t>
      </w:r>
    </w:p>
    <w:p>
      <w:pPr>
        <w:spacing w:after="0" w:line="121" w:lineRule="exact"/>
        <w:rPr>
          <w:sz w:val="20"/>
          <w:szCs w:val="20"/>
          <w:color w:val="auto"/>
        </w:rPr>
      </w:pPr>
    </w:p>
    <w:p>
      <w:pPr>
        <w:ind w:left="840" w:hanging="161"/>
        <w:spacing w:after="0" w:line="230" w:lineRule="auto"/>
        <w:rPr>
          <w:sz w:val="20"/>
          <w:szCs w:val="20"/>
          <w:color w:val="auto"/>
        </w:rPr>
      </w:pPr>
      <w:r>
        <w:rPr>
          <w:rFonts w:ascii="Arial" w:cs="Arial" w:eastAsia="Arial" w:hAnsi="Arial"/>
          <w:sz w:val="13"/>
          <w:szCs w:val="13"/>
          <w:color w:val="auto"/>
        </w:rPr>
        <w:t>Other comprehensive income (loss) before reclassifications</w:t>
      </w:r>
    </w:p>
    <w:p>
      <w:pPr>
        <w:spacing w:after="0" w:line="38" w:lineRule="exact"/>
        <w:rPr>
          <w:sz w:val="20"/>
          <w:szCs w:val="20"/>
          <w:color w:val="auto"/>
        </w:rPr>
      </w:pPr>
    </w:p>
    <w:p>
      <w:pPr>
        <w:ind w:left="840" w:right="180" w:hanging="161"/>
        <w:spacing w:after="0" w:line="259" w:lineRule="auto"/>
        <w:rPr>
          <w:sz w:val="20"/>
          <w:szCs w:val="20"/>
          <w:color w:val="auto"/>
        </w:rPr>
      </w:pPr>
      <w:r>
        <w:rPr>
          <w:rFonts w:ascii="Arial" w:cs="Arial" w:eastAsia="Arial" w:hAnsi="Arial"/>
          <w:sz w:val="12"/>
          <w:szCs w:val="12"/>
          <w:color w:val="auto"/>
        </w:rPr>
        <w:t>Amounts reclassified from accumulated other comprehensive income (loss)</w:t>
      </w:r>
    </w:p>
    <w:p>
      <w:pPr>
        <w:spacing w:after="0" w:line="26" w:lineRule="exact"/>
        <w:rPr>
          <w:sz w:val="20"/>
          <w:szCs w:val="20"/>
          <w:color w:val="auto"/>
        </w:rPr>
      </w:pPr>
    </w:p>
    <w:p>
      <w:pPr>
        <w:ind w:left="680" w:right="320" w:hanging="161"/>
        <w:spacing w:after="0" w:line="230" w:lineRule="auto"/>
        <w:rPr>
          <w:sz w:val="20"/>
          <w:szCs w:val="20"/>
          <w:color w:val="auto"/>
        </w:rPr>
      </w:pPr>
      <w:r>
        <w:rPr>
          <w:rFonts w:ascii="Arial" w:cs="Arial" w:eastAsia="Arial" w:hAnsi="Arial"/>
          <w:sz w:val="13"/>
          <w:szCs w:val="13"/>
          <w:color w:val="auto"/>
        </w:rPr>
        <w:t>Net current-period other comprehensive income (loss)</w:t>
      </w:r>
    </w:p>
    <w:p>
      <w:pPr>
        <w:spacing w:after="0" w:line="38" w:lineRule="exact"/>
        <w:rPr>
          <w:sz w:val="20"/>
          <w:szCs w:val="20"/>
          <w:color w:val="auto"/>
        </w:rPr>
      </w:pPr>
    </w:p>
    <w:p>
      <w:pPr>
        <w:ind w:left="520"/>
        <w:spacing w:after="0"/>
        <w:rPr>
          <w:sz w:val="20"/>
          <w:szCs w:val="20"/>
          <w:color w:val="auto"/>
        </w:rPr>
      </w:pPr>
      <w:r>
        <w:rPr>
          <w:rFonts w:ascii="Arial" w:cs="Arial" w:eastAsia="Arial" w:hAnsi="Arial"/>
          <w:sz w:val="13"/>
          <w:szCs w:val="13"/>
          <w:color w:val="auto"/>
        </w:rPr>
        <w:t>Balance, December 31, 2015</w:t>
      </w:r>
    </w:p>
    <w:p>
      <w:pPr>
        <w:spacing w:after="0" w:line="121" w:lineRule="exact"/>
        <w:rPr>
          <w:sz w:val="20"/>
          <w:szCs w:val="20"/>
          <w:color w:val="auto"/>
        </w:rPr>
      </w:pPr>
    </w:p>
    <w:p>
      <w:pPr>
        <w:ind w:left="840" w:hanging="161"/>
        <w:spacing w:after="0" w:line="230" w:lineRule="auto"/>
        <w:rPr>
          <w:sz w:val="20"/>
          <w:szCs w:val="20"/>
          <w:color w:val="auto"/>
        </w:rPr>
      </w:pPr>
      <w:r>
        <w:rPr>
          <w:rFonts w:ascii="Arial" w:cs="Arial" w:eastAsia="Arial" w:hAnsi="Arial"/>
          <w:sz w:val="13"/>
          <w:szCs w:val="13"/>
          <w:color w:val="auto"/>
        </w:rPr>
        <w:t>Other comprehensive income (loss) before reclassifications</w:t>
      </w:r>
    </w:p>
    <w:p>
      <w:pPr>
        <w:spacing w:after="0" w:line="38" w:lineRule="exact"/>
        <w:rPr>
          <w:sz w:val="20"/>
          <w:szCs w:val="20"/>
          <w:color w:val="auto"/>
        </w:rPr>
      </w:pPr>
    </w:p>
    <w:p>
      <w:pPr>
        <w:ind w:left="840" w:right="180" w:hanging="161"/>
        <w:spacing w:after="0" w:line="259" w:lineRule="auto"/>
        <w:rPr>
          <w:sz w:val="20"/>
          <w:szCs w:val="20"/>
          <w:color w:val="auto"/>
        </w:rPr>
      </w:pPr>
      <w:r>
        <w:rPr>
          <w:rFonts w:ascii="Arial" w:cs="Arial" w:eastAsia="Arial" w:hAnsi="Arial"/>
          <w:sz w:val="12"/>
          <w:szCs w:val="12"/>
          <w:color w:val="auto"/>
        </w:rPr>
        <w:t>Amounts reclassified from accumulated other comprehensive income (loss)</w:t>
      </w:r>
    </w:p>
    <w:p>
      <w:pPr>
        <w:spacing w:after="0" w:line="26" w:lineRule="exact"/>
        <w:rPr>
          <w:sz w:val="20"/>
          <w:szCs w:val="20"/>
          <w:color w:val="auto"/>
        </w:rPr>
      </w:pPr>
    </w:p>
    <w:p>
      <w:pPr>
        <w:ind w:left="680" w:right="320" w:hanging="161"/>
        <w:spacing w:after="0" w:line="230" w:lineRule="auto"/>
        <w:rPr>
          <w:sz w:val="20"/>
          <w:szCs w:val="20"/>
          <w:color w:val="auto"/>
        </w:rPr>
      </w:pPr>
      <w:r>
        <w:rPr>
          <w:rFonts w:ascii="Arial" w:cs="Arial" w:eastAsia="Arial" w:hAnsi="Arial"/>
          <w:sz w:val="13"/>
          <w:szCs w:val="13"/>
          <w:color w:val="auto"/>
        </w:rPr>
        <w:t>Net current-period other comprehensive income (loss)</w:t>
      </w:r>
    </w:p>
    <w:p>
      <w:pPr>
        <w:spacing w:after="0" w:line="38" w:lineRule="exact"/>
        <w:rPr>
          <w:sz w:val="20"/>
          <w:szCs w:val="20"/>
          <w:color w:val="auto"/>
        </w:rPr>
      </w:pPr>
    </w:p>
    <w:p>
      <w:pPr>
        <w:ind w:left="520"/>
        <w:spacing w:after="0"/>
        <w:rPr>
          <w:sz w:val="20"/>
          <w:szCs w:val="20"/>
          <w:color w:val="auto"/>
        </w:rPr>
      </w:pPr>
      <w:r>
        <w:rPr>
          <w:rFonts w:ascii="Arial" w:cs="Arial" w:eastAsia="Arial" w:hAnsi="Arial"/>
          <w:sz w:val="13"/>
          <w:szCs w:val="13"/>
          <w:color w:val="auto"/>
        </w:rPr>
        <w:t>Balance, December 31, 2016</w:t>
      </w:r>
    </w:p>
    <w:p>
      <w:pPr>
        <w:spacing w:after="0" w:line="121" w:lineRule="exact"/>
        <w:rPr>
          <w:sz w:val="20"/>
          <w:szCs w:val="20"/>
          <w:color w:val="auto"/>
        </w:rPr>
      </w:pPr>
    </w:p>
    <w:p>
      <w:pPr>
        <w:ind w:left="840" w:hanging="161"/>
        <w:spacing w:after="0" w:line="230" w:lineRule="auto"/>
        <w:rPr>
          <w:sz w:val="20"/>
          <w:szCs w:val="20"/>
          <w:color w:val="auto"/>
        </w:rPr>
      </w:pPr>
      <w:r>
        <w:rPr>
          <w:rFonts w:ascii="Arial" w:cs="Arial" w:eastAsia="Arial" w:hAnsi="Arial"/>
          <w:sz w:val="13"/>
          <w:szCs w:val="13"/>
          <w:color w:val="auto"/>
        </w:rPr>
        <w:t>Other comprehensive income (loss) before reclassifications</w:t>
      </w:r>
    </w:p>
    <w:p>
      <w:pPr>
        <w:spacing w:after="0" w:line="38" w:lineRule="exact"/>
        <w:rPr>
          <w:sz w:val="20"/>
          <w:szCs w:val="20"/>
          <w:color w:val="auto"/>
        </w:rPr>
      </w:pPr>
    </w:p>
    <w:p>
      <w:pPr>
        <w:ind w:left="840" w:right="180" w:hanging="161"/>
        <w:spacing w:after="0" w:line="259" w:lineRule="auto"/>
        <w:rPr>
          <w:sz w:val="20"/>
          <w:szCs w:val="20"/>
          <w:color w:val="auto"/>
        </w:rPr>
      </w:pPr>
      <w:r>
        <w:rPr>
          <w:rFonts w:ascii="Arial" w:cs="Arial" w:eastAsia="Arial" w:hAnsi="Arial"/>
          <w:sz w:val="12"/>
          <w:szCs w:val="12"/>
          <w:color w:val="auto"/>
        </w:rPr>
        <w:t>Amounts reclassified from accumulated other comprehensive income (loss)</w:t>
      </w:r>
    </w:p>
    <w:p>
      <w:pPr>
        <w:spacing w:after="0" w:line="26" w:lineRule="exact"/>
        <w:rPr>
          <w:sz w:val="20"/>
          <w:szCs w:val="20"/>
          <w:color w:val="auto"/>
        </w:rPr>
      </w:pPr>
    </w:p>
    <w:p>
      <w:pPr>
        <w:ind w:left="680" w:right="320" w:hanging="161"/>
        <w:spacing w:after="0" w:line="230" w:lineRule="auto"/>
        <w:rPr>
          <w:sz w:val="20"/>
          <w:szCs w:val="20"/>
          <w:color w:val="auto"/>
        </w:rPr>
      </w:pPr>
      <w:r>
        <w:rPr>
          <w:rFonts w:ascii="Arial" w:cs="Arial" w:eastAsia="Arial" w:hAnsi="Arial"/>
          <w:sz w:val="13"/>
          <w:szCs w:val="13"/>
          <w:color w:val="auto"/>
        </w:rPr>
        <w:t>Net current-period other comprehensive income (loss)</w:t>
      </w:r>
    </w:p>
    <w:p>
      <w:pPr>
        <w:spacing w:after="0" w:line="38" w:lineRule="exact"/>
        <w:rPr>
          <w:sz w:val="20"/>
          <w:szCs w:val="20"/>
          <w:color w:val="auto"/>
        </w:rPr>
      </w:pPr>
    </w:p>
    <w:p>
      <w:pPr>
        <w:ind w:left="520"/>
        <w:spacing w:after="0"/>
        <w:rPr>
          <w:sz w:val="20"/>
          <w:szCs w:val="20"/>
          <w:color w:val="auto"/>
        </w:rPr>
      </w:pPr>
      <w:r>
        <w:rPr>
          <w:rFonts w:ascii="Arial" w:cs="Arial" w:eastAsia="Arial" w:hAnsi="Arial"/>
          <w:sz w:val="13"/>
          <w:szCs w:val="13"/>
          <w:color w:val="auto"/>
        </w:rPr>
        <w:t>Balance, December 31, 2017</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5"/>
              </w:rPr>
              <w:t>Net Unrealized</w:t>
            </w:r>
          </w:p>
        </w:tc>
        <w:tc>
          <w:tcPr>
            <w:tcW w:w="154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w w:val="96"/>
              </w:rPr>
              <w:t>Net Unrealized Gains</w:t>
            </w:r>
          </w:p>
        </w:tc>
        <w:tc>
          <w:tcPr>
            <w:tcW w:w="140" w:type="dxa"/>
            <w:vAlign w:val="bottom"/>
          </w:tcPr>
          <w:p>
            <w:pPr>
              <w:spacing w:after="0"/>
              <w:rPr>
                <w:sz w:val="13"/>
                <w:szCs w:val="13"/>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5"/>
              </w:rPr>
              <w:t>Minimum Pension</w:t>
            </w:r>
          </w:p>
        </w:tc>
        <w:tc>
          <w:tcPr>
            <w:tcW w:w="120" w:type="dxa"/>
            <w:vAlign w:val="bottom"/>
          </w:tcPr>
          <w:p>
            <w:pPr>
              <w:spacing w:after="0"/>
              <w:rPr>
                <w:sz w:val="13"/>
                <w:szCs w:val="13"/>
                <w:color w:val="auto"/>
              </w:rPr>
            </w:pPr>
          </w:p>
        </w:tc>
        <w:tc>
          <w:tcPr>
            <w:tcW w:w="1300" w:type="dxa"/>
            <w:vAlign w:val="bottom"/>
          </w:tcPr>
          <w:p>
            <w:pPr>
              <w:jc w:val="center"/>
              <w:ind w:right="57"/>
              <w:spacing w:after="0"/>
              <w:rPr>
                <w:sz w:val="20"/>
                <w:szCs w:val="20"/>
                <w:color w:val="auto"/>
              </w:rPr>
            </w:pPr>
            <w:r>
              <w:rPr>
                <w:rFonts w:ascii="Arial" w:cs="Arial" w:eastAsia="Arial" w:hAnsi="Arial"/>
                <w:sz w:val="13"/>
                <w:szCs w:val="13"/>
                <w:b w:val="1"/>
                <w:bCs w:val="1"/>
                <w:color w:val="auto"/>
                <w:w w:val="98"/>
              </w:rPr>
              <w:t>Accumulated Other</w:t>
            </w:r>
          </w:p>
        </w:tc>
      </w:tr>
      <w:tr>
        <w:trPr>
          <w:trHeight w:val="135"/>
        </w:trPr>
        <w:tc>
          <w:tcPr>
            <w:tcW w:w="100" w:type="dxa"/>
            <w:vAlign w:val="bottom"/>
          </w:tcPr>
          <w:p>
            <w:pPr>
              <w:spacing w:after="0"/>
              <w:rPr>
                <w:sz w:val="11"/>
                <w:szCs w:val="11"/>
                <w:color w:val="auto"/>
              </w:rPr>
            </w:pPr>
          </w:p>
        </w:tc>
        <w:tc>
          <w:tcPr>
            <w:tcW w:w="150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6"/>
              </w:rPr>
              <w:t>Currency Translation</w:t>
            </w:r>
          </w:p>
        </w:tc>
        <w:tc>
          <w:tcPr>
            <w:tcW w:w="120" w:type="dxa"/>
            <w:vAlign w:val="bottom"/>
          </w:tcPr>
          <w:p>
            <w:pPr>
              <w:spacing w:after="0"/>
              <w:rPr>
                <w:sz w:val="11"/>
                <w:szCs w:val="11"/>
                <w:color w:val="auto"/>
              </w:rPr>
            </w:pPr>
          </w:p>
        </w:tc>
        <w:tc>
          <w:tcPr>
            <w:tcW w:w="142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7"/>
              </w:rPr>
              <w:t>Gains (Losses) on</w:t>
            </w:r>
          </w:p>
        </w:tc>
        <w:tc>
          <w:tcPr>
            <w:tcW w:w="1540" w:type="dxa"/>
            <w:vAlign w:val="bottom"/>
            <w:gridSpan w:val="3"/>
          </w:tcPr>
          <w:p>
            <w:pPr>
              <w:jc w:val="center"/>
              <w:ind w:right="120"/>
              <w:spacing w:after="0" w:line="135" w:lineRule="exact"/>
              <w:rPr>
                <w:sz w:val="20"/>
                <w:szCs w:val="20"/>
                <w:color w:val="auto"/>
              </w:rPr>
            </w:pPr>
            <w:r>
              <w:rPr>
                <w:rFonts w:ascii="Arial" w:cs="Arial" w:eastAsia="Arial" w:hAnsi="Arial"/>
                <w:sz w:val="13"/>
                <w:szCs w:val="13"/>
                <w:b w:val="1"/>
                <w:bCs w:val="1"/>
                <w:color w:val="auto"/>
                <w:w w:val="97"/>
              </w:rPr>
              <w:t>(Losses) on Available-</w:t>
            </w:r>
          </w:p>
        </w:tc>
        <w:tc>
          <w:tcPr>
            <w:tcW w:w="140" w:type="dxa"/>
            <w:vAlign w:val="bottom"/>
          </w:tcPr>
          <w:p>
            <w:pPr>
              <w:spacing w:after="0"/>
              <w:rPr>
                <w:sz w:val="11"/>
                <w:szCs w:val="11"/>
                <w:color w:val="auto"/>
              </w:rPr>
            </w:pPr>
          </w:p>
        </w:tc>
        <w:tc>
          <w:tcPr>
            <w:tcW w:w="140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97"/>
              </w:rPr>
              <w:t>Liability</w:t>
            </w:r>
          </w:p>
        </w:tc>
        <w:tc>
          <w:tcPr>
            <w:tcW w:w="120" w:type="dxa"/>
            <w:vAlign w:val="bottom"/>
          </w:tcPr>
          <w:p>
            <w:pPr>
              <w:spacing w:after="0"/>
              <w:rPr>
                <w:sz w:val="11"/>
                <w:szCs w:val="11"/>
                <w:color w:val="auto"/>
              </w:rPr>
            </w:pPr>
          </w:p>
        </w:tc>
        <w:tc>
          <w:tcPr>
            <w:tcW w:w="1300" w:type="dxa"/>
            <w:vAlign w:val="bottom"/>
          </w:tcPr>
          <w:p>
            <w:pPr>
              <w:jc w:val="center"/>
              <w:ind w:right="57"/>
              <w:spacing w:after="0" w:line="135" w:lineRule="exact"/>
              <w:rPr>
                <w:sz w:val="20"/>
                <w:szCs w:val="20"/>
                <w:color w:val="auto"/>
              </w:rPr>
            </w:pPr>
            <w:r>
              <w:rPr>
                <w:rFonts w:ascii="Arial" w:cs="Arial" w:eastAsia="Arial" w:hAnsi="Arial"/>
                <w:sz w:val="13"/>
                <w:szCs w:val="13"/>
                <w:b w:val="1"/>
                <w:bCs w:val="1"/>
                <w:color w:val="auto"/>
                <w:w w:val="96"/>
              </w:rPr>
              <w:t>Comprehensive</w:t>
            </w:r>
          </w:p>
        </w:tc>
      </w:tr>
      <w:tr>
        <w:trPr>
          <w:trHeight w:val="178"/>
        </w:trPr>
        <w:tc>
          <w:tcPr>
            <w:tcW w:w="100" w:type="dxa"/>
            <w:vAlign w:val="bottom"/>
          </w:tcPr>
          <w:p>
            <w:pPr>
              <w:spacing w:after="0"/>
              <w:rPr>
                <w:sz w:val="15"/>
                <w:szCs w:val="15"/>
                <w:color w:val="auto"/>
              </w:rPr>
            </w:pPr>
          </w:p>
        </w:tc>
        <w:tc>
          <w:tcPr>
            <w:tcW w:w="150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6"/>
              </w:rPr>
              <w:t>Adjustments</w:t>
            </w:r>
          </w:p>
        </w:tc>
        <w:tc>
          <w:tcPr>
            <w:tcW w:w="154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w w:val="97"/>
              </w:rPr>
              <w:t xml:space="preserve">Cash Flow Hedges </w:t>
            </w:r>
            <w:r>
              <w:rPr>
                <w:rFonts w:ascii="Arial" w:cs="Arial" w:eastAsia="Arial" w:hAnsi="Arial"/>
                <w:sz w:val="8"/>
                <w:szCs w:val="8"/>
                <w:b w:val="1"/>
                <w:bCs w:val="1"/>
                <w:color w:val="auto"/>
                <w:w w:val="97"/>
              </w:rPr>
              <w:t>(a)</w:t>
            </w:r>
          </w:p>
        </w:tc>
        <w:tc>
          <w:tcPr>
            <w:tcW w:w="120" w:type="dxa"/>
            <w:vAlign w:val="bottom"/>
          </w:tcPr>
          <w:p>
            <w:pPr>
              <w:spacing w:after="0"/>
              <w:rPr>
                <w:sz w:val="15"/>
                <w:szCs w:val="15"/>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6"/>
              </w:rPr>
              <w:t>For-Sale Securities</w:t>
            </w:r>
          </w:p>
        </w:tc>
        <w:tc>
          <w:tcPr>
            <w:tcW w:w="140" w:type="dxa"/>
            <w:vAlign w:val="bottom"/>
          </w:tcPr>
          <w:p>
            <w:pPr>
              <w:spacing w:after="0"/>
              <w:rPr>
                <w:sz w:val="15"/>
                <w:szCs w:val="15"/>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rPr>
              <w:t xml:space="preserve">Adjustment </w:t>
            </w:r>
            <w:r>
              <w:rPr>
                <w:rFonts w:ascii="Arial" w:cs="Arial" w:eastAsia="Arial" w:hAnsi="Arial"/>
                <w:sz w:val="8"/>
                <w:szCs w:val="8"/>
                <w:b w:val="1"/>
                <w:bCs w:val="1"/>
                <w:color w:val="auto"/>
              </w:rPr>
              <w:t>(b)</w:t>
            </w:r>
          </w:p>
        </w:tc>
        <w:tc>
          <w:tcPr>
            <w:tcW w:w="120" w:type="dxa"/>
            <w:vAlign w:val="bottom"/>
          </w:tcPr>
          <w:p>
            <w:pPr>
              <w:spacing w:after="0"/>
              <w:rPr>
                <w:sz w:val="15"/>
                <w:szCs w:val="15"/>
                <w:color w:val="auto"/>
              </w:rPr>
            </w:pPr>
          </w:p>
        </w:tc>
        <w:tc>
          <w:tcPr>
            <w:tcW w:w="1300" w:type="dxa"/>
            <w:vAlign w:val="bottom"/>
          </w:tcPr>
          <w:p>
            <w:pPr>
              <w:jc w:val="center"/>
              <w:ind w:right="57"/>
              <w:spacing w:after="0"/>
              <w:rPr>
                <w:sz w:val="20"/>
                <w:szCs w:val="20"/>
                <w:color w:val="auto"/>
              </w:rPr>
            </w:pPr>
            <w:r>
              <w:rPr>
                <w:rFonts w:ascii="Arial" w:cs="Arial" w:eastAsia="Arial" w:hAnsi="Arial"/>
                <w:sz w:val="13"/>
                <w:szCs w:val="13"/>
                <w:b w:val="1"/>
                <w:bCs w:val="1"/>
                <w:color w:val="auto"/>
                <w:w w:val="97"/>
              </w:rPr>
              <w:t>Income (Loss)</w:t>
            </w:r>
          </w:p>
        </w:tc>
      </w:tr>
      <w:tr>
        <w:trPr>
          <w:trHeight w:val="250"/>
        </w:trPr>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38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51</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30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(74)</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(22)</w:t>
            </w:r>
          </w:p>
        </w:tc>
      </w:tr>
      <w:tr>
        <w:trPr>
          <w:trHeight w:val="295"/>
        </w:trPr>
        <w:tc>
          <w:tcPr>
            <w:tcW w:w="100" w:type="dxa"/>
            <w:vAlign w:val="bottom"/>
          </w:tcPr>
          <w:p>
            <w:pPr>
              <w:spacing w:after="0"/>
              <w:rPr>
                <w:sz w:val="24"/>
                <w:szCs w:val="24"/>
                <w:color w:val="auto"/>
              </w:rPr>
            </w:pPr>
          </w:p>
        </w:tc>
        <w:tc>
          <w:tcPr>
            <w:tcW w:w="1380" w:type="dxa"/>
            <w:vAlign w:val="bottom"/>
          </w:tcPr>
          <w:p>
            <w:pPr>
              <w:jc w:val="right"/>
              <w:ind w:right="17"/>
              <w:spacing w:after="0"/>
              <w:rPr>
                <w:sz w:val="20"/>
                <w:szCs w:val="20"/>
                <w:color w:val="auto"/>
              </w:rPr>
            </w:pPr>
            <w:r>
              <w:rPr>
                <w:rFonts w:ascii="Arial" w:cs="Arial" w:eastAsia="Arial" w:hAnsi="Arial"/>
                <w:sz w:val="13"/>
                <w:szCs w:val="13"/>
                <w:color w:val="auto"/>
              </w:rPr>
              <w:t>(131)</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(6)</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jc w:val="right"/>
              <w:ind w:right="17"/>
              <w:spacing w:after="0"/>
              <w:rPr>
                <w:sz w:val="20"/>
                <w:szCs w:val="20"/>
                <w:color w:val="auto"/>
              </w:rPr>
            </w:pPr>
            <w:r>
              <w:rPr>
                <w:rFonts w:ascii="Arial" w:cs="Arial" w:eastAsia="Arial" w:hAnsi="Arial"/>
                <w:sz w:val="13"/>
                <w:szCs w:val="13"/>
                <w:color w:val="auto"/>
              </w:rPr>
              <w:t>6</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(133)</w:t>
            </w:r>
          </w:p>
        </w:tc>
      </w:tr>
      <w:tr>
        <w:trPr>
          <w:trHeight w:val="334"/>
        </w:trPr>
        <w:tc>
          <w:tcPr>
            <w:tcW w:w="100" w:type="dxa"/>
            <w:vAlign w:val="bottom"/>
          </w:tcPr>
          <w:p>
            <w:pPr>
              <w:spacing w:after="0"/>
              <w:rPr>
                <w:sz w:val="24"/>
                <w:szCs w:val="24"/>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1300" w:type="dxa"/>
            <w:vAlign w:val="bottom"/>
          </w:tcPr>
          <w:p>
            <w:pPr>
              <w:jc w:val="right"/>
              <w:ind w:right="17"/>
              <w:spacing w:after="0"/>
              <w:rPr>
                <w:sz w:val="20"/>
                <w:szCs w:val="20"/>
                <w:color w:val="auto"/>
              </w:rPr>
            </w:pPr>
            <w:r>
              <w:rPr>
                <w:rFonts w:ascii="Arial" w:cs="Arial" w:eastAsia="Arial" w:hAnsi="Arial"/>
                <w:sz w:val="13"/>
                <w:szCs w:val="13"/>
                <w:color w:val="auto"/>
              </w:rPr>
              <w:t>5</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1280" w:type="dxa"/>
            <w:vAlign w:val="bottom"/>
          </w:tcPr>
          <w:p>
            <w:pPr>
              <w:jc w:val="right"/>
              <w:ind w:right="17"/>
              <w:spacing w:after="0"/>
              <w:rPr>
                <w:sz w:val="20"/>
                <w:szCs w:val="20"/>
                <w:color w:val="auto"/>
              </w:rPr>
            </w:pPr>
            <w:r>
              <w:rPr>
                <w:rFonts w:ascii="Arial" w:cs="Arial" w:eastAsia="Arial" w:hAnsi="Arial"/>
                <w:sz w:val="13"/>
                <w:szCs w:val="13"/>
                <w:color w:val="auto"/>
              </w:rPr>
              <w:t>3</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jc w:val="right"/>
              <w:ind w:right="17"/>
              <w:spacing w:after="0"/>
              <w:rPr>
                <w:sz w:val="20"/>
                <w:szCs w:val="20"/>
                <w:color w:val="auto"/>
              </w:rPr>
            </w:pPr>
            <w:r>
              <w:rPr>
                <w:rFonts w:ascii="Arial" w:cs="Arial" w:eastAsia="Arial" w:hAnsi="Arial"/>
                <w:sz w:val="13"/>
                <w:szCs w:val="13"/>
                <w:color w:val="auto"/>
              </w:rPr>
              <w:t>8</w:t>
            </w:r>
          </w:p>
        </w:tc>
      </w:tr>
      <w:tr>
        <w:trPr>
          <w:trHeight w:val="304"/>
        </w:trPr>
        <w:tc>
          <w:tcPr>
            <w:tcW w:w="100" w:type="dxa"/>
            <w:vAlign w:val="bottom"/>
            <w:tcBorders>
              <w:top w:val="single" w:sz="8" w:color="auto"/>
              <w:bottom w:val="single" w:sz="8" w:color="auto"/>
            </w:tcBorders>
          </w:tcPr>
          <w:p>
            <w:pPr>
              <w:spacing w:after="0"/>
              <w:rPr>
                <w:sz w:val="24"/>
                <w:szCs w:val="24"/>
                <w:color w:val="auto"/>
              </w:rPr>
            </w:pPr>
          </w:p>
        </w:tc>
        <w:tc>
          <w:tcPr>
            <w:tcW w:w="138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rPr>
              <w:t>(131)</w:t>
            </w:r>
          </w:p>
        </w:tc>
        <w:tc>
          <w:tcPr>
            <w:tcW w:w="120" w:type="dxa"/>
            <w:vAlign w:val="bottom"/>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128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rPr>
              <w:t>9</w:t>
            </w:r>
          </w:p>
        </w:tc>
        <w:tc>
          <w:tcPr>
            <w:tcW w:w="120" w:type="dxa"/>
            <w:vAlign w:val="bottom"/>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(125)</w:t>
            </w:r>
          </w:p>
        </w:tc>
      </w:tr>
      <w:tr>
        <w:trPr>
          <w:trHeight w:val="250"/>
        </w:trPr>
        <w:tc>
          <w:tcPr>
            <w:tcW w:w="10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(80)</w:t>
            </w:r>
          </w:p>
        </w:tc>
        <w:tc>
          <w:tcPr>
            <w:tcW w:w="1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(65)</w:t>
            </w:r>
          </w:p>
        </w:tc>
        <w:tc>
          <w:tcPr>
            <w:tcW w:w="1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(147)</w:t>
            </w:r>
          </w:p>
        </w:tc>
      </w:tr>
      <w:tr>
        <w:trPr>
          <w:trHeight w:val="295"/>
        </w:trPr>
        <w:tc>
          <w:tcPr>
            <w:tcW w:w="100" w:type="dxa"/>
            <w:vAlign w:val="bottom"/>
          </w:tcPr>
          <w:p>
            <w:pPr>
              <w:spacing w:after="0"/>
              <w:rPr>
                <w:sz w:val="24"/>
                <w:szCs w:val="24"/>
                <w:color w:val="auto"/>
              </w:rPr>
            </w:pPr>
          </w:p>
        </w:tc>
        <w:tc>
          <w:tcPr>
            <w:tcW w:w="1380" w:type="dxa"/>
            <w:vAlign w:val="bottom"/>
          </w:tcPr>
          <w:p>
            <w:pPr>
              <w:jc w:val="right"/>
              <w:ind w:right="57"/>
              <w:spacing w:after="0"/>
              <w:rPr>
                <w:sz w:val="20"/>
                <w:szCs w:val="20"/>
                <w:color w:val="auto"/>
              </w:rPr>
            </w:pPr>
            <w:r>
              <w:rPr>
                <w:rFonts w:ascii="Arial" w:cs="Arial" w:eastAsia="Arial" w:hAnsi="Arial"/>
                <w:sz w:val="13"/>
                <w:szCs w:val="13"/>
                <w:color w:val="auto"/>
              </w:rPr>
              <w:t>41</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1300" w:type="dxa"/>
            <w:vAlign w:val="bottom"/>
          </w:tcPr>
          <w:p>
            <w:pPr>
              <w:jc w:val="right"/>
              <w:ind w:right="1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(57)</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(15)</w:t>
            </w:r>
          </w:p>
        </w:tc>
      </w:tr>
      <w:tr>
        <w:trPr>
          <w:trHeight w:val="334"/>
        </w:trPr>
        <w:tc>
          <w:tcPr>
            <w:tcW w:w="100" w:type="dxa"/>
            <w:vAlign w:val="bottom"/>
          </w:tcPr>
          <w:p>
            <w:pPr>
              <w:spacing w:after="0"/>
              <w:rPr>
                <w:sz w:val="24"/>
                <w:szCs w:val="24"/>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1300" w:type="dxa"/>
            <w:vAlign w:val="bottom"/>
          </w:tcPr>
          <w:p>
            <w:pPr>
              <w:jc w:val="right"/>
              <w:ind w:right="17"/>
              <w:spacing w:after="0"/>
              <w:rPr>
                <w:sz w:val="20"/>
                <w:szCs w:val="20"/>
                <w:color w:val="auto"/>
              </w:rPr>
            </w:pPr>
            <w:r>
              <w:rPr>
                <w:rFonts w:ascii="Arial" w:cs="Arial" w:eastAsia="Arial" w:hAnsi="Arial"/>
                <w:sz w:val="13"/>
                <w:szCs w:val="13"/>
                <w:color w:val="auto"/>
              </w:rPr>
              <w:t>4</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1280" w:type="dxa"/>
            <w:vAlign w:val="bottom"/>
          </w:tcPr>
          <w:p>
            <w:pPr>
              <w:jc w:val="right"/>
              <w:ind w:right="17"/>
              <w:spacing w:after="0"/>
              <w:rPr>
                <w:sz w:val="20"/>
                <w:szCs w:val="20"/>
                <w:color w:val="auto"/>
              </w:rPr>
            </w:pPr>
            <w:r>
              <w:rPr>
                <w:rFonts w:ascii="Arial" w:cs="Arial" w:eastAsia="Arial" w:hAnsi="Arial"/>
                <w:sz w:val="13"/>
                <w:szCs w:val="13"/>
                <w:color w:val="auto"/>
              </w:rPr>
              <w:t>4</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jc w:val="right"/>
              <w:ind w:right="17"/>
              <w:spacing w:after="0"/>
              <w:rPr>
                <w:sz w:val="20"/>
                <w:szCs w:val="20"/>
                <w:color w:val="auto"/>
              </w:rPr>
            </w:pPr>
            <w:r>
              <w:rPr>
                <w:rFonts w:ascii="Arial" w:cs="Arial" w:eastAsia="Arial" w:hAnsi="Arial"/>
                <w:sz w:val="13"/>
                <w:szCs w:val="13"/>
                <w:color w:val="auto"/>
              </w:rPr>
              <w:t>8</w:t>
            </w:r>
          </w:p>
        </w:tc>
      </w:tr>
      <w:tr>
        <w:trPr>
          <w:trHeight w:val="304"/>
        </w:trPr>
        <w:tc>
          <w:tcPr>
            <w:tcW w:w="100" w:type="dxa"/>
            <w:vAlign w:val="bottom"/>
            <w:tcBorders>
              <w:top w:val="single" w:sz="8" w:color="auto"/>
              <w:bottom w:val="single" w:sz="8" w:color="auto"/>
            </w:tcBorders>
          </w:tcPr>
          <w:p>
            <w:pPr>
              <w:spacing w:after="0"/>
              <w:rPr>
                <w:sz w:val="24"/>
                <w:szCs w:val="24"/>
                <w:color w:val="auto"/>
              </w:rPr>
            </w:pPr>
          </w:p>
        </w:tc>
        <w:tc>
          <w:tcPr>
            <w:tcW w:w="138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41</w:t>
            </w:r>
          </w:p>
        </w:tc>
        <w:tc>
          <w:tcPr>
            <w:tcW w:w="120" w:type="dxa"/>
            <w:vAlign w:val="bottom"/>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130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rPr>
              <w:t>4</w:t>
            </w:r>
          </w:p>
        </w:tc>
        <w:tc>
          <w:tcPr>
            <w:tcW w:w="120" w:type="dxa"/>
            <w:vAlign w:val="bottom"/>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130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(53)</w:t>
            </w:r>
          </w:p>
        </w:tc>
        <w:tc>
          <w:tcPr>
            <w:tcW w:w="120" w:type="dxa"/>
            <w:vAlign w:val="bottom"/>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(7)</w:t>
            </w:r>
          </w:p>
        </w:tc>
      </w:tr>
      <w:tr>
        <w:trPr>
          <w:trHeight w:val="250"/>
        </w:trPr>
        <w:tc>
          <w:tcPr>
            <w:tcW w:w="10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(39)</w:t>
            </w:r>
          </w:p>
        </w:tc>
        <w:tc>
          <w:tcPr>
            <w:tcW w:w="1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(118)</w:t>
            </w:r>
          </w:p>
        </w:tc>
        <w:tc>
          <w:tcPr>
            <w:tcW w:w="1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(154)</w:t>
            </w:r>
          </w:p>
        </w:tc>
      </w:tr>
      <w:tr>
        <w:trPr>
          <w:trHeight w:val="295"/>
        </w:trPr>
        <w:tc>
          <w:tcPr>
            <w:tcW w:w="100" w:type="dxa"/>
            <w:vAlign w:val="bottom"/>
          </w:tcPr>
          <w:p>
            <w:pPr>
              <w:spacing w:after="0"/>
              <w:rPr>
                <w:sz w:val="24"/>
                <w:szCs w:val="24"/>
                <w:color w:val="auto"/>
              </w:rPr>
            </w:pPr>
          </w:p>
        </w:tc>
        <w:tc>
          <w:tcPr>
            <w:tcW w:w="1380" w:type="dxa"/>
            <w:vAlign w:val="bottom"/>
          </w:tcPr>
          <w:p>
            <w:pPr>
              <w:jc w:val="right"/>
              <w:ind w:right="57"/>
              <w:spacing w:after="0"/>
              <w:rPr>
                <w:sz w:val="20"/>
                <w:szCs w:val="20"/>
                <w:color w:val="auto"/>
              </w:rPr>
            </w:pPr>
            <w:r>
              <w:rPr>
                <w:rFonts w:ascii="Arial" w:cs="Arial" w:eastAsia="Arial" w:hAnsi="Arial"/>
                <w:sz w:val="13"/>
                <w:szCs w:val="13"/>
                <w:color w:val="auto"/>
              </w:rPr>
              <w:t>110</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jc w:val="right"/>
              <w:ind w:right="1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jc w:val="right"/>
              <w:ind w:right="1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jc w:val="right"/>
              <w:ind w:right="17"/>
              <w:spacing w:after="0"/>
              <w:rPr>
                <w:sz w:val="20"/>
                <w:szCs w:val="20"/>
                <w:color w:val="auto"/>
              </w:rPr>
            </w:pPr>
            <w:r>
              <w:rPr>
                <w:rFonts w:ascii="Arial" w:cs="Arial" w:eastAsia="Arial" w:hAnsi="Arial"/>
                <w:sz w:val="13"/>
                <w:szCs w:val="13"/>
                <w:color w:val="auto"/>
              </w:rPr>
              <w:t>11</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jc w:val="right"/>
              <w:ind w:right="17"/>
              <w:spacing w:after="0"/>
              <w:rPr>
                <w:sz w:val="20"/>
                <w:szCs w:val="20"/>
                <w:color w:val="auto"/>
              </w:rPr>
            </w:pPr>
            <w:r>
              <w:rPr>
                <w:rFonts w:ascii="Arial" w:cs="Arial" w:eastAsia="Arial" w:hAnsi="Arial"/>
                <w:sz w:val="13"/>
                <w:szCs w:val="13"/>
                <w:color w:val="auto"/>
              </w:rPr>
              <w:t>123</w:t>
            </w:r>
          </w:p>
        </w:tc>
      </w:tr>
      <w:tr>
        <w:trPr>
          <w:trHeight w:val="334"/>
        </w:trPr>
        <w:tc>
          <w:tcPr>
            <w:tcW w:w="100" w:type="dxa"/>
            <w:vAlign w:val="bottom"/>
          </w:tcPr>
          <w:p>
            <w:pPr>
              <w:spacing w:after="0"/>
              <w:rPr>
                <w:sz w:val="24"/>
                <w:szCs w:val="24"/>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1300" w:type="dxa"/>
            <w:vAlign w:val="bottom"/>
          </w:tcPr>
          <w:p>
            <w:pPr>
              <w:jc w:val="right"/>
              <w:ind w:right="17"/>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1280" w:type="dxa"/>
            <w:vAlign w:val="bottom"/>
          </w:tcPr>
          <w:p>
            <w:pPr>
              <w:jc w:val="right"/>
              <w:ind w:right="17"/>
              <w:spacing w:after="0"/>
              <w:rPr>
                <w:sz w:val="20"/>
                <w:szCs w:val="20"/>
                <w:color w:val="auto"/>
              </w:rPr>
            </w:pPr>
            <w:r>
              <w:rPr>
                <w:rFonts w:ascii="Arial" w:cs="Arial" w:eastAsia="Arial" w:hAnsi="Arial"/>
                <w:sz w:val="13"/>
                <w:szCs w:val="13"/>
                <w:color w:val="auto"/>
              </w:rPr>
              <w:t>5</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jc w:val="right"/>
              <w:ind w:right="17"/>
              <w:spacing w:after="0"/>
              <w:rPr>
                <w:sz w:val="20"/>
                <w:szCs w:val="20"/>
                <w:color w:val="auto"/>
              </w:rPr>
            </w:pPr>
            <w:r>
              <w:rPr>
                <w:rFonts w:ascii="Arial" w:cs="Arial" w:eastAsia="Arial" w:hAnsi="Arial"/>
                <w:sz w:val="13"/>
                <w:szCs w:val="13"/>
                <w:color w:val="auto"/>
              </w:rPr>
              <w:t>7</w:t>
            </w:r>
          </w:p>
        </w:tc>
      </w:tr>
      <w:tr>
        <w:trPr>
          <w:trHeight w:val="304"/>
        </w:trPr>
        <w:tc>
          <w:tcPr>
            <w:tcW w:w="100" w:type="dxa"/>
            <w:vAlign w:val="bottom"/>
            <w:tcBorders>
              <w:top w:val="single" w:sz="8" w:color="auto"/>
              <w:bottom w:val="single" w:sz="8" w:color="auto"/>
            </w:tcBorders>
          </w:tcPr>
          <w:p>
            <w:pPr>
              <w:spacing w:after="0"/>
              <w:rPr>
                <w:sz w:val="24"/>
                <w:szCs w:val="24"/>
                <w:color w:val="auto"/>
              </w:rPr>
            </w:pPr>
          </w:p>
        </w:tc>
        <w:tc>
          <w:tcPr>
            <w:tcW w:w="138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110</w:t>
            </w:r>
          </w:p>
        </w:tc>
        <w:tc>
          <w:tcPr>
            <w:tcW w:w="120" w:type="dxa"/>
            <w:vAlign w:val="bottom"/>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130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rPr>
              <w:t>3</w:t>
            </w:r>
          </w:p>
        </w:tc>
        <w:tc>
          <w:tcPr>
            <w:tcW w:w="120" w:type="dxa"/>
            <w:vAlign w:val="bottom"/>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130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128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rPr>
              <w:t>16</w:t>
            </w:r>
          </w:p>
        </w:tc>
        <w:tc>
          <w:tcPr>
            <w:tcW w:w="120" w:type="dxa"/>
            <w:vAlign w:val="bottom"/>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130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rPr>
              <w:t>130</w:t>
            </w:r>
          </w:p>
        </w:tc>
      </w:tr>
      <w:tr>
        <w:trPr>
          <w:trHeight w:val="237"/>
        </w:trPr>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3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71</w:t>
            </w:r>
          </w:p>
        </w:tc>
        <w:tc>
          <w:tcPr>
            <w:tcW w:w="12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3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5</w:t>
            </w:r>
          </w:p>
        </w:tc>
        <w:tc>
          <w:tcPr>
            <w:tcW w:w="12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3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(102)</w:t>
            </w:r>
          </w:p>
        </w:tc>
        <w:tc>
          <w:tcPr>
            <w:tcW w:w="12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(24)</w:t>
            </w:r>
          </w:p>
        </w:tc>
      </w:tr>
      <w:tr>
        <w:trPr>
          <w:trHeight w:val="20"/>
        </w:trPr>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ectPr>
          <w:pgSz w:w="11900" w:h="16838" w:orient="portrait"/>
          <w:cols w:equalWidth="0" w:num="2">
            <w:col w:w="3060" w:space="120"/>
            <w:col w:w="8240"/>
          </w:cols>
          <w:pgMar w:left="240" w:top="140" w:right="239" w:bottom="1440" w:gutter="0" w:footer="0" w:header="0"/>
          <w:type w:val="continuous"/>
        </w:sectPr>
      </w:pPr>
    </w:p>
    <w:p>
      <w:pPr>
        <w:ind w:left="540"/>
        <w:spacing w:after="0"/>
        <w:rPr>
          <w:sz w:val="20"/>
          <w:szCs w:val="20"/>
          <w:color w:val="auto"/>
        </w:rPr>
      </w:pPr>
      <w:r>
        <w:rPr>
          <w:rFonts w:ascii="Arial" w:cs="Arial" w:eastAsia="Arial" w:hAnsi="Arial"/>
          <w:sz w:val="14"/>
          <w:szCs w:val="14"/>
          <w:color w:val="auto"/>
        </w:rPr>
        <w:t>__________</w:t>
      </w:r>
    </w:p>
    <w:p>
      <w:pPr>
        <w:spacing w:after="0" w:line="15" w:lineRule="exact"/>
        <w:rPr>
          <w:sz w:val="20"/>
          <w:szCs w:val="20"/>
          <w:color w:val="auto"/>
        </w:rPr>
      </w:pPr>
    </w:p>
    <w:p>
      <w:pPr>
        <w:ind w:left="500" w:right="20"/>
        <w:spacing w:after="0" w:line="239" w:lineRule="auto"/>
        <w:rPr>
          <w:sz w:val="20"/>
          <w:szCs w:val="20"/>
          <w:color w:val="auto"/>
        </w:rPr>
      </w:pPr>
      <w:r>
        <w:rPr>
          <w:rFonts w:ascii="Arial" w:cs="Arial" w:eastAsia="Arial" w:hAnsi="Arial"/>
          <w:sz w:val="14"/>
          <w:szCs w:val="14"/>
          <w:color w:val="auto"/>
        </w:rPr>
        <w:t>All components of accumulated other comprehensive income (loss) are net of tax, except currency translation adjustments, which exclude income taxes related to indefinite investments in foreign subsidiaries (see Note 8-Income Taxes for potential impacts of the Tax Act) and include a $33 million gain, net of tax, related to the Company’s hedge of its investment in euro-denominated foreign operations (See Note 18-Financial Instruments). As a result of the Tax Act, management is evaluating its intention to continue to indefinitely reinvest in foreign subsidiaries.</w:t>
      </w:r>
    </w:p>
    <w:p>
      <w:pPr>
        <w:spacing w:after="0" w:line="2" w:lineRule="exact"/>
        <w:rPr>
          <w:sz w:val="20"/>
          <w:szCs w:val="20"/>
          <w:color w:val="auto"/>
        </w:rPr>
      </w:pPr>
    </w:p>
    <w:p>
      <w:pPr>
        <w:ind w:left="820" w:right="60" w:hanging="326"/>
        <w:spacing w:after="0" w:line="300" w:lineRule="auto"/>
        <w:tabs>
          <w:tab w:leader="none" w:pos="820" w:val="left"/>
        </w:tabs>
        <w:numPr>
          <w:ilvl w:val="1"/>
          <w:numId w:val="85"/>
        </w:numPr>
        <w:rPr>
          <w:rFonts w:ascii="Arial" w:cs="Arial" w:eastAsia="Arial" w:hAnsi="Arial"/>
          <w:sz w:val="18"/>
          <w:szCs w:val="18"/>
          <w:color w:val="auto"/>
          <w:vertAlign w:val="superscript"/>
        </w:rPr>
      </w:pPr>
      <w:r>
        <w:rPr>
          <w:rFonts w:ascii="Arial" w:cs="Arial" w:eastAsia="Arial" w:hAnsi="Arial"/>
          <w:sz w:val="14"/>
          <w:szCs w:val="14"/>
          <w:color w:val="auto"/>
        </w:rPr>
        <w:t>For the years ended December 31, 2017</w:t>
      </w:r>
      <w:r>
        <w:rPr>
          <w:rFonts w:ascii="Arial" w:cs="Arial" w:eastAsia="Arial" w:hAnsi="Arial"/>
          <w:sz w:val="18"/>
          <w:szCs w:val="18"/>
          <w:color w:val="auto"/>
        </w:rPr>
        <w:t>,</w:t>
      </w:r>
      <w:r>
        <w:rPr>
          <w:rFonts w:ascii="Arial" w:cs="Arial" w:eastAsia="Arial" w:hAnsi="Arial"/>
          <w:sz w:val="14"/>
          <w:szCs w:val="14"/>
          <w:color w:val="auto"/>
        </w:rPr>
        <w:t xml:space="preserve"> 2016 and 2015, the amounts reclassified from accumulated other comprehensive income (loss) into corporate interest expense were $4 million ($2 million, net of tax), $6 million ($4 million, net of tax) and $7 million ($4 million, net of tax), respectively. For the years ended December 31, 2016 and 2015, amounts reclassified from accumulated comprehensive income (loss) into vehicle interest expense were $1 million ($0 million, net of tax) and $1 million ($1 million, net of tax), respectively.</w:t>
      </w:r>
    </w:p>
    <w:p>
      <w:pPr>
        <w:spacing w:after="0" w:line="7" w:lineRule="exact"/>
        <w:rPr>
          <w:rFonts w:ascii="Arial" w:cs="Arial" w:eastAsia="Arial" w:hAnsi="Arial"/>
          <w:sz w:val="18"/>
          <w:szCs w:val="18"/>
          <w:color w:val="auto"/>
          <w:vertAlign w:val="superscript"/>
        </w:rPr>
      </w:pPr>
    </w:p>
    <w:p>
      <w:pPr>
        <w:ind w:left="820" w:right="560" w:hanging="326"/>
        <w:spacing w:after="0" w:line="218" w:lineRule="auto"/>
        <w:tabs>
          <w:tab w:leader="none" w:pos="820" w:val="left"/>
        </w:tabs>
        <w:numPr>
          <w:ilvl w:val="1"/>
          <w:numId w:val="85"/>
        </w:numPr>
        <w:rPr>
          <w:rFonts w:ascii="Arial" w:cs="Arial" w:eastAsia="Arial" w:hAnsi="Arial"/>
          <w:sz w:val="18"/>
          <w:szCs w:val="18"/>
          <w:color w:val="auto"/>
          <w:vertAlign w:val="superscript"/>
        </w:rPr>
      </w:pPr>
      <w:r>
        <w:rPr>
          <w:rFonts w:ascii="Arial" w:cs="Arial" w:eastAsia="Arial" w:hAnsi="Arial"/>
          <w:sz w:val="14"/>
          <w:szCs w:val="14"/>
          <w:color w:val="auto"/>
        </w:rPr>
        <w:t>For the years ended December 31, 2017, 2016 and 2015, amounts reclassified from accumulated other comprehensive income (loss) into selling, general and administrative expenses were $8 million ($5 million, net of tax), $6 million ($4 million, net of tax) and $5 million ($3 million, net of tax), respectively.</w:t>
      </w:r>
    </w:p>
    <w:p>
      <w:pPr>
        <w:spacing w:after="0" w:line="178" w:lineRule="exact"/>
        <w:rPr>
          <w:rFonts w:ascii="Arial" w:cs="Arial" w:eastAsia="Arial" w:hAnsi="Arial"/>
          <w:sz w:val="18"/>
          <w:szCs w:val="18"/>
          <w:color w:val="auto"/>
          <w:vertAlign w:val="superscript"/>
        </w:rPr>
      </w:pPr>
    </w:p>
    <w:p>
      <w:pPr>
        <w:ind w:left="500" w:hanging="492"/>
        <w:spacing w:after="0"/>
        <w:tabs>
          <w:tab w:leader="none" w:pos="500" w:val="left"/>
        </w:tabs>
        <w:numPr>
          <w:ilvl w:val="0"/>
          <w:numId w:val="86"/>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247" w:lineRule="exact"/>
        <w:rPr>
          <w:rFonts w:ascii="Arial" w:cs="Arial" w:eastAsia="Arial" w:hAnsi="Arial"/>
          <w:sz w:val="18"/>
          <w:szCs w:val="18"/>
          <w:b w:val="1"/>
          <w:bCs w:val="1"/>
          <w:color w:val="auto"/>
        </w:rPr>
      </w:pPr>
    </w:p>
    <w:p>
      <w:pPr>
        <w:ind w:left="500" w:right="40"/>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The Company’s Amended and Restated Equity and Incentive Plan provides for the grant of options, stock appreciation rights, restricted stock, restricted stock units (“RSUs”) and other stock- or cash-based awards to employees, directors and other individuals who perform services for the Company and its subsidiaries. The maximum number of shares reserved for grant of awards under the plan is 20.1 million, with approximately 4.0 million shares available as of December 31, 2017. The Company typically settles stock-based awards with treasury shares.</w:t>
      </w:r>
    </w:p>
    <w:p>
      <w:pPr>
        <w:spacing w:after="0" w:line="151" w:lineRule="exact"/>
        <w:rPr>
          <w:rFonts w:ascii="Arial" w:cs="Arial" w:eastAsia="Arial" w:hAnsi="Arial"/>
          <w:sz w:val="18"/>
          <w:szCs w:val="18"/>
          <w:b w:val="1"/>
          <w:bCs w:val="1"/>
          <w:color w:val="auto"/>
        </w:rPr>
      </w:pPr>
    </w:p>
    <w:p>
      <w:pPr>
        <w:ind w:left="500"/>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Time-based awards generally vest ratably over a three-year period following the date of grant, and performance- or market-based awards generally vest three years following the date of grant based on the attainment of performance- or market-based goals, all of which are subject to a service condition.</w:t>
      </w:r>
    </w:p>
    <w:p>
      <w:pPr>
        <w:spacing w:after="0" w:line="125"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Cash Unit Awards</w:t>
      </w:r>
    </w:p>
    <w:p>
      <w:pPr>
        <w:spacing w:after="0" w:line="193" w:lineRule="exact"/>
        <w:rPr>
          <w:rFonts w:ascii="Arial" w:cs="Arial" w:eastAsia="Arial" w:hAnsi="Arial"/>
          <w:sz w:val="18"/>
          <w:szCs w:val="18"/>
          <w:b w:val="1"/>
          <w:bCs w:val="1"/>
          <w:color w:val="auto"/>
        </w:rPr>
      </w:pPr>
    </w:p>
    <w:p>
      <w:pPr>
        <w:ind w:left="50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The fair value of time-based restricted cash units is based on the Company’s stock price on the grant date. Market-vesting restricted cash units generally vest depending on the level of relative total shareholder return achieved by the Company during the period prior to scheduled vesting. Settlement of restricted cash units is based on the Company’s average closing stock price over a specified number of trading days and the value of these awards varies based on changes in the Company’s stock price.</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420"/>
          </w:cols>
          <w:pgMar w:left="240" w:top="140" w:right="239" w:bottom="1440" w:gutter="0" w:footer="0" w:header="0"/>
          <w:type w:val="continuous"/>
        </w:sectPr>
      </w:pPr>
    </w:p>
    <w:bookmarkStart w:id="104" w:name="page105"/>
    <w:bookmarkEnd w:id="10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1"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Stock Unit Awards</w:t>
      </w:r>
    </w:p>
    <w:p>
      <w:pPr>
        <w:spacing w:after="0" w:line="193" w:lineRule="exact"/>
        <w:rPr>
          <w:sz w:val="20"/>
          <w:szCs w:val="20"/>
          <w:color w:val="auto"/>
        </w:rPr>
      </w:pPr>
    </w:p>
    <w:p>
      <w:pPr>
        <w:ind w:left="500" w:right="160"/>
        <w:spacing w:after="0" w:line="254" w:lineRule="auto"/>
        <w:rPr>
          <w:sz w:val="20"/>
          <w:szCs w:val="20"/>
          <w:color w:val="auto"/>
        </w:rPr>
      </w:pPr>
      <w:r>
        <w:rPr>
          <w:rFonts w:ascii="Arial" w:cs="Arial" w:eastAsia="Arial" w:hAnsi="Arial"/>
          <w:sz w:val="18"/>
          <w:szCs w:val="18"/>
          <w:color w:val="auto"/>
        </w:rPr>
        <w:t>Stock unit awards entitle the holder to receive shares of common stock upon vesting on a one-to-one basis. Performance-based RSUs principally vest based upon the level of performance attained, but vesting can increase (typically by up to 20%) if certain relative total shareholder return goals are achieved. Market-based RSUs generally vest based on the level of total shareholder return or absolute stock price attainment.</w:t>
      </w:r>
    </w:p>
    <w:p>
      <w:pPr>
        <w:spacing w:after="0" w:line="150" w:lineRule="exact"/>
        <w:rPr>
          <w:sz w:val="20"/>
          <w:szCs w:val="20"/>
          <w:color w:val="auto"/>
        </w:rPr>
      </w:pPr>
    </w:p>
    <w:p>
      <w:pPr>
        <w:ind w:left="500"/>
        <w:spacing w:after="0" w:line="274" w:lineRule="auto"/>
        <w:rPr>
          <w:sz w:val="20"/>
          <w:szCs w:val="20"/>
          <w:color w:val="auto"/>
        </w:rPr>
      </w:pPr>
      <w:r>
        <w:rPr>
          <w:rFonts w:ascii="Arial" w:cs="Arial" w:eastAsia="Arial" w:hAnsi="Arial"/>
          <w:sz w:val="17"/>
          <w:szCs w:val="17"/>
          <w:color w:val="auto"/>
        </w:rPr>
        <w:t>The grant date fair value of the performance-based RSUs incorporates the total shareholder return metric, which is estimated using a Monte Carlo simulation model to estimate the Company’s ranking relative to an applicable stock index. During the year ended December 31, 2017, the Company did not issue any stock unit awards containing a market condition. The weighted average assumptions used in the Monte Carlo simulation model to calculate the fair value of the Company’s stock unit awards are outlined in the table below.</w:t>
      </w:r>
    </w:p>
    <w:p>
      <w:pPr>
        <w:spacing w:after="0" w:line="143" w:lineRule="exact"/>
        <w:rPr>
          <w:sz w:val="20"/>
          <w:szCs w:val="20"/>
          <w:color w:val="auto"/>
        </w:rPr>
      </w:pPr>
    </w:p>
    <w:tbl>
      <w:tblPr>
        <w:tblLayout w:type="fixed"/>
        <w:tblInd w:w="520" w:type="dxa"/>
        <w:tblCellMar>
          <w:top w:w="0" w:type="dxa"/>
          <w:left w:w="0" w:type="dxa"/>
          <w:bottom w:w="0" w:type="dxa"/>
          <w:right w:w="0" w:type="dxa"/>
        </w:tblCellMar>
      </w:tblPr>
      <w:tr>
        <w:trPr>
          <w:trHeight w:val="228"/>
        </w:trPr>
        <w:tc>
          <w:tcPr>
            <w:tcW w:w="7300" w:type="dxa"/>
            <w:vAlign w:val="bottom"/>
          </w:tcPr>
          <w:p>
            <w:pPr>
              <w:spacing w:after="0"/>
              <w:rPr>
                <w:sz w:val="19"/>
                <w:szCs w:val="19"/>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19"/>
                <w:szCs w:val="19"/>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2015</w:t>
            </w:r>
          </w:p>
        </w:tc>
      </w:tr>
      <w:tr>
        <w:trPr>
          <w:trHeight w:val="237"/>
        </w:trPr>
        <w:tc>
          <w:tcPr>
            <w:tcW w:w="7300" w:type="dxa"/>
            <w:vAlign w:val="bottom"/>
          </w:tcPr>
          <w:p>
            <w:pPr>
              <w:spacing w:after="0"/>
              <w:rPr>
                <w:sz w:val="20"/>
                <w:szCs w:val="20"/>
                <w:color w:val="auto"/>
              </w:rPr>
            </w:pPr>
            <w:r>
              <w:rPr>
                <w:rFonts w:ascii="Arial" w:cs="Arial" w:eastAsia="Arial" w:hAnsi="Arial"/>
                <w:sz w:val="16"/>
                <w:szCs w:val="16"/>
                <w:color w:val="auto"/>
              </w:rPr>
              <w:t>Expected volatility of stock price</w:t>
            </w:r>
          </w:p>
        </w:tc>
        <w:tc>
          <w:tcPr>
            <w:tcW w:w="1460" w:type="dxa"/>
            <w:vAlign w:val="bottom"/>
          </w:tcPr>
          <w:p>
            <w:pPr>
              <w:jc w:val="center"/>
              <w:spacing w:after="0"/>
              <w:rPr>
                <w:sz w:val="20"/>
                <w:szCs w:val="20"/>
                <w:color w:val="auto"/>
              </w:rPr>
            </w:pPr>
            <w:r>
              <w:rPr>
                <w:rFonts w:ascii="Arial" w:cs="Arial" w:eastAsia="Arial" w:hAnsi="Arial"/>
                <w:sz w:val="16"/>
                <w:szCs w:val="16"/>
                <w:color w:val="auto"/>
              </w:rPr>
              <w:t>46%</w:t>
            </w:r>
          </w:p>
        </w:tc>
        <w:tc>
          <w:tcPr>
            <w:tcW w:w="100" w:type="dxa"/>
            <w:vAlign w:val="bottom"/>
          </w:tcPr>
          <w:p>
            <w:pPr>
              <w:spacing w:after="0"/>
              <w:rPr>
                <w:sz w:val="20"/>
                <w:szCs w:val="20"/>
                <w:color w:val="auto"/>
              </w:rPr>
            </w:pPr>
          </w:p>
        </w:tc>
        <w:tc>
          <w:tcPr>
            <w:tcW w:w="1440" w:type="dxa"/>
            <w:vAlign w:val="bottom"/>
          </w:tcPr>
          <w:p>
            <w:pPr>
              <w:jc w:val="center"/>
              <w:spacing w:after="0"/>
              <w:rPr>
                <w:sz w:val="20"/>
                <w:szCs w:val="20"/>
                <w:color w:val="auto"/>
              </w:rPr>
            </w:pPr>
            <w:r>
              <w:rPr>
                <w:rFonts w:ascii="Arial" w:cs="Arial" w:eastAsia="Arial" w:hAnsi="Arial"/>
                <w:sz w:val="16"/>
                <w:szCs w:val="16"/>
                <w:color w:val="auto"/>
                <w:w w:val="99"/>
              </w:rPr>
              <w:t>37%</w:t>
            </w:r>
          </w:p>
        </w:tc>
      </w:tr>
      <w:tr>
        <w:trPr>
          <w:trHeight w:val="270"/>
        </w:trPr>
        <w:tc>
          <w:tcPr>
            <w:tcW w:w="7300" w:type="dxa"/>
            <w:vAlign w:val="bottom"/>
          </w:tcPr>
          <w:p>
            <w:pPr>
              <w:spacing w:after="0"/>
              <w:rPr>
                <w:sz w:val="20"/>
                <w:szCs w:val="20"/>
                <w:color w:val="auto"/>
              </w:rPr>
            </w:pPr>
            <w:r>
              <w:rPr>
                <w:rFonts w:ascii="Arial" w:cs="Arial" w:eastAsia="Arial" w:hAnsi="Arial"/>
                <w:sz w:val="16"/>
                <w:szCs w:val="16"/>
                <w:color w:val="auto"/>
              </w:rPr>
              <w:t>Risk-free interest rate</w:t>
            </w:r>
          </w:p>
        </w:tc>
        <w:tc>
          <w:tcPr>
            <w:tcW w:w="1460" w:type="dxa"/>
            <w:vAlign w:val="bottom"/>
          </w:tcPr>
          <w:p>
            <w:pPr>
              <w:jc w:val="center"/>
              <w:spacing w:after="0"/>
              <w:rPr>
                <w:sz w:val="20"/>
                <w:szCs w:val="20"/>
                <w:color w:val="auto"/>
              </w:rPr>
            </w:pPr>
            <w:r>
              <w:rPr>
                <w:rFonts w:ascii="Arial" w:cs="Arial" w:eastAsia="Arial" w:hAnsi="Arial"/>
                <w:sz w:val="16"/>
                <w:szCs w:val="16"/>
                <w:color w:val="auto"/>
              </w:rPr>
              <w:t>0.98%</w:t>
            </w:r>
          </w:p>
        </w:tc>
        <w:tc>
          <w:tcPr>
            <w:tcW w:w="100" w:type="dxa"/>
            <w:vAlign w:val="bottom"/>
          </w:tcPr>
          <w:p>
            <w:pPr>
              <w:spacing w:after="0"/>
              <w:rPr>
                <w:sz w:val="23"/>
                <w:szCs w:val="23"/>
                <w:color w:val="auto"/>
              </w:rPr>
            </w:pPr>
          </w:p>
        </w:tc>
        <w:tc>
          <w:tcPr>
            <w:tcW w:w="1440" w:type="dxa"/>
            <w:vAlign w:val="bottom"/>
          </w:tcPr>
          <w:p>
            <w:pPr>
              <w:jc w:val="center"/>
              <w:spacing w:after="0"/>
              <w:rPr>
                <w:sz w:val="20"/>
                <w:szCs w:val="20"/>
                <w:color w:val="auto"/>
              </w:rPr>
            </w:pPr>
            <w:r>
              <w:rPr>
                <w:rFonts w:ascii="Arial" w:cs="Arial" w:eastAsia="Arial" w:hAnsi="Arial"/>
                <w:sz w:val="16"/>
                <w:szCs w:val="16"/>
                <w:color w:val="auto"/>
              </w:rPr>
              <w:t>0.74%</w:t>
            </w:r>
          </w:p>
        </w:tc>
      </w:tr>
      <w:tr>
        <w:trPr>
          <w:trHeight w:val="270"/>
        </w:trPr>
        <w:tc>
          <w:tcPr>
            <w:tcW w:w="7300" w:type="dxa"/>
            <w:vAlign w:val="bottom"/>
          </w:tcPr>
          <w:p>
            <w:pPr>
              <w:spacing w:after="0"/>
              <w:rPr>
                <w:sz w:val="20"/>
                <w:szCs w:val="20"/>
                <w:color w:val="auto"/>
              </w:rPr>
            </w:pPr>
            <w:r>
              <w:rPr>
                <w:rFonts w:ascii="Arial" w:cs="Arial" w:eastAsia="Arial" w:hAnsi="Arial"/>
                <w:sz w:val="16"/>
                <w:szCs w:val="16"/>
                <w:color w:val="auto"/>
              </w:rPr>
              <w:t>Valuation period</w:t>
            </w:r>
          </w:p>
        </w:tc>
        <w:tc>
          <w:tcPr>
            <w:tcW w:w="1560" w:type="dxa"/>
            <w:vAlign w:val="bottom"/>
            <w:gridSpan w:val="2"/>
          </w:tcPr>
          <w:p>
            <w:pPr>
              <w:ind w:left="460"/>
              <w:spacing w:after="0"/>
              <w:rPr>
                <w:sz w:val="20"/>
                <w:szCs w:val="20"/>
                <w:color w:val="auto"/>
              </w:rPr>
            </w:pPr>
            <w:r>
              <w:rPr>
                <w:rFonts w:ascii="Arial" w:cs="Arial" w:eastAsia="Arial" w:hAnsi="Arial"/>
                <w:sz w:val="16"/>
                <w:szCs w:val="16"/>
                <w:color w:val="auto"/>
              </w:rPr>
              <w:t>3 years</w:t>
            </w:r>
          </w:p>
        </w:tc>
        <w:tc>
          <w:tcPr>
            <w:tcW w:w="1440" w:type="dxa"/>
            <w:vAlign w:val="bottom"/>
          </w:tcPr>
          <w:p>
            <w:pPr>
              <w:ind w:left="460"/>
              <w:spacing w:after="0"/>
              <w:rPr>
                <w:sz w:val="20"/>
                <w:szCs w:val="20"/>
                <w:color w:val="auto"/>
              </w:rPr>
            </w:pPr>
            <w:r>
              <w:rPr>
                <w:rFonts w:ascii="Arial" w:cs="Arial" w:eastAsia="Arial" w:hAnsi="Arial"/>
                <w:sz w:val="16"/>
                <w:szCs w:val="16"/>
                <w:color w:val="auto"/>
              </w:rPr>
              <w:t>3 years</w:t>
            </w:r>
          </w:p>
        </w:tc>
      </w:tr>
      <w:tr>
        <w:trPr>
          <w:trHeight w:val="270"/>
        </w:trPr>
        <w:tc>
          <w:tcPr>
            <w:tcW w:w="7300" w:type="dxa"/>
            <w:vAlign w:val="bottom"/>
          </w:tcPr>
          <w:p>
            <w:pPr>
              <w:spacing w:after="0"/>
              <w:rPr>
                <w:sz w:val="20"/>
                <w:szCs w:val="20"/>
                <w:color w:val="auto"/>
              </w:rPr>
            </w:pPr>
            <w:r>
              <w:rPr>
                <w:rFonts w:ascii="Arial" w:cs="Arial" w:eastAsia="Arial" w:hAnsi="Arial"/>
                <w:sz w:val="16"/>
                <w:szCs w:val="16"/>
                <w:color w:val="auto"/>
              </w:rPr>
              <w:t>Dividend yield</w:t>
            </w:r>
          </w:p>
        </w:tc>
        <w:tc>
          <w:tcPr>
            <w:tcW w:w="1460" w:type="dxa"/>
            <w:vAlign w:val="bottom"/>
          </w:tcPr>
          <w:p>
            <w:pPr>
              <w:jc w:val="center"/>
              <w:spacing w:after="0"/>
              <w:rPr>
                <w:sz w:val="20"/>
                <w:szCs w:val="20"/>
                <w:color w:val="auto"/>
              </w:rPr>
            </w:pPr>
            <w:r>
              <w:rPr>
                <w:rFonts w:ascii="Arial" w:cs="Arial" w:eastAsia="Arial" w:hAnsi="Arial"/>
                <w:sz w:val="16"/>
                <w:szCs w:val="16"/>
                <w:color w:val="auto"/>
                <w:w w:val="94"/>
              </w:rPr>
              <w:t>0%</w:t>
            </w:r>
          </w:p>
        </w:tc>
        <w:tc>
          <w:tcPr>
            <w:tcW w:w="100" w:type="dxa"/>
            <w:vAlign w:val="bottom"/>
          </w:tcPr>
          <w:p>
            <w:pPr>
              <w:spacing w:after="0"/>
              <w:rPr>
                <w:sz w:val="23"/>
                <w:szCs w:val="23"/>
                <w:color w:val="auto"/>
              </w:rPr>
            </w:pPr>
          </w:p>
        </w:tc>
        <w:tc>
          <w:tcPr>
            <w:tcW w:w="1440" w:type="dxa"/>
            <w:vAlign w:val="bottom"/>
          </w:tcPr>
          <w:p>
            <w:pPr>
              <w:jc w:val="center"/>
              <w:spacing w:after="0"/>
              <w:rPr>
                <w:sz w:val="20"/>
                <w:szCs w:val="20"/>
                <w:color w:val="auto"/>
              </w:rPr>
            </w:pPr>
            <w:r>
              <w:rPr>
                <w:rFonts w:ascii="Arial" w:cs="Arial" w:eastAsia="Arial" w:hAnsi="Arial"/>
                <w:sz w:val="16"/>
                <w:szCs w:val="16"/>
                <w:color w:val="auto"/>
              </w:rPr>
              <w:t>0%</w:t>
            </w:r>
          </w:p>
        </w:tc>
      </w:tr>
    </w:tbl>
    <w:p>
      <w:pPr>
        <w:spacing w:after="0" w:line="23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Annual activity related to stock units consisted of (in thousands of shares):</w:t>
      </w:r>
    </w:p>
    <w:p>
      <w:pPr>
        <w:spacing w:after="0" w:line="154" w:lineRule="exact"/>
        <w:rPr>
          <w:sz w:val="20"/>
          <w:szCs w:val="20"/>
          <w:color w:val="auto"/>
        </w:rPr>
      </w:pPr>
    </w:p>
    <w:tbl>
      <w:tblPr>
        <w:tblLayout w:type="fixed"/>
        <w:tblInd w:w="520" w:type="dxa"/>
        <w:tblCellMar>
          <w:top w:w="0" w:type="dxa"/>
          <w:left w:w="0" w:type="dxa"/>
          <w:bottom w:w="0" w:type="dxa"/>
          <w:right w:w="0" w:type="dxa"/>
        </w:tblCellMar>
      </w:tblPr>
      <w:tr>
        <w:trPr>
          <w:trHeight w:val="189"/>
        </w:trPr>
        <w:tc>
          <w:tcPr>
            <w:tcW w:w="46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9"/>
              </w:rPr>
              <w:t>Weighted</w:t>
            </w:r>
          </w:p>
        </w:tc>
        <w:tc>
          <w:tcPr>
            <w:tcW w:w="1340" w:type="dxa"/>
            <w:vAlign w:val="bottom"/>
          </w:tcPr>
          <w:p>
            <w:pPr>
              <w:spacing w:after="0"/>
              <w:rPr>
                <w:sz w:val="16"/>
                <w:szCs w:val="16"/>
                <w:color w:val="auto"/>
              </w:rPr>
            </w:pPr>
          </w:p>
        </w:tc>
      </w:tr>
      <w:tr>
        <w:trPr>
          <w:trHeight w:val="189"/>
        </w:trPr>
        <w:tc>
          <w:tcPr>
            <w:tcW w:w="46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Weighted</w:t>
            </w:r>
          </w:p>
        </w:tc>
        <w:tc>
          <w:tcPr>
            <w:tcW w:w="14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Average</w:t>
            </w:r>
          </w:p>
        </w:tc>
        <w:tc>
          <w:tcPr>
            <w:tcW w:w="1340" w:type="dxa"/>
            <w:vAlign w:val="bottom"/>
          </w:tcPr>
          <w:p>
            <w:pPr>
              <w:spacing w:after="0"/>
              <w:rPr>
                <w:sz w:val="16"/>
                <w:szCs w:val="16"/>
                <w:color w:val="auto"/>
              </w:rPr>
            </w:pPr>
          </w:p>
        </w:tc>
      </w:tr>
      <w:tr>
        <w:trPr>
          <w:trHeight w:val="189"/>
        </w:trPr>
        <w:tc>
          <w:tcPr>
            <w:tcW w:w="46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8"/>
              </w:rPr>
              <w:t>Average</w:t>
            </w:r>
          </w:p>
        </w:tc>
        <w:tc>
          <w:tcPr>
            <w:tcW w:w="14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Remaining</w:t>
            </w:r>
          </w:p>
        </w:tc>
        <w:tc>
          <w:tcPr>
            <w:tcW w:w="1340" w:type="dxa"/>
            <w:vAlign w:val="bottom"/>
          </w:tcPr>
          <w:p>
            <w:pPr>
              <w:jc w:val="center"/>
              <w:spacing w:after="0"/>
              <w:rPr>
                <w:sz w:val="20"/>
                <w:szCs w:val="20"/>
                <w:color w:val="auto"/>
              </w:rPr>
            </w:pPr>
            <w:r>
              <w:rPr>
                <w:rFonts w:ascii="Arial" w:cs="Arial" w:eastAsia="Arial" w:hAnsi="Arial"/>
                <w:sz w:val="16"/>
                <w:szCs w:val="16"/>
                <w:b w:val="1"/>
                <w:bCs w:val="1"/>
                <w:color w:val="auto"/>
              </w:rPr>
              <w:t>Aggregate</w:t>
            </w:r>
          </w:p>
        </w:tc>
      </w:tr>
      <w:tr>
        <w:trPr>
          <w:trHeight w:val="189"/>
        </w:trPr>
        <w:tc>
          <w:tcPr>
            <w:tcW w:w="4640" w:type="dxa"/>
            <w:vAlign w:val="bottom"/>
          </w:tcPr>
          <w:p>
            <w:pPr>
              <w:spacing w:after="0"/>
              <w:rPr>
                <w:sz w:val="16"/>
                <w:szCs w:val="16"/>
                <w:color w:val="auto"/>
              </w:rPr>
            </w:pPr>
          </w:p>
        </w:tc>
        <w:tc>
          <w:tcPr>
            <w:tcW w:w="14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Number of</w:t>
            </w:r>
          </w:p>
        </w:tc>
        <w:tc>
          <w:tcPr>
            <w:tcW w:w="14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Grant Date</w:t>
            </w:r>
          </w:p>
        </w:tc>
        <w:tc>
          <w:tcPr>
            <w:tcW w:w="14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rPr>
              <w:t>Contractual</w:t>
            </w:r>
          </w:p>
        </w:tc>
        <w:tc>
          <w:tcPr>
            <w:tcW w:w="1340" w:type="dxa"/>
            <w:vAlign w:val="bottom"/>
          </w:tcPr>
          <w:p>
            <w:pPr>
              <w:jc w:val="center"/>
              <w:spacing w:after="0"/>
              <w:rPr>
                <w:sz w:val="20"/>
                <w:szCs w:val="20"/>
                <w:color w:val="auto"/>
              </w:rPr>
            </w:pPr>
            <w:r>
              <w:rPr>
                <w:rFonts w:ascii="Arial" w:cs="Arial" w:eastAsia="Arial" w:hAnsi="Arial"/>
                <w:sz w:val="16"/>
                <w:szCs w:val="16"/>
                <w:b w:val="1"/>
                <w:bCs w:val="1"/>
                <w:color w:val="auto"/>
              </w:rPr>
              <w:t>Intrinsic Value</w:t>
            </w:r>
          </w:p>
        </w:tc>
      </w:tr>
      <w:tr>
        <w:trPr>
          <w:trHeight w:val="228"/>
        </w:trPr>
        <w:tc>
          <w:tcPr>
            <w:tcW w:w="4640" w:type="dxa"/>
            <w:vAlign w:val="bottom"/>
          </w:tcPr>
          <w:p>
            <w:pPr>
              <w:spacing w:after="0"/>
              <w:rPr>
                <w:sz w:val="19"/>
                <w:szCs w:val="19"/>
                <w:color w:val="auto"/>
              </w:rPr>
            </w:pPr>
          </w:p>
        </w:tc>
        <w:tc>
          <w:tcPr>
            <w:tcW w:w="14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Shares</w:t>
            </w:r>
          </w:p>
        </w:tc>
        <w:tc>
          <w:tcPr>
            <w:tcW w:w="146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9"/>
              </w:rPr>
              <w:t>Fair Value</w:t>
            </w:r>
          </w:p>
        </w:tc>
        <w:tc>
          <w:tcPr>
            <w:tcW w:w="14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9"/>
              </w:rPr>
              <w:t>Term (years)</w:t>
            </w:r>
          </w:p>
        </w:tc>
        <w:tc>
          <w:tcPr>
            <w:tcW w:w="1340" w:type="dxa"/>
            <w:vAlign w:val="bottom"/>
          </w:tcPr>
          <w:p>
            <w:pPr>
              <w:jc w:val="center"/>
              <w:spacing w:after="0"/>
              <w:rPr>
                <w:sz w:val="20"/>
                <w:szCs w:val="20"/>
                <w:color w:val="auto"/>
              </w:rPr>
            </w:pPr>
            <w:r>
              <w:rPr>
                <w:rFonts w:ascii="Arial" w:cs="Arial" w:eastAsia="Arial" w:hAnsi="Arial"/>
                <w:sz w:val="16"/>
                <w:szCs w:val="16"/>
                <w:b w:val="1"/>
                <w:bCs w:val="1"/>
                <w:color w:val="auto"/>
              </w:rPr>
              <w:t>(in millions)</w:t>
            </w:r>
          </w:p>
        </w:tc>
      </w:tr>
      <w:tr>
        <w:trPr>
          <w:trHeight w:val="210"/>
        </w:trPr>
        <w:tc>
          <w:tcPr>
            <w:tcW w:w="4640" w:type="dxa"/>
            <w:vAlign w:val="bottom"/>
          </w:tcPr>
          <w:p>
            <w:pPr>
              <w:spacing w:after="0"/>
              <w:rPr>
                <w:sz w:val="20"/>
                <w:szCs w:val="20"/>
                <w:color w:val="auto"/>
              </w:rPr>
            </w:pPr>
            <w:r>
              <w:rPr>
                <w:rFonts w:ascii="Arial" w:cs="Arial" w:eastAsia="Arial" w:hAnsi="Arial"/>
                <w:sz w:val="16"/>
                <w:szCs w:val="16"/>
                <w:b w:val="1"/>
                <w:bCs w:val="1"/>
                <w:color w:val="auto"/>
              </w:rPr>
              <w:t>Time-based RSUs</w:t>
            </w:r>
          </w:p>
        </w:tc>
        <w:tc>
          <w:tcPr>
            <w:tcW w:w="13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r>
    </w:tbl>
    <w:p>
      <w:pPr>
        <w:spacing w:after="0" w:line="89" w:lineRule="exact"/>
        <w:rPr>
          <w:sz w:val="20"/>
          <w:szCs w:val="20"/>
          <w:color w:val="auto"/>
        </w:rPr>
      </w:pPr>
    </w:p>
    <w:p>
      <w:pPr>
        <w:sectPr>
          <w:pgSz w:w="11900" w:h="16838" w:orient="portrait"/>
          <w:cols w:equalWidth="0" w:num="1">
            <w:col w:w="11340"/>
          </w:cols>
          <w:pgMar w:left="240" w:top="140" w:right="319" w:bottom="1440" w:gutter="0" w:footer="0" w:header="0"/>
        </w:sectPr>
      </w:pPr>
    </w:p>
    <w:p>
      <w:pPr>
        <w:ind w:left="620"/>
        <w:spacing w:after="0"/>
        <w:rPr>
          <w:sz w:val="20"/>
          <w:szCs w:val="20"/>
          <w:color w:val="auto"/>
        </w:rPr>
      </w:pPr>
      <w:r>
        <w:rPr>
          <w:rFonts w:ascii="Arial" w:cs="Arial" w:eastAsia="Arial" w:hAnsi="Arial"/>
          <w:sz w:val="16"/>
          <w:szCs w:val="16"/>
          <w:color w:val="auto"/>
        </w:rPr>
        <w:t>Outstanding at January 1, 2017</w:t>
      </w:r>
    </w:p>
    <w:p>
      <w:pPr>
        <w:spacing w:after="0" w:line="86" w:lineRule="exact"/>
        <w:rPr>
          <w:sz w:val="20"/>
          <w:szCs w:val="20"/>
          <w:color w:val="auto"/>
        </w:rPr>
      </w:pPr>
    </w:p>
    <w:p>
      <w:pPr>
        <w:ind w:left="820"/>
        <w:spacing w:after="0"/>
        <w:rPr>
          <w:sz w:val="20"/>
          <w:szCs w:val="20"/>
          <w:color w:val="auto"/>
        </w:rPr>
      </w:pPr>
      <w:r>
        <w:rPr>
          <w:rFonts w:ascii="Arial" w:cs="Arial" w:eastAsia="Arial" w:hAnsi="Arial"/>
          <w:sz w:val="16"/>
          <w:szCs w:val="16"/>
          <w:color w:val="auto"/>
        </w:rPr>
        <w:t xml:space="preserve">Granted </w:t>
      </w:r>
      <w:r>
        <w:rPr>
          <w:rFonts w:ascii="Arial" w:cs="Arial" w:eastAsia="Arial" w:hAnsi="Arial"/>
          <w:sz w:val="21"/>
          <w:szCs w:val="21"/>
          <w:color w:val="auto"/>
          <w:vertAlign w:val="superscript"/>
        </w:rPr>
        <w:t>(a)</w:t>
      </w:r>
    </w:p>
    <w:p>
      <w:pPr>
        <w:spacing w:after="0" w:line="23" w:lineRule="exact"/>
        <w:rPr>
          <w:sz w:val="20"/>
          <w:szCs w:val="20"/>
          <w:color w:val="auto"/>
        </w:rPr>
      </w:pPr>
    </w:p>
    <w:p>
      <w:pPr>
        <w:ind w:left="820"/>
        <w:spacing w:after="0"/>
        <w:rPr>
          <w:sz w:val="20"/>
          <w:szCs w:val="20"/>
          <w:color w:val="auto"/>
        </w:rPr>
      </w:pPr>
      <w:r>
        <w:rPr>
          <w:rFonts w:ascii="Arial" w:cs="Arial" w:eastAsia="Arial" w:hAnsi="Arial"/>
          <w:sz w:val="16"/>
          <w:szCs w:val="16"/>
          <w:color w:val="auto"/>
        </w:rPr>
        <w:t xml:space="preserve">Vested </w:t>
      </w:r>
      <w:r>
        <w:rPr>
          <w:rFonts w:ascii="Arial" w:cs="Arial" w:eastAsia="Arial" w:hAnsi="Arial"/>
          <w:sz w:val="21"/>
          <w:szCs w:val="21"/>
          <w:color w:val="auto"/>
          <w:vertAlign w:val="superscript"/>
        </w:rPr>
        <w:t>(b)</w:t>
      </w:r>
    </w:p>
    <w:p>
      <w:pPr>
        <w:spacing w:after="0" w:line="34" w:lineRule="exact"/>
        <w:rPr>
          <w:sz w:val="20"/>
          <w:szCs w:val="20"/>
          <w:color w:val="auto"/>
        </w:rPr>
      </w:pPr>
    </w:p>
    <w:p>
      <w:pPr>
        <w:ind w:left="820"/>
        <w:spacing w:after="0"/>
        <w:rPr>
          <w:sz w:val="20"/>
          <w:szCs w:val="20"/>
          <w:color w:val="auto"/>
        </w:rPr>
      </w:pPr>
      <w:r>
        <w:rPr>
          <w:rFonts w:ascii="Arial" w:cs="Arial" w:eastAsia="Arial" w:hAnsi="Arial"/>
          <w:sz w:val="16"/>
          <w:szCs w:val="16"/>
          <w:color w:val="auto"/>
        </w:rPr>
        <w:t>Forfeited</w:t>
      </w:r>
    </w:p>
    <w:p>
      <w:pPr>
        <w:spacing w:after="0" w:line="108" w:lineRule="exact"/>
        <w:rPr>
          <w:sz w:val="20"/>
          <w:szCs w:val="20"/>
          <w:color w:val="auto"/>
        </w:rPr>
      </w:pPr>
    </w:p>
    <w:p>
      <w:pPr>
        <w:ind w:left="620"/>
        <w:spacing w:after="0"/>
        <w:rPr>
          <w:sz w:val="20"/>
          <w:szCs w:val="20"/>
          <w:color w:val="auto"/>
        </w:rPr>
      </w:pPr>
      <w:r>
        <w:rPr>
          <w:rFonts w:ascii="Arial" w:cs="Arial" w:eastAsia="Arial" w:hAnsi="Arial"/>
          <w:sz w:val="16"/>
          <w:szCs w:val="16"/>
          <w:color w:val="auto"/>
        </w:rPr>
        <w:t xml:space="preserve">Outstanding and expected to vest at December 31, 2017 </w:t>
      </w:r>
      <w:r>
        <w:rPr>
          <w:rFonts w:ascii="Arial" w:cs="Arial" w:eastAsia="Arial" w:hAnsi="Arial"/>
          <w:sz w:val="21"/>
          <w:szCs w:val="21"/>
          <w:color w:val="auto"/>
          <w:vertAlign w:val="superscript"/>
        </w:rPr>
        <w:t>(c)</w:t>
      </w:r>
    </w:p>
    <w:p>
      <w:pPr>
        <w:spacing w:after="0" w:line="7" w:lineRule="exact"/>
        <w:rPr>
          <w:sz w:val="20"/>
          <w:szCs w:val="20"/>
          <w:color w:val="auto"/>
        </w:rPr>
      </w:pPr>
    </w:p>
    <w:p>
      <w:pPr>
        <w:ind w:left="520"/>
        <w:spacing w:after="0"/>
        <w:rPr>
          <w:sz w:val="20"/>
          <w:szCs w:val="20"/>
          <w:color w:val="auto"/>
        </w:rPr>
      </w:pPr>
      <w:r>
        <w:rPr>
          <w:rFonts w:ascii="Arial" w:cs="Arial" w:eastAsia="Arial" w:hAnsi="Arial"/>
          <w:sz w:val="16"/>
          <w:szCs w:val="16"/>
          <w:b w:val="1"/>
          <w:bCs w:val="1"/>
          <w:color w:val="auto"/>
        </w:rPr>
        <w:t>Performance-based and market-based RSUs</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line="1" w:lineRule="exact"/>
        <w:rPr>
          <w:sz w:val="1"/>
          <w:szCs w:val="1"/>
          <w:color w:val="auto"/>
        </w:rPr>
      </w:pPr>
    </w:p>
    <w:tbl>
      <w:tblPr>
        <w:tblLayout w:type="fixed"/>
        <w:tblInd w:w="140" w:type="dxa"/>
        <w:tblCellMar>
          <w:top w:w="0" w:type="dxa"/>
          <w:left w:w="0" w:type="dxa"/>
          <w:bottom w:w="0" w:type="dxa"/>
          <w:right w:w="0" w:type="dxa"/>
        </w:tblCellMar>
      </w:tblPr>
      <w:tr>
        <w:trPr>
          <w:trHeight w:val="195"/>
        </w:trPr>
        <w:tc>
          <w:tcPr>
            <w:tcW w:w="380" w:type="dxa"/>
            <w:vAlign w:val="bottom"/>
          </w:tcPr>
          <w:p>
            <w:pPr>
              <w:jc w:val="right"/>
              <w:ind w:right="39"/>
              <w:spacing w:after="0"/>
              <w:rPr>
                <w:sz w:val="20"/>
                <w:szCs w:val="20"/>
                <w:color w:val="auto"/>
              </w:rPr>
            </w:pPr>
            <w:r>
              <w:rPr>
                <w:rFonts w:ascii="Arial" w:cs="Arial" w:eastAsia="Arial" w:hAnsi="Arial"/>
                <w:sz w:val="16"/>
                <w:szCs w:val="16"/>
                <w:color w:val="auto"/>
                <w:w w:val="89"/>
              </w:rPr>
              <w:t>878</w:t>
            </w:r>
          </w:p>
        </w:tc>
        <w:tc>
          <w:tcPr>
            <w:tcW w:w="58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34.83</w:t>
            </w:r>
          </w:p>
        </w:tc>
      </w:tr>
      <w:tr>
        <w:trPr>
          <w:trHeight w:val="270"/>
        </w:trPr>
        <w:tc>
          <w:tcPr>
            <w:tcW w:w="380" w:type="dxa"/>
            <w:vAlign w:val="bottom"/>
          </w:tcPr>
          <w:p>
            <w:pPr>
              <w:jc w:val="right"/>
              <w:ind w:right="39"/>
              <w:spacing w:after="0"/>
              <w:rPr>
                <w:sz w:val="20"/>
                <w:szCs w:val="20"/>
                <w:color w:val="auto"/>
              </w:rPr>
            </w:pPr>
            <w:r>
              <w:rPr>
                <w:rFonts w:ascii="Arial" w:cs="Arial" w:eastAsia="Arial" w:hAnsi="Arial"/>
                <w:sz w:val="16"/>
                <w:szCs w:val="16"/>
                <w:color w:val="auto"/>
                <w:w w:val="89"/>
              </w:rPr>
              <w:t>914</w:t>
            </w:r>
          </w:p>
        </w:tc>
        <w:tc>
          <w:tcPr>
            <w:tcW w:w="5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35.32</w:t>
            </w:r>
          </w:p>
        </w:tc>
      </w:tr>
    </w:tbl>
    <w:p>
      <w:pPr>
        <w:spacing w:after="0" w:line="75" w:lineRule="exact"/>
        <w:rPr>
          <w:sz w:val="20"/>
          <w:szCs w:val="20"/>
          <w:color w:val="auto"/>
        </w:rPr>
      </w:pPr>
    </w:p>
    <w:p>
      <w:pPr>
        <w:ind w:left="1460" w:hanging="1375"/>
        <w:spacing w:after="0"/>
        <w:tabs>
          <w:tab w:leader="none" w:pos="1460" w:val="left"/>
        </w:tabs>
        <w:numPr>
          <w:ilvl w:val="0"/>
          <w:numId w:val="87"/>
        </w:numPr>
        <w:rPr>
          <w:rFonts w:ascii="Arial" w:cs="Arial" w:eastAsia="Arial" w:hAnsi="Arial"/>
          <w:sz w:val="16"/>
          <w:szCs w:val="16"/>
          <w:color w:val="auto"/>
        </w:rPr>
      </w:pPr>
      <w:r>
        <w:rPr>
          <w:rFonts w:ascii="Arial" w:cs="Arial" w:eastAsia="Arial" w:hAnsi="Arial"/>
          <w:sz w:val="16"/>
          <w:szCs w:val="16"/>
          <w:color w:val="auto"/>
        </w:rPr>
        <w:t>37.12</w:t>
      </w:r>
    </w:p>
    <w:p>
      <w:pPr>
        <w:spacing w:after="0" w:line="86" w:lineRule="exact"/>
        <w:rPr>
          <w:sz w:val="20"/>
          <w:szCs w:val="20"/>
          <w:color w:val="auto"/>
        </w:rPr>
      </w:pPr>
    </w:p>
    <w:p>
      <w:pPr>
        <w:ind w:left="1460" w:hanging="1375"/>
        <w:spacing w:after="0"/>
        <w:tabs>
          <w:tab w:leader="none" w:pos="1460" w:val="left"/>
        </w:tabs>
        <w:numPr>
          <w:ilvl w:val="0"/>
          <w:numId w:val="88"/>
        </w:numPr>
        <w:rPr>
          <w:rFonts w:ascii="Arial" w:cs="Arial" w:eastAsia="Arial" w:hAnsi="Arial"/>
          <w:sz w:val="16"/>
          <w:szCs w:val="16"/>
          <w:color w:val="auto"/>
        </w:rPr>
      </w:pPr>
      <w:r>
        <w:rPr>
          <w:rFonts w:ascii="Arial" w:cs="Arial" w:eastAsia="Arial" w:hAnsi="Arial"/>
          <w:sz w:val="16"/>
          <w:szCs w:val="16"/>
          <w:color w:val="auto"/>
        </w:rPr>
        <w:t>33.07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-511175</wp:posOffset>
            </wp:positionH>
            <wp:positionV relativeFrom="paragraph">
              <wp:posOffset>19050</wp:posOffset>
            </wp:positionV>
            <wp:extent cx="83185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831850" cy="8890"/>
                    </a:xfrm>
                    <a:prstGeom prst="rect">
                      <a:avLst/>
                    </a:prstGeom>
                    <a:noFill/>
                  </pic:spPr>
                </pic:pic>
              </a:graphicData>
            </a:graphic>
          </wp:anchor>
        </w:drawing>
      </w:r>
    </w:p>
    <w:p>
      <w:pPr>
        <w:spacing w:after="0" w:line="53" w:lineRule="exact"/>
        <w:rPr>
          <w:sz w:val="20"/>
          <w:szCs w:val="20"/>
          <w:color w:val="auto"/>
        </w:rPr>
      </w:pPr>
    </w:p>
    <w:p>
      <w:pPr>
        <w:spacing w:after="0"/>
        <w:tabs>
          <w:tab w:leader="none" w:pos="620" w:val="left"/>
          <w:tab w:leader="none" w:pos="1440" w:val="left"/>
          <w:tab w:leader="none" w:pos="3140" w:val="left"/>
          <w:tab w:leader="none" w:pos="3520" w:val="left"/>
          <w:tab w:leader="none" w:pos="4580" w:val="left"/>
        </w:tabs>
        <w:rPr>
          <w:sz w:val="20"/>
          <w:szCs w:val="20"/>
          <w:color w:val="auto"/>
        </w:rPr>
      </w:pPr>
      <w:r>
        <w:rPr>
          <w:rFonts w:ascii="Arial" w:cs="Arial" w:eastAsia="Arial" w:hAnsi="Arial"/>
          <w:sz w:val="16"/>
          <w:szCs w:val="16"/>
          <w:color w:val="auto"/>
        </w:rPr>
        <w:t>1,160</w:t>
        <w:tab/>
        <w:t>$</w:t>
      </w:r>
      <w:r>
        <w:rPr>
          <w:sz w:val="20"/>
          <w:szCs w:val="20"/>
          <w:color w:val="auto"/>
        </w:rPr>
        <w:tab/>
      </w:r>
      <w:r>
        <w:rPr>
          <w:rFonts w:ascii="Arial" w:cs="Arial" w:eastAsia="Arial" w:hAnsi="Arial"/>
          <w:sz w:val="16"/>
          <w:szCs w:val="16"/>
          <w:color w:val="auto"/>
        </w:rPr>
        <w:t>34.54</w:t>
      </w:r>
      <w:r>
        <w:rPr>
          <w:sz w:val="20"/>
          <w:szCs w:val="20"/>
          <w:color w:val="auto"/>
        </w:rPr>
        <w:tab/>
      </w:r>
      <w:r>
        <w:rPr>
          <w:rFonts w:ascii="Arial" w:cs="Arial" w:eastAsia="Arial" w:hAnsi="Arial"/>
          <w:sz w:val="16"/>
          <w:szCs w:val="16"/>
          <w:color w:val="auto"/>
        </w:rPr>
        <w:t>0.9</w:t>
        <w:tab/>
        <w:t>$</w:t>
      </w:r>
      <w:r>
        <w:rPr>
          <w:sz w:val="20"/>
          <w:szCs w:val="20"/>
          <w:color w:val="auto"/>
        </w:rPr>
        <w:tab/>
      </w: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-511175</wp:posOffset>
            </wp:positionH>
            <wp:positionV relativeFrom="paragraph">
              <wp:posOffset>19050</wp:posOffset>
            </wp:positionV>
            <wp:extent cx="83185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831850" cy="8890"/>
                    </a:xfrm>
                    <a:prstGeom prst="rect">
                      <a:avLst/>
                    </a:prstGeom>
                    <a:noFill/>
                  </pic:spPr>
                </pic:pic>
              </a:graphicData>
            </a:graphic>
          </wp:anchor>
        </w:drawing>
        <w:drawing>
          <wp:anchor simplePos="0" relativeHeight="251657728" behindDoc="1" locked="0" layoutInCell="0" allowOverlap="1">
            <wp:simplePos x="0" y="0"/>
            <wp:positionH relativeFrom="column">
              <wp:posOffset>-511175</wp:posOffset>
            </wp:positionH>
            <wp:positionV relativeFrom="paragraph">
              <wp:posOffset>36195</wp:posOffset>
            </wp:positionV>
            <wp:extent cx="83185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831850" cy="8890"/>
                    </a:xfrm>
                    <a:prstGeom prst="rect">
                      <a:avLst/>
                    </a:prstGeom>
                    <a:noFill/>
                  </pic:spPr>
                </pic:pic>
              </a:graphicData>
            </a:graphic>
          </wp:anchor>
        </w:drawing>
      </w:r>
    </w:p>
    <w:p>
      <w:pPr>
        <w:spacing w:after="0" w:line="369" w:lineRule="exact"/>
        <w:rPr>
          <w:sz w:val="20"/>
          <w:szCs w:val="20"/>
          <w:color w:val="auto"/>
        </w:rPr>
      </w:pPr>
    </w:p>
    <w:p>
      <w:pPr>
        <w:sectPr>
          <w:pgSz w:w="11900" w:h="16838" w:orient="portrait"/>
          <w:cols w:equalWidth="0" w:num="2">
            <w:col w:w="5240" w:space="720"/>
            <w:col w:w="5380"/>
          </w:cols>
          <w:pgMar w:left="240" w:top="140" w:right="319" w:bottom="1440" w:gutter="0" w:footer="0" w:header="0"/>
          <w:type w:val="continuous"/>
        </w:sectPr>
      </w:pPr>
    </w:p>
    <w:tbl>
      <w:tblPr>
        <w:tblLayout w:type="fixed"/>
        <w:tblInd w:w="620" w:type="dxa"/>
        <w:tblCellMar>
          <w:top w:w="0" w:type="dxa"/>
          <w:left w:w="0" w:type="dxa"/>
          <w:bottom w:w="0" w:type="dxa"/>
          <w:right w:w="0" w:type="dxa"/>
        </w:tblCellMar>
      </w:tblPr>
      <w:tr>
        <w:trPr>
          <w:trHeight w:val="222"/>
        </w:trPr>
        <w:tc>
          <w:tcPr>
            <w:tcW w:w="4540" w:type="dxa"/>
            <w:vAlign w:val="bottom"/>
          </w:tcPr>
          <w:p>
            <w:pPr>
              <w:spacing w:after="0"/>
              <w:rPr>
                <w:sz w:val="20"/>
                <w:szCs w:val="20"/>
                <w:color w:val="auto"/>
              </w:rPr>
            </w:pPr>
            <w:r>
              <w:rPr>
                <w:rFonts w:ascii="Arial" w:cs="Arial" w:eastAsia="Arial" w:hAnsi="Arial"/>
                <w:sz w:val="16"/>
                <w:szCs w:val="16"/>
                <w:color w:val="auto"/>
              </w:rPr>
              <w:t>Outstanding at January 1, 2017</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923</w:t>
            </w:r>
          </w:p>
        </w:tc>
        <w:tc>
          <w:tcPr>
            <w:tcW w:w="60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579"/>
              <w:spacing w:after="0"/>
              <w:rPr>
                <w:sz w:val="20"/>
                <w:szCs w:val="20"/>
                <w:color w:val="auto"/>
              </w:rPr>
            </w:pPr>
            <w:r>
              <w:rPr>
                <w:rFonts w:ascii="Arial" w:cs="Arial" w:eastAsia="Arial" w:hAnsi="Arial"/>
                <w:sz w:val="16"/>
                <w:szCs w:val="16"/>
                <w:color w:val="auto"/>
              </w:rPr>
              <w:t>34.11</w:t>
            </w:r>
          </w:p>
        </w:tc>
        <w:tc>
          <w:tcPr>
            <w:tcW w:w="9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3"/>
        </w:trPr>
        <w:tc>
          <w:tcPr>
            <w:tcW w:w="4540" w:type="dxa"/>
            <w:vAlign w:val="bottom"/>
          </w:tcPr>
          <w:p>
            <w:pPr>
              <w:ind w:left="200"/>
              <w:spacing w:after="0"/>
              <w:rPr>
                <w:sz w:val="20"/>
                <w:szCs w:val="20"/>
                <w:color w:val="auto"/>
              </w:rPr>
            </w:pPr>
            <w:r>
              <w:rPr>
                <w:rFonts w:ascii="Arial" w:cs="Arial" w:eastAsia="Arial" w:hAnsi="Arial"/>
                <w:sz w:val="16"/>
                <w:szCs w:val="16"/>
                <w:color w:val="auto"/>
              </w:rPr>
              <w:t xml:space="preserve">Granted </w:t>
            </w:r>
            <w:r>
              <w:rPr>
                <w:rFonts w:ascii="Arial" w:cs="Arial" w:eastAsia="Arial" w:hAnsi="Arial"/>
                <w:sz w:val="21"/>
                <w:szCs w:val="21"/>
                <w:color w:val="auto"/>
                <w:vertAlign w:val="superscript"/>
              </w:rPr>
              <w:t>(a)</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572</w:t>
            </w:r>
          </w:p>
        </w:tc>
        <w:tc>
          <w:tcPr>
            <w:tcW w:w="600" w:type="dxa"/>
            <w:vAlign w:val="bottom"/>
          </w:tcPr>
          <w:p>
            <w:pPr>
              <w:spacing w:after="0"/>
              <w:rPr>
                <w:sz w:val="24"/>
                <w:szCs w:val="24"/>
                <w:color w:val="auto"/>
              </w:rPr>
            </w:pPr>
          </w:p>
        </w:tc>
        <w:tc>
          <w:tcPr>
            <w:tcW w:w="1420" w:type="dxa"/>
            <w:vAlign w:val="bottom"/>
          </w:tcPr>
          <w:p>
            <w:pPr>
              <w:jc w:val="right"/>
              <w:ind w:right="579"/>
              <w:spacing w:after="0"/>
              <w:rPr>
                <w:sz w:val="20"/>
                <w:szCs w:val="20"/>
                <w:color w:val="auto"/>
              </w:rPr>
            </w:pPr>
            <w:r>
              <w:rPr>
                <w:rFonts w:ascii="Arial" w:cs="Arial" w:eastAsia="Arial" w:hAnsi="Arial"/>
                <w:sz w:val="16"/>
                <w:szCs w:val="16"/>
                <w:color w:val="auto"/>
              </w:rPr>
              <w:t>35.21</w:t>
            </w:r>
          </w:p>
        </w:tc>
        <w:tc>
          <w:tcPr>
            <w:tcW w:w="9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4540" w:type="dxa"/>
            <w:vAlign w:val="bottom"/>
          </w:tcPr>
          <w:p>
            <w:pPr>
              <w:ind w:left="200"/>
              <w:spacing w:after="0"/>
              <w:rPr>
                <w:sz w:val="20"/>
                <w:szCs w:val="20"/>
                <w:color w:val="auto"/>
              </w:rPr>
            </w:pPr>
            <w:r>
              <w:rPr>
                <w:rFonts w:ascii="Arial" w:cs="Arial" w:eastAsia="Arial" w:hAnsi="Arial"/>
                <w:sz w:val="16"/>
                <w:szCs w:val="16"/>
                <w:color w:val="auto"/>
              </w:rPr>
              <w:t xml:space="preserve">Vested </w:t>
            </w:r>
            <w:r>
              <w:rPr>
                <w:rFonts w:ascii="Arial" w:cs="Arial" w:eastAsia="Arial" w:hAnsi="Arial"/>
                <w:sz w:val="21"/>
                <w:szCs w:val="21"/>
                <w:color w:val="auto"/>
                <w:vertAlign w:val="superscript"/>
              </w:rPr>
              <w:t>(b)</w:t>
            </w:r>
          </w:p>
        </w:tc>
        <w:tc>
          <w:tcPr>
            <w:tcW w:w="1300" w:type="dxa"/>
            <w:vAlign w:val="bottom"/>
          </w:tcPr>
          <w:p>
            <w:pPr>
              <w:jc w:val="right"/>
              <w:spacing w:after="0"/>
              <w:rPr>
                <w:sz w:val="20"/>
                <w:szCs w:val="20"/>
                <w:color w:val="auto"/>
              </w:rPr>
            </w:pPr>
            <w:r>
              <w:rPr>
                <w:rFonts w:ascii="Arial" w:cs="Arial" w:eastAsia="Arial" w:hAnsi="Arial"/>
                <w:sz w:val="16"/>
                <w:szCs w:val="16"/>
                <w:color w:val="auto"/>
              </w:rPr>
              <w:t>(146)</w:t>
            </w:r>
          </w:p>
        </w:tc>
        <w:tc>
          <w:tcPr>
            <w:tcW w:w="600" w:type="dxa"/>
            <w:vAlign w:val="bottom"/>
          </w:tcPr>
          <w:p>
            <w:pPr>
              <w:spacing w:after="0"/>
              <w:rPr>
                <w:sz w:val="23"/>
                <w:szCs w:val="23"/>
                <w:color w:val="auto"/>
              </w:rPr>
            </w:pPr>
          </w:p>
        </w:tc>
        <w:tc>
          <w:tcPr>
            <w:tcW w:w="1420" w:type="dxa"/>
            <w:vAlign w:val="bottom"/>
          </w:tcPr>
          <w:p>
            <w:pPr>
              <w:jc w:val="right"/>
              <w:ind w:right="579"/>
              <w:spacing w:after="0"/>
              <w:rPr>
                <w:sz w:val="20"/>
                <w:szCs w:val="20"/>
                <w:color w:val="auto"/>
              </w:rPr>
            </w:pPr>
            <w:r>
              <w:rPr>
                <w:rFonts w:ascii="Arial" w:cs="Arial" w:eastAsia="Arial" w:hAnsi="Arial"/>
                <w:sz w:val="16"/>
                <w:szCs w:val="16"/>
                <w:color w:val="auto"/>
              </w:rPr>
              <w:t>36.55</w:t>
            </w:r>
          </w:p>
        </w:tc>
        <w:tc>
          <w:tcPr>
            <w:tcW w:w="9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5"/>
        </w:trPr>
        <w:tc>
          <w:tcPr>
            <w:tcW w:w="4540" w:type="dxa"/>
            <w:vAlign w:val="bottom"/>
          </w:tcPr>
          <w:p>
            <w:pPr>
              <w:ind w:left="200"/>
              <w:spacing w:after="0"/>
              <w:rPr>
                <w:sz w:val="20"/>
                <w:szCs w:val="20"/>
                <w:color w:val="auto"/>
              </w:rPr>
            </w:pPr>
            <w:r>
              <w:rPr>
                <w:rFonts w:ascii="Arial" w:cs="Arial" w:eastAsia="Arial" w:hAnsi="Arial"/>
                <w:sz w:val="16"/>
                <w:szCs w:val="16"/>
                <w:color w:val="auto"/>
              </w:rPr>
              <w:t>Forfeited</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(355)</w:t>
            </w:r>
          </w:p>
        </w:tc>
        <w:tc>
          <w:tcPr>
            <w:tcW w:w="600" w:type="dxa"/>
            <w:vAlign w:val="bottom"/>
          </w:tcPr>
          <w:p>
            <w:pPr>
              <w:spacing w:after="0"/>
              <w:rPr>
                <w:sz w:val="20"/>
                <w:szCs w:val="20"/>
                <w:color w:val="auto"/>
              </w:rPr>
            </w:pPr>
          </w:p>
        </w:tc>
        <w:tc>
          <w:tcPr>
            <w:tcW w:w="1420" w:type="dxa"/>
            <w:vAlign w:val="bottom"/>
          </w:tcPr>
          <w:p>
            <w:pPr>
              <w:jc w:val="right"/>
              <w:ind w:right="579"/>
              <w:spacing w:after="0"/>
              <w:rPr>
                <w:sz w:val="20"/>
                <w:szCs w:val="20"/>
                <w:color w:val="auto"/>
              </w:rPr>
            </w:pPr>
            <w:r>
              <w:rPr>
                <w:rFonts w:ascii="Arial" w:cs="Arial" w:eastAsia="Arial" w:hAnsi="Arial"/>
                <w:sz w:val="16"/>
                <w:szCs w:val="16"/>
                <w:color w:val="auto"/>
              </w:rPr>
              <w:t>37.82</w:t>
            </w:r>
          </w:p>
        </w:tc>
        <w:tc>
          <w:tcPr>
            <w:tcW w:w="9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540" w:type="dxa"/>
            <w:vAlign w:val="bottom"/>
          </w:tcPr>
          <w:p>
            <w:pPr>
              <w:spacing w:after="0"/>
              <w:rPr>
                <w:sz w:val="20"/>
                <w:szCs w:val="20"/>
                <w:color w:val="auto"/>
              </w:rPr>
            </w:pPr>
            <w:r>
              <w:rPr>
                <w:rFonts w:ascii="Arial" w:cs="Arial" w:eastAsia="Arial" w:hAnsi="Arial"/>
                <w:sz w:val="16"/>
                <w:szCs w:val="16"/>
                <w:color w:val="auto"/>
              </w:rPr>
              <w:t>Outstanding at December 31, 2017</w:t>
            </w: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994</w:t>
            </w:r>
          </w:p>
        </w:tc>
        <w:tc>
          <w:tcPr>
            <w:tcW w:w="60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579"/>
              <w:spacing w:after="0"/>
              <w:rPr>
                <w:sz w:val="20"/>
                <w:szCs w:val="20"/>
                <w:color w:val="auto"/>
              </w:rPr>
            </w:pPr>
            <w:r>
              <w:rPr>
                <w:rFonts w:ascii="Arial" w:cs="Arial" w:eastAsia="Arial" w:hAnsi="Arial"/>
                <w:sz w:val="16"/>
                <w:szCs w:val="16"/>
                <w:color w:val="auto"/>
              </w:rPr>
              <w:t>33.06</w:t>
            </w:r>
          </w:p>
        </w:tc>
        <w:tc>
          <w:tcPr>
            <w:tcW w:w="940" w:type="dxa"/>
            <w:vAlign w:val="bottom"/>
          </w:tcPr>
          <w:p>
            <w:pPr>
              <w:jc w:val="right"/>
              <w:spacing w:after="0"/>
              <w:rPr>
                <w:sz w:val="20"/>
                <w:szCs w:val="20"/>
                <w:color w:val="auto"/>
              </w:rPr>
            </w:pPr>
            <w:r>
              <w:rPr>
                <w:rFonts w:ascii="Arial" w:cs="Arial" w:eastAsia="Arial" w:hAnsi="Arial"/>
                <w:sz w:val="16"/>
                <w:szCs w:val="16"/>
                <w:color w:val="auto"/>
              </w:rPr>
              <w:t>1.4</w:t>
            </w:r>
          </w:p>
        </w:tc>
        <w:tc>
          <w:tcPr>
            <w:tcW w:w="660" w:type="dxa"/>
            <w:vAlign w:val="bottom"/>
          </w:tcPr>
          <w:p>
            <w:pPr>
              <w:jc w:val="right"/>
              <w:ind w:right="399"/>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20"/>
        </w:trPr>
        <w:tc>
          <w:tcPr>
            <w:tcW w:w="4540" w:type="dxa"/>
            <w:vAlign w:val="bottom"/>
            <w:vMerge w:val="restart"/>
          </w:tcPr>
          <w:p>
            <w:pPr>
              <w:spacing w:after="0"/>
              <w:rPr>
                <w:sz w:val="20"/>
                <w:szCs w:val="20"/>
                <w:color w:val="auto"/>
              </w:rPr>
            </w:pPr>
            <w:r>
              <w:rPr>
                <w:rFonts w:ascii="Arial" w:cs="Arial" w:eastAsia="Arial" w:hAnsi="Arial"/>
                <w:sz w:val="16"/>
                <w:szCs w:val="16"/>
                <w:color w:val="auto"/>
              </w:rPr>
              <w:t xml:space="preserve">Outstanding and expected to vest at December 31, 2017 </w:t>
            </w:r>
            <w:r>
              <w:rPr>
                <w:rFonts w:ascii="Arial" w:cs="Arial" w:eastAsia="Arial" w:hAnsi="Arial"/>
                <w:sz w:val="21"/>
                <w:szCs w:val="21"/>
                <w:color w:val="auto"/>
                <w:vertAlign w:val="superscript"/>
              </w:rPr>
              <w:t>(c)</w:t>
            </w:r>
          </w:p>
        </w:tc>
        <w:tc>
          <w:tcPr>
            <w:tcW w:w="130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7"/>
        </w:trPr>
        <w:tc>
          <w:tcPr>
            <w:tcW w:w="4540" w:type="dxa"/>
            <w:vAlign w:val="bottom"/>
            <w:vMerge w:val="continue"/>
          </w:tcPr>
          <w:p>
            <w:pPr>
              <w:spacing w:after="0"/>
              <w:rPr>
                <w:sz w:val="24"/>
                <w:szCs w:val="24"/>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97</w:t>
            </w:r>
          </w:p>
        </w:tc>
        <w:tc>
          <w:tcPr>
            <w:tcW w:w="60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579"/>
              <w:spacing w:after="0"/>
              <w:rPr>
                <w:sz w:val="20"/>
                <w:szCs w:val="20"/>
                <w:color w:val="auto"/>
              </w:rPr>
            </w:pPr>
            <w:r>
              <w:rPr>
                <w:rFonts w:ascii="Arial" w:cs="Arial" w:eastAsia="Arial" w:hAnsi="Arial"/>
                <w:sz w:val="16"/>
                <w:szCs w:val="16"/>
                <w:color w:val="auto"/>
              </w:rPr>
              <w:t>36.64</w:t>
            </w:r>
          </w:p>
        </w:tc>
        <w:tc>
          <w:tcPr>
            <w:tcW w:w="940" w:type="dxa"/>
            <w:vAlign w:val="bottom"/>
          </w:tcPr>
          <w:p>
            <w:pPr>
              <w:jc w:val="right"/>
              <w:spacing w:after="0"/>
              <w:rPr>
                <w:sz w:val="20"/>
                <w:szCs w:val="20"/>
                <w:color w:val="auto"/>
              </w:rPr>
            </w:pPr>
            <w:r>
              <w:rPr>
                <w:rFonts w:ascii="Arial" w:cs="Arial" w:eastAsia="Arial" w:hAnsi="Arial"/>
                <w:sz w:val="16"/>
                <w:szCs w:val="16"/>
                <w:color w:val="auto"/>
              </w:rPr>
              <w:t>2.2</w:t>
            </w:r>
          </w:p>
        </w:tc>
        <w:tc>
          <w:tcPr>
            <w:tcW w:w="660" w:type="dxa"/>
            <w:vAlign w:val="bottom"/>
          </w:tcPr>
          <w:p>
            <w:pPr>
              <w:jc w:val="right"/>
              <w:ind w:right="399"/>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bl>
    <w:p>
      <w:pPr>
        <w:ind w:left="500"/>
        <w:spacing w:after="0" w:line="236" w:lineRule="auto"/>
        <w:rPr>
          <w:sz w:val="20"/>
          <w:szCs w:val="20"/>
          <w:color w:val="auto"/>
        </w:rPr>
      </w:pPr>
      <w:r>
        <w:rPr>
          <w:rFonts w:ascii="Arial" w:cs="Arial" w:eastAsia="Arial" w:hAnsi="Arial"/>
          <w:sz w:val="14"/>
          <w:szCs w:val="14"/>
          <w:color w:val="auto"/>
        </w:rPr>
        <w:t>__________</w:t>
      </w:r>
    </w:p>
    <w:p>
      <w:pPr>
        <w:spacing w:after="0" w:line="5" w:lineRule="exact"/>
        <w:rPr>
          <w:sz w:val="20"/>
          <w:szCs w:val="20"/>
          <w:color w:val="auto"/>
        </w:rPr>
      </w:pPr>
    </w:p>
    <w:p>
      <w:pPr>
        <w:ind w:left="820" w:right="180" w:hanging="326"/>
        <w:spacing w:after="0" w:line="225" w:lineRule="auto"/>
        <w:tabs>
          <w:tab w:leader="none" w:pos="820" w:val="left"/>
        </w:tabs>
        <w:numPr>
          <w:ilvl w:val="0"/>
          <w:numId w:val="89"/>
        </w:numPr>
        <w:rPr>
          <w:rFonts w:ascii="Arial" w:cs="Arial" w:eastAsia="Arial" w:hAnsi="Arial"/>
          <w:sz w:val="18"/>
          <w:szCs w:val="18"/>
          <w:color w:val="auto"/>
          <w:vertAlign w:val="superscript"/>
        </w:rPr>
      </w:pPr>
      <w:r>
        <w:rPr>
          <w:rFonts w:ascii="Arial" w:cs="Arial" w:eastAsia="Arial" w:hAnsi="Arial"/>
          <w:sz w:val="14"/>
          <w:szCs w:val="14"/>
          <w:color w:val="auto"/>
        </w:rPr>
        <w:t>Reflects the maximum number of stock units assuming achievement of all performance-, market- and time-vesting criteria and does not include those for non-employee directors, which are discussed separately below. The weighted-average fair value of time-based RSUs and performance-based and market-based RSUs granted in 2016 was $25.92 and $23.33, respectively, and the weighted-average fair value of time-based RSUs and performance-based and market-based RSUs granted in 2015 was $54.70 and $55.51, respectively.</w:t>
      </w:r>
    </w:p>
    <w:p>
      <w:pPr>
        <w:spacing w:after="0" w:line="1" w:lineRule="exact"/>
        <w:rPr>
          <w:rFonts w:ascii="Arial" w:cs="Arial" w:eastAsia="Arial" w:hAnsi="Arial"/>
          <w:sz w:val="18"/>
          <w:szCs w:val="18"/>
          <w:color w:val="auto"/>
          <w:vertAlign w:val="superscript"/>
        </w:rPr>
      </w:pPr>
    </w:p>
    <w:p>
      <w:pPr>
        <w:ind w:left="820" w:right="20" w:hanging="326"/>
        <w:spacing w:after="0" w:line="211" w:lineRule="auto"/>
        <w:tabs>
          <w:tab w:leader="none" w:pos="820" w:val="left"/>
        </w:tabs>
        <w:numPr>
          <w:ilvl w:val="0"/>
          <w:numId w:val="89"/>
        </w:numPr>
        <w:rPr>
          <w:rFonts w:ascii="Arial" w:cs="Arial" w:eastAsia="Arial" w:hAnsi="Arial"/>
          <w:sz w:val="18"/>
          <w:szCs w:val="18"/>
          <w:color w:val="auto"/>
          <w:vertAlign w:val="superscript"/>
        </w:rPr>
      </w:pPr>
      <w:r>
        <w:rPr>
          <w:rFonts w:ascii="Arial" w:cs="Arial" w:eastAsia="Arial" w:hAnsi="Arial"/>
          <w:sz w:val="14"/>
          <w:szCs w:val="14"/>
          <w:color w:val="auto"/>
        </w:rPr>
        <w:t>The total fair value of RSUs vested during 2017, 2016 and 2015 was $23 million, $31 million and $25 million, respectively. The total grant date fair value of cash units vested during the year 2016 was $2 million.</w:t>
      </w:r>
    </w:p>
    <w:p>
      <w:pPr>
        <w:ind w:left="820" w:right="160" w:hanging="326"/>
        <w:spacing w:after="0" w:line="218" w:lineRule="auto"/>
        <w:tabs>
          <w:tab w:leader="none" w:pos="820" w:val="left"/>
        </w:tabs>
        <w:numPr>
          <w:ilvl w:val="0"/>
          <w:numId w:val="89"/>
        </w:numPr>
        <w:rPr>
          <w:rFonts w:ascii="Arial" w:cs="Arial" w:eastAsia="Arial" w:hAnsi="Arial"/>
          <w:sz w:val="18"/>
          <w:szCs w:val="18"/>
          <w:color w:val="auto"/>
          <w:vertAlign w:val="superscript"/>
        </w:rPr>
      </w:pPr>
      <w:r>
        <w:rPr>
          <w:rFonts w:ascii="Arial" w:cs="Arial" w:eastAsia="Arial" w:hAnsi="Arial"/>
          <w:sz w:val="14"/>
          <w:szCs w:val="14"/>
          <w:color w:val="auto"/>
        </w:rPr>
        <w:t>Aggregate unrecognized compensation expense related to time-based RSUs and performance-based and market-based RSUs amounted to $31 million and will be recognized over a weighted average vesting period of 1.0 year.</w:t>
      </w:r>
    </w:p>
    <w:p>
      <w:pPr>
        <w:spacing w:after="0" w:line="200" w:lineRule="exact"/>
        <w:rPr>
          <w:sz w:val="20"/>
          <w:szCs w:val="20"/>
          <w:color w:val="auto"/>
        </w:rPr>
      </w:pPr>
    </w:p>
    <w:p>
      <w:pPr>
        <w:spacing w:after="0" w:line="24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340"/>
          </w:cols>
          <w:pgMar w:left="240" w:top="140" w:right="319" w:bottom="1440" w:gutter="0" w:footer="0" w:header="0"/>
          <w:type w:val="continuous"/>
        </w:sectPr>
      </w:pPr>
    </w:p>
    <w:bookmarkStart w:id="105" w:name="page106"/>
    <w:bookmarkEnd w:id="10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Stock Options</w:t>
      </w:r>
    </w:p>
    <w:p>
      <w:pPr>
        <w:spacing w:after="0" w:line="24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annual stock option activity consisted of (in thousands of shares):</w:t>
      </w:r>
    </w:p>
    <w:p>
      <w:pPr>
        <w:spacing w:after="0" w:line="154" w:lineRule="exact"/>
        <w:rPr>
          <w:sz w:val="20"/>
          <w:szCs w:val="20"/>
          <w:color w:val="auto"/>
        </w:rPr>
      </w:pPr>
    </w:p>
    <w:tbl>
      <w:tblPr>
        <w:tblLayout w:type="fixed"/>
        <w:tblInd w:w="500" w:type="dxa"/>
        <w:tblCellMar>
          <w:top w:w="0" w:type="dxa"/>
          <w:left w:w="0" w:type="dxa"/>
          <w:bottom w:w="0" w:type="dxa"/>
          <w:right w:w="0" w:type="dxa"/>
        </w:tblCellMar>
      </w:tblPr>
      <w:tr>
        <w:trPr>
          <w:trHeight w:val="189"/>
        </w:trPr>
        <w:tc>
          <w:tcPr>
            <w:tcW w:w="46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9"/>
              </w:rPr>
              <w:t>Weighted</w:t>
            </w: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6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Weighted</w:t>
            </w:r>
          </w:p>
        </w:tc>
        <w:tc>
          <w:tcPr>
            <w:tcW w:w="14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Average</w:t>
            </w: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6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8"/>
              </w:rPr>
              <w:t>Average</w:t>
            </w:r>
          </w:p>
        </w:tc>
        <w:tc>
          <w:tcPr>
            <w:tcW w:w="14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Remaining</w:t>
            </w:r>
          </w:p>
        </w:tc>
        <w:tc>
          <w:tcPr>
            <w:tcW w:w="120" w:type="dxa"/>
            <w:vAlign w:val="bottom"/>
          </w:tcPr>
          <w:p>
            <w:pPr>
              <w:spacing w:after="0"/>
              <w:rPr>
                <w:sz w:val="16"/>
                <w:szCs w:val="16"/>
                <w:color w:val="auto"/>
              </w:rPr>
            </w:pPr>
          </w:p>
        </w:tc>
        <w:tc>
          <w:tcPr>
            <w:tcW w:w="1220" w:type="dxa"/>
            <w:vAlign w:val="bottom"/>
          </w:tcPr>
          <w:p>
            <w:pPr>
              <w:jc w:val="center"/>
              <w:ind w:right="39"/>
              <w:spacing w:after="0"/>
              <w:rPr>
                <w:sz w:val="20"/>
                <w:szCs w:val="20"/>
                <w:color w:val="auto"/>
              </w:rPr>
            </w:pPr>
            <w:r>
              <w:rPr>
                <w:rFonts w:ascii="Arial" w:cs="Arial" w:eastAsia="Arial" w:hAnsi="Arial"/>
                <w:sz w:val="16"/>
                <w:szCs w:val="16"/>
                <w:b w:val="1"/>
                <w:bCs w:val="1"/>
                <w:color w:val="auto"/>
              </w:rPr>
              <w:t>Aggregate</w:t>
            </w:r>
          </w:p>
        </w:tc>
        <w:tc>
          <w:tcPr>
            <w:tcW w:w="0" w:type="dxa"/>
            <w:vAlign w:val="bottom"/>
          </w:tcPr>
          <w:p>
            <w:pPr>
              <w:spacing w:after="0"/>
              <w:rPr>
                <w:sz w:val="1"/>
                <w:szCs w:val="1"/>
                <w:color w:val="auto"/>
              </w:rPr>
            </w:pPr>
          </w:p>
        </w:tc>
      </w:tr>
      <w:tr>
        <w:trPr>
          <w:trHeight w:val="189"/>
        </w:trPr>
        <w:tc>
          <w:tcPr>
            <w:tcW w:w="4640" w:type="dxa"/>
            <w:vAlign w:val="bottom"/>
          </w:tcPr>
          <w:p>
            <w:pPr>
              <w:spacing w:after="0"/>
              <w:rPr>
                <w:sz w:val="16"/>
                <w:szCs w:val="16"/>
                <w:color w:val="auto"/>
              </w:rPr>
            </w:pPr>
          </w:p>
        </w:tc>
        <w:tc>
          <w:tcPr>
            <w:tcW w:w="1320" w:type="dxa"/>
            <w:vAlign w:val="bottom"/>
          </w:tcPr>
          <w:p>
            <w:pPr>
              <w:jc w:val="right"/>
              <w:ind w:right="179"/>
              <w:spacing w:after="0"/>
              <w:rPr>
                <w:sz w:val="20"/>
                <w:szCs w:val="20"/>
                <w:color w:val="auto"/>
              </w:rPr>
            </w:pPr>
            <w:r>
              <w:rPr>
                <w:rFonts w:ascii="Arial" w:cs="Arial" w:eastAsia="Arial" w:hAnsi="Arial"/>
                <w:sz w:val="16"/>
                <w:szCs w:val="16"/>
                <w:b w:val="1"/>
                <w:bCs w:val="1"/>
                <w:color w:val="auto"/>
              </w:rPr>
              <w:t>Number of</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Exercise</w:t>
            </w:r>
          </w:p>
        </w:tc>
        <w:tc>
          <w:tcPr>
            <w:tcW w:w="14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rPr>
              <w:t>Contractual</w:t>
            </w:r>
          </w:p>
        </w:tc>
        <w:tc>
          <w:tcPr>
            <w:tcW w:w="120" w:type="dxa"/>
            <w:vAlign w:val="bottom"/>
          </w:tcPr>
          <w:p>
            <w:pPr>
              <w:spacing w:after="0"/>
              <w:rPr>
                <w:sz w:val="16"/>
                <w:szCs w:val="16"/>
                <w:color w:val="auto"/>
              </w:rPr>
            </w:pPr>
          </w:p>
        </w:tc>
        <w:tc>
          <w:tcPr>
            <w:tcW w:w="1220" w:type="dxa"/>
            <w:vAlign w:val="bottom"/>
          </w:tcPr>
          <w:p>
            <w:pPr>
              <w:jc w:val="center"/>
              <w:ind w:right="39"/>
              <w:spacing w:after="0"/>
              <w:rPr>
                <w:sz w:val="20"/>
                <w:szCs w:val="20"/>
                <w:color w:val="auto"/>
              </w:rPr>
            </w:pPr>
            <w:r>
              <w:rPr>
                <w:rFonts w:ascii="Arial" w:cs="Arial" w:eastAsia="Arial" w:hAnsi="Arial"/>
                <w:sz w:val="16"/>
                <w:szCs w:val="16"/>
                <w:b w:val="1"/>
                <w:bCs w:val="1"/>
                <w:color w:val="auto"/>
              </w:rPr>
              <w:t>Intrinsic Value</w:t>
            </w:r>
          </w:p>
        </w:tc>
        <w:tc>
          <w:tcPr>
            <w:tcW w:w="0" w:type="dxa"/>
            <w:vAlign w:val="bottom"/>
          </w:tcPr>
          <w:p>
            <w:pPr>
              <w:spacing w:after="0"/>
              <w:rPr>
                <w:sz w:val="1"/>
                <w:szCs w:val="1"/>
                <w:color w:val="auto"/>
              </w:rPr>
            </w:pPr>
          </w:p>
        </w:tc>
      </w:tr>
      <w:tr>
        <w:trPr>
          <w:trHeight w:val="228"/>
        </w:trPr>
        <w:tc>
          <w:tcPr>
            <w:tcW w:w="4640" w:type="dxa"/>
            <w:vAlign w:val="bottom"/>
          </w:tcPr>
          <w:p>
            <w:pPr>
              <w:spacing w:after="0"/>
              <w:rPr>
                <w:sz w:val="19"/>
                <w:szCs w:val="19"/>
                <w:color w:val="auto"/>
              </w:rPr>
            </w:pPr>
          </w:p>
        </w:tc>
        <w:tc>
          <w:tcPr>
            <w:tcW w:w="13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Options</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center"/>
              <w:ind w:right="139"/>
              <w:spacing w:after="0"/>
              <w:rPr>
                <w:sz w:val="20"/>
                <w:szCs w:val="20"/>
                <w:color w:val="auto"/>
              </w:rPr>
            </w:pPr>
            <w:r>
              <w:rPr>
                <w:rFonts w:ascii="Arial" w:cs="Arial" w:eastAsia="Arial" w:hAnsi="Arial"/>
                <w:sz w:val="16"/>
                <w:szCs w:val="16"/>
                <w:b w:val="1"/>
                <w:bCs w:val="1"/>
                <w:color w:val="auto"/>
              </w:rPr>
              <w:t>Price</w:t>
            </w:r>
          </w:p>
        </w:tc>
        <w:tc>
          <w:tcPr>
            <w:tcW w:w="120" w:type="dxa"/>
            <w:vAlign w:val="bottom"/>
          </w:tcPr>
          <w:p>
            <w:pPr>
              <w:spacing w:after="0"/>
              <w:rPr>
                <w:sz w:val="19"/>
                <w:szCs w:val="19"/>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Term (years)</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rPr>
              <w:t>(in millions)</w:t>
            </w:r>
          </w:p>
        </w:tc>
        <w:tc>
          <w:tcPr>
            <w:tcW w:w="0" w:type="dxa"/>
            <w:vAlign w:val="bottom"/>
          </w:tcPr>
          <w:p>
            <w:pPr>
              <w:spacing w:after="0"/>
              <w:rPr>
                <w:sz w:val="1"/>
                <w:szCs w:val="1"/>
                <w:color w:val="auto"/>
              </w:rPr>
            </w:pPr>
          </w:p>
        </w:tc>
      </w:tr>
      <w:tr>
        <w:trPr>
          <w:trHeight w:val="237"/>
        </w:trPr>
        <w:tc>
          <w:tcPr>
            <w:tcW w:w="4640" w:type="dxa"/>
            <w:vAlign w:val="bottom"/>
          </w:tcPr>
          <w:p>
            <w:pPr>
              <w:ind w:left="20"/>
              <w:spacing w:after="0"/>
              <w:rPr>
                <w:sz w:val="20"/>
                <w:szCs w:val="20"/>
                <w:color w:val="auto"/>
              </w:rPr>
            </w:pPr>
            <w:r>
              <w:rPr>
                <w:rFonts w:ascii="Arial" w:cs="Arial" w:eastAsia="Arial" w:hAnsi="Arial"/>
                <w:sz w:val="16"/>
                <w:szCs w:val="16"/>
                <w:color w:val="auto"/>
              </w:rPr>
              <w:t>Outstanding at January 1, 2017</w:t>
            </w: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810</w:t>
            </w:r>
          </w:p>
        </w:tc>
        <w:tc>
          <w:tcPr>
            <w:tcW w:w="3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2.91</w:t>
            </w:r>
          </w:p>
        </w:tc>
        <w:tc>
          <w:tcPr>
            <w:tcW w:w="1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2.3</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313"/>
        </w:trPr>
        <w:tc>
          <w:tcPr>
            <w:tcW w:w="4640" w:type="dxa"/>
            <w:vAlign w:val="bottom"/>
          </w:tcPr>
          <w:p>
            <w:pPr>
              <w:ind w:left="120"/>
              <w:spacing w:after="0"/>
              <w:rPr>
                <w:sz w:val="20"/>
                <w:szCs w:val="20"/>
                <w:color w:val="auto"/>
              </w:rPr>
            </w:pPr>
            <w:r>
              <w:rPr>
                <w:rFonts w:ascii="Arial" w:cs="Arial" w:eastAsia="Arial" w:hAnsi="Arial"/>
                <w:sz w:val="16"/>
                <w:szCs w:val="16"/>
                <w:color w:val="auto"/>
              </w:rPr>
              <w:t xml:space="preserve">Granted </w:t>
            </w:r>
            <w:r>
              <w:rPr>
                <w:rFonts w:ascii="Arial" w:cs="Arial" w:eastAsia="Arial" w:hAnsi="Arial"/>
                <w:sz w:val="21"/>
                <w:szCs w:val="21"/>
                <w:color w:val="auto"/>
                <w:vertAlign w:val="superscript"/>
              </w:rPr>
              <w:t>(a)</w:t>
            </w: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5"/>
        </w:trPr>
        <w:tc>
          <w:tcPr>
            <w:tcW w:w="4640" w:type="dxa"/>
            <w:vAlign w:val="bottom"/>
          </w:tcPr>
          <w:p>
            <w:pPr>
              <w:ind w:left="120"/>
              <w:spacing w:after="0"/>
              <w:rPr>
                <w:sz w:val="20"/>
                <w:szCs w:val="20"/>
                <w:color w:val="auto"/>
              </w:rPr>
            </w:pPr>
            <w:r>
              <w:rPr>
                <w:rFonts w:ascii="Arial" w:cs="Arial" w:eastAsia="Arial" w:hAnsi="Arial"/>
                <w:sz w:val="16"/>
                <w:szCs w:val="16"/>
                <w:color w:val="auto"/>
              </w:rPr>
              <w:t xml:space="preserve">Exercised </w:t>
            </w:r>
            <w:r>
              <w:rPr>
                <w:rFonts w:ascii="Arial" w:cs="Arial" w:eastAsia="Arial" w:hAnsi="Arial"/>
                <w:sz w:val="21"/>
                <w:szCs w:val="21"/>
                <w:color w:val="auto"/>
                <w:vertAlign w:val="superscript"/>
              </w:rPr>
              <w:t>(b)</w:t>
            </w:r>
          </w:p>
        </w:tc>
        <w:tc>
          <w:tcPr>
            <w:tcW w:w="1320" w:type="dxa"/>
            <w:vAlign w:val="bottom"/>
          </w:tcPr>
          <w:p>
            <w:pPr>
              <w:jc w:val="right"/>
              <w:spacing w:after="0"/>
              <w:rPr>
                <w:sz w:val="20"/>
                <w:szCs w:val="20"/>
                <w:color w:val="auto"/>
              </w:rPr>
            </w:pPr>
            <w:r>
              <w:rPr>
                <w:rFonts w:ascii="Arial" w:cs="Arial" w:eastAsia="Arial" w:hAnsi="Arial"/>
                <w:sz w:val="16"/>
                <w:szCs w:val="16"/>
                <w:color w:val="auto"/>
              </w:rPr>
              <w:t>(537)</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0.79</w:t>
            </w:r>
          </w:p>
        </w:tc>
        <w:tc>
          <w:tcPr>
            <w:tcW w:w="12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35"/>
        </w:trPr>
        <w:tc>
          <w:tcPr>
            <w:tcW w:w="4640" w:type="dxa"/>
            <w:vAlign w:val="bottom"/>
          </w:tcPr>
          <w:p>
            <w:pPr>
              <w:ind w:left="120"/>
              <w:spacing w:after="0"/>
              <w:rPr>
                <w:sz w:val="20"/>
                <w:szCs w:val="20"/>
                <w:color w:val="auto"/>
              </w:rPr>
            </w:pPr>
            <w:r>
              <w:rPr>
                <w:rFonts w:ascii="Arial" w:cs="Arial" w:eastAsia="Arial" w:hAnsi="Arial"/>
                <w:sz w:val="16"/>
                <w:szCs w:val="16"/>
                <w:color w:val="auto"/>
              </w:rPr>
              <w:t>Forfeited/expired</w:t>
            </w:r>
          </w:p>
        </w:tc>
        <w:tc>
          <w:tcPr>
            <w:tcW w:w="1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640" w:type="dxa"/>
            <w:vAlign w:val="bottom"/>
          </w:tcPr>
          <w:p>
            <w:pPr>
              <w:ind w:left="20"/>
              <w:spacing w:after="0"/>
              <w:rPr>
                <w:sz w:val="20"/>
                <w:szCs w:val="20"/>
                <w:color w:val="auto"/>
              </w:rPr>
            </w:pPr>
            <w:r>
              <w:rPr>
                <w:rFonts w:ascii="Arial" w:cs="Arial" w:eastAsia="Arial" w:hAnsi="Arial"/>
                <w:sz w:val="16"/>
                <w:szCs w:val="16"/>
                <w:color w:val="auto"/>
              </w:rPr>
              <w:t>Outstanding and exercisable at December 31, 2017</w:t>
            </w:r>
          </w:p>
        </w:tc>
        <w:tc>
          <w:tcPr>
            <w:tcW w:w="1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273</w:t>
            </w:r>
          </w:p>
        </w:tc>
        <w:tc>
          <w:tcPr>
            <w:tcW w:w="3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7.08</w:t>
            </w:r>
          </w:p>
        </w:tc>
        <w:tc>
          <w:tcPr>
            <w:tcW w:w="1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1.7</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0"/>
        </w:trPr>
        <w:tc>
          <w:tcPr>
            <w:tcW w:w="4640" w:type="dxa"/>
            <w:vAlign w:val="bottom"/>
            <w:vMerge w:val="restart"/>
          </w:tcPr>
          <w:p>
            <w:pPr>
              <w:spacing w:after="0"/>
              <w:rPr>
                <w:sz w:val="20"/>
                <w:szCs w:val="20"/>
                <w:color w:val="auto"/>
              </w:rPr>
            </w:pPr>
            <w:r>
              <w:rPr>
                <w:rFonts w:ascii="Arial" w:cs="Arial" w:eastAsia="Arial" w:hAnsi="Arial"/>
                <w:sz w:val="14"/>
                <w:szCs w:val="14"/>
                <w:color w:val="auto"/>
              </w:rPr>
              <w:t>__________</w:t>
            </w: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4640" w:type="dxa"/>
            <w:vAlign w:val="bottom"/>
            <w:vMerge w:val="continue"/>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820" w:hanging="326"/>
        <w:spacing w:after="0" w:line="193" w:lineRule="auto"/>
        <w:tabs>
          <w:tab w:leader="none" w:pos="820" w:val="left"/>
        </w:tabs>
        <w:numPr>
          <w:ilvl w:val="0"/>
          <w:numId w:val="90"/>
        </w:numPr>
        <w:rPr>
          <w:rFonts w:ascii="Arial" w:cs="Arial" w:eastAsia="Arial" w:hAnsi="Arial"/>
          <w:sz w:val="18"/>
          <w:szCs w:val="18"/>
          <w:color w:val="auto"/>
          <w:vertAlign w:val="superscript"/>
        </w:rPr>
      </w:pPr>
      <w:r>
        <w:rPr>
          <w:rFonts w:ascii="Arial" w:cs="Arial" w:eastAsia="Arial" w:hAnsi="Arial"/>
          <w:sz w:val="14"/>
          <w:szCs w:val="14"/>
          <w:color w:val="auto"/>
        </w:rPr>
        <w:t>No stock options were granted during 2016 or 2015.</w:t>
      </w:r>
    </w:p>
    <w:p>
      <w:pPr>
        <w:ind w:left="820" w:right="100" w:hanging="326"/>
        <w:spacing w:after="0" w:line="218" w:lineRule="auto"/>
        <w:tabs>
          <w:tab w:leader="none" w:pos="820" w:val="left"/>
        </w:tabs>
        <w:numPr>
          <w:ilvl w:val="0"/>
          <w:numId w:val="90"/>
        </w:numPr>
        <w:rPr>
          <w:rFonts w:ascii="Arial" w:cs="Arial" w:eastAsia="Arial" w:hAnsi="Arial"/>
          <w:sz w:val="18"/>
          <w:szCs w:val="18"/>
          <w:color w:val="auto"/>
          <w:vertAlign w:val="superscript"/>
        </w:rPr>
      </w:pPr>
      <w:r>
        <w:rPr>
          <w:rFonts w:ascii="Arial" w:cs="Arial" w:eastAsia="Arial" w:hAnsi="Arial"/>
          <w:sz w:val="14"/>
          <w:szCs w:val="14"/>
          <w:color w:val="auto"/>
        </w:rPr>
        <w:t>Stock options exercised during 2016 and 2015 had intrinsic values of $1 million in each period, and the cash received from the exercise of options was insignificant in 2017, 2016 and 2015.</w:t>
      </w:r>
    </w:p>
    <w:p>
      <w:pPr>
        <w:spacing w:after="0" w:line="178"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Non-employee Directors Deferred Compensation Plan</w:t>
      </w:r>
    </w:p>
    <w:p>
      <w:pPr>
        <w:spacing w:after="0" w:line="234" w:lineRule="exact"/>
        <w:rPr>
          <w:sz w:val="20"/>
          <w:szCs w:val="20"/>
          <w:color w:val="auto"/>
        </w:rPr>
      </w:pPr>
    </w:p>
    <w:p>
      <w:pPr>
        <w:jc w:val="both"/>
        <w:ind w:left="500" w:right="180"/>
        <w:spacing w:after="0" w:line="256" w:lineRule="auto"/>
        <w:rPr>
          <w:sz w:val="20"/>
          <w:szCs w:val="20"/>
          <w:color w:val="auto"/>
        </w:rPr>
      </w:pPr>
      <w:r>
        <w:rPr>
          <w:rFonts w:ascii="Arial" w:cs="Arial" w:eastAsia="Arial" w:hAnsi="Arial"/>
          <w:sz w:val="18"/>
          <w:szCs w:val="18"/>
          <w:color w:val="auto"/>
        </w:rPr>
        <w:t>The Company grants stock awards on a quarterly basis to non-employee directors representing between 50% and 100% of a director’s annual compensation and such awards can be deferred under the Non-employee Directors Deferred Compensation Plan. During 2017, 2016 and 2015, the Company granted 36,000, 40,000 and 22,000 awards, respectively, to non-employee directors.</w:t>
      </w:r>
    </w:p>
    <w:p>
      <w:pPr>
        <w:spacing w:after="0" w:line="18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234" w:lineRule="exact"/>
        <w:rPr>
          <w:sz w:val="20"/>
          <w:szCs w:val="20"/>
          <w:color w:val="auto"/>
        </w:rPr>
      </w:pPr>
    </w:p>
    <w:p>
      <w:pPr>
        <w:ind w:left="500" w:right="440"/>
        <w:spacing w:after="0" w:line="262" w:lineRule="auto"/>
        <w:rPr>
          <w:sz w:val="20"/>
          <w:szCs w:val="20"/>
          <w:color w:val="auto"/>
        </w:rPr>
      </w:pPr>
      <w:r>
        <w:rPr>
          <w:rFonts w:ascii="Arial" w:cs="Arial" w:eastAsia="Arial" w:hAnsi="Arial"/>
          <w:sz w:val="18"/>
          <w:szCs w:val="18"/>
          <w:color w:val="auto"/>
        </w:rPr>
        <w:t>The Company is authorized to sell shares of its common stock to eligible employees at 95% of fair market value. This plan has been deemed to be non-compensatory and therefore no compensation expense has been recognized.</w:t>
      </w:r>
    </w:p>
    <w:p>
      <w:pPr>
        <w:spacing w:after="0" w:line="174"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Stock-Compensation Expense</w:t>
      </w:r>
    </w:p>
    <w:p>
      <w:pPr>
        <w:spacing w:after="0" w:line="234" w:lineRule="exact"/>
        <w:rPr>
          <w:sz w:val="20"/>
          <w:szCs w:val="20"/>
          <w:color w:val="auto"/>
        </w:rPr>
      </w:pPr>
    </w:p>
    <w:p>
      <w:pPr>
        <w:ind w:left="500"/>
        <w:spacing w:after="0" w:line="254" w:lineRule="auto"/>
        <w:rPr>
          <w:sz w:val="20"/>
          <w:szCs w:val="20"/>
          <w:color w:val="auto"/>
        </w:rPr>
      </w:pPr>
      <w:r>
        <w:rPr>
          <w:rFonts w:ascii="Arial" w:cs="Arial" w:eastAsia="Arial" w:hAnsi="Arial"/>
          <w:sz w:val="18"/>
          <w:szCs w:val="18"/>
          <w:color w:val="auto"/>
        </w:rPr>
        <w:t>During 2017, 2016 and 2015, the Company recorded stock-based compensation expense of $10 million ($7 million, net of tax), $28 million ($ 18 million, net of tax) and $26 million ($17 million, net of tax), respectively. Approximately $ 56 million of tax benefits were recorded in accumulated deficit upon adoption of ASU 2016-09 on January 1, 2017 related to these tax deductions (see Note 2-Summary of Significant Accounting Policies).</w:t>
      </w:r>
    </w:p>
    <w:p>
      <w:pPr>
        <w:spacing w:after="0" w:line="182" w:lineRule="exact"/>
        <w:rPr>
          <w:sz w:val="20"/>
          <w:szCs w:val="20"/>
          <w:color w:val="auto"/>
        </w:rPr>
      </w:pPr>
    </w:p>
    <w:p>
      <w:pPr>
        <w:ind w:left="500" w:hanging="492"/>
        <w:spacing w:after="0"/>
        <w:tabs>
          <w:tab w:leader="none" w:pos="500" w:val="left"/>
        </w:tabs>
        <w:numPr>
          <w:ilvl w:val="0"/>
          <w:numId w:val="91"/>
        </w:numPr>
        <w:rPr>
          <w:rFonts w:ascii="Arial" w:cs="Arial" w:eastAsia="Arial" w:hAnsi="Arial"/>
          <w:sz w:val="18"/>
          <w:szCs w:val="18"/>
          <w:b w:val="1"/>
          <w:bCs w:val="1"/>
          <w:color w:val="auto"/>
        </w:rPr>
      </w:pPr>
      <w:r>
        <w:rPr>
          <w:rFonts w:ascii="Arial" w:cs="Arial" w:eastAsia="Arial" w:hAnsi="Arial"/>
          <w:sz w:val="18"/>
          <w:szCs w:val="18"/>
          <w:b w:val="1"/>
          <w:bCs w:val="1"/>
          <w:color w:val="auto"/>
        </w:rPr>
        <w:t>Employee Benefit Plans</w:t>
      </w:r>
    </w:p>
    <w:p>
      <w:pPr>
        <w:spacing w:after="0" w:line="171"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Defined Contribution Savings Plans</w:t>
      </w:r>
    </w:p>
    <w:p>
      <w:pPr>
        <w:spacing w:after="0" w:line="193" w:lineRule="exact"/>
        <w:rPr>
          <w:rFonts w:ascii="Arial" w:cs="Arial" w:eastAsia="Arial" w:hAnsi="Arial"/>
          <w:sz w:val="18"/>
          <w:szCs w:val="18"/>
          <w:b w:val="1"/>
          <w:bCs w:val="1"/>
          <w:color w:val="auto"/>
        </w:rPr>
      </w:pPr>
    </w:p>
    <w:p>
      <w:pPr>
        <w:ind w:left="500" w:right="42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The Company sponsors several defined contribution savings plans in the United States and certain foreign subsidiaries that provide certain eligible employees of the Company an opportunity to accumulate funds for retirement. The Company matches portions of the contributions of participating employees on the basis specified by the plans. The Company’s contributions to these plans were $36 million, $33 million and $32 million during 2017, 2016 and 2015, respectively.</w:t>
      </w:r>
    </w:p>
    <w:p>
      <w:pPr>
        <w:spacing w:after="0" w:line="128"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Defined Benefit Pension Plans</w:t>
      </w:r>
    </w:p>
    <w:p>
      <w:pPr>
        <w:spacing w:after="0" w:line="193" w:lineRule="exact"/>
        <w:rPr>
          <w:rFonts w:ascii="Arial" w:cs="Arial" w:eastAsia="Arial" w:hAnsi="Arial"/>
          <w:sz w:val="18"/>
          <w:szCs w:val="18"/>
          <w:b w:val="1"/>
          <w:bCs w:val="1"/>
          <w:color w:val="auto"/>
        </w:rPr>
      </w:pPr>
    </w:p>
    <w:p>
      <w:pPr>
        <w:ind w:left="500" w:right="4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The Company sponsors defined benefit pension plans in the United States and in certain foreign subsidiaries with some plans offering participation in the plans at the employees’ option. Under these plans, benefits are based on an employee’s years of credited service and a percentage of final average compensation. However, the majority of the plans are closed to new employees and participants are no longer accruing benefits.</w:t>
      </w:r>
    </w:p>
    <w:p>
      <w:pPr>
        <w:spacing w:after="0" w:line="150" w:lineRule="exact"/>
        <w:rPr>
          <w:rFonts w:ascii="Arial" w:cs="Arial" w:eastAsia="Arial" w:hAnsi="Arial"/>
          <w:sz w:val="18"/>
          <w:szCs w:val="18"/>
          <w:b w:val="1"/>
          <w:bCs w:val="1"/>
          <w:color w:val="auto"/>
        </w:rPr>
      </w:pPr>
    </w:p>
    <w:p>
      <w:pPr>
        <w:ind w:left="500" w:right="260"/>
        <w:spacing w:after="0" w:line="262" w:lineRule="auto"/>
        <w:rPr>
          <w:rFonts w:ascii="Arial" w:cs="Arial" w:eastAsia="Arial" w:hAnsi="Arial"/>
          <w:sz w:val="18"/>
          <w:szCs w:val="18"/>
          <w:b w:val="1"/>
          <w:bCs w:val="1"/>
          <w:color w:val="auto"/>
        </w:rPr>
      </w:pPr>
      <w:r>
        <w:rPr>
          <w:rFonts w:ascii="Arial" w:cs="Arial" w:eastAsia="Arial" w:hAnsi="Arial"/>
          <w:sz w:val="18"/>
          <w:szCs w:val="18"/>
          <w:color w:val="auto"/>
        </w:rPr>
        <w:t>The funded status of the defined benefit pension plans is recognized on the Consolidated Balance Sheets and the gains or losses and prior service costs or credits that arise during the period, but are not recognized</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F-40</w:t>
      </w:r>
    </w:p>
    <w:p>
      <w:pPr>
        <w:sectPr>
          <w:pgSz w:w="11900" w:h="16838" w:orient="portrait"/>
          <w:cols w:equalWidth="0" w:num="1">
            <w:col w:w="11420"/>
          </w:cols>
          <w:pgMar w:left="240" w:top="140" w:right="239" w:bottom="1440" w:gutter="0" w:footer="0" w:header="0"/>
        </w:sectPr>
      </w:pPr>
    </w:p>
    <w:bookmarkStart w:id="106" w:name="page107"/>
    <w:bookmarkEnd w:id="10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as components of net periodic benefit cost, are recognized as a component of accumulated other comprehensive loss, net of tax.</w:t>
      </w:r>
    </w:p>
    <w:p>
      <w:pPr>
        <w:spacing w:after="0" w:line="171" w:lineRule="exact"/>
        <w:rPr>
          <w:sz w:val="20"/>
          <w:szCs w:val="20"/>
          <w:color w:val="auto"/>
        </w:rPr>
      </w:pPr>
    </w:p>
    <w:tbl>
      <w:tblPr>
        <w:tblLayout w:type="fixed"/>
        <w:tblInd w:w="500" w:type="dxa"/>
        <w:tblCellMar>
          <w:top w:w="0" w:type="dxa"/>
          <w:left w:w="0" w:type="dxa"/>
          <w:bottom w:w="0" w:type="dxa"/>
          <w:right w:w="0" w:type="dxa"/>
        </w:tblCellMar>
      </w:tblPr>
      <w:tr>
        <w:trPr>
          <w:trHeight w:val="217"/>
        </w:trPr>
        <w:tc>
          <w:tcPr>
            <w:tcW w:w="6020" w:type="dxa"/>
            <w:vAlign w:val="bottom"/>
          </w:tcPr>
          <w:p>
            <w:pPr>
              <w:spacing w:after="0"/>
              <w:rPr>
                <w:sz w:val="20"/>
                <w:szCs w:val="20"/>
                <w:color w:val="auto"/>
              </w:rPr>
            </w:pPr>
            <w:r>
              <w:rPr>
                <w:rFonts w:ascii="Arial" w:cs="Arial" w:eastAsia="Arial" w:hAnsi="Arial"/>
                <w:sz w:val="18"/>
                <w:szCs w:val="18"/>
                <w:color w:val="auto"/>
              </w:rPr>
              <w:t>The components of net periodic benefit cost consisted of the following:</w:t>
            </w:r>
          </w:p>
        </w:tc>
        <w:tc>
          <w:tcPr>
            <w:tcW w:w="9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399"/>
        </w:trPr>
        <w:tc>
          <w:tcPr>
            <w:tcW w:w="602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960" w:type="dxa"/>
            <w:vAlign w:val="bottom"/>
            <w:tcBorders>
              <w:bottom w:val="single" w:sz="8" w:color="auto"/>
            </w:tcBorders>
          </w:tcPr>
          <w:p>
            <w:pPr>
              <w:spacing w:after="0"/>
              <w:rPr>
                <w:sz w:val="24"/>
                <w:szCs w:val="24"/>
                <w:color w:val="auto"/>
              </w:rPr>
            </w:pPr>
          </w:p>
        </w:tc>
      </w:tr>
      <w:tr>
        <w:trPr>
          <w:trHeight w:val="264"/>
        </w:trPr>
        <w:tc>
          <w:tcPr>
            <w:tcW w:w="6020" w:type="dxa"/>
            <w:vAlign w:val="bottom"/>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2017</w:t>
            </w:r>
          </w:p>
        </w:tc>
        <w:tc>
          <w:tcPr>
            <w:tcW w:w="4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2015</w:t>
            </w:r>
          </w:p>
        </w:tc>
      </w:tr>
      <w:tr>
        <w:trPr>
          <w:trHeight w:val="243"/>
        </w:trPr>
        <w:tc>
          <w:tcPr>
            <w:tcW w:w="6020" w:type="dxa"/>
            <w:vAlign w:val="bottom"/>
          </w:tcPr>
          <w:p>
            <w:pPr>
              <w:ind w:left="20"/>
              <w:spacing w:after="0"/>
              <w:rPr>
                <w:sz w:val="20"/>
                <w:szCs w:val="20"/>
                <w:color w:val="auto"/>
              </w:rPr>
            </w:pPr>
            <w:r>
              <w:rPr>
                <w:rFonts w:ascii="Arial" w:cs="Arial" w:eastAsia="Arial" w:hAnsi="Arial"/>
                <w:sz w:val="18"/>
                <w:szCs w:val="18"/>
                <w:color w:val="auto"/>
              </w:rPr>
              <w:t>Service cost</w:t>
            </w:r>
          </w:p>
        </w:tc>
        <w:tc>
          <w:tcPr>
            <w:tcW w:w="940" w:type="dxa"/>
            <w:vAlign w:val="bottom"/>
          </w:tcPr>
          <w:p>
            <w:pPr>
              <w:jc w:val="right"/>
              <w:ind w:right="730"/>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70"/>
        </w:trPr>
        <w:tc>
          <w:tcPr>
            <w:tcW w:w="6020" w:type="dxa"/>
            <w:vAlign w:val="bottom"/>
          </w:tcPr>
          <w:p>
            <w:pPr>
              <w:ind w:left="20"/>
              <w:spacing w:after="0"/>
              <w:rPr>
                <w:sz w:val="20"/>
                <w:szCs w:val="20"/>
                <w:color w:val="auto"/>
              </w:rPr>
            </w:pPr>
            <w:r>
              <w:rPr>
                <w:rFonts w:ascii="Arial" w:cs="Arial" w:eastAsia="Arial" w:hAnsi="Arial"/>
                <w:sz w:val="18"/>
                <w:szCs w:val="18"/>
                <w:color w:val="auto"/>
              </w:rPr>
              <w:t>Interest cost</w:t>
            </w:r>
          </w:p>
        </w:tc>
        <w:tc>
          <w:tcPr>
            <w:tcW w:w="940" w:type="dxa"/>
            <w:vAlign w:val="bottom"/>
          </w:tcPr>
          <w:p>
            <w:pPr>
              <w:spacing w:after="0"/>
              <w:rPr>
                <w:sz w:val="23"/>
                <w:szCs w:val="23"/>
                <w:color w:val="auto"/>
              </w:rPr>
            </w:pP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70"/>
        </w:trPr>
        <w:tc>
          <w:tcPr>
            <w:tcW w:w="6020" w:type="dxa"/>
            <w:vAlign w:val="bottom"/>
          </w:tcPr>
          <w:p>
            <w:pPr>
              <w:ind w:left="20"/>
              <w:spacing w:after="0"/>
              <w:rPr>
                <w:sz w:val="20"/>
                <w:szCs w:val="20"/>
                <w:color w:val="auto"/>
              </w:rPr>
            </w:pPr>
            <w:r>
              <w:rPr>
                <w:rFonts w:ascii="Arial" w:cs="Arial" w:eastAsia="Arial" w:hAnsi="Arial"/>
                <w:sz w:val="18"/>
                <w:szCs w:val="18"/>
                <w:color w:val="auto"/>
              </w:rPr>
              <w:t>Expected return on plan assets</w:t>
            </w:r>
          </w:p>
        </w:tc>
        <w:tc>
          <w:tcPr>
            <w:tcW w:w="940" w:type="dxa"/>
            <w:vAlign w:val="bottom"/>
          </w:tcPr>
          <w:p>
            <w:pPr>
              <w:spacing w:after="0"/>
              <w:rPr>
                <w:sz w:val="23"/>
                <w:szCs w:val="23"/>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77"/>
        </w:trPr>
        <w:tc>
          <w:tcPr>
            <w:tcW w:w="6020" w:type="dxa"/>
            <w:vAlign w:val="bottom"/>
          </w:tcPr>
          <w:p>
            <w:pPr>
              <w:ind w:left="20"/>
              <w:spacing w:after="0"/>
              <w:rPr>
                <w:sz w:val="20"/>
                <w:szCs w:val="20"/>
                <w:color w:val="auto"/>
              </w:rPr>
            </w:pPr>
            <w:r>
              <w:rPr>
                <w:rFonts w:ascii="Arial" w:cs="Arial" w:eastAsia="Arial" w:hAnsi="Arial"/>
                <w:sz w:val="18"/>
                <w:szCs w:val="18"/>
                <w:color w:val="auto"/>
              </w:rPr>
              <w:t>Amortization of unrecognized amounts</w:t>
            </w:r>
          </w:p>
        </w:tc>
        <w:tc>
          <w:tcPr>
            <w:tcW w:w="9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r>
      <w:tr>
        <w:trPr>
          <w:trHeight w:val="257"/>
        </w:trPr>
        <w:tc>
          <w:tcPr>
            <w:tcW w:w="6020" w:type="dxa"/>
            <w:vAlign w:val="bottom"/>
          </w:tcPr>
          <w:p>
            <w:pPr>
              <w:ind w:left="20"/>
              <w:spacing w:after="0"/>
              <w:rPr>
                <w:sz w:val="20"/>
                <w:szCs w:val="20"/>
                <w:color w:val="auto"/>
              </w:rPr>
            </w:pPr>
            <w:r>
              <w:rPr>
                <w:rFonts w:ascii="Arial" w:cs="Arial" w:eastAsia="Arial" w:hAnsi="Arial"/>
                <w:sz w:val="18"/>
                <w:szCs w:val="18"/>
                <w:color w:val="auto"/>
              </w:rPr>
              <w:t xml:space="preserve">Net periodic benefit cost </w:t>
            </w:r>
            <w:r>
              <w:rPr>
                <w:rFonts w:ascii="Arial" w:cs="Arial" w:eastAsia="Arial" w:hAnsi="Arial"/>
                <w:sz w:val="21"/>
                <w:szCs w:val="21"/>
                <w:color w:val="auto"/>
                <w:vertAlign w:val="superscript"/>
              </w:rPr>
              <w:t>(a)</w:t>
            </w:r>
          </w:p>
        </w:tc>
        <w:tc>
          <w:tcPr>
            <w:tcW w:w="94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2"/>
                <w:szCs w:val="22"/>
                <w:color w:val="auto"/>
              </w:rPr>
            </w:pPr>
          </w:p>
        </w:tc>
        <w:tc>
          <w:tcPr>
            <w:tcW w:w="3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2"/>
                <w:szCs w:val="22"/>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60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55" w:lineRule="exact"/>
        <w:rPr>
          <w:sz w:val="20"/>
          <w:szCs w:val="20"/>
          <w:color w:val="auto"/>
        </w:rPr>
      </w:pPr>
    </w:p>
    <w:p>
      <w:pPr>
        <w:ind w:left="500"/>
        <w:spacing w:after="0"/>
        <w:rPr>
          <w:sz w:val="20"/>
          <w:szCs w:val="20"/>
          <w:color w:val="auto"/>
        </w:rPr>
      </w:pPr>
      <w:r>
        <w:rPr>
          <w:rFonts w:ascii="Arial" w:cs="Arial" w:eastAsia="Arial" w:hAnsi="Arial"/>
          <w:sz w:val="14"/>
          <w:szCs w:val="14"/>
          <w:color w:val="auto"/>
        </w:rPr>
        <w:t>__________</w:t>
      </w:r>
    </w:p>
    <w:p>
      <w:pPr>
        <w:ind w:left="820" w:hanging="326"/>
        <w:spacing w:after="0" w:line="205" w:lineRule="auto"/>
        <w:tabs>
          <w:tab w:leader="none" w:pos="820" w:val="left"/>
        </w:tabs>
        <w:numPr>
          <w:ilvl w:val="0"/>
          <w:numId w:val="92"/>
        </w:numPr>
        <w:rPr>
          <w:rFonts w:ascii="Arial" w:cs="Arial" w:eastAsia="Arial" w:hAnsi="Arial"/>
          <w:sz w:val="18"/>
          <w:szCs w:val="18"/>
          <w:color w:val="auto"/>
          <w:vertAlign w:val="superscript"/>
        </w:rPr>
      </w:pPr>
      <w:r>
        <w:rPr>
          <w:rFonts w:ascii="Arial" w:cs="Arial" w:eastAsia="Arial" w:hAnsi="Arial"/>
          <w:sz w:val="14"/>
          <w:szCs w:val="14"/>
          <w:color w:val="auto"/>
        </w:rPr>
        <w:t>All components of the net periodic benefit cost are recorded within selling, general and administrative expenses.</w:t>
      </w:r>
    </w:p>
    <w:p>
      <w:pPr>
        <w:spacing w:after="0" w:line="147" w:lineRule="exact"/>
        <w:rPr>
          <w:sz w:val="20"/>
          <w:szCs w:val="20"/>
          <w:color w:val="auto"/>
        </w:rPr>
      </w:pPr>
    </w:p>
    <w:p>
      <w:pPr>
        <w:ind w:left="500" w:right="320"/>
        <w:spacing w:after="0" w:line="262" w:lineRule="auto"/>
        <w:rPr>
          <w:sz w:val="20"/>
          <w:szCs w:val="20"/>
          <w:color w:val="auto"/>
        </w:rPr>
      </w:pPr>
      <w:r>
        <w:rPr>
          <w:rFonts w:ascii="Arial" w:cs="Arial" w:eastAsia="Arial" w:hAnsi="Arial"/>
          <w:sz w:val="18"/>
          <w:szCs w:val="18"/>
          <w:color w:val="auto"/>
        </w:rPr>
        <w:t>The estimated amount that will be amortized from accumulated other comprehensive loss into net periodic benefit cost in 2018 is $7 million, which consists primarily of net actuarial losses.</w:t>
      </w:r>
    </w:p>
    <w:p>
      <w:pPr>
        <w:spacing w:after="0" w:line="14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Company uses a measurement date of December 31 for its pension plans. The funded status of the pension plans were as follows:</w:t>
      </w:r>
    </w:p>
    <w:p>
      <w:pPr>
        <w:sectPr>
          <w:pgSz w:w="11900" w:h="16838" w:orient="portrait"/>
          <w:cols w:equalWidth="0" w:num="1">
            <w:col w:w="11280"/>
          </w:cols>
          <w:pgMar w:left="240" w:top="140" w:right="379" w:bottom="1440" w:gutter="0" w:footer="0" w:header="0"/>
        </w:sectPr>
      </w:pPr>
    </w:p>
    <w:p>
      <w:pPr>
        <w:spacing w:after="0" w:line="200" w:lineRule="exact"/>
        <w:rPr>
          <w:sz w:val="20"/>
          <w:szCs w:val="20"/>
          <w:color w:val="auto"/>
        </w:rPr>
      </w:pPr>
    </w:p>
    <w:p>
      <w:pPr>
        <w:spacing w:after="0" w:line="246" w:lineRule="exact"/>
        <w:rPr>
          <w:sz w:val="20"/>
          <w:szCs w:val="20"/>
          <w:color w:val="auto"/>
        </w:rPr>
      </w:pPr>
    </w:p>
    <w:p>
      <w:pPr>
        <w:ind w:left="520"/>
        <w:spacing w:after="0"/>
        <w:rPr>
          <w:sz w:val="20"/>
          <w:szCs w:val="20"/>
          <w:color w:val="auto"/>
        </w:rPr>
      </w:pPr>
      <w:r>
        <w:rPr>
          <w:rFonts w:ascii="Arial" w:cs="Arial" w:eastAsia="Arial" w:hAnsi="Arial"/>
          <w:sz w:val="18"/>
          <w:szCs w:val="18"/>
          <w:b w:val="1"/>
          <w:bCs w:val="1"/>
          <w:u w:val="single" w:color="auto"/>
          <w:color w:val="auto"/>
        </w:rPr>
        <w:t>Change in Benefit Obligation</w:t>
      </w:r>
    </w:p>
    <w:p>
      <w:pPr>
        <w:spacing w:after="0" w:line="7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Benefit obligation at end of prior year</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Service cost</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Interest cost</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Actuarial (gain) loss</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Currency translation adjustment</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Net benefits paid</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Benefit obligation at end of current year</w:t>
      </w:r>
    </w:p>
    <w:p>
      <w:pPr>
        <w:spacing w:after="0" w:line="284" w:lineRule="exact"/>
        <w:rPr>
          <w:sz w:val="20"/>
          <w:szCs w:val="20"/>
          <w:color w:val="auto"/>
        </w:rPr>
      </w:pPr>
    </w:p>
    <w:p>
      <w:pPr>
        <w:ind w:left="520"/>
        <w:spacing w:after="0"/>
        <w:rPr>
          <w:sz w:val="20"/>
          <w:szCs w:val="20"/>
          <w:color w:val="auto"/>
        </w:rPr>
      </w:pPr>
      <w:r>
        <w:rPr>
          <w:rFonts w:ascii="Arial" w:cs="Arial" w:eastAsia="Arial" w:hAnsi="Arial"/>
          <w:sz w:val="18"/>
          <w:szCs w:val="18"/>
          <w:b w:val="1"/>
          <w:bCs w:val="1"/>
          <w:u w:val="single" w:color="auto"/>
          <w:color w:val="auto"/>
        </w:rPr>
        <w:t>Change in Plan Assets</w:t>
      </w:r>
    </w:p>
    <w:p>
      <w:pPr>
        <w:spacing w:after="0" w:line="8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Fair value of assets at end of prior year</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Actual return on plan assets</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Employer contributions</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Currency translation adjustment</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Net benefits paid</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Fair value of assets at end of current year</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520"/>
        <w:spacing w:after="0"/>
        <w:rPr>
          <w:sz w:val="20"/>
          <w:szCs w:val="20"/>
          <w:color w:val="auto"/>
        </w:rPr>
      </w:pPr>
      <w:r>
        <w:rPr>
          <w:rFonts w:ascii="Arial" w:cs="Arial" w:eastAsia="Arial" w:hAnsi="Arial"/>
          <w:sz w:val="18"/>
          <w:szCs w:val="18"/>
          <w:b w:val="1"/>
          <w:bCs w:val="1"/>
          <w:u w:val="single" w:color="auto"/>
          <w:color w:val="auto"/>
        </w:rPr>
        <w:t>Funded Status</w:t>
      </w:r>
    </w:p>
    <w:p>
      <w:pPr>
        <w:spacing w:after="0" w:line="9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Classification of net balance sheet assets (liabilities):</w:t>
      </w:r>
    </w:p>
    <w:p>
      <w:pPr>
        <w:spacing w:after="0" w:line="7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Non-current assets</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Current liabilities</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Non-current liabilities</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Net funded status</w:t>
      </w:r>
    </w:p>
    <w:p>
      <w:pPr>
        <w:spacing w:after="0" w:line="293" w:lineRule="exact"/>
        <w:rPr>
          <w:sz w:val="20"/>
          <w:szCs w:val="20"/>
          <w:color w:val="auto"/>
        </w:rPr>
      </w:pPr>
    </w:p>
    <w:p>
      <w:pPr>
        <w:jc w:val="right"/>
        <w:ind w:right="1360"/>
        <w:spacing w:after="0"/>
        <w:rPr>
          <w:sz w:val="20"/>
          <w:szCs w:val="20"/>
          <w:color w:val="auto"/>
        </w:rPr>
      </w:pPr>
      <w:r>
        <w:rPr>
          <w:rFonts w:ascii="Arial" w:cs="Arial" w:eastAsia="Arial" w:hAnsi="Arial"/>
          <w:sz w:val="18"/>
          <w:szCs w:val="18"/>
          <w:color w:val="auto"/>
        </w:rPr>
        <w:t>F-41</w:t>
      </w:r>
    </w:p>
    <w:p>
      <w:pPr>
        <w:spacing w:after="0" w:line="20" w:lineRule="exact"/>
        <w:rPr>
          <w:sz w:val="20"/>
          <w:szCs w:val="20"/>
          <w:color w:val="auto"/>
        </w:rPr>
      </w:pPr>
      <w:r>
        <w:rPr>
          <w:sz w:val="20"/>
          <w:szCs w:val="20"/>
          <w:color w:val="auto"/>
        </w:rPr>
        <w:br w:type="column"/>
      </w:r>
    </w:p>
    <w:p>
      <w:pPr>
        <w:spacing w:after="0" w:line="143"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28575</wp:posOffset>
            </wp:positionV>
            <wp:extent cx="180086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800860" cy="8890"/>
                    </a:xfrm>
                    <a:prstGeom prst="rect">
                      <a:avLst/>
                    </a:prstGeom>
                    <a:noFill/>
                  </pic:spPr>
                </pic:pic>
              </a:graphicData>
            </a:graphic>
          </wp:anchor>
        </w:drawing>
      </w:r>
    </w:p>
    <w:p>
      <w:pPr>
        <w:spacing w:after="0" w:line="57" w:lineRule="exact"/>
        <w:rPr>
          <w:sz w:val="20"/>
          <w:szCs w:val="20"/>
          <w:color w:val="auto"/>
        </w:rPr>
      </w:pPr>
    </w:p>
    <w:p>
      <w:pPr>
        <w:ind w:left="500"/>
        <w:spacing w:after="0"/>
        <w:tabs>
          <w:tab w:leader="none" w:pos="1940" w:val="left"/>
        </w:tabs>
        <w:rPr>
          <w:sz w:val="20"/>
          <w:szCs w:val="20"/>
          <w:color w:val="auto"/>
        </w:rPr>
      </w:pPr>
      <w:r>
        <w:rPr>
          <w:rFonts w:ascii="Arial" w:cs="Arial" w:eastAsia="Arial" w:hAnsi="Arial"/>
          <w:sz w:val="18"/>
          <w:szCs w:val="18"/>
          <w:b w:val="1"/>
          <w:bCs w:val="1"/>
          <w:color w:val="auto"/>
        </w:rPr>
        <w:t>2017</w:t>
      </w:r>
      <w:r>
        <w:rPr>
          <w:sz w:val="20"/>
          <w:szCs w:val="20"/>
          <w:color w:val="auto"/>
        </w:rPr>
        <w:tab/>
      </w:r>
      <w:r>
        <w:rPr>
          <w:rFonts w:ascii="Arial" w:cs="Arial" w:eastAsia="Arial" w:hAnsi="Arial"/>
          <w:sz w:val="18"/>
          <w:szCs w:val="18"/>
          <w:b w:val="1"/>
          <w:bCs w:val="1"/>
          <w:color w:val="auto"/>
        </w:rPr>
        <w:t>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28575</wp:posOffset>
            </wp:positionV>
            <wp:extent cx="180086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800860" cy="8890"/>
                    </a:xfrm>
                    <a:prstGeom prst="rect">
                      <a:avLst/>
                    </a:prstGeom>
                    <a:noFill/>
                  </pic:spPr>
                </pic:pic>
              </a:graphicData>
            </a:graphic>
          </wp:anchor>
        </w:drawing>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6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720</w:t>
            </w:r>
          </w:p>
        </w:tc>
        <w:tc>
          <w:tcPr>
            <w:tcW w:w="100" w:type="dxa"/>
            <w:vAlign w:val="bottom"/>
          </w:tcPr>
          <w:p>
            <w:pPr>
              <w:spacing w:after="0"/>
              <w:rPr>
                <w:sz w:val="18"/>
                <w:szCs w:val="18"/>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656</w:t>
            </w:r>
          </w:p>
        </w:tc>
      </w:tr>
      <w:tr>
        <w:trPr>
          <w:trHeight w:val="270"/>
        </w:trPr>
        <w:tc>
          <w:tcPr>
            <w:tcW w:w="560" w:type="dxa"/>
            <w:vAlign w:val="bottom"/>
          </w:tcPr>
          <w:p>
            <w:pPr>
              <w:spacing w:after="0"/>
              <w:rPr>
                <w:sz w:val="23"/>
                <w:szCs w:val="23"/>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70"/>
        </w:trPr>
        <w:tc>
          <w:tcPr>
            <w:tcW w:w="560" w:type="dxa"/>
            <w:vAlign w:val="bottom"/>
          </w:tcPr>
          <w:p>
            <w:pPr>
              <w:spacing w:after="0"/>
              <w:rPr>
                <w:sz w:val="23"/>
                <w:szCs w:val="23"/>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70"/>
        </w:trPr>
        <w:tc>
          <w:tcPr>
            <w:tcW w:w="560" w:type="dxa"/>
            <w:vAlign w:val="bottom"/>
          </w:tcPr>
          <w:p>
            <w:pPr>
              <w:spacing w:after="0"/>
              <w:rPr>
                <w:sz w:val="23"/>
                <w:szCs w:val="23"/>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115</w:t>
            </w:r>
          </w:p>
        </w:tc>
      </w:tr>
      <w:tr>
        <w:trPr>
          <w:trHeight w:val="270"/>
        </w:trPr>
        <w:tc>
          <w:tcPr>
            <w:tcW w:w="560" w:type="dxa"/>
            <w:vAlign w:val="bottom"/>
          </w:tcPr>
          <w:p>
            <w:pPr>
              <w:spacing w:after="0"/>
              <w:rPr>
                <w:sz w:val="23"/>
                <w:szCs w:val="23"/>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77"/>
        </w:trPr>
        <w:tc>
          <w:tcPr>
            <w:tcW w:w="5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r>
      <w:tr>
        <w:trPr>
          <w:trHeight w:val="250"/>
        </w:trPr>
        <w:tc>
          <w:tcPr>
            <w:tcW w:w="5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779</w:t>
            </w:r>
          </w:p>
        </w:tc>
        <w:tc>
          <w:tcPr>
            <w:tcW w:w="100" w:type="dxa"/>
            <w:vAlign w:val="bottom"/>
          </w:tcPr>
          <w:p>
            <w:pPr>
              <w:spacing w:after="0"/>
              <w:rPr>
                <w:sz w:val="21"/>
                <w:szCs w:val="21"/>
                <w:color w:val="auto"/>
              </w:rPr>
            </w:pPr>
          </w:p>
        </w:tc>
        <w:tc>
          <w:tcPr>
            <w:tcW w:w="5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720</w:t>
            </w:r>
          </w:p>
        </w:tc>
      </w:tr>
      <w:tr>
        <w:trPr>
          <w:trHeight w:val="756"/>
        </w:trPr>
        <w:tc>
          <w:tcPr>
            <w:tcW w:w="56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523</w:t>
            </w:r>
          </w:p>
        </w:tc>
        <w:tc>
          <w:tcPr>
            <w:tcW w:w="100" w:type="dxa"/>
            <w:vAlign w:val="bottom"/>
          </w:tcPr>
          <w:p>
            <w:pPr>
              <w:spacing w:after="0"/>
              <w:rPr>
                <w:sz w:val="24"/>
                <w:szCs w:val="24"/>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527</w:t>
            </w:r>
          </w:p>
        </w:tc>
      </w:tr>
      <w:tr>
        <w:trPr>
          <w:trHeight w:val="270"/>
        </w:trPr>
        <w:tc>
          <w:tcPr>
            <w:tcW w:w="560" w:type="dxa"/>
            <w:vAlign w:val="bottom"/>
          </w:tcPr>
          <w:p>
            <w:pPr>
              <w:spacing w:after="0"/>
              <w:rPr>
                <w:sz w:val="23"/>
                <w:szCs w:val="23"/>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70"/>
        </w:trPr>
        <w:tc>
          <w:tcPr>
            <w:tcW w:w="560" w:type="dxa"/>
            <w:vAlign w:val="bottom"/>
          </w:tcPr>
          <w:p>
            <w:pPr>
              <w:spacing w:after="0"/>
              <w:rPr>
                <w:sz w:val="23"/>
                <w:szCs w:val="23"/>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70"/>
        </w:trPr>
        <w:tc>
          <w:tcPr>
            <w:tcW w:w="560" w:type="dxa"/>
            <w:vAlign w:val="bottom"/>
          </w:tcPr>
          <w:p>
            <w:pPr>
              <w:spacing w:after="0"/>
              <w:rPr>
                <w:sz w:val="23"/>
                <w:szCs w:val="23"/>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77"/>
        </w:trPr>
        <w:tc>
          <w:tcPr>
            <w:tcW w:w="5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r>
      <w:tr>
        <w:trPr>
          <w:trHeight w:val="250"/>
        </w:trPr>
        <w:tc>
          <w:tcPr>
            <w:tcW w:w="5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614</w:t>
            </w:r>
          </w:p>
        </w:tc>
        <w:tc>
          <w:tcPr>
            <w:tcW w:w="100" w:type="dxa"/>
            <w:vAlign w:val="bottom"/>
          </w:tcPr>
          <w:p>
            <w:pPr>
              <w:spacing w:after="0"/>
              <w:rPr>
                <w:sz w:val="21"/>
                <w:szCs w:val="21"/>
                <w:color w:val="auto"/>
              </w:rPr>
            </w:pPr>
          </w:p>
        </w:tc>
        <w:tc>
          <w:tcPr>
            <w:tcW w:w="5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523</w:t>
            </w:r>
          </w:p>
        </w:tc>
      </w:tr>
    </w:tbl>
    <w:p>
      <w:pPr>
        <w:spacing w:after="0" w:line="315"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28575</wp:posOffset>
            </wp:positionV>
            <wp:extent cx="180086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800860" cy="8890"/>
                    </a:xfrm>
                    <a:prstGeom prst="rect">
                      <a:avLst/>
                    </a:prstGeom>
                    <a:noFill/>
                  </pic:spPr>
                </pic:pic>
              </a:graphicData>
            </a:graphic>
          </wp:anchor>
        </w:drawing>
      </w:r>
    </w:p>
    <w:p>
      <w:pPr>
        <w:spacing w:after="0" w:line="57" w:lineRule="exact"/>
        <w:rPr>
          <w:sz w:val="20"/>
          <w:szCs w:val="20"/>
          <w:color w:val="auto"/>
        </w:rPr>
      </w:pPr>
    </w:p>
    <w:p>
      <w:pPr>
        <w:ind w:left="500"/>
        <w:spacing w:after="0"/>
        <w:tabs>
          <w:tab w:leader="none" w:pos="1940" w:val="left"/>
        </w:tabs>
        <w:rPr>
          <w:sz w:val="20"/>
          <w:szCs w:val="20"/>
          <w:color w:val="auto"/>
        </w:rPr>
      </w:pPr>
      <w:r>
        <w:rPr>
          <w:rFonts w:ascii="Arial" w:cs="Arial" w:eastAsia="Arial" w:hAnsi="Arial"/>
          <w:sz w:val="18"/>
          <w:szCs w:val="18"/>
          <w:b w:val="1"/>
          <w:bCs w:val="1"/>
          <w:color w:val="auto"/>
        </w:rPr>
        <w:t>2017</w:t>
      </w:r>
      <w:r>
        <w:rPr>
          <w:sz w:val="20"/>
          <w:szCs w:val="20"/>
          <w:color w:val="auto"/>
        </w:rPr>
        <w:tab/>
      </w:r>
      <w:r>
        <w:rPr>
          <w:rFonts w:ascii="Arial" w:cs="Arial" w:eastAsia="Arial" w:hAnsi="Arial"/>
          <w:sz w:val="18"/>
          <w:szCs w:val="18"/>
          <w:b w:val="1"/>
          <w:bCs w:val="1"/>
          <w:color w:val="auto"/>
        </w:rPr>
        <w:t>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28575</wp:posOffset>
            </wp:positionV>
            <wp:extent cx="180086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800860" cy="8890"/>
                    </a:xfrm>
                    <a:prstGeom prst="rect">
                      <a:avLst/>
                    </a:prstGeom>
                    <a:noFill/>
                  </pic:spPr>
                </pic:pic>
              </a:graphicData>
            </a:graphic>
          </wp:anchor>
        </w:drawing>
      </w:r>
    </w:p>
    <w:p>
      <w:pPr>
        <w:spacing w:after="0" w:line="349" w:lineRule="exact"/>
        <w:rPr>
          <w:sz w:val="20"/>
          <w:szCs w:val="20"/>
          <w:color w:val="auto"/>
        </w:rPr>
      </w:pPr>
    </w:p>
    <w:p>
      <w:pPr>
        <w:ind w:left="40"/>
        <w:spacing w:after="0"/>
        <w:tabs>
          <w:tab w:leader="none" w:pos="1060" w:val="left"/>
          <w:tab w:leader="none" w:pos="1480" w:val="left"/>
          <w:tab w:leader="none" w:pos="25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24</w:t>
        <w:tab/>
        <w:t>$</w:t>
      </w:r>
      <w:r>
        <w:rPr>
          <w:sz w:val="20"/>
          <w:szCs w:val="20"/>
          <w:color w:val="auto"/>
        </w:rPr>
        <w:tab/>
      </w:r>
      <w:r>
        <w:rPr>
          <w:rFonts w:ascii="Arial" w:cs="Arial" w:eastAsia="Arial" w:hAnsi="Arial"/>
          <w:sz w:val="18"/>
          <w:szCs w:val="18"/>
          <w:color w:val="auto"/>
        </w:rPr>
        <w:t>—</w:t>
      </w:r>
    </w:p>
    <w:p>
      <w:pPr>
        <w:spacing w:after="0" w:line="63" w:lineRule="exact"/>
        <w:rPr>
          <w:sz w:val="20"/>
          <w:szCs w:val="20"/>
          <w:color w:val="auto"/>
        </w:rPr>
      </w:pPr>
    </w:p>
    <w:p>
      <w:pPr>
        <w:ind w:left="2600" w:hanging="1481"/>
        <w:spacing w:after="0"/>
        <w:tabs>
          <w:tab w:leader="none" w:pos="26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(1)</w:t>
      </w:r>
    </w:p>
    <w:p>
      <w:pPr>
        <w:spacing w:after="0" w:line="63" w:lineRule="exact"/>
        <w:rPr>
          <w:sz w:val="20"/>
          <w:szCs w:val="20"/>
          <w:color w:val="auto"/>
        </w:rPr>
      </w:pPr>
    </w:p>
    <w:p>
      <w:pPr>
        <w:ind w:left="2400" w:hanging="1481"/>
        <w:spacing w:after="0"/>
        <w:tabs>
          <w:tab w:leader="none" w:pos="24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(196)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14605</wp:posOffset>
            </wp:positionV>
            <wp:extent cx="180086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800860" cy="8890"/>
                    </a:xfrm>
                    <a:prstGeom prst="rect">
                      <a:avLst/>
                    </a:prstGeom>
                    <a:noFill/>
                  </pic:spPr>
                </pic:pic>
              </a:graphicData>
            </a:graphic>
          </wp:anchor>
        </w:drawing>
      </w:r>
    </w:p>
    <w:p>
      <w:pPr>
        <w:spacing w:after="0" w:line="43" w:lineRule="exact"/>
        <w:rPr>
          <w:sz w:val="20"/>
          <w:szCs w:val="20"/>
          <w:color w:val="auto"/>
        </w:rPr>
      </w:pPr>
    </w:p>
    <w:p>
      <w:pPr>
        <w:ind w:left="40"/>
        <w:spacing w:after="0"/>
        <w:tabs>
          <w:tab w:leader="none" w:pos="900" w:val="left"/>
          <w:tab w:leader="none" w:pos="1480" w:val="left"/>
          <w:tab w:leader="none" w:pos="23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(165)</w:t>
        <w:tab/>
        <w:t>$</w:t>
      </w:r>
      <w:r>
        <w:rPr>
          <w:sz w:val="20"/>
          <w:szCs w:val="20"/>
          <w:color w:val="auto"/>
        </w:rPr>
        <w:tab/>
      </w:r>
      <w:r>
        <w:rPr>
          <w:rFonts w:ascii="Arial" w:cs="Arial" w:eastAsia="Arial" w:hAnsi="Arial"/>
          <w:sz w:val="17"/>
          <w:szCs w:val="17"/>
          <w:color w:val="auto"/>
        </w:rPr>
        <w:t>(197)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14605</wp:posOffset>
            </wp:positionV>
            <wp:extent cx="180086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800860" cy="8890"/>
                    </a:xfrm>
                    <a:prstGeom prst="rect">
                      <a:avLst/>
                    </a:prstGeom>
                    <a:noFill/>
                  </pic:spPr>
                </pic:pic>
              </a:graphicData>
            </a:graphic>
          </wp:anchor>
        </w:drawing>
      </w:r>
    </w:p>
    <w:p>
      <w:pPr>
        <w:sectPr>
          <w:pgSz w:w="11900" w:h="16838" w:orient="portrait"/>
          <w:cols w:equalWidth="0" w:num="2">
            <w:col w:w="7260" w:space="720"/>
            <w:col w:w="3300"/>
          </w:cols>
          <w:pgMar w:left="240" w:top="140" w:right="379" w:bottom="1440" w:gutter="0" w:footer="0" w:header="0"/>
          <w:type w:val="continuous"/>
        </w:sectPr>
      </w:pPr>
    </w:p>
    <w:bookmarkStart w:id="107" w:name="page108"/>
    <w:bookmarkEnd w:id="10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3" w:lineRule="exact"/>
        <w:rPr>
          <w:sz w:val="20"/>
          <w:szCs w:val="20"/>
          <w:color w:val="auto"/>
        </w:rPr>
      </w:pPr>
    </w:p>
    <w:p>
      <w:pPr>
        <w:ind w:left="500" w:right="60"/>
        <w:spacing w:after="0" w:line="262" w:lineRule="auto"/>
        <w:rPr>
          <w:sz w:val="20"/>
          <w:szCs w:val="20"/>
          <w:color w:val="auto"/>
        </w:rPr>
      </w:pPr>
      <w:r>
        <w:rPr>
          <w:rFonts w:ascii="Arial" w:cs="Arial" w:eastAsia="Arial" w:hAnsi="Arial"/>
          <w:sz w:val="18"/>
          <w:szCs w:val="18"/>
          <w:color w:val="auto"/>
        </w:rPr>
        <w:t>The following assumptions were used to determine pension obligations and pension costs for the principal plans in which the Company’s employees participated:</w:t>
      </w:r>
    </w:p>
    <w:p>
      <w:pPr>
        <w:spacing w:after="0" w:line="134" w:lineRule="exact"/>
        <w:rPr>
          <w:sz w:val="20"/>
          <w:szCs w:val="20"/>
          <w:color w:val="auto"/>
        </w:rPr>
      </w:pPr>
    </w:p>
    <w:tbl>
      <w:tblPr>
        <w:tblLayout w:type="fixed"/>
        <w:tblInd w:w="520" w:type="dxa"/>
        <w:tblCellMar>
          <w:top w:w="0" w:type="dxa"/>
          <w:left w:w="0" w:type="dxa"/>
          <w:bottom w:w="0" w:type="dxa"/>
          <w:right w:w="0" w:type="dxa"/>
        </w:tblCellMar>
      </w:tblPr>
      <w:tr>
        <w:trPr>
          <w:trHeight w:val="246"/>
        </w:trPr>
        <w:tc>
          <w:tcPr>
            <w:tcW w:w="5580" w:type="dxa"/>
            <w:vAlign w:val="bottom"/>
          </w:tcPr>
          <w:p>
            <w:pPr>
              <w:spacing w:after="0"/>
              <w:rPr>
                <w:sz w:val="21"/>
                <w:szCs w:val="21"/>
                <w:color w:val="auto"/>
              </w:rPr>
            </w:pPr>
          </w:p>
        </w:tc>
        <w:tc>
          <w:tcPr>
            <w:tcW w:w="4720" w:type="dxa"/>
            <w:vAlign w:val="bottom"/>
            <w:tcBorders>
              <w:bottom w:val="single" w:sz="8" w:color="auto"/>
            </w:tcBorders>
            <w:gridSpan w:val="5"/>
          </w:tcPr>
          <w:p>
            <w:pPr>
              <w:ind w:left="940"/>
              <w:spacing w:after="0"/>
              <w:rPr>
                <w:sz w:val="20"/>
                <w:szCs w:val="20"/>
                <w:color w:val="auto"/>
              </w:rPr>
            </w:pPr>
            <w:r>
              <w:rPr>
                <w:rFonts w:ascii="Arial" w:cs="Arial" w:eastAsia="Arial" w:hAnsi="Arial"/>
                <w:sz w:val="18"/>
                <w:szCs w:val="18"/>
                <w:b w:val="1"/>
                <w:bCs w:val="1"/>
                <w:color w:val="auto"/>
              </w:rPr>
              <w:t>For the Year Ended December 31,</w:t>
            </w:r>
          </w:p>
        </w:tc>
      </w:tr>
      <w:tr>
        <w:trPr>
          <w:trHeight w:val="264"/>
        </w:trPr>
        <w:tc>
          <w:tcPr>
            <w:tcW w:w="5580" w:type="dxa"/>
            <w:vAlign w:val="bottom"/>
          </w:tcPr>
          <w:p>
            <w:pPr>
              <w:spacing w:after="0"/>
              <w:rPr>
                <w:sz w:val="20"/>
                <w:szCs w:val="20"/>
                <w:color w:val="auto"/>
              </w:rPr>
            </w:pPr>
            <w:r>
              <w:rPr>
                <w:rFonts w:ascii="Arial" w:cs="Arial" w:eastAsia="Arial" w:hAnsi="Arial"/>
                <w:sz w:val="18"/>
                <w:szCs w:val="18"/>
                <w:b w:val="1"/>
                <w:bCs w:val="1"/>
                <w:color w:val="auto"/>
              </w:rPr>
              <w:t>U.S. Pension Benefit Plans</w:t>
            </w:r>
          </w:p>
        </w:tc>
        <w:tc>
          <w:tcPr>
            <w:tcW w:w="1500" w:type="dxa"/>
            <w:vAlign w:val="bottom"/>
            <w:tcBorders>
              <w:bottom w:val="single" w:sz="8" w:color="auto"/>
            </w:tcBorders>
          </w:tcPr>
          <w:p>
            <w:pPr>
              <w:ind w:left="54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2"/>
                <w:szCs w:val="22"/>
                <w:color w:val="auto"/>
              </w:rPr>
            </w:pPr>
          </w:p>
        </w:tc>
        <w:tc>
          <w:tcPr>
            <w:tcW w:w="15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2"/>
                <w:szCs w:val="22"/>
                <w:color w:val="auto"/>
              </w:rPr>
            </w:pPr>
          </w:p>
        </w:tc>
        <w:tc>
          <w:tcPr>
            <w:tcW w:w="15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2015</w:t>
            </w:r>
          </w:p>
        </w:tc>
      </w:tr>
      <w:tr>
        <w:trPr>
          <w:trHeight w:val="230"/>
        </w:trPr>
        <w:tc>
          <w:tcPr>
            <w:tcW w:w="5580" w:type="dxa"/>
            <w:vAlign w:val="bottom"/>
          </w:tcPr>
          <w:p>
            <w:pPr>
              <w:spacing w:after="0"/>
              <w:rPr>
                <w:sz w:val="20"/>
                <w:szCs w:val="20"/>
                <w:color w:val="auto"/>
              </w:rPr>
            </w:pPr>
            <w:r>
              <w:rPr>
                <w:rFonts w:ascii="Arial" w:cs="Arial" w:eastAsia="Arial" w:hAnsi="Arial"/>
                <w:sz w:val="18"/>
                <w:szCs w:val="18"/>
                <w:color w:val="auto"/>
              </w:rPr>
              <w:t>Discount rate:</w:t>
            </w: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97"/>
        </w:trPr>
        <w:tc>
          <w:tcPr>
            <w:tcW w:w="5580" w:type="dxa"/>
            <w:vAlign w:val="bottom"/>
          </w:tcPr>
          <w:p>
            <w:pPr>
              <w:ind w:left="100"/>
              <w:spacing w:after="0"/>
              <w:rPr>
                <w:sz w:val="20"/>
                <w:szCs w:val="20"/>
                <w:color w:val="auto"/>
              </w:rPr>
            </w:pPr>
            <w:r>
              <w:rPr>
                <w:rFonts w:ascii="Arial" w:cs="Arial" w:eastAsia="Arial" w:hAnsi="Arial"/>
                <w:sz w:val="18"/>
                <w:szCs w:val="18"/>
                <w:color w:val="auto"/>
              </w:rPr>
              <w:t>Net periodic benefit cost</w:t>
            </w:r>
          </w:p>
        </w:tc>
        <w:tc>
          <w:tcPr>
            <w:tcW w:w="1500" w:type="dxa"/>
            <w:vAlign w:val="bottom"/>
          </w:tcPr>
          <w:p>
            <w:pPr>
              <w:ind w:left="960"/>
              <w:spacing w:after="0"/>
              <w:rPr>
                <w:sz w:val="20"/>
                <w:szCs w:val="20"/>
                <w:color w:val="auto"/>
              </w:rPr>
            </w:pPr>
            <w:r>
              <w:rPr>
                <w:rFonts w:ascii="Arial" w:cs="Arial" w:eastAsia="Arial" w:hAnsi="Arial"/>
                <w:sz w:val="18"/>
                <w:szCs w:val="18"/>
                <w:color w:val="auto"/>
              </w:rPr>
              <w:t>3.90%</w:t>
            </w:r>
          </w:p>
        </w:tc>
        <w:tc>
          <w:tcPr>
            <w:tcW w:w="10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4.40%</w:t>
            </w:r>
          </w:p>
        </w:tc>
        <w:tc>
          <w:tcPr>
            <w:tcW w:w="12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4.00%</w:t>
            </w:r>
          </w:p>
        </w:tc>
      </w:tr>
      <w:tr>
        <w:trPr>
          <w:trHeight w:val="270"/>
        </w:trPr>
        <w:tc>
          <w:tcPr>
            <w:tcW w:w="5580" w:type="dxa"/>
            <w:vAlign w:val="bottom"/>
          </w:tcPr>
          <w:p>
            <w:pPr>
              <w:ind w:left="100"/>
              <w:spacing w:after="0"/>
              <w:rPr>
                <w:sz w:val="20"/>
                <w:szCs w:val="20"/>
                <w:color w:val="auto"/>
              </w:rPr>
            </w:pPr>
            <w:r>
              <w:rPr>
                <w:rFonts w:ascii="Arial" w:cs="Arial" w:eastAsia="Arial" w:hAnsi="Arial"/>
                <w:sz w:val="18"/>
                <w:szCs w:val="18"/>
                <w:color w:val="auto"/>
              </w:rPr>
              <w:t>Benefit obligation</w:t>
            </w:r>
          </w:p>
        </w:tc>
        <w:tc>
          <w:tcPr>
            <w:tcW w:w="1500" w:type="dxa"/>
            <w:vAlign w:val="bottom"/>
          </w:tcPr>
          <w:p>
            <w:pPr>
              <w:ind w:left="960"/>
              <w:spacing w:after="0"/>
              <w:rPr>
                <w:sz w:val="20"/>
                <w:szCs w:val="20"/>
                <w:color w:val="auto"/>
              </w:rPr>
            </w:pPr>
            <w:r>
              <w:rPr>
                <w:rFonts w:ascii="Arial" w:cs="Arial" w:eastAsia="Arial" w:hAnsi="Arial"/>
                <w:sz w:val="18"/>
                <w:szCs w:val="18"/>
                <w:color w:val="auto"/>
              </w:rPr>
              <w:t>3.50%</w:t>
            </w:r>
          </w:p>
        </w:tc>
        <w:tc>
          <w:tcPr>
            <w:tcW w:w="10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3.90%</w:t>
            </w:r>
          </w:p>
        </w:tc>
        <w:tc>
          <w:tcPr>
            <w:tcW w:w="12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4.40%</w:t>
            </w:r>
          </w:p>
        </w:tc>
      </w:tr>
      <w:tr>
        <w:trPr>
          <w:trHeight w:val="270"/>
        </w:trPr>
        <w:tc>
          <w:tcPr>
            <w:tcW w:w="5580" w:type="dxa"/>
            <w:vAlign w:val="bottom"/>
          </w:tcPr>
          <w:p>
            <w:pPr>
              <w:spacing w:after="0"/>
              <w:rPr>
                <w:sz w:val="20"/>
                <w:szCs w:val="20"/>
                <w:color w:val="auto"/>
              </w:rPr>
            </w:pPr>
            <w:r>
              <w:rPr>
                <w:rFonts w:ascii="Arial" w:cs="Arial" w:eastAsia="Arial" w:hAnsi="Arial"/>
                <w:sz w:val="18"/>
                <w:szCs w:val="18"/>
                <w:color w:val="auto"/>
              </w:rPr>
              <w:t>Long-term rate of return on plan assets</w:t>
            </w:r>
          </w:p>
        </w:tc>
        <w:tc>
          <w:tcPr>
            <w:tcW w:w="1500" w:type="dxa"/>
            <w:vAlign w:val="bottom"/>
          </w:tcPr>
          <w:p>
            <w:pPr>
              <w:ind w:left="960"/>
              <w:spacing w:after="0"/>
              <w:rPr>
                <w:sz w:val="20"/>
                <w:szCs w:val="20"/>
                <w:color w:val="auto"/>
              </w:rPr>
            </w:pPr>
            <w:r>
              <w:rPr>
                <w:rFonts w:ascii="Arial" w:cs="Arial" w:eastAsia="Arial" w:hAnsi="Arial"/>
                <w:sz w:val="18"/>
                <w:szCs w:val="18"/>
                <w:color w:val="auto"/>
              </w:rPr>
              <w:t>7.00%</w:t>
            </w:r>
          </w:p>
        </w:tc>
        <w:tc>
          <w:tcPr>
            <w:tcW w:w="10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7.00%</w:t>
            </w:r>
          </w:p>
        </w:tc>
        <w:tc>
          <w:tcPr>
            <w:tcW w:w="12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7.25%</w:t>
            </w:r>
          </w:p>
        </w:tc>
      </w:tr>
      <w:tr>
        <w:trPr>
          <w:trHeight w:val="540"/>
        </w:trPr>
        <w:tc>
          <w:tcPr>
            <w:tcW w:w="5580" w:type="dxa"/>
            <w:vAlign w:val="bottom"/>
          </w:tcPr>
          <w:p>
            <w:pPr>
              <w:spacing w:after="0"/>
              <w:rPr>
                <w:sz w:val="20"/>
                <w:szCs w:val="20"/>
                <w:color w:val="auto"/>
              </w:rPr>
            </w:pPr>
            <w:r>
              <w:rPr>
                <w:rFonts w:ascii="Arial" w:cs="Arial" w:eastAsia="Arial" w:hAnsi="Arial"/>
                <w:sz w:val="18"/>
                <w:szCs w:val="18"/>
                <w:b w:val="1"/>
                <w:bCs w:val="1"/>
                <w:color w:val="auto"/>
              </w:rPr>
              <w:t>Non-U.S. Pension Benefit Plans</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57"/>
        </w:trPr>
        <w:tc>
          <w:tcPr>
            <w:tcW w:w="5580" w:type="dxa"/>
            <w:vAlign w:val="bottom"/>
          </w:tcPr>
          <w:p>
            <w:pPr>
              <w:spacing w:after="0"/>
              <w:rPr>
                <w:sz w:val="20"/>
                <w:szCs w:val="20"/>
                <w:color w:val="auto"/>
              </w:rPr>
            </w:pPr>
            <w:r>
              <w:rPr>
                <w:rFonts w:ascii="Arial" w:cs="Arial" w:eastAsia="Arial" w:hAnsi="Arial"/>
                <w:sz w:val="18"/>
                <w:szCs w:val="18"/>
                <w:color w:val="auto"/>
              </w:rPr>
              <w:t>Discount rate:</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00" w:type="dxa"/>
            <w:vAlign w:val="bottom"/>
          </w:tcPr>
          <w:p>
            <w:pPr>
              <w:spacing w:after="0"/>
              <w:rPr>
                <w:sz w:val="22"/>
                <w:szCs w:val="22"/>
                <w:color w:val="auto"/>
              </w:rPr>
            </w:pPr>
          </w:p>
        </w:tc>
      </w:tr>
      <w:tr>
        <w:trPr>
          <w:trHeight w:val="284"/>
        </w:trPr>
        <w:tc>
          <w:tcPr>
            <w:tcW w:w="5580" w:type="dxa"/>
            <w:vAlign w:val="bottom"/>
          </w:tcPr>
          <w:p>
            <w:pPr>
              <w:ind w:left="100"/>
              <w:spacing w:after="0"/>
              <w:rPr>
                <w:sz w:val="20"/>
                <w:szCs w:val="20"/>
                <w:color w:val="auto"/>
              </w:rPr>
            </w:pPr>
            <w:r>
              <w:rPr>
                <w:rFonts w:ascii="Arial" w:cs="Arial" w:eastAsia="Arial" w:hAnsi="Arial"/>
                <w:sz w:val="18"/>
                <w:szCs w:val="18"/>
                <w:color w:val="auto"/>
              </w:rPr>
              <w:t>Net periodic benefit cost</w:t>
            </w:r>
          </w:p>
        </w:tc>
        <w:tc>
          <w:tcPr>
            <w:tcW w:w="1500" w:type="dxa"/>
            <w:vAlign w:val="bottom"/>
          </w:tcPr>
          <w:p>
            <w:pPr>
              <w:ind w:left="960"/>
              <w:spacing w:after="0"/>
              <w:rPr>
                <w:sz w:val="20"/>
                <w:szCs w:val="20"/>
                <w:color w:val="auto"/>
              </w:rPr>
            </w:pPr>
            <w:r>
              <w:rPr>
                <w:rFonts w:ascii="Arial" w:cs="Arial" w:eastAsia="Arial" w:hAnsi="Arial"/>
                <w:sz w:val="18"/>
                <w:szCs w:val="18"/>
                <w:color w:val="auto"/>
              </w:rPr>
              <w:t>2.45%</w:t>
            </w:r>
          </w:p>
        </w:tc>
        <w:tc>
          <w:tcPr>
            <w:tcW w:w="10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3.45%</w:t>
            </w:r>
          </w:p>
        </w:tc>
        <w:tc>
          <w:tcPr>
            <w:tcW w:w="12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3.30%</w:t>
            </w:r>
          </w:p>
        </w:tc>
      </w:tr>
      <w:tr>
        <w:trPr>
          <w:trHeight w:val="270"/>
        </w:trPr>
        <w:tc>
          <w:tcPr>
            <w:tcW w:w="5580" w:type="dxa"/>
            <w:vAlign w:val="bottom"/>
          </w:tcPr>
          <w:p>
            <w:pPr>
              <w:ind w:left="100"/>
              <w:spacing w:after="0"/>
              <w:rPr>
                <w:sz w:val="20"/>
                <w:szCs w:val="20"/>
                <w:color w:val="auto"/>
              </w:rPr>
            </w:pPr>
            <w:r>
              <w:rPr>
                <w:rFonts w:ascii="Arial" w:cs="Arial" w:eastAsia="Arial" w:hAnsi="Arial"/>
                <w:sz w:val="18"/>
                <w:szCs w:val="18"/>
                <w:color w:val="auto"/>
              </w:rPr>
              <w:t>Benefit obligation</w:t>
            </w:r>
          </w:p>
        </w:tc>
        <w:tc>
          <w:tcPr>
            <w:tcW w:w="1500" w:type="dxa"/>
            <w:vAlign w:val="bottom"/>
          </w:tcPr>
          <w:p>
            <w:pPr>
              <w:ind w:left="960"/>
              <w:spacing w:after="0"/>
              <w:rPr>
                <w:sz w:val="20"/>
                <w:szCs w:val="20"/>
                <w:color w:val="auto"/>
              </w:rPr>
            </w:pPr>
            <w:r>
              <w:rPr>
                <w:rFonts w:ascii="Arial" w:cs="Arial" w:eastAsia="Arial" w:hAnsi="Arial"/>
                <w:sz w:val="18"/>
                <w:szCs w:val="18"/>
                <w:color w:val="auto"/>
              </w:rPr>
              <w:t>2.55%</w:t>
            </w:r>
          </w:p>
        </w:tc>
        <w:tc>
          <w:tcPr>
            <w:tcW w:w="10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2.45%</w:t>
            </w:r>
          </w:p>
        </w:tc>
        <w:tc>
          <w:tcPr>
            <w:tcW w:w="12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3.45%</w:t>
            </w:r>
          </w:p>
        </w:tc>
      </w:tr>
      <w:tr>
        <w:trPr>
          <w:trHeight w:val="270"/>
        </w:trPr>
        <w:tc>
          <w:tcPr>
            <w:tcW w:w="5580" w:type="dxa"/>
            <w:vAlign w:val="bottom"/>
          </w:tcPr>
          <w:p>
            <w:pPr>
              <w:spacing w:after="0"/>
              <w:rPr>
                <w:sz w:val="20"/>
                <w:szCs w:val="20"/>
                <w:color w:val="auto"/>
              </w:rPr>
            </w:pPr>
            <w:r>
              <w:rPr>
                <w:rFonts w:ascii="Arial" w:cs="Arial" w:eastAsia="Arial" w:hAnsi="Arial"/>
                <w:sz w:val="18"/>
                <w:szCs w:val="18"/>
                <w:color w:val="auto"/>
              </w:rPr>
              <w:t>Long-term rate of return on plan assets</w:t>
            </w:r>
          </w:p>
        </w:tc>
        <w:tc>
          <w:tcPr>
            <w:tcW w:w="1500" w:type="dxa"/>
            <w:vAlign w:val="bottom"/>
          </w:tcPr>
          <w:p>
            <w:pPr>
              <w:ind w:left="960"/>
              <w:spacing w:after="0"/>
              <w:rPr>
                <w:sz w:val="20"/>
                <w:szCs w:val="20"/>
                <w:color w:val="auto"/>
              </w:rPr>
            </w:pPr>
            <w:r>
              <w:rPr>
                <w:rFonts w:ascii="Arial" w:cs="Arial" w:eastAsia="Arial" w:hAnsi="Arial"/>
                <w:sz w:val="18"/>
                <w:szCs w:val="18"/>
                <w:color w:val="auto"/>
              </w:rPr>
              <w:t>4.70%</w:t>
            </w:r>
          </w:p>
        </w:tc>
        <w:tc>
          <w:tcPr>
            <w:tcW w:w="10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4.45%</w:t>
            </w:r>
          </w:p>
        </w:tc>
        <w:tc>
          <w:tcPr>
            <w:tcW w:w="12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4.65%</w:t>
            </w:r>
          </w:p>
        </w:tc>
      </w:tr>
    </w:tbl>
    <w:p>
      <w:pPr>
        <w:spacing w:after="0" w:line="175" w:lineRule="exact"/>
        <w:rPr>
          <w:sz w:val="20"/>
          <w:szCs w:val="20"/>
          <w:color w:val="auto"/>
        </w:rPr>
      </w:pPr>
    </w:p>
    <w:p>
      <w:pPr>
        <w:ind w:left="500" w:right="20"/>
        <w:spacing w:after="0" w:line="256" w:lineRule="auto"/>
        <w:rPr>
          <w:sz w:val="20"/>
          <w:szCs w:val="20"/>
          <w:color w:val="auto"/>
        </w:rPr>
      </w:pPr>
      <w:r>
        <w:rPr>
          <w:rFonts w:ascii="Arial" w:cs="Arial" w:eastAsia="Arial" w:hAnsi="Arial"/>
          <w:sz w:val="18"/>
          <w:szCs w:val="18"/>
          <w:color w:val="auto"/>
        </w:rPr>
        <w:t>To select discount rates for its defined benefit pension plans, the Company uses a modeling process that involves matching the expected cash outflows of such plans, to yield curves constructed from portfolios of AA-rated fixed-income debt instruments. The Company uses the average yields of the hypothetical portfolios as a discount rate benchmark.</w:t>
      </w:r>
    </w:p>
    <w:p>
      <w:pPr>
        <w:spacing w:after="0" w:line="148" w:lineRule="exact"/>
        <w:rPr>
          <w:sz w:val="20"/>
          <w:szCs w:val="20"/>
          <w:color w:val="auto"/>
        </w:rPr>
      </w:pPr>
    </w:p>
    <w:p>
      <w:pPr>
        <w:jc w:val="both"/>
        <w:ind w:left="500" w:right="140"/>
        <w:spacing w:after="0" w:line="256" w:lineRule="auto"/>
        <w:rPr>
          <w:sz w:val="20"/>
          <w:szCs w:val="20"/>
          <w:color w:val="auto"/>
        </w:rPr>
      </w:pPr>
      <w:r>
        <w:rPr>
          <w:rFonts w:ascii="Arial" w:cs="Arial" w:eastAsia="Arial" w:hAnsi="Arial"/>
          <w:sz w:val="18"/>
          <w:szCs w:val="18"/>
          <w:color w:val="auto"/>
        </w:rPr>
        <w:t>The Company’s expected rate of return on plan assets of 7.00% and 4.70% for the U.S. plans and non-U.S. plans, respectively, used to determine pension obligations and pension costs, is a long-term rate based on historic plan asset returns in individual jurisdictions, over varying long-term periods combined with current market expectations and broad asset mix considerations.</w:t>
      </w:r>
    </w:p>
    <w:p>
      <w:pPr>
        <w:spacing w:after="0" w:line="148" w:lineRule="exact"/>
        <w:rPr>
          <w:sz w:val="20"/>
          <w:szCs w:val="20"/>
          <w:color w:val="auto"/>
        </w:rPr>
      </w:pPr>
    </w:p>
    <w:p>
      <w:pPr>
        <w:ind w:left="500" w:right="20"/>
        <w:spacing w:after="0" w:line="253" w:lineRule="auto"/>
        <w:rPr>
          <w:sz w:val="20"/>
          <w:szCs w:val="20"/>
          <w:color w:val="auto"/>
        </w:rPr>
      </w:pPr>
      <w:r>
        <w:rPr>
          <w:rFonts w:ascii="Arial" w:cs="Arial" w:eastAsia="Arial" w:hAnsi="Arial"/>
          <w:sz w:val="18"/>
          <w:szCs w:val="18"/>
          <w:color w:val="auto"/>
        </w:rPr>
        <w:t>As of December 31, 2017, plans with benefit obligations in excess of plan assets had accumulated benefit obligations of $453 million and plan assets of $264 million. As of December 31, 2016, plans with benefit obligations in excess of plan assets had accumulated benefit obligations of $720 million and plan assets of $523 million. The accumulated benefit obligation for all plans was $769 million and $712 million as of December 31, 2017 and 2016, respectively. The Company expects to contribute approximately $4 million to the U.S. plans and $5 million to the non-U.S. plans in 2018.</w:t>
      </w:r>
    </w:p>
    <w:p>
      <w:pPr>
        <w:spacing w:after="0" w:line="152" w:lineRule="exact"/>
        <w:rPr>
          <w:sz w:val="20"/>
          <w:szCs w:val="20"/>
          <w:color w:val="auto"/>
        </w:rPr>
      </w:pPr>
    </w:p>
    <w:p>
      <w:pPr>
        <w:ind w:left="500" w:right="180"/>
        <w:spacing w:after="0" w:line="254" w:lineRule="auto"/>
        <w:rPr>
          <w:sz w:val="20"/>
          <w:szCs w:val="20"/>
          <w:color w:val="auto"/>
        </w:rPr>
      </w:pPr>
      <w:r>
        <w:rPr>
          <w:rFonts w:ascii="Arial" w:cs="Arial" w:eastAsia="Arial" w:hAnsi="Arial"/>
          <w:sz w:val="18"/>
          <w:szCs w:val="18"/>
          <w:color w:val="auto"/>
        </w:rPr>
        <w:t>The Company’s defined benefit pension plans’ assets are invested primarily in mutual funds and may change in value due to various risks, such as interest rate and credit risk and overall market volatility. Due to the level of risk associated with investment securities, it is reasonably possible that changes in the values of the pension plans’ investment securities will occur in the near term and that such changes would materially affect the amounts reported in the Company’s financial statements.</w:t>
      </w:r>
    </w:p>
    <w:p>
      <w:pPr>
        <w:spacing w:after="0" w:line="150" w:lineRule="exact"/>
        <w:rPr>
          <w:sz w:val="20"/>
          <w:szCs w:val="20"/>
          <w:color w:val="auto"/>
        </w:rPr>
      </w:pPr>
    </w:p>
    <w:p>
      <w:pPr>
        <w:ind w:left="500"/>
        <w:spacing w:after="0" w:line="251" w:lineRule="auto"/>
        <w:rPr>
          <w:sz w:val="20"/>
          <w:szCs w:val="20"/>
          <w:color w:val="auto"/>
        </w:rPr>
      </w:pPr>
      <w:r>
        <w:rPr>
          <w:rFonts w:ascii="Arial" w:cs="Arial" w:eastAsia="Arial" w:hAnsi="Arial"/>
          <w:sz w:val="18"/>
          <w:szCs w:val="18"/>
          <w:color w:val="auto"/>
        </w:rPr>
        <w:t>The defined benefit pension plans’ investment goals and objectives are managed by the Company or Company-appointed trustees with consultation from independent investment advisors. While the objectives may vary slightly by country and jurisdiction, collectively the Company seeks to produce returns on pension plan investments, which are based on levels of liquidity and investment risk that the Company believes are prudent and reasonable, given prevailing capital market conditions. The pension plans’ assets are managed in the long-term interests of the participants and the beneficiaries of the plans. A suitable strategic asset allocation benchmark is determined for each plan to maintain a diversified portfolio, taking into account government requirements, if any, regarding unnecessary investment risk and protection of pension plans’ assets. The Company believes that diversification of the pension plans’ assets is an important investment strategy to provide reasonable assurance that no single security or class of securities will have a disproportionate impact on the pension plans. As such, the Company allocates assets among traditional equity, fixed income (government issued securities, corporate bonds and short-term cash investments) and other investment strategies.</w:t>
      </w:r>
    </w:p>
    <w:p>
      <w:pPr>
        <w:spacing w:after="0" w:line="158" w:lineRule="exact"/>
        <w:rPr>
          <w:sz w:val="20"/>
          <w:szCs w:val="20"/>
          <w:color w:val="auto"/>
        </w:rPr>
      </w:pPr>
    </w:p>
    <w:p>
      <w:pPr>
        <w:ind w:left="500" w:right="20"/>
        <w:spacing w:after="0" w:line="253" w:lineRule="auto"/>
        <w:rPr>
          <w:sz w:val="20"/>
          <w:szCs w:val="20"/>
          <w:color w:val="auto"/>
        </w:rPr>
      </w:pPr>
      <w:r>
        <w:rPr>
          <w:rFonts w:ascii="Arial" w:cs="Arial" w:eastAsia="Arial" w:hAnsi="Arial"/>
          <w:sz w:val="18"/>
          <w:szCs w:val="18"/>
          <w:color w:val="auto"/>
        </w:rPr>
        <w:t>The equity component’s purpose is to provide a total return that will help preserve the purchasing power of the assets. The pension plans hold various mutual funds that invest in equity securities and are diversified among funds that invest in large cap, small cap, growth, value and international stocks as well as funds that are intended to “track” an index, such as the S&amp;P 500. The equity investments in the portfolios will represent a greater assumption of market volatility and risk as well as provide higher anticipated total return over the long term. The equity component is expected to approximate 40%-60% of the plans’ assets.</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F-42</w:t>
      </w:r>
    </w:p>
    <w:p>
      <w:pPr>
        <w:sectPr>
          <w:pgSz w:w="11900" w:h="16838" w:orient="portrait"/>
          <w:cols w:equalWidth="0" w:num="1">
            <w:col w:w="11400"/>
          </w:cols>
          <w:pgMar w:left="240" w:top="140" w:right="259" w:bottom="1440" w:gutter="0" w:footer="0" w:header="0"/>
        </w:sectPr>
      </w:pPr>
    </w:p>
    <w:bookmarkStart w:id="108" w:name="page109"/>
    <w:bookmarkEnd w:id="10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3" w:lineRule="exact"/>
        <w:rPr>
          <w:sz w:val="20"/>
          <w:szCs w:val="20"/>
          <w:color w:val="auto"/>
        </w:rPr>
      </w:pPr>
    </w:p>
    <w:p>
      <w:pPr>
        <w:ind w:left="500" w:right="80"/>
        <w:spacing w:after="0" w:line="254" w:lineRule="auto"/>
        <w:rPr>
          <w:sz w:val="20"/>
          <w:szCs w:val="20"/>
          <w:color w:val="auto"/>
        </w:rPr>
      </w:pPr>
      <w:r>
        <w:rPr>
          <w:rFonts w:ascii="Arial" w:cs="Arial" w:eastAsia="Arial" w:hAnsi="Arial"/>
          <w:sz w:val="18"/>
          <w:szCs w:val="18"/>
          <w:color w:val="auto"/>
        </w:rPr>
        <w:t>The purpose of the fixed income component is to provide a deflation hedge, to reduce the overall volatility of the pension plans’ assets in relation to the liability and to produce current income. The pension plans hold mutual funds that invest in securities issued by governments, government agencies and corporations. The fixed income component is expected to approximate 40%-60% of the plans’ assets.</w:t>
      </w:r>
    </w:p>
    <w:p>
      <w:pPr>
        <w:spacing w:after="0" w:line="15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presents the defined benefit pension plans’ assets measured at fair value, as of December 31:</w:t>
      </w:r>
    </w:p>
    <w:p>
      <w:pPr>
        <w:spacing w:after="0" w:line="163" w:lineRule="exact"/>
        <w:rPr>
          <w:sz w:val="20"/>
          <w:szCs w:val="20"/>
          <w:color w:val="auto"/>
        </w:rPr>
      </w:pPr>
    </w:p>
    <w:tbl>
      <w:tblPr>
        <w:tblLayout w:type="fixed"/>
        <w:tblInd w:w="820" w:type="dxa"/>
        <w:tblCellMar>
          <w:top w:w="0" w:type="dxa"/>
          <w:left w:w="0" w:type="dxa"/>
          <w:bottom w:w="0" w:type="dxa"/>
          <w:right w:w="0" w:type="dxa"/>
        </w:tblCellMar>
      </w:tblPr>
      <w:tr>
        <w:trPr>
          <w:trHeight w:val="246"/>
        </w:trPr>
        <w:tc>
          <w:tcPr>
            <w:tcW w:w="63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r>
      <w:tr>
        <w:trPr>
          <w:trHeight w:val="264"/>
        </w:trPr>
        <w:tc>
          <w:tcPr>
            <w:tcW w:w="6320" w:type="dxa"/>
            <w:vAlign w:val="bottom"/>
          </w:tcPr>
          <w:p>
            <w:pPr>
              <w:spacing w:after="0"/>
              <w:rPr>
                <w:sz w:val="20"/>
                <w:szCs w:val="20"/>
                <w:color w:val="auto"/>
              </w:rPr>
            </w:pPr>
            <w:r>
              <w:rPr>
                <w:rFonts w:ascii="Arial" w:cs="Arial" w:eastAsia="Arial" w:hAnsi="Arial"/>
                <w:sz w:val="18"/>
                <w:szCs w:val="18"/>
                <w:b w:val="1"/>
                <w:bCs w:val="1"/>
                <w:color w:val="auto"/>
              </w:rPr>
              <w:t>Asset Class</w:t>
            </w:r>
          </w:p>
        </w:tc>
        <w:tc>
          <w:tcPr>
            <w:tcW w:w="220" w:type="dxa"/>
            <w:vAlign w:val="bottom"/>
          </w:tcPr>
          <w:p>
            <w:pPr>
              <w:spacing w:after="0"/>
              <w:rPr>
                <w:sz w:val="22"/>
                <w:szCs w:val="22"/>
                <w:color w:val="auto"/>
              </w:rPr>
            </w:pPr>
          </w:p>
        </w:tc>
        <w:tc>
          <w:tcPr>
            <w:tcW w:w="1140" w:type="dxa"/>
            <w:vAlign w:val="bottom"/>
            <w:gridSpan w:val="2"/>
          </w:tcPr>
          <w:p>
            <w:pPr>
              <w:ind w:left="100"/>
              <w:spacing w:after="0"/>
              <w:rPr>
                <w:sz w:val="20"/>
                <w:szCs w:val="20"/>
                <w:color w:val="auto"/>
              </w:rPr>
            </w:pPr>
            <w:r>
              <w:rPr>
                <w:rFonts w:ascii="Arial" w:cs="Arial" w:eastAsia="Arial" w:hAnsi="Arial"/>
                <w:sz w:val="18"/>
                <w:szCs w:val="18"/>
                <w:b w:val="1"/>
                <w:bCs w:val="1"/>
                <w:color w:val="auto"/>
              </w:rPr>
              <w:t>Level 1</w:t>
            </w:r>
          </w:p>
        </w:tc>
        <w:tc>
          <w:tcPr>
            <w:tcW w:w="220" w:type="dxa"/>
            <w:vAlign w:val="bottom"/>
          </w:tcPr>
          <w:p>
            <w:pPr>
              <w:spacing w:after="0"/>
              <w:rPr>
                <w:sz w:val="22"/>
                <w:szCs w:val="22"/>
                <w:color w:val="auto"/>
              </w:rPr>
            </w:pPr>
          </w:p>
        </w:tc>
        <w:tc>
          <w:tcPr>
            <w:tcW w:w="1140" w:type="dxa"/>
            <w:vAlign w:val="bottom"/>
            <w:gridSpan w:val="2"/>
          </w:tcPr>
          <w:p>
            <w:pPr>
              <w:ind w:left="100"/>
              <w:spacing w:after="0"/>
              <w:rPr>
                <w:sz w:val="20"/>
                <w:szCs w:val="20"/>
                <w:color w:val="auto"/>
              </w:rPr>
            </w:pPr>
            <w:r>
              <w:rPr>
                <w:rFonts w:ascii="Arial" w:cs="Arial" w:eastAsia="Arial" w:hAnsi="Arial"/>
                <w:sz w:val="18"/>
                <w:szCs w:val="18"/>
                <w:b w:val="1"/>
                <w:bCs w:val="1"/>
                <w:color w:val="auto"/>
              </w:rPr>
              <w:t>Level 2</w:t>
            </w:r>
          </w:p>
        </w:tc>
        <w:tc>
          <w:tcPr>
            <w:tcW w:w="280" w:type="dxa"/>
            <w:vAlign w:val="bottom"/>
          </w:tcPr>
          <w:p>
            <w:pPr>
              <w:spacing w:after="0"/>
              <w:rPr>
                <w:sz w:val="22"/>
                <w:szCs w:val="22"/>
                <w:color w:val="auto"/>
              </w:rPr>
            </w:pPr>
          </w:p>
        </w:tc>
        <w:tc>
          <w:tcPr>
            <w:tcW w:w="980" w:type="dxa"/>
            <w:vAlign w:val="bottom"/>
          </w:tcPr>
          <w:p>
            <w:pPr>
              <w:jc w:val="right"/>
              <w:ind w:right="330"/>
              <w:spacing w:after="0"/>
              <w:rPr>
                <w:sz w:val="20"/>
                <w:szCs w:val="20"/>
                <w:color w:val="auto"/>
              </w:rPr>
            </w:pPr>
            <w:r>
              <w:rPr>
                <w:rFonts w:ascii="Arial" w:cs="Arial" w:eastAsia="Arial" w:hAnsi="Arial"/>
                <w:sz w:val="18"/>
                <w:szCs w:val="18"/>
                <w:b w:val="1"/>
                <w:bCs w:val="1"/>
                <w:color w:val="auto"/>
              </w:rPr>
              <w:t>Total</w:t>
            </w:r>
          </w:p>
        </w:tc>
      </w:tr>
      <w:tr>
        <w:trPr>
          <w:trHeight w:val="243"/>
        </w:trPr>
        <w:tc>
          <w:tcPr>
            <w:tcW w:w="6320" w:type="dxa"/>
            <w:vAlign w:val="bottom"/>
          </w:tcPr>
          <w:p>
            <w:pPr>
              <w:spacing w:after="0"/>
              <w:rPr>
                <w:sz w:val="20"/>
                <w:szCs w:val="20"/>
                <w:color w:val="auto"/>
              </w:rPr>
            </w:pPr>
            <w:r>
              <w:rPr>
                <w:rFonts w:ascii="Arial" w:cs="Arial" w:eastAsia="Arial" w:hAnsi="Arial"/>
                <w:sz w:val="18"/>
                <w:szCs w:val="18"/>
                <w:color w:val="auto"/>
              </w:rPr>
              <w:t>Cash equivalents and short-term investments</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28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41</w:t>
            </w:r>
          </w:p>
        </w:tc>
      </w:tr>
      <w:tr>
        <w:trPr>
          <w:trHeight w:val="270"/>
        </w:trPr>
        <w:tc>
          <w:tcPr>
            <w:tcW w:w="6320" w:type="dxa"/>
            <w:vAlign w:val="bottom"/>
          </w:tcPr>
          <w:p>
            <w:pPr>
              <w:spacing w:after="0"/>
              <w:rPr>
                <w:sz w:val="20"/>
                <w:szCs w:val="20"/>
                <w:color w:val="auto"/>
              </w:rPr>
            </w:pPr>
            <w:r>
              <w:rPr>
                <w:rFonts w:ascii="Arial" w:cs="Arial" w:eastAsia="Arial" w:hAnsi="Arial"/>
                <w:sz w:val="18"/>
                <w:szCs w:val="18"/>
                <w:color w:val="auto"/>
              </w:rPr>
              <w:t>U.S. equities</w:t>
            </w:r>
          </w:p>
        </w:tc>
        <w:tc>
          <w:tcPr>
            <w:tcW w:w="2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145</w:t>
            </w:r>
          </w:p>
        </w:tc>
      </w:tr>
      <w:tr>
        <w:trPr>
          <w:trHeight w:val="270"/>
        </w:trPr>
        <w:tc>
          <w:tcPr>
            <w:tcW w:w="6320" w:type="dxa"/>
            <w:vAlign w:val="bottom"/>
          </w:tcPr>
          <w:p>
            <w:pPr>
              <w:spacing w:after="0"/>
              <w:rPr>
                <w:sz w:val="20"/>
                <w:szCs w:val="20"/>
                <w:color w:val="auto"/>
              </w:rPr>
            </w:pPr>
            <w:r>
              <w:rPr>
                <w:rFonts w:ascii="Arial" w:cs="Arial" w:eastAsia="Arial" w:hAnsi="Arial"/>
                <w:sz w:val="18"/>
                <w:szCs w:val="18"/>
                <w:color w:val="auto"/>
              </w:rPr>
              <w:t>Non-U.S. equities</w:t>
            </w:r>
          </w:p>
        </w:tc>
        <w:tc>
          <w:tcPr>
            <w:tcW w:w="2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150</w:t>
            </w:r>
          </w:p>
        </w:tc>
      </w:tr>
      <w:tr>
        <w:trPr>
          <w:trHeight w:val="270"/>
        </w:trPr>
        <w:tc>
          <w:tcPr>
            <w:tcW w:w="6320" w:type="dxa"/>
            <w:vAlign w:val="bottom"/>
          </w:tcPr>
          <w:p>
            <w:pPr>
              <w:spacing w:after="0"/>
              <w:rPr>
                <w:sz w:val="20"/>
                <w:szCs w:val="20"/>
                <w:color w:val="auto"/>
              </w:rPr>
            </w:pPr>
            <w:r>
              <w:rPr>
                <w:rFonts w:ascii="Arial" w:cs="Arial" w:eastAsia="Arial" w:hAnsi="Arial"/>
                <w:sz w:val="18"/>
                <w:szCs w:val="18"/>
                <w:color w:val="auto"/>
              </w:rPr>
              <w:t>Real estate</w:t>
            </w:r>
          </w:p>
        </w:tc>
        <w:tc>
          <w:tcPr>
            <w:tcW w:w="220" w:type="dxa"/>
            <w:vAlign w:val="bottom"/>
          </w:tcPr>
          <w:p>
            <w:pPr>
              <w:spacing w:after="0"/>
              <w:rPr>
                <w:sz w:val="23"/>
                <w:szCs w:val="23"/>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18</w:t>
            </w:r>
          </w:p>
        </w:tc>
      </w:tr>
      <w:tr>
        <w:trPr>
          <w:trHeight w:val="270"/>
        </w:trPr>
        <w:tc>
          <w:tcPr>
            <w:tcW w:w="6320" w:type="dxa"/>
            <w:vAlign w:val="bottom"/>
          </w:tcPr>
          <w:p>
            <w:pPr>
              <w:spacing w:after="0"/>
              <w:rPr>
                <w:sz w:val="20"/>
                <w:szCs w:val="20"/>
                <w:color w:val="auto"/>
              </w:rPr>
            </w:pPr>
            <w:r>
              <w:rPr>
                <w:rFonts w:ascii="Arial" w:cs="Arial" w:eastAsia="Arial" w:hAnsi="Arial"/>
                <w:sz w:val="18"/>
                <w:szCs w:val="18"/>
                <w:color w:val="auto"/>
              </w:rPr>
              <w:t>Government bonds</w:t>
            </w:r>
          </w:p>
        </w:tc>
        <w:tc>
          <w:tcPr>
            <w:tcW w:w="2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18</w:t>
            </w:r>
          </w:p>
        </w:tc>
      </w:tr>
      <w:tr>
        <w:trPr>
          <w:trHeight w:val="270"/>
        </w:trPr>
        <w:tc>
          <w:tcPr>
            <w:tcW w:w="6320" w:type="dxa"/>
            <w:vAlign w:val="bottom"/>
          </w:tcPr>
          <w:p>
            <w:pPr>
              <w:spacing w:after="0"/>
              <w:rPr>
                <w:sz w:val="20"/>
                <w:szCs w:val="20"/>
                <w:color w:val="auto"/>
              </w:rPr>
            </w:pPr>
            <w:r>
              <w:rPr>
                <w:rFonts w:ascii="Arial" w:cs="Arial" w:eastAsia="Arial" w:hAnsi="Arial"/>
                <w:sz w:val="18"/>
                <w:szCs w:val="18"/>
                <w:color w:val="auto"/>
              </w:rPr>
              <w:t>Corporate bonds</w:t>
            </w:r>
          </w:p>
        </w:tc>
        <w:tc>
          <w:tcPr>
            <w:tcW w:w="2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127</w:t>
            </w:r>
          </w:p>
        </w:tc>
      </w:tr>
      <w:tr>
        <w:trPr>
          <w:trHeight w:val="277"/>
        </w:trPr>
        <w:tc>
          <w:tcPr>
            <w:tcW w:w="6320" w:type="dxa"/>
            <w:vAlign w:val="bottom"/>
          </w:tcPr>
          <w:p>
            <w:pPr>
              <w:spacing w:after="0"/>
              <w:rPr>
                <w:sz w:val="20"/>
                <w:szCs w:val="20"/>
                <w:color w:val="auto"/>
              </w:rPr>
            </w:pPr>
            <w:r>
              <w:rPr>
                <w:rFonts w:ascii="Arial" w:cs="Arial" w:eastAsia="Arial" w:hAnsi="Arial"/>
                <w:sz w:val="18"/>
                <w:szCs w:val="18"/>
                <w:color w:val="auto"/>
              </w:rPr>
              <w:t>Other assets</w:t>
            </w: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115</w:t>
            </w:r>
          </w:p>
        </w:tc>
      </w:tr>
      <w:tr>
        <w:trPr>
          <w:trHeight w:val="257"/>
        </w:trPr>
        <w:tc>
          <w:tcPr>
            <w:tcW w:w="6320" w:type="dxa"/>
            <w:vAlign w:val="bottom"/>
          </w:tcPr>
          <w:p>
            <w:pPr>
              <w:ind w:left="240"/>
              <w:spacing w:after="0"/>
              <w:rPr>
                <w:sz w:val="20"/>
                <w:szCs w:val="20"/>
                <w:color w:val="auto"/>
              </w:rPr>
            </w:pPr>
            <w:r>
              <w:rPr>
                <w:rFonts w:ascii="Arial" w:cs="Arial" w:eastAsia="Arial" w:hAnsi="Arial"/>
                <w:sz w:val="18"/>
                <w:szCs w:val="18"/>
                <w:color w:val="auto"/>
              </w:rPr>
              <w:t>Total assets</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264</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350</w:t>
            </w:r>
          </w:p>
        </w:tc>
        <w:tc>
          <w:tcPr>
            <w:tcW w:w="100" w:type="dxa"/>
            <w:vAlign w:val="bottom"/>
          </w:tcPr>
          <w:p>
            <w:pPr>
              <w:spacing w:after="0"/>
              <w:rPr>
                <w:sz w:val="22"/>
                <w:szCs w:val="22"/>
                <w:color w:val="auto"/>
              </w:rPr>
            </w:pPr>
          </w:p>
        </w:tc>
        <w:tc>
          <w:tcPr>
            <w:tcW w:w="2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614</w:t>
            </w:r>
          </w:p>
        </w:tc>
      </w:tr>
      <w:tr>
        <w:trPr>
          <w:trHeight w:val="20"/>
        </w:trPr>
        <w:tc>
          <w:tcPr>
            <w:tcW w:w="6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tbl>
      <w:tblPr>
        <w:tblLayout w:type="fixed"/>
        <w:tblInd w:w="500" w:type="dxa"/>
        <w:tblCellMar>
          <w:top w:w="0" w:type="dxa"/>
          <w:left w:w="0" w:type="dxa"/>
          <w:bottom w:w="0" w:type="dxa"/>
          <w:right w:w="0" w:type="dxa"/>
        </w:tblCellMar>
      </w:tblPr>
      <w:tr>
        <w:trPr>
          <w:trHeight w:val="246"/>
        </w:trPr>
        <w:tc>
          <w:tcPr>
            <w:tcW w:w="6640" w:type="dxa"/>
            <w:vAlign w:val="bottom"/>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280" w:type="dxa"/>
            <w:vAlign w:val="bottom"/>
          </w:tcPr>
          <w:p>
            <w:pPr>
              <w:spacing w:after="0"/>
              <w:rPr>
                <w:sz w:val="21"/>
                <w:szCs w:val="21"/>
                <w:color w:val="auto"/>
              </w:rPr>
            </w:pPr>
          </w:p>
        </w:tc>
      </w:tr>
      <w:tr>
        <w:trPr>
          <w:trHeight w:val="264"/>
        </w:trPr>
        <w:tc>
          <w:tcPr>
            <w:tcW w:w="6640" w:type="dxa"/>
            <w:vAlign w:val="bottom"/>
          </w:tcPr>
          <w:p>
            <w:pPr>
              <w:ind w:left="320"/>
              <w:spacing w:after="0"/>
              <w:rPr>
                <w:sz w:val="20"/>
                <w:szCs w:val="20"/>
                <w:color w:val="auto"/>
              </w:rPr>
            </w:pPr>
            <w:r>
              <w:rPr>
                <w:rFonts w:ascii="Arial" w:cs="Arial" w:eastAsia="Arial" w:hAnsi="Arial"/>
                <w:sz w:val="18"/>
                <w:szCs w:val="18"/>
                <w:b w:val="1"/>
                <w:bCs w:val="1"/>
                <w:color w:val="auto"/>
              </w:rPr>
              <w:t>Asset Class</w:t>
            </w:r>
          </w:p>
        </w:tc>
        <w:tc>
          <w:tcPr>
            <w:tcW w:w="1360" w:type="dxa"/>
            <w:vAlign w:val="bottom"/>
            <w:gridSpan w:val="3"/>
          </w:tcPr>
          <w:p>
            <w:pPr>
              <w:ind w:left="320"/>
              <w:spacing w:after="0"/>
              <w:rPr>
                <w:sz w:val="20"/>
                <w:szCs w:val="20"/>
                <w:color w:val="auto"/>
              </w:rPr>
            </w:pPr>
            <w:r>
              <w:rPr>
                <w:rFonts w:ascii="Arial" w:cs="Arial" w:eastAsia="Arial" w:hAnsi="Arial"/>
                <w:sz w:val="18"/>
                <w:szCs w:val="18"/>
                <w:b w:val="1"/>
                <w:bCs w:val="1"/>
                <w:color w:val="auto"/>
              </w:rPr>
              <w:t>Level 1</w:t>
            </w:r>
          </w:p>
        </w:tc>
        <w:tc>
          <w:tcPr>
            <w:tcW w:w="220" w:type="dxa"/>
            <w:vAlign w:val="bottom"/>
          </w:tcPr>
          <w:p>
            <w:pPr>
              <w:spacing w:after="0"/>
              <w:rPr>
                <w:sz w:val="22"/>
                <w:szCs w:val="22"/>
                <w:color w:val="auto"/>
              </w:rPr>
            </w:pPr>
          </w:p>
        </w:tc>
        <w:tc>
          <w:tcPr>
            <w:tcW w:w="1140" w:type="dxa"/>
            <w:vAlign w:val="bottom"/>
            <w:gridSpan w:val="2"/>
          </w:tcPr>
          <w:p>
            <w:pPr>
              <w:ind w:left="100"/>
              <w:spacing w:after="0"/>
              <w:rPr>
                <w:sz w:val="20"/>
                <w:szCs w:val="20"/>
                <w:color w:val="auto"/>
              </w:rPr>
            </w:pPr>
            <w:r>
              <w:rPr>
                <w:rFonts w:ascii="Arial" w:cs="Arial" w:eastAsia="Arial" w:hAnsi="Arial"/>
                <w:sz w:val="18"/>
                <w:szCs w:val="18"/>
                <w:b w:val="1"/>
                <w:bCs w:val="1"/>
                <w:color w:val="auto"/>
              </w:rPr>
              <w:t>Level 2</w:t>
            </w:r>
          </w:p>
        </w:tc>
        <w:tc>
          <w:tcPr>
            <w:tcW w:w="280" w:type="dxa"/>
            <w:vAlign w:val="bottom"/>
          </w:tcPr>
          <w:p>
            <w:pPr>
              <w:spacing w:after="0"/>
              <w:rPr>
                <w:sz w:val="22"/>
                <w:szCs w:val="22"/>
                <w:color w:val="auto"/>
              </w:rPr>
            </w:pPr>
          </w:p>
        </w:tc>
        <w:tc>
          <w:tcPr>
            <w:tcW w:w="126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w:t>
            </w:r>
          </w:p>
        </w:tc>
      </w:tr>
      <w:tr>
        <w:trPr>
          <w:trHeight w:val="243"/>
        </w:trPr>
        <w:tc>
          <w:tcPr>
            <w:tcW w:w="6640" w:type="dxa"/>
            <w:vAlign w:val="bottom"/>
          </w:tcPr>
          <w:p>
            <w:pPr>
              <w:ind w:left="320"/>
              <w:spacing w:after="0"/>
              <w:rPr>
                <w:sz w:val="20"/>
                <w:szCs w:val="20"/>
                <w:color w:val="auto"/>
              </w:rPr>
            </w:pPr>
            <w:r>
              <w:rPr>
                <w:rFonts w:ascii="Arial" w:cs="Arial" w:eastAsia="Arial" w:hAnsi="Arial"/>
                <w:sz w:val="18"/>
                <w:szCs w:val="18"/>
                <w:color w:val="auto"/>
              </w:rPr>
              <w:t>Cash equivalents and short-term investments</w:t>
            </w:r>
          </w:p>
        </w:tc>
        <w:tc>
          <w:tcPr>
            <w:tcW w:w="620" w:type="dxa"/>
            <w:vAlign w:val="bottom"/>
            <w:tcBorders>
              <w:top w:val="single" w:sz="8" w:color="auto"/>
            </w:tcBorders>
          </w:tcPr>
          <w:p>
            <w:pPr>
              <w:jc w:val="right"/>
              <w:ind w:right="410"/>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28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27</w:t>
            </w:r>
          </w:p>
        </w:tc>
        <w:tc>
          <w:tcPr>
            <w:tcW w:w="280" w:type="dxa"/>
            <w:vAlign w:val="bottom"/>
          </w:tcPr>
          <w:p>
            <w:pPr>
              <w:spacing w:after="0"/>
              <w:rPr>
                <w:sz w:val="21"/>
                <w:szCs w:val="21"/>
                <w:color w:val="auto"/>
              </w:rPr>
            </w:pPr>
          </w:p>
        </w:tc>
      </w:tr>
      <w:tr>
        <w:trPr>
          <w:trHeight w:val="270"/>
        </w:trPr>
        <w:tc>
          <w:tcPr>
            <w:tcW w:w="6640" w:type="dxa"/>
            <w:vAlign w:val="bottom"/>
          </w:tcPr>
          <w:p>
            <w:pPr>
              <w:ind w:left="320"/>
              <w:spacing w:after="0"/>
              <w:rPr>
                <w:sz w:val="20"/>
                <w:szCs w:val="20"/>
                <w:color w:val="auto"/>
              </w:rPr>
            </w:pPr>
            <w:r>
              <w:rPr>
                <w:rFonts w:ascii="Arial" w:cs="Arial" w:eastAsia="Arial" w:hAnsi="Arial"/>
                <w:sz w:val="18"/>
                <w:szCs w:val="18"/>
                <w:color w:val="auto"/>
              </w:rPr>
              <w:t>U.S. equities</w:t>
            </w:r>
          </w:p>
        </w:tc>
        <w:tc>
          <w:tcPr>
            <w:tcW w:w="620" w:type="dxa"/>
            <w:vAlign w:val="bottom"/>
          </w:tcPr>
          <w:p>
            <w:pPr>
              <w:spacing w:after="0"/>
              <w:rPr>
                <w:sz w:val="23"/>
                <w:szCs w:val="23"/>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121</w:t>
            </w:r>
          </w:p>
        </w:tc>
        <w:tc>
          <w:tcPr>
            <w:tcW w:w="280" w:type="dxa"/>
            <w:vAlign w:val="bottom"/>
          </w:tcPr>
          <w:p>
            <w:pPr>
              <w:spacing w:after="0"/>
              <w:rPr>
                <w:sz w:val="23"/>
                <w:szCs w:val="23"/>
                <w:color w:val="auto"/>
              </w:rPr>
            </w:pPr>
          </w:p>
        </w:tc>
      </w:tr>
      <w:tr>
        <w:trPr>
          <w:trHeight w:val="270"/>
        </w:trPr>
        <w:tc>
          <w:tcPr>
            <w:tcW w:w="6640" w:type="dxa"/>
            <w:vAlign w:val="bottom"/>
          </w:tcPr>
          <w:p>
            <w:pPr>
              <w:ind w:left="320"/>
              <w:spacing w:after="0"/>
              <w:rPr>
                <w:sz w:val="20"/>
                <w:szCs w:val="20"/>
                <w:color w:val="auto"/>
              </w:rPr>
            </w:pPr>
            <w:r>
              <w:rPr>
                <w:rFonts w:ascii="Arial" w:cs="Arial" w:eastAsia="Arial" w:hAnsi="Arial"/>
                <w:sz w:val="18"/>
                <w:szCs w:val="18"/>
                <w:color w:val="auto"/>
              </w:rPr>
              <w:t>Non-U.S. equities</w:t>
            </w:r>
          </w:p>
        </w:tc>
        <w:tc>
          <w:tcPr>
            <w:tcW w:w="620" w:type="dxa"/>
            <w:vAlign w:val="bottom"/>
          </w:tcPr>
          <w:p>
            <w:pPr>
              <w:spacing w:after="0"/>
              <w:rPr>
                <w:sz w:val="23"/>
                <w:szCs w:val="23"/>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110</w:t>
            </w:r>
          </w:p>
        </w:tc>
        <w:tc>
          <w:tcPr>
            <w:tcW w:w="280" w:type="dxa"/>
            <w:vAlign w:val="bottom"/>
          </w:tcPr>
          <w:p>
            <w:pPr>
              <w:spacing w:after="0"/>
              <w:rPr>
                <w:sz w:val="23"/>
                <w:szCs w:val="23"/>
                <w:color w:val="auto"/>
              </w:rPr>
            </w:pPr>
          </w:p>
        </w:tc>
      </w:tr>
      <w:tr>
        <w:trPr>
          <w:trHeight w:val="270"/>
        </w:trPr>
        <w:tc>
          <w:tcPr>
            <w:tcW w:w="6640" w:type="dxa"/>
            <w:vAlign w:val="bottom"/>
          </w:tcPr>
          <w:p>
            <w:pPr>
              <w:ind w:left="320"/>
              <w:spacing w:after="0"/>
              <w:rPr>
                <w:sz w:val="20"/>
                <w:szCs w:val="20"/>
                <w:color w:val="auto"/>
              </w:rPr>
            </w:pPr>
            <w:r>
              <w:rPr>
                <w:rFonts w:ascii="Arial" w:cs="Arial" w:eastAsia="Arial" w:hAnsi="Arial"/>
                <w:sz w:val="18"/>
                <w:szCs w:val="18"/>
                <w:color w:val="auto"/>
              </w:rPr>
              <w:t>Real estate</w:t>
            </w:r>
          </w:p>
        </w:tc>
        <w:tc>
          <w:tcPr>
            <w:tcW w:w="620" w:type="dxa"/>
            <w:vAlign w:val="bottom"/>
          </w:tcPr>
          <w:p>
            <w:pPr>
              <w:spacing w:after="0"/>
              <w:rPr>
                <w:sz w:val="23"/>
                <w:szCs w:val="23"/>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15</w:t>
            </w:r>
          </w:p>
        </w:tc>
        <w:tc>
          <w:tcPr>
            <w:tcW w:w="280" w:type="dxa"/>
            <w:vAlign w:val="bottom"/>
          </w:tcPr>
          <w:p>
            <w:pPr>
              <w:spacing w:after="0"/>
              <w:rPr>
                <w:sz w:val="23"/>
                <w:szCs w:val="23"/>
                <w:color w:val="auto"/>
              </w:rPr>
            </w:pPr>
          </w:p>
        </w:tc>
      </w:tr>
      <w:tr>
        <w:trPr>
          <w:trHeight w:val="270"/>
        </w:trPr>
        <w:tc>
          <w:tcPr>
            <w:tcW w:w="6640" w:type="dxa"/>
            <w:vAlign w:val="bottom"/>
          </w:tcPr>
          <w:p>
            <w:pPr>
              <w:ind w:left="320"/>
              <w:spacing w:after="0"/>
              <w:rPr>
                <w:sz w:val="20"/>
                <w:szCs w:val="20"/>
                <w:color w:val="auto"/>
              </w:rPr>
            </w:pPr>
            <w:r>
              <w:rPr>
                <w:rFonts w:ascii="Arial" w:cs="Arial" w:eastAsia="Arial" w:hAnsi="Arial"/>
                <w:sz w:val="18"/>
                <w:szCs w:val="18"/>
                <w:color w:val="auto"/>
              </w:rPr>
              <w:t>Government bonds</w:t>
            </w:r>
          </w:p>
        </w:tc>
        <w:tc>
          <w:tcPr>
            <w:tcW w:w="620" w:type="dxa"/>
            <w:vAlign w:val="bottom"/>
          </w:tcPr>
          <w:p>
            <w:pPr>
              <w:spacing w:after="0"/>
              <w:rPr>
                <w:sz w:val="23"/>
                <w:szCs w:val="23"/>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77</w:t>
            </w:r>
          </w:p>
        </w:tc>
        <w:tc>
          <w:tcPr>
            <w:tcW w:w="280" w:type="dxa"/>
            <w:vAlign w:val="bottom"/>
          </w:tcPr>
          <w:p>
            <w:pPr>
              <w:spacing w:after="0"/>
              <w:rPr>
                <w:sz w:val="23"/>
                <w:szCs w:val="23"/>
                <w:color w:val="auto"/>
              </w:rPr>
            </w:pPr>
          </w:p>
        </w:tc>
      </w:tr>
      <w:tr>
        <w:trPr>
          <w:trHeight w:val="270"/>
        </w:trPr>
        <w:tc>
          <w:tcPr>
            <w:tcW w:w="6640" w:type="dxa"/>
            <w:vAlign w:val="bottom"/>
          </w:tcPr>
          <w:p>
            <w:pPr>
              <w:ind w:left="320"/>
              <w:spacing w:after="0"/>
              <w:rPr>
                <w:sz w:val="20"/>
                <w:szCs w:val="20"/>
                <w:color w:val="auto"/>
              </w:rPr>
            </w:pPr>
            <w:r>
              <w:rPr>
                <w:rFonts w:ascii="Arial" w:cs="Arial" w:eastAsia="Arial" w:hAnsi="Arial"/>
                <w:sz w:val="18"/>
                <w:szCs w:val="18"/>
                <w:color w:val="auto"/>
              </w:rPr>
              <w:t>Corporate bonds</w:t>
            </w:r>
          </w:p>
        </w:tc>
        <w:tc>
          <w:tcPr>
            <w:tcW w:w="620" w:type="dxa"/>
            <w:vAlign w:val="bottom"/>
          </w:tcPr>
          <w:p>
            <w:pPr>
              <w:spacing w:after="0"/>
              <w:rPr>
                <w:sz w:val="23"/>
                <w:szCs w:val="23"/>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122</w:t>
            </w:r>
          </w:p>
        </w:tc>
        <w:tc>
          <w:tcPr>
            <w:tcW w:w="280" w:type="dxa"/>
            <w:vAlign w:val="bottom"/>
          </w:tcPr>
          <w:p>
            <w:pPr>
              <w:spacing w:after="0"/>
              <w:rPr>
                <w:sz w:val="23"/>
                <w:szCs w:val="23"/>
                <w:color w:val="auto"/>
              </w:rPr>
            </w:pPr>
          </w:p>
        </w:tc>
      </w:tr>
      <w:tr>
        <w:trPr>
          <w:trHeight w:val="277"/>
        </w:trPr>
        <w:tc>
          <w:tcPr>
            <w:tcW w:w="6640" w:type="dxa"/>
            <w:vAlign w:val="bottom"/>
          </w:tcPr>
          <w:p>
            <w:pPr>
              <w:ind w:left="320"/>
              <w:spacing w:after="0"/>
              <w:rPr>
                <w:sz w:val="20"/>
                <w:szCs w:val="20"/>
                <w:color w:val="auto"/>
              </w:rPr>
            </w:pPr>
            <w:r>
              <w:rPr>
                <w:rFonts w:ascii="Arial" w:cs="Arial" w:eastAsia="Arial" w:hAnsi="Arial"/>
                <w:sz w:val="18"/>
                <w:szCs w:val="18"/>
                <w:color w:val="auto"/>
              </w:rPr>
              <w:t>Other assets</w:t>
            </w:r>
          </w:p>
        </w:tc>
        <w:tc>
          <w:tcPr>
            <w:tcW w:w="6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51</w:t>
            </w:r>
          </w:p>
        </w:tc>
        <w:tc>
          <w:tcPr>
            <w:tcW w:w="280" w:type="dxa"/>
            <w:vAlign w:val="bottom"/>
          </w:tcPr>
          <w:p>
            <w:pPr>
              <w:spacing w:after="0"/>
              <w:rPr>
                <w:sz w:val="24"/>
                <w:szCs w:val="24"/>
                <w:color w:val="auto"/>
              </w:rPr>
            </w:pPr>
          </w:p>
        </w:tc>
      </w:tr>
      <w:tr>
        <w:trPr>
          <w:trHeight w:val="257"/>
        </w:trPr>
        <w:tc>
          <w:tcPr>
            <w:tcW w:w="6640" w:type="dxa"/>
            <w:vAlign w:val="bottom"/>
          </w:tcPr>
          <w:p>
            <w:pPr>
              <w:ind w:left="560"/>
              <w:spacing w:after="0"/>
              <w:rPr>
                <w:sz w:val="20"/>
                <w:szCs w:val="20"/>
                <w:color w:val="auto"/>
              </w:rPr>
            </w:pPr>
            <w:r>
              <w:rPr>
                <w:rFonts w:ascii="Arial" w:cs="Arial" w:eastAsia="Arial" w:hAnsi="Arial"/>
                <w:sz w:val="18"/>
                <w:szCs w:val="18"/>
                <w:color w:val="auto"/>
              </w:rPr>
              <w:t>Total assets</w:t>
            </w:r>
          </w:p>
        </w:tc>
        <w:tc>
          <w:tcPr>
            <w:tcW w:w="6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230</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293</w:t>
            </w:r>
          </w:p>
        </w:tc>
        <w:tc>
          <w:tcPr>
            <w:tcW w:w="100" w:type="dxa"/>
            <w:vAlign w:val="bottom"/>
          </w:tcPr>
          <w:p>
            <w:pPr>
              <w:spacing w:after="0"/>
              <w:rPr>
                <w:sz w:val="22"/>
                <w:szCs w:val="22"/>
                <w:color w:val="auto"/>
              </w:rPr>
            </w:pPr>
          </w:p>
        </w:tc>
        <w:tc>
          <w:tcPr>
            <w:tcW w:w="2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523</w:t>
            </w:r>
          </w:p>
        </w:tc>
        <w:tc>
          <w:tcPr>
            <w:tcW w:w="280" w:type="dxa"/>
            <w:vAlign w:val="bottom"/>
          </w:tcPr>
          <w:p>
            <w:pPr>
              <w:spacing w:after="0"/>
              <w:rPr>
                <w:sz w:val="22"/>
                <w:szCs w:val="22"/>
                <w:color w:val="auto"/>
              </w:rPr>
            </w:pPr>
          </w:p>
        </w:tc>
      </w:tr>
      <w:tr>
        <w:trPr>
          <w:trHeight w:val="20"/>
        </w:trPr>
        <w:tc>
          <w:tcPr>
            <w:tcW w:w="66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358"/>
        </w:trPr>
        <w:tc>
          <w:tcPr>
            <w:tcW w:w="7260" w:type="dxa"/>
            <w:vAlign w:val="bottom"/>
            <w:gridSpan w:val="2"/>
          </w:tcPr>
          <w:p>
            <w:pPr>
              <w:spacing w:after="0"/>
              <w:rPr>
                <w:sz w:val="20"/>
                <w:szCs w:val="20"/>
                <w:color w:val="auto"/>
              </w:rPr>
            </w:pPr>
            <w:r>
              <w:rPr>
                <w:rFonts w:ascii="Arial" w:cs="Arial" w:eastAsia="Arial" w:hAnsi="Arial"/>
                <w:sz w:val="18"/>
                <w:szCs w:val="18"/>
                <w:color w:val="auto"/>
                <w:w w:val="99"/>
              </w:rPr>
              <w:t>The Company estimates that future benefit payments from plan assets will be $26 million, $</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w w:val="97"/>
              </w:rPr>
              <w:t>28 million, $</w:t>
            </w:r>
          </w:p>
        </w:tc>
        <w:tc>
          <w:tcPr>
            <w:tcW w:w="2680" w:type="dxa"/>
            <w:vAlign w:val="bottom"/>
            <w:gridSpan w:val="5"/>
          </w:tcPr>
          <w:p>
            <w:pPr>
              <w:spacing w:after="0"/>
              <w:rPr>
                <w:sz w:val="20"/>
                <w:szCs w:val="20"/>
                <w:color w:val="auto"/>
              </w:rPr>
            </w:pPr>
            <w:r>
              <w:rPr>
                <w:rFonts w:ascii="Arial" w:cs="Arial" w:eastAsia="Arial" w:hAnsi="Arial"/>
                <w:sz w:val="18"/>
                <w:szCs w:val="18"/>
                <w:color w:val="auto"/>
                <w:w w:val="99"/>
              </w:rPr>
              <w:t>28 million, $29 million, $31 million</w:t>
            </w:r>
          </w:p>
        </w:tc>
      </w:tr>
      <w:tr>
        <w:trPr>
          <w:trHeight w:val="217"/>
        </w:trPr>
        <w:tc>
          <w:tcPr>
            <w:tcW w:w="6640" w:type="dxa"/>
            <w:vAlign w:val="bottom"/>
          </w:tcPr>
          <w:p>
            <w:pPr>
              <w:spacing w:after="0"/>
              <w:rPr>
                <w:sz w:val="20"/>
                <w:szCs w:val="20"/>
                <w:color w:val="auto"/>
              </w:rPr>
            </w:pPr>
            <w:r>
              <w:rPr>
                <w:rFonts w:ascii="Arial" w:cs="Arial" w:eastAsia="Arial" w:hAnsi="Arial"/>
                <w:sz w:val="18"/>
                <w:szCs w:val="18"/>
                <w:color w:val="auto"/>
              </w:rPr>
              <w:t>and $170 million for 2018, 2019, 2020, 2021, 2022 and 2023 to 2027, respectively.</w:t>
            </w:r>
          </w:p>
        </w:tc>
        <w:tc>
          <w:tcPr>
            <w:tcW w:w="6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r>
    </w:tbl>
    <w:p>
      <w:pPr>
        <w:spacing w:after="0" w:line="13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Multiemployer Plans</w:t>
      </w:r>
    </w:p>
    <w:p>
      <w:pPr>
        <w:spacing w:after="0" w:line="193" w:lineRule="exact"/>
        <w:rPr>
          <w:sz w:val="20"/>
          <w:szCs w:val="20"/>
          <w:color w:val="auto"/>
        </w:rPr>
      </w:pPr>
    </w:p>
    <w:p>
      <w:pPr>
        <w:jc w:val="both"/>
        <w:ind w:left="500"/>
        <w:spacing w:after="0" w:line="250" w:lineRule="auto"/>
        <w:rPr>
          <w:sz w:val="20"/>
          <w:szCs w:val="20"/>
          <w:color w:val="auto"/>
        </w:rPr>
      </w:pPr>
      <w:r>
        <w:rPr>
          <w:rFonts w:ascii="Arial" w:cs="Arial" w:eastAsia="Arial" w:hAnsi="Arial"/>
          <w:sz w:val="18"/>
          <w:szCs w:val="18"/>
          <w:color w:val="auto"/>
        </w:rPr>
        <w:t>The Company contributes to a number of multiemployer plans under the terms of collective-bargaining agreements that cover a portion of its employees. The risks of participating in these multiemployer plans are different from single-employer plans in the following aspects:</w:t>
      </w:r>
    </w:p>
    <w:p>
      <w:pPr>
        <w:spacing w:after="0" w:line="1" w:lineRule="exact"/>
        <w:rPr>
          <w:sz w:val="20"/>
          <w:szCs w:val="20"/>
          <w:color w:val="auto"/>
        </w:rPr>
      </w:pPr>
    </w:p>
    <w:p>
      <w:pPr>
        <w:ind w:left="500" w:right="20"/>
        <w:spacing w:after="0" w:line="252" w:lineRule="auto"/>
        <w:rPr>
          <w:sz w:val="20"/>
          <w:szCs w:val="20"/>
          <w:color w:val="auto"/>
        </w:rPr>
      </w:pPr>
      <w:r>
        <w:rPr>
          <w:rFonts w:ascii="Arial" w:cs="Arial" w:eastAsia="Arial" w:hAnsi="Arial"/>
          <w:sz w:val="18"/>
          <w:szCs w:val="18"/>
          <w:color w:val="auto"/>
        </w:rPr>
        <w:t>(i) assets contributed to the multiemployer plan by one employer may be used to provide benefits to employees of other participating employers; (ii) if a participating employer stops contributing to the plan, the unfunded obligations of the plan may be borne by the remaining participating employers; (iii) if the Company elects to stop participating in a multiemployer plan, it may be required to contribute to such plan an amount based on the under-funded status of the plan; and (iv) the Company has no involvement in the management of the multiemployer plans’ investments. For the years ended December 31, 2017, 2016 and 2015, the Company contributed a total of $9 million in each of the periods to multiemployer plans.</w:t>
      </w:r>
    </w:p>
    <w:p>
      <w:pPr>
        <w:spacing w:after="0" w:line="186" w:lineRule="exact"/>
        <w:rPr>
          <w:sz w:val="20"/>
          <w:szCs w:val="20"/>
          <w:color w:val="auto"/>
        </w:rPr>
      </w:pPr>
    </w:p>
    <w:p>
      <w:pPr>
        <w:ind w:left="500" w:right="9060" w:hanging="492"/>
        <w:spacing w:after="0" w:line="466" w:lineRule="auto"/>
        <w:tabs>
          <w:tab w:leader="none" w:pos="500" w:val="left"/>
        </w:tabs>
        <w:numPr>
          <w:ilvl w:val="0"/>
          <w:numId w:val="95"/>
        </w:numPr>
        <w:rPr>
          <w:rFonts w:ascii="Arial" w:cs="Arial" w:eastAsia="Arial" w:hAnsi="Arial"/>
          <w:sz w:val="17"/>
          <w:szCs w:val="17"/>
          <w:b w:val="1"/>
          <w:bCs w:val="1"/>
          <w:color w:val="auto"/>
        </w:rPr>
      </w:pPr>
      <w:r>
        <w:rPr>
          <w:rFonts w:ascii="Arial" w:cs="Arial" w:eastAsia="Arial" w:hAnsi="Arial"/>
          <w:sz w:val="17"/>
          <w:szCs w:val="17"/>
          <w:b w:val="1"/>
          <w:bCs w:val="1"/>
          <w:color w:val="auto"/>
        </w:rPr>
        <w:t>Financial Instruments Risk Management</w:t>
      </w:r>
    </w:p>
    <w:p>
      <w:pPr>
        <w:spacing w:after="0" w:line="1" w:lineRule="exact"/>
        <w:rPr>
          <w:rFonts w:ascii="Arial" w:cs="Arial" w:eastAsia="Arial" w:hAnsi="Arial"/>
          <w:sz w:val="17"/>
          <w:szCs w:val="17"/>
          <w:b w:val="1"/>
          <w:bCs w:val="1"/>
          <w:color w:val="auto"/>
        </w:rPr>
      </w:pPr>
    </w:p>
    <w:p>
      <w:pPr>
        <w:ind w:left="500" w:right="200"/>
        <w:spacing w:after="0" w:line="266" w:lineRule="auto"/>
        <w:rPr>
          <w:rFonts w:ascii="Arial" w:cs="Arial" w:eastAsia="Arial" w:hAnsi="Arial"/>
          <w:sz w:val="17"/>
          <w:szCs w:val="17"/>
          <w:b w:val="1"/>
          <w:bCs w:val="1"/>
          <w:color w:val="auto"/>
        </w:rPr>
      </w:pPr>
      <w:r>
        <w:rPr>
          <w:rFonts w:ascii="Arial" w:cs="Arial" w:eastAsia="Arial" w:hAnsi="Arial"/>
          <w:sz w:val="18"/>
          <w:szCs w:val="18"/>
          <w:i w:val="1"/>
          <w:iCs w:val="1"/>
          <w:color w:val="auto"/>
        </w:rPr>
        <w:t>Currency Risk</w:t>
      </w:r>
      <w:r>
        <w:rPr>
          <w:rFonts w:ascii="Arial" w:cs="Arial" w:eastAsia="Arial" w:hAnsi="Arial"/>
          <w:sz w:val="18"/>
          <w:szCs w:val="18"/>
          <w:color w:val="auto"/>
        </w:rPr>
        <w:t>. The Company uses currency exchange contracts to manage its exposure to changes in currency exchange rates</w:t>
      </w:r>
      <w:r>
        <w:rPr>
          <w:rFonts w:ascii="Arial" w:cs="Arial" w:eastAsia="Arial" w:hAnsi="Arial"/>
          <w:sz w:val="18"/>
          <w:szCs w:val="18"/>
          <w:i w:val="1"/>
          <w:iCs w:val="1"/>
          <w:color w:val="auto"/>
        </w:rPr>
        <w:t xml:space="preserve"> </w:t>
      </w:r>
      <w:r>
        <w:rPr>
          <w:rFonts w:ascii="Arial" w:cs="Arial" w:eastAsia="Arial" w:hAnsi="Arial"/>
          <w:sz w:val="18"/>
          <w:szCs w:val="18"/>
          <w:color w:val="auto"/>
        </w:rPr>
        <w:t>associated with its non-U.S.-dollar denominated receivables and forecasted royalties, forecasted earnings of non-U.S. subsidiaries and forecasted non-U.S.-dollar denominated</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F-43</w:t>
      </w:r>
    </w:p>
    <w:p>
      <w:pPr>
        <w:sectPr>
          <w:pgSz w:w="11900" w:h="16838" w:orient="portrait"/>
          <w:cols w:equalWidth="0" w:num="1">
            <w:col w:w="11420"/>
          </w:cols>
          <w:pgMar w:left="240" w:top="140" w:right="239" w:bottom="1440" w:gutter="0" w:footer="0" w:header="0"/>
        </w:sectPr>
      </w:pPr>
    </w:p>
    <w:bookmarkStart w:id="109" w:name="page110"/>
    <w:bookmarkEnd w:id="10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3" w:lineRule="exact"/>
        <w:rPr>
          <w:sz w:val="20"/>
          <w:szCs w:val="20"/>
          <w:color w:val="auto"/>
        </w:rPr>
      </w:pPr>
    </w:p>
    <w:p>
      <w:pPr>
        <w:ind w:left="500" w:right="100"/>
        <w:spacing w:after="0" w:line="252" w:lineRule="auto"/>
        <w:rPr>
          <w:sz w:val="20"/>
          <w:szCs w:val="20"/>
          <w:color w:val="auto"/>
        </w:rPr>
      </w:pPr>
      <w:r>
        <w:rPr>
          <w:rFonts w:ascii="Arial" w:cs="Arial" w:eastAsia="Arial" w:hAnsi="Arial"/>
          <w:sz w:val="18"/>
          <w:szCs w:val="18"/>
          <w:color w:val="auto"/>
        </w:rPr>
        <w:t>acquisitions. The Company primarily hedges a portion of its current-year currency exposure to the Australian, Canadian and New Zealand dollars, the euro and the British pound sterling. The majority of forward contracts do not qualify for hedge accounting treatment. The fluctuations in the value of these forward contracts do, however, largely offset the impact of changes in the value of the underlying risk they economically hedge. Forward contracts used to hedge forecasted third-party receipts and disbursements up to 12 months are designated and do qualify as cash flow hedges. The Company has designated its euro-denominated notes as a hedge of its investment in euro-denominated foreign operations.</w:t>
      </w:r>
    </w:p>
    <w:p>
      <w:pPr>
        <w:spacing w:after="0" w:line="155" w:lineRule="exact"/>
        <w:rPr>
          <w:sz w:val="20"/>
          <w:szCs w:val="20"/>
          <w:color w:val="auto"/>
        </w:rPr>
      </w:pPr>
    </w:p>
    <w:p>
      <w:pPr>
        <w:ind w:left="500" w:right="180"/>
        <w:spacing w:after="0" w:line="254" w:lineRule="auto"/>
        <w:rPr>
          <w:sz w:val="20"/>
          <w:szCs w:val="20"/>
          <w:color w:val="auto"/>
        </w:rPr>
      </w:pPr>
      <w:r>
        <w:rPr>
          <w:rFonts w:ascii="Arial" w:cs="Arial" w:eastAsia="Arial" w:hAnsi="Arial"/>
          <w:sz w:val="18"/>
          <w:szCs w:val="18"/>
          <w:color w:val="auto"/>
        </w:rPr>
        <w:t>The amount of gains or losses reclassified from other comprehensive income (loss) to earnings resulting from ineffectiveness or from excluding a component of the hedges’ gain or loss from the effectiveness calculation for cash flow and net investment hedges during 2017, 2016 and 2015 was not material, nor is the amount of gains or losses the Company expects to reclassify from accumulated other comprehensive income (loss) to earnings over the next 12 months.</w:t>
      </w:r>
    </w:p>
    <w:p>
      <w:pPr>
        <w:spacing w:after="0" w:line="132" w:lineRule="exact"/>
        <w:rPr>
          <w:sz w:val="20"/>
          <w:szCs w:val="20"/>
          <w:color w:val="auto"/>
        </w:rPr>
      </w:pPr>
    </w:p>
    <w:p>
      <w:pPr>
        <w:ind w:left="500" w:right="400"/>
        <w:spacing w:after="0" w:line="258" w:lineRule="auto"/>
        <w:rPr>
          <w:sz w:val="20"/>
          <w:szCs w:val="20"/>
          <w:color w:val="auto"/>
        </w:rPr>
      </w:pPr>
      <w:r>
        <w:rPr>
          <w:rFonts w:ascii="Arial" w:cs="Arial" w:eastAsia="Arial" w:hAnsi="Arial"/>
          <w:sz w:val="18"/>
          <w:szCs w:val="18"/>
          <w:i w:val="1"/>
          <w:iCs w:val="1"/>
          <w:color w:val="auto"/>
        </w:rPr>
        <w:t>Interest Rate Risk</w:t>
      </w:r>
      <w:r>
        <w:rPr>
          <w:rFonts w:ascii="Arial" w:cs="Arial" w:eastAsia="Arial" w:hAnsi="Arial"/>
          <w:sz w:val="18"/>
          <w:szCs w:val="18"/>
          <w:color w:val="auto"/>
        </w:rPr>
        <w:t>. The Company uses various hedging strategies including interest rate swaps and interest rate caps to create an</w:t>
      </w:r>
      <w:r>
        <w:rPr>
          <w:rFonts w:ascii="Arial" w:cs="Arial" w:eastAsia="Arial" w:hAnsi="Arial"/>
          <w:sz w:val="18"/>
          <w:szCs w:val="18"/>
          <w:i w:val="1"/>
          <w:iCs w:val="1"/>
          <w:color w:val="auto"/>
        </w:rPr>
        <w:t xml:space="preserve"> </w:t>
      </w:r>
      <w:r>
        <w:rPr>
          <w:rFonts w:ascii="Arial" w:cs="Arial" w:eastAsia="Arial" w:hAnsi="Arial"/>
          <w:sz w:val="18"/>
          <w:szCs w:val="18"/>
          <w:color w:val="auto"/>
        </w:rPr>
        <w:t>appropriate mix of fixed and floating rate assets and liabilities. The after-tax amount of gains or losses reclassified from accumulated other comprehensive income (loss) to earnings resulting from ineffectiveness for 2017, 2016 and 2015 was not material to the Company’s results of operations, nor is the amount of gains or losses the Company expects to reclassify from accumulated other comprehensive income (loss) to earnings over the next 12 months.</w:t>
      </w:r>
    </w:p>
    <w:p>
      <w:pPr>
        <w:spacing w:after="0" w:line="130" w:lineRule="exact"/>
        <w:rPr>
          <w:sz w:val="20"/>
          <w:szCs w:val="20"/>
          <w:color w:val="auto"/>
        </w:rPr>
      </w:pPr>
    </w:p>
    <w:p>
      <w:pPr>
        <w:ind w:left="500" w:right="20"/>
        <w:spacing w:after="0" w:line="266" w:lineRule="auto"/>
        <w:rPr>
          <w:sz w:val="20"/>
          <w:szCs w:val="20"/>
          <w:color w:val="auto"/>
        </w:rPr>
      </w:pPr>
      <w:r>
        <w:rPr>
          <w:rFonts w:ascii="Arial" w:cs="Arial" w:eastAsia="Arial" w:hAnsi="Arial"/>
          <w:sz w:val="18"/>
          <w:szCs w:val="18"/>
          <w:i w:val="1"/>
          <w:iCs w:val="1"/>
          <w:color w:val="auto"/>
        </w:rPr>
        <w:t xml:space="preserve">Commodity Risk. </w:t>
      </w:r>
      <w:r>
        <w:rPr>
          <w:rFonts w:ascii="Arial" w:cs="Arial" w:eastAsia="Arial" w:hAnsi="Arial"/>
          <w:sz w:val="18"/>
          <w:szCs w:val="18"/>
          <w:color w:val="auto"/>
        </w:rPr>
        <w:t>The Company periodically enters into derivative commodity contracts to manage its exposure to changes in the price of</w:t>
      </w:r>
      <w:r>
        <w:rPr>
          <w:rFonts w:ascii="Arial" w:cs="Arial" w:eastAsia="Arial" w:hAnsi="Arial"/>
          <w:sz w:val="18"/>
          <w:szCs w:val="18"/>
          <w:i w:val="1"/>
          <w:iCs w:val="1"/>
          <w:color w:val="auto"/>
        </w:rPr>
        <w:t xml:space="preserve"> </w:t>
      </w:r>
      <w:r>
        <w:rPr>
          <w:rFonts w:ascii="Arial" w:cs="Arial" w:eastAsia="Arial" w:hAnsi="Arial"/>
          <w:sz w:val="18"/>
          <w:szCs w:val="18"/>
          <w:color w:val="auto"/>
        </w:rPr>
        <w:t>gasoline. These instruments were designated as freestanding derivatives and the changes in fair value are recorded in the Company’s consolidated results of operations.</w:t>
      </w:r>
    </w:p>
    <w:p>
      <w:pPr>
        <w:spacing w:after="0" w:line="122" w:lineRule="exact"/>
        <w:rPr>
          <w:sz w:val="20"/>
          <w:szCs w:val="20"/>
          <w:color w:val="auto"/>
        </w:rPr>
      </w:pPr>
    </w:p>
    <w:p>
      <w:pPr>
        <w:ind w:left="500"/>
        <w:spacing w:after="0" w:line="258" w:lineRule="auto"/>
        <w:rPr>
          <w:sz w:val="20"/>
          <w:szCs w:val="20"/>
          <w:color w:val="auto"/>
        </w:rPr>
      </w:pPr>
      <w:r>
        <w:rPr>
          <w:rFonts w:ascii="Arial" w:cs="Arial" w:eastAsia="Arial" w:hAnsi="Arial"/>
          <w:sz w:val="18"/>
          <w:szCs w:val="18"/>
          <w:i w:val="1"/>
          <w:iCs w:val="1"/>
          <w:color w:val="auto"/>
        </w:rPr>
        <w:t>Credit Risk and Exposure</w:t>
      </w:r>
      <w:r>
        <w:rPr>
          <w:rFonts w:ascii="Arial" w:cs="Arial" w:eastAsia="Arial" w:hAnsi="Arial"/>
          <w:sz w:val="18"/>
          <w:szCs w:val="18"/>
          <w:color w:val="auto"/>
        </w:rPr>
        <w:t>. The Company is exposed to counterparty credit risks in the event of nonperformance by counterparties to</w:t>
      </w:r>
      <w:r>
        <w:rPr>
          <w:rFonts w:ascii="Arial" w:cs="Arial" w:eastAsia="Arial" w:hAnsi="Arial"/>
          <w:sz w:val="18"/>
          <w:szCs w:val="18"/>
          <w:i w:val="1"/>
          <w:iCs w:val="1"/>
          <w:color w:val="auto"/>
        </w:rPr>
        <w:t xml:space="preserve"> </w:t>
      </w:r>
      <w:r>
        <w:rPr>
          <w:rFonts w:ascii="Arial" w:cs="Arial" w:eastAsia="Arial" w:hAnsi="Arial"/>
          <w:sz w:val="18"/>
          <w:szCs w:val="18"/>
          <w:color w:val="auto"/>
        </w:rPr>
        <w:t>various agreements and sales transactions. The Company manages such risk by evaluating the financial position and creditworthiness of such counterparties and by requiring collateral in certain instances in which financing is provided. The Company mitigates counterparty credit risk associated with its derivative contracts by monitoring the amount for which it is at risk with each counterparty, periodically evaluating counterparty creditworthiness and financial position, and where possible, dispersing its risk among multiple counterparties.</w:t>
      </w:r>
    </w:p>
    <w:p>
      <w:pPr>
        <w:spacing w:after="0" w:line="148" w:lineRule="exact"/>
        <w:rPr>
          <w:sz w:val="20"/>
          <w:szCs w:val="20"/>
          <w:color w:val="auto"/>
        </w:rPr>
      </w:pPr>
    </w:p>
    <w:p>
      <w:pPr>
        <w:ind w:left="500"/>
        <w:spacing w:after="0" w:line="252" w:lineRule="auto"/>
        <w:rPr>
          <w:sz w:val="20"/>
          <w:szCs w:val="20"/>
          <w:color w:val="auto"/>
        </w:rPr>
      </w:pPr>
      <w:r>
        <w:rPr>
          <w:rFonts w:ascii="Arial" w:cs="Arial" w:eastAsia="Arial" w:hAnsi="Arial"/>
          <w:sz w:val="18"/>
          <w:szCs w:val="18"/>
          <w:color w:val="auto"/>
        </w:rPr>
        <w:t>There were no significant concentrations of credit risk with any individual counterparty or groups of counterparties at December 31, 2017 or 2016, other than (i) risks related to the Company’s repurchase and guaranteed depreciation agreements with domestic and foreign car manufacturers, and primarily with respect to receivables for program cars that were disposed but for which the Company has not yet received payment from the manufacturers (see Note 2-Summary of Significant Accounting Policies), (ii) receivables from Realogy and Wyndham related to certain contingent, income tax and other corporate liabilities assumed by Realogy and Wyndham in connection with their disposition and (iii) risks related to leases which have been assumed by Realogy but of which the Company is a guarantor. Concentrations of credit risk associated with trade receivables are considered minimal due to the Company’s diverse customer base. The Company does not normally require collateral or other security to support credit sales.</w:t>
      </w:r>
    </w:p>
    <w:p>
      <w:pPr>
        <w:spacing w:after="0" w:line="130"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Fair Value</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Derivative instruments and hedging activities</w:t>
      </w:r>
    </w:p>
    <w:p>
      <w:pPr>
        <w:spacing w:after="0" w:line="193" w:lineRule="exact"/>
        <w:rPr>
          <w:sz w:val="20"/>
          <w:szCs w:val="20"/>
          <w:color w:val="auto"/>
        </w:rPr>
      </w:pPr>
    </w:p>
    <w:p>
      <w:pPr>
        <w:ind w:left="500" w:right="140"/>
        <w:spacing w:after="0" w:line="262" w:lineRule="auto"/>
        <w:rPr>
          <w:sz w:val="20"/>
          <w:szCs w:val="20"/>
          <w:color w:val="auto"/>
        </w:rPr>
      </w:pPr>
      <w:r>
        <w:rPr>
          <w:rFonts w:ascii="Arial" w:cs="Arial" w:eastAsia="Arial" w:hAnsi="Arial"/>
          <w:sz w:val="18"/>
          <w:szCs w:val="18"/>
          <w:color w:val="auto"/>
        </w:rPr>
        <w:t>As described above, derivative assets and liabilities consist principally of currency exchange contracts, interest rate swaps, interest rate caps and commodity contracts.</w:t>
      </w:r>
    </w:p>
    <w:p>
      <w:pPr>
        <w:spacing w:after="0" w:line="142" w:lineRule="exact"/>
        <w:rPr>
          <w:sz w:val="20"/>
          <w:szCs w:val="20"/>
          <w:color w:val="auto"/>
        </w:rPr>
      </w:pPr>
    </w:p>
    <w:tbl>
      <w:tblPr>
        <w:tblLayout w:type="fixed"/>
        <w:tblInd w:w="500" w:type="dxa"/>
        <w:tblCellMar>
          <w:top w:w="0" w:type="dxa"/>
          <w:left w:w="0" w:type="dxa"/>
          <w:bottom w:w="0" w:type="dxa"/>
          <w:right w:w="0" w:type="dxa"/>
        </w:tblCellMar>
      </w:tblPr>
      <w:tr>
        <w:trPr>
          <w:trHeight w:val="217"/>
        </w:trPr>
        <w:tc>
          <w:tcPr>
            <w:tcW w:w="7600" w:type="dxa"/>
            <w:vAlign w:val="bottom"/>
          </w:tcPr>
          <w:p>
            <w:pPr>
              <w:spacing w:after="0"/>
              <w:rPr>
                <w:sz w:val="20"/>
                <w:szCs w:val="20"/>
                <w:color w:val="auto"/>
              </w:rPr>
            </w:pPr>
            <w:r>
              <w:rPr>
                <w:rFonts w:ascii="Arial" w:cs="Arial" w:eastAsia="Arial" w:hAnsi="Arial"/>
                <w:sz w:val="18"/>
                <w:szCs w:val="18"/>
                <w:color w:val="auto"/>
              </w:rPr>
              <w:t>The Company held derivative instruments with absolute notional values as follows:</w:t>
            </w: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399"/>
        </w:trPr>
        <w:tc>
          <w:tcPr>
            <w:tcW w:w="76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4"/>
          </w:tcPr>
          <w:p>
            <w:pPr>
              <w:jc w:val="right"/>
              <w:ind w:right="570"/>
              <w:spacing w:after="0"/>
              <w:rPr>
                <w:sz w:val="20"/>
                <w:szCs w:val="20"/>
                <w:color w:val="auto"/>
              </w:rPr>
            </w:pPr>
            <w:r>
              <w:rPr>
                <w:rFonts w:ascii="Arial" w:cs="Arial" w:eastAsia="Arial" w:hAnsi="Arial"/>
                <w:sz w:val="18"/>
                <w:szCs w:val="18"/>
                <w:b w:val="1"/>
                <w:bCs w:val="1"/>
                <w:color w:val="auto"/>
              </w:rPr>
              <w:t>As of December 31,</w:t>
            </w:r>
          </w:p>
        </w:tc>
      </w:tr>
      <w:tr>
        <w:trPr>
          <w:trHeight w:val="264"/>
        </w:trPr>
        <w:tc>
          <w:tcPr>
            <w:tcW w:w="76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2016</w:t>
            </w:r>
          </w:p>
        </w:tc>
      </w:tr>
      <w:tr>
        <w:trPr>
          <w:trHeight w:val="296"/>
        </w:trPr>
        <w:tc>
          <w:tcPr>
            <w:tcW w:w="7600" w:type="dxa"/>
            <w:vAlign w:val="bottom"/>
          </w:tcPr>
          <w:p>
            <w:pPr>
              <w:ind w:left="320"/>
              <w:spacing w:after="0"/>
              <w:rPr>
                <w:sz w:val="20"/>
                <w:szCs w:val="20"/>
                <w:color w:val="auto"/>
              </w:rPr>
            </w:pPr>
            <w:r>
              <w:rPr>
                <w:rFonts w:ascii="Arial" w:cs="Arial" w:eastAsia="Arial" w:hAnsi="Arial"/>
                <w:sz w:val="18"/>
                <w:szCs w:val="18"/>
                <w:color w:val="auto"/>
              </w:rPr>
              <w:t xml:space="preserve">Interest rate caps </w:t>
            </w:r>
            <w:r>
              <w:rPr>
                <w:rFonts w:ascii="Arial" w:cs="Arial" w:eastAsia="Arial" w:hAnsi="Arial"/>
                <w:sz w:val="21"/>
                <w:szCs w:val="21"/>
                <w:color w:val="auto"/>
                <w:vertAlign w:val="superscript"/>
              </w:rPr>
              <w:t>(a)</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10,968</w:t>
            </w:r>
          </w:p>
        </w:tc>
        <w:tc>
          <w:tcPr>
            <w:tcW w:w="100" w:type="dxa"/>
            <w:vAlign w:val="bottom"/>
          </w:tcPr>
          <w:p>
            <w:pPr>
              <w:spacing w:after="0"/>
              <w:rPr>
                <w:sz w:val="24"/>
                <w:szCs w:val="24"/>
                <w:color w:val="auto"/>
              </w:rPr>
            </w:pP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9,736</w:t>
            </w:r>
          </w:p>
        </w:tc>
      </w:tr>
      <w:tr>
        <w:trPr>
          <w:trHeight w:val="217"/>
        </w:trPr>
        <w:tc>
          <w:tcPr>
            <w:tcW w:w="7600" w:type="dxa"/>
            <w:vAlign w:val="bottom"/>
          </w:tcPr>
          <w:p>
            <w:pPr>
              <w:ind w:left="320"/>
              <w:spacing w:after="0"/>
              <w:rPr>
                <w:sz w:val="20"/>
                <w:szCs w:val="20"/>
                <w:color w:val="auto"/>
              </w:rPr>
            </w:pPr>
            <w:r>
              <w:rPr>
                <w:rFonts w:ascii="Arial" w:cs="Arial" w:eastAsia="Arial" w:hAnsi="Arial"/>
                <w:sz w:val="18"/>
                <w:szCs w:val="18"/>
                <w:color w:val="auto"/>
              </w:rPr>
              <w:t>Interest rate swaps</w:t>
            </w:r>
          </w:p>
        </w:tc>
        <w:tc>
          <w:tcPr>
            <w:tcW w:w="32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1,950</w:t>
            </w:r>
          </w:p>
        </w:tc>
      </w:tr>
      <w:tr>
        <w:trPr>
          <w:trHeight w:val="270"/>
        </w:trPr>
        <w:tc>
          <w:tcPr>
            <w:tcW w:w="7600" w:type="dxa"/>
            <w:vAlign w:val="bottom"/>
          </w:tcPr>
          <w:p>
            <w:pPr>
              <w:ind w:left="320"/>
              <w:spacing w:after="0"/>
              <w:rPr>
                <w:sz w:val="20"/>
                <w:szCs w:val="20"/>
                <w:color w:val="auto"/>
              </w:rPr>
            </w:pPr>
            <w:r>
              <w:rPr>
                <w:rFonts w:ascii="Arial" w:cs="Arial" w:eastAsia="Arial" w:hAnsi="Arial"/>
                <w:sz w:val="18"/>
                <w:szCs w:val="18"/>
                <w:color w:val="auto"/>
              </w:rPr>
              <w:t>Foreign exchange contracts</w:t>
            </w:r>
          </w:p>
        </w:tc>
        <w:tc>
          <w:tcPr>
            <w:tcW w:w="32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934</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692</w:t>
            </w:r>
          </w:p>
        </w:tc>
      </w:tr>
      <w:tr>
        <w:trPr>
          <w:trHeight w:val="226"/>
        </w:trPr>
        <w:tc>
          <w:tcPr>
            <w:tcW w:w="7600" w:type="dxa"/>
            <w:vAlign w:val="bottom"/>
          </w:tcPr>
          <w:p>
            <w:pPr>
              <w:spacing w:after="0"/>
              <w:rPr>
                <w:sz w:val="20"/>
                <w:szCs w:val="20"/>
                <w:color w:val="auto"/>
              </w:rPr>
            </w:pPr>
            <w:r>
              <w:rPr>
                <w:rFonts w:ascii="Arial" w:cs="Arial" w:eastAsia="Arial" w:hAnsi="Arial"/>
                <w:sz w:val="18"/>
                <w:szCs w:val="18"/>
                <w:color w:val="auto"/>
              </w:rPr>
              <w:t>__________</w:t>
            </w: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r>
    </w:tbl>
    <w:p>
      <w:pPr>
        <w:spacing w:after="0" w:line="5" w:lineRule="exact"/>
        <w:rPr>
          <w:sz w:val="20"/>
          <w:szCs w:val="20"/>
          <w:color w:val="auto"/>
        </w:rPr>
      </w:pPr>
    </w:p>
    <w:p>
      <w:pPr>
        <w:ind w:left="820" w:right="20" w:hanging="326"/>
        <w:spacing w:after="0" w:line="210" w:lineRule="auto"/>
        <w:tabs>
          <w:tab w:leader="none" w:pos="820" w:val="left"/>
        </w:tabs>
        <w:numPr>
          <w:ilvl w:val="0"/>
          <w:numId w:val="96"/>
        </w:numPr>
        <w:rPr>
          <w:rFonts w:ascii="Arial" w:cs="Arial" w:eastAsia="Arial" w:hAnsi="Arial"/>
          <w:sz w:val="22"/>
          <w:szCs w:val="22"/>
          <w:color w:val="auto"/>
          <w:vertAlign w:val="superscript"/>
        </w:rPr>
      </w:pPr>
      <w:r>
        <w:rPr>
          <w:rFonts w:ascii="Arial" w:cs="Arial" w:eastAsia="Arial" w:hAnsi="Arial"/>
          <w:sz w:val="16"/>
          <w:szCs w:val="16"/>
          <w:color w:val="auto"/>
        </w:rPr>
        <w:t>Represents $8.0 billion of interest rate caps sold, partially offset by approximately $3.0 billion of interest rate caps purchased at December 31, 2017 and $7.4 billion of interest rate caps sold, partially offset by approximately $2.3</w:t>
      </w: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F-44</w:t>
      </w:r>
    </w:p>
    <w:p>
      <w:pPr>
        <w:sectPr>
          <w:pgSz w:w="11900" w:h="16838" w:orient="portrait"/>
          <w:cols w:equalWidth="0" w:num="1">
            <w:col w:w="11400"/>
          </w:cols>
          <w:pgMar w:left="240" w:top="140" w:right="259" w:bottom="1440" w:gutter="0" w:footer="0" w:header="0"/>
        </w:sectPr>
      </w:pPr>
    </w:p>
    <w:bookmarkStart w:id="110" w:name="page111"/>
    <w:bookmarkEnd w:id="1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81" w:lineRule="exact"/>
        <w:rPr>
          <w:sz w:val="20"/>
          <w:szCs w:val="20"/>
          <w:color w:val="auto"/>
        </w:rPr>
      </w:pPr>
    </w:p>
    <w:p>
      <w:pPr>
        <w:ind w:left="820"/>
        <w:spacing w:after="0" w:line="348" w:lineRule="auto"/>
        <w:rPr>
          <w:sz w:val="20"/>
          <w:szCs w:val="20"/>
          <w:color w:val="auto"/>
        </w:rPr>
      </w:pPr>
      <w:r>
        <w:rPr>
          <w:rFonts w:ascii="Arial" w:cs="Arial" w:eastAsia="Arial" w:hAnsi="Arial"/>
          <w:sz w:val="16"/>
          <w:szCs w:val="16"/>
          <w:color w:val="auto"/>
        </w:rPr>
        <w:t>billion of interest rate caps purchased at December 31, 2016. These amounts exclude $5.0 billion and $5.1 billion of interest rate caps purchased by the Company’s Avis Budget Rental Car Funding subsidiary at December 31, 2017 and 2016, respectively.</w:t>
      </w:r>
    </w:p>
    <w:p>
      <w:pPr>
        <w:spacing w:after="0" w:line="11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Fair values (Level 2) of derivative instruments are as follows:</w:t>
      </w:r>
    </w:p>
    <w:p>
      <w:pPr>
        <w:spacing w:after="0" w:line="181" w:lineRule="exact"/>
        <w:rPr>
          <w:sz w:val="20"/>
          <w:szCs w:val="20"/>
          <w:color w:val="auto"/>
        </w:rPr>
      </w:pPr>
    </w:p>
    <w:tbl>
      <w:tblPr>
        <w:tblLayout w:type="fixed"/>
        <w:tblInd w:w="520" w:type="dxa"/>
        <w:tblCellMar>
          <w:top w:w="0" w:type="dxa"/>
          <w:left w:w="0" w:type="dxa"/>
          <w:bottom w:w="0" w:type="dxa"/>
          <w:right w:w="0" w:type="dxa"/>
        </w:tblCellMar>
      </w:tblPr>
      <w:tr>
        <w:trPr>
          <w:trHeight w:val="228"/>
        </w:trPr>
        <w:tc>
          <w:tcPr>
            <w:tcW w:w="50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440" w:type="dxa"/>
            <w:vAlign w:val="bottom"/>
            <w:tcBorders>
              <w:bottom w:val="single" w:sz="8" w:color="auto"/>
            </w:tcBorders>
            <w:gridSpan w:val="4"/>
          </w:tcPr>
          <w:p>
            <w:pPr>
              <w:jc w:val="right"/>
              <w:ind w:right="239"/>
              <w:spacing w:after="0"/>
              <w:rPr>
                <w:sz w:val="20"/>
                <w:szCs w:val="20"/>
                <w:color w:val="auto"/>
              </w:rPr>
            </w:pPr>
            <w:r>
              <w:rPr>
                <w:rFonts w:ascii="Arial" w:cs="Arial" w:eastAsia="Arial" w:hAnsi="Arial"/>
                <w:sz w:val="16"/>
                <w:szCs w:val="16"/>
                <w:b w:val="1"/>
                <w:bCs w:val="1"/>
                <w:color w:val="auto"/>
              </w:rPr>
              <w:t>As of December 31, 2017</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440" w:type="dxa"/>
            <w:vAlign w:val="bottom"/>
            <w:tcBorders>
              <w:bottom w:val="single" w:sz="8" w:color="auto"/>
            </w:tcBorders>
            <w:gridSpan w:val="4"/>
          </w:tcPr>
          <w:p>
            <w:pPr>
              <w:jc w:val="right"/>
              <w:ind w:right="239"/>
              <w:spacing w:after="0"/>
              <w:rPr>
                <w:sz w:val="20"/>
                <w:szCs w:val="20"/>
                <w:color w:val="auto"/>
              </w:rPr>
            </w:pPr>
            <w:r>
              <w:rPr>
                <w:rFonts w:ascii="Arial" w:cs="Arial" w:eastAsia="Arial" w:hAnsi="Arial"/>
                <w:sz w:val="16"/>
                <w:szCs w:val="16"/>
                <w:b w:val="1"/>
                <w:bCs w:val="1"/>
                <w:color w:val="auto"/>
              </w:rPr>
              <w:t>As of December 31, 2016</w:t>
            </w:r>
          </w:p>
        </w:tc>
      </w:tr>
      <w:tr>
        <w:trPr>
          <w:trHeight w:val="198"/>
        </w:trPr>
        <w:tc>
          <w:tcPr>
            <w:tcW w:w="5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Fair Value,</w:t>
            </w:r>
          </w:p>
        </w:tc>
        <w:tc>
          <w:tcPr>
            <w:tcW w:w="160" w:type="dxa"/>
            <w:vAlign w:val="bottom"/>
          </w:tcPr>
          <w:p>
            <w:pPr>
              <w:spacing w:after="0"/>
              <w:rPr>
                <w:sz w:val="17"/>
                <w:szCs w:val="17"/>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8"/>
              </w:rPr>
              <w:t>Fair Value,</w:t>
            </w:r>
          </w:p>
        </w:tc>
        <w:tc>
          <w:tcPr>
            <w:tcW w:w="14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Fair Value,</w:t>
            </w:r>
          </w:p>
        </w:tc>
        <w:tc>
          <w:tcPr>
            <w:tcW w:w="160" w:type="dxa"/>
            <w:vAlign w:val="bottom"/>
          </w:tcPr>
          <w:p>
            <w:pPr>
              <w:spacing w:after="0"/>
              <w:rPr>
                <w:sz w:val="17"/>
                <w:szCs w:val="17"/>
                <w:color w:val="auto"/>
              </w:rPr>
            </w:pPr>
          </w:p>
        </w:tc>
        <w:tc>
          <w:tcPr>
            <w:tcW w:w="1080" w:type="dxa"/>
            <w:vAlign w:val="bottom"/>
          </w:tcPr>
          <w:p>
            <w:pPr>
              <w:jc w:val="center"/>
              <w:ind w:right="79"/>
              <w:spacing w:after="0"/>
              <w:rPr>
                <w:sz w:val="20"/>
                <w:szCs w:val="20"/>
                <w:color w:val="auto"/>
              </w:rPr>
            </w:pPr>
            <w:r>
              <w:rPr>
                <w:rFonts w:ascii="Arial" w:cs="Arial" w:eastAsia="Arial" w:hAnsi="Arial"/>
                <w:sz w:val="16"/>
                <w:szCs w:val="16"/>
                <w:b w:val="1"/>
                <w:bCs w:val="1"/>
                <w:color w:val="auto"/>
                <w:w w:val="98"/>
              </w:rPr>
              <w:t>Fair Value,</w:t>
            </w:r>
          </w:p>
        </w:tc>
      </w:tr>
      <w:tr>
        <w:trPr>
          <w:trHeight w:val="189"/>
        </w:trPr>
        <w:tc>
          <w:tcPr>
            <w:tcW w:w="5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ind w:left="220"/>
              <w:spacing w:after="0"/>
              <w:rPr>
                <w:sz w:val="20"/>
                <w:szCs w:val="20"/>
                <w:color w:val="auto"/>
              </w:rPr>
            </w:pPr>
            <w:r>
              <w:rPr>
                <w:rFonts w:ascii="Arial" w:cs="Arial" w:eastAsia="Arial" w:hAnsi="Arial"/>
                <w:sz w:val="16"/>
                <w:szCs w:val="16"/>
                <w:b w:val="1"/>
                <w:bCs w:val="1"/>
                <w:color w:val="auto"/>
              </w:rPr>
              <w:t>Asset</w:t>
            </w:r>
          </w:p>
        </w:tc>
        <w:tc>
          <w:tcPr>
            <w:tcW w:w="160" w:type="dxa"/>
            <w:vAlign w:val="bottom"/>
          </w:tcPr>
          <w:p>
            <w:pPr>
              <w:spacing w:after="0"/>
              <w:rPr>
                <w:sz w:val="16"/>
                <w:szCs w:val="16"/>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9"/>
              </w:rPr>
              <w:t>Liability</w:t>
            </w:r>
          </w:p>
        </w:tc>
        <w:tc>
          <w:tcPr>
            <w:tcW w:w="140" w:type="dxa"/>
            <w:vAlign w:val="bottom"/>
          </w:tcPr>
          <w:p>
            <w:pPr>
              <w:spacing w:after="0"/>
              <w:rPr>
                <w:sz w:val="16"/>
                <w:szCs w:val="16"/>
                <w:color w:val="auto"/>
              </w:rPr>
            </w:pPr>
          </w:p>
        </w:tc>
        <w:tc>
          <w:tcPr>
            <w:tcW w:w="1200" w:type="dxa"/>
            <w:vAlign w:val="bottom"/>
            <w:gridSpan w:val="2"/>
          </w:tcPr>
          <w:p>
            <w:pPr>
              <w:ind w:left="240"/>
              <w:spacing w:after="0"/>
              <w:rPr>
                <w:sz w:val="20"/>
                <w:szCs w:val="20"/>
                <w:color w:val="auto"/>
              </w:rPr>
            </w:pPr>
            <w:r>
              <w:rPr>
                <w:rFonts w:ascii="Arial" w:cs="Arial" w:eastAsia="Arial" w:hAnsi="Arial"/>
                <w:sz w:val="16"/>
                <w:szCs w:val="16"/>
                <w:b w:val="1"/>
                <w:bCs w:val="1"/>
                <w:color w:val="auto"/>
              </w:rPr>
              <w:t>Asset</w:t>
            </w:r>
          </w:p>
        </w:tc>
        <w:tc>
          <w:tcPr>
            <w:tcW w:w="160" w:type="dxa"/>
            <w:vAlign w:val="bottom"/>
          </w:tcPr>
          <w:p>
            <w:pPr>
              <w:spacing w:after="0"/>
              <w:rPr>
                <w:sz w:val="16"/>
                <w:szCs w:val="16"/>
                <w:color w:val="auto"/>
              </w:rPr>
            </w:pPr>
          </w:p>
        </w:tc>
        <w:tc>
          <w:tcPr>
            <w:tcW w:w="1080" w:type="dxa"/>
            <w:vAlign w:val="bottom"/>
          </w:tcPr>
          <w:p>
            <w:pPr>
              <w:jc w:val="center"/>
              <w:ind w:right="119"/>
              <w:spacing w:after="0"/>
              <w:rPr>
                <w:sz w:val="20"/>
                <w:szCs w:val="20"/>
                <w:color w:val="auto"/>
              </w:rPr>
            </w:pPr>
            <w:r>
              <w:rPr>
                <w:rFonts w:ascii="Arial" w:cs="Arial" w:eastAsia="Arial" w:hAnsi="Arial"/>
                <w:sz w:val="16"/>
                <w:szCs w:val="16"/>
                <w:b w:val="1"/>
                <w:bCs w:val="1"/>
                <w:color w:val="auto"/>
                <w:w w:val="99"/>
              </w:rPr>
              <w:t>Liability</w:t>
            </w:r>
          </w:p>
        </w:tc>
      </w:tr>
      <w:tr>
        <w:trPr>
          <w:trHeight w:val="228"/>
        </w:trPr>
        <w:tc>
          <w:tcPr>
            <w:tcW w:w="5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Derivatives</w:t>
            </w:r>
          </w:p>
        </w:tc>
        <w:tc>
          <w:tcPr>
            <w:tcW w:w="160" w:type="dxa"/>
            <w:vAlign w:val="bottom"/>
          </w:tcPr>
          <w:p>
            <w:pPr>
              <w:spacing w:after="0"/>
              <w:rPr>
                <w:sz w:val="19"/>
                <w:szCs w:val="19"/>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Derivatives</w:t>
            </w:r>
          </w:p>
        </w:tc>
        <w:tc>
          <w:tcPr>
            <w:tcW w:w="140" w:type="dxa"/>
            <w:vAlign w:val="bottom"/>
          </w:tcPr>
          <w:p>
            <w:pPr>
              <w:spacing w:after="0"/>
              <w:rPr>
                <w:sz w:val="19"/>
                <w:szCs w:val="19"/>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Derivatives</w:t>
            </w:r>
          </w:p>
        </w:tc>
        <w:tc>
          <w:tcPr>
            <w:tcW w:w="160" w:type="dxa"/>
            <w:vAlign w:val="bottom"/>
          </w:tcPr>
          <w:p>
            <w:pPr>
              <w:spacing w:after="0"/>
              <w:rPr>
                <w:sz w:val="19"/>
                <w:szCs w:val="19"/>
                <w:color w:val="auto"/>
              </w:rPr>
            </w:pPr>
          </w:p>
        </w:tc>
        <w:tc>
          <w:tcPr>
            <w:tcW w:w="1080" w:type="dxa"/>
            <w:vAlign w:val="bottom"/>
          </w:tcPr>
          <w:p>
            <w:pPr>
              <w:jc w:val="center"/>
              <w:ind w:right="59"/>
              <w:spacing w:after="0"/>
              <w:rPr>
                <w:sz w:val="20"/>
                <w:szCs w:val="20"/>
                <w:color w:val="auto"/>
              </w:rPr>
            </w:pPr>
            <w:r>
              <w:rPr>
                <w:rFonts w:ascii="Arial" w:cs="Arial" w:eastAsia="Arial" w:hAnsi="Arial"/>
                <w:sz w:val="16"/>
                <w:szCs w:val="16"/>
                <w:b w:val="1"/>
                <w:bCs w:val="1"/>
                <w:color w:val="auto"/>
              </w:rPr>
              <w:t>Derivatives</w:t>
            </w:r>
          </w:p>
        </w:tc>
      </w:tr>
      <w:tr>
        <w:trPr>
          <w:trHeight w:val="251"/>
        </w:trPr>
        <w:tc>
          <w:tcPr>
            <w:tcW w:w="5020" w:type="dxa"/>
            <w:vAlign w:val="bottom"/>
          </w:tcPr>
          <w:p>
            <w:pPr>
              <w:spacing w:after="0"/>
              <w:rPr>
                <w:sz w:val="20"/>
                <w:szCs w:val="20"/>
                <w:color w:val="auto"/>
              </w:rPr>
            </w:pPr>
            <w:r>
              <w:rPr>
                <w:rFonts w:ascii="Arial" w:cs="Arial" w:eastAsia="Arial" w:hAnsi="Arial"/>
                <w:sz w:val="16"/>
                <w:szCs w:val="16"/>
                <w:b w:val="1"/>
                <w:bCs w:val="1"/>
                <w:color w:val="auto"/>
              </w:rPr>
              <w:t>Derivatives designated as hedging instruments</w:t>
            </w:r>
          </w:p>
        </w:tc>
        <w:tc>
          <w:tcPr>
            <w:tcW w:w="14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r>
      <w:tr>
        <w:trPr>
          <w:trHeight w:val="326"/>
        </w:trPr>
        <w:tc>
          <w:tcPr>
            <w:tcW w:w="5020" w:type="dxa"/>
            <w:vAlign w:val="bottom"/>
          </w:tcPr>
          <w:p>
            <w:pPr>
              <w:ind w:left="300"/>
              <w:spacing w:after="0"/>
              <w:rPr>
                <w:sz w:val="20"/>
                <w:szCs w:val="20"/>
                <w:color w:val="auto"/>
              </w:rPr>
            </w:pPr>
            <w:r>
              <w:rPr>
                <w:rFonts w:ascii="Arial" w:cs="Arial" w:eastAsia="Arial" w:hAnsi="Arial"/>
                <w:sz w:val="16"/>
                <w:szCs w:val="16"/>
                <w:color w:val="auto"/>
              </w:rPr>
              <w:t xml:space="preserve">Interest rate swaps </w:t>
            </w:r>
            <w:r>
              <w:rPr>
                <w:rFonts w:ascii="Arial" w:cs="Arial" w:eastAsia="Arial" w:hAnsi="Arial"/>
                <w:sz w:val="21"/>
                <w:szCs w:val="21"/>
                <w:color w:val="auto"/>
                <w:vertAlign w:val="superscript"/>
              </w:rPr>
              <w:t>(a)</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15"/>
        </w:trPr>
        <w:tc>
          <w:tcPr>
            <w:tcW w:w="5020" w:type="dxa"/>
            <w:vAlign w:val="bottom"/>
          </w:tcPr>
          <w:p>
            <w:pPr>
              <w:spacing w:after="0"/>
              <w:rPr>
                <w:sz w:val="20"/>
                <w:szCs w:val="20"/>
                <w:color w:val="auto"/>
              </w:rPr>
            </w:pPr>
            <w:r>
              <w:rPr>
                <w:rFonts w:ascii="Arial" w:cs="Arial" w:eastAsia="Arial" w:hAnsi="Arial"/>
                <w:sz w:val="16"/>
                <w:szCs w:val="16"/>
                <w:b w:val="1"/>
                <w:bCs w:val="1"/>
                <w:color w:val="auto"/>
              </w:rPr>
              <w:t>Derivatives not designated as hedging instruments</w:t>
            </w: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340"/>
        </w:trPr>
        <w:tc>
          <w:tcPr>
            <w:tcW w:w="5020" w:type="dxa"/>
            <w:vAlign w:val="bottom"/>
          </w:tcPr>
          <w:p>
            <w:pPr>
              <w:ind w:left="300"/>
              <w:spacing w:after="0"/>
              <w:rPr>
                <w:sz w:val="20"/>
                <w:szCs w:val="20"/>
                <w:color w:val="auto"/>
              </w:rPr>
            </w:pPr>
            <w:r>
              <w:rPr>
                <w:rFonts w:ascii="Arial" w:cs="Arial" w:eastAsia="Arial" w:hAnsi="Arial"/>
                <w:sz w:val="16"/>
                <w:szCs w:val="16"/>
                <w:color w:val="auto"/>
              </w:rPr>
              <w:t xml:space="preserve">Interest rate caps </w:t>
            </w:r>
            <w:r>
              <w:rPr>
                <w:rFonts w:ascii="Arial" w:cs="Arial" w:eastAsia="Arial" w:hAnsi="Arial"/>
                <w:sz w:val="21"/>
                <w:szCs w:val="21"/>
                <w:color w:val="auto"/>
                <w:vertAlign w:val="superscript"/>
              </w:rPr>
              <w:t>(b)</w:t>
            </w:r>
          </w:p>
        </w:tc>
        <w:tc>
          <w:tcPr>
            <w:tcW w:w="140" w:type="dxa"/>
            <w:vAlign w:val="bottom"/>
          </w:tcPr>
          <w:p>
            <w:pPr>
              <w:spacing w:after="0"/>
              <w:rPr>
                <w:sz w:val="24"/>
                <w:szCs w:val="24"/>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219"/>
        </w:trPr>
        <w:tc>
          <w:tcPr>
            <w:tcW w:w="5020" w:type="dxa"/>
            <w:vAlign w:val="bottom"/>
          </w:tcPr>
          <w:p>
            <w:pPr>
              <w:ind w:left="300"/>
              <w:spacing w:after="0" w:line="219" w:lineRule="exact"/>
              <w:rPr>
                <w:sz w:val="20"/>
                <w:szCs w:val="20"/>
                <w:color w:val="auto"/>
              </w:rPr>
            </w:pPr>
            <w:r>
              <w:rPr>
                <w:rFonts w:ascii="Arial" w:cs="Arial" w:eastAsia="Arial" w:hAnsi="Arial"/>
                <w:sz w:val="16"/>
                <w:szCs w:val="16"/>
                <w:color w:val="auto"/>
              </w:rPr>
              <w:t xml:space="preserve">Foreign exchange contracts </w:t>
            </w:r>
            <w:r>
              <w:rPr>
                <w:rFonts w:ascii="Arial" w:cs="Arial" w:eastAsia="Arial" w:hAnsi="Arial"/>
                <w:sz w:val="21"/>
                <w:szCs w:val="21"/>
                <w:color w:val="auto"/>
                <w:vertAlign w:val="superscript"/>
              </w:rPr>
              <w:t>(c)</w:t>
            </w: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r>
      <w:tr>
        <w:trPr>
          <w:trHeight w:val="217"/>
        </w:trPr>
        <w:tc>
          <w:tcPr>
            <w:tcW w:w="5020" w:type="dxa"/>
            <w:vAlign w:val="bottom"/>
          </w:tcPr>
          <w:p>
            <w:pPr>
              <w:ind w:left="300"/>
              <w:spacing w:after="0"/>
              <w:rPr>
                <w:sz w:val="20"/>
                <w:szCs w:val="20"/>
                <w:color w:val="auto"/>
              </w:rPr>
            </w:pPr>
            <w:r>
              <w:rPr>
                <w:rFonts w:ascii="Arial" w:cs="Arial" w:eastAsia="Arial" w:hAnsi="Arial"/>
                <w:sz w:val="16"/>
                <w:szCs w:val="16"/>
                <w:color w:val="auto"/>
              </w:rPr>
              <w:t>Total</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3512820</wp:posOffset>
            </wp:positionH>
            <wp:positionV relativeFrom="paragraph">
              <wp:posOffset>12700</wp:posOffset>
            </wp:positionV>
            <wp:extent cx="3361690"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361690" cy="26035"/>
                    </a:xfrm>
                    <a:prstGeom prst="rect">
                      <a:avLst/>
                    </a:prstGeom>
                    <a:noFill/>
                  </pic:spPr>
                </pic:pic>
              </a:graphicData>
            </a:graphic>
          </wp:anchor>
        </w:drawing>
      </w:r>
    </w:p>
    <w:p>
      <w:pPr>
        <w:spacing w:after="0" w:line="3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__________</w:t>
      </w:r>
    </w:p>
    <w:p>
      <w:pPr>
        <w:spacing w:after="0" w:line="15" w:lineRule="exact"/>
        <w:rPr>
          <w:sz w:val="20"/>
          <w:szCs w:val="20"/>
          <w:color w:val="auto"/>
        </w:rPr>
      </w:pPr>
    </w:p>
    <w:p>
      <w:pPr>
        <w:jc w:val="both"/>
        <w:ind w:left="500" w:right="260"/>
        <w:spacing w:after="0" w:line="237" w:lineRule="auto"/>
        <w:rPr>
          <w:sz w:val="20"/>
          <w:szCs w:val="20"/>
          <w:color w:val="auto"/>
        </w:rPr>
      </w:pPr>
      <w:r>
        <w:rPr>
          <w:rFonts w:ascii="Arial" w:cs="Arial" w:eastAsia="Arial" w:hAnsi="Arial"/>
          <w:sz w:val="14"/>
          <w:szCs w:val="14"/>
          <w:color w:val="auto"/>
        </w:rPr>
        <w:t>Amounts in this table exclude derivatives issued by Avis Budget Rental Car Funding, as it is not consolidated by the Company; however, certain amounts related to the derivatives held by Avis Budget Rental Car Funding are included within accumulated other comprehensive income (loss), as discussed in Note 15-Stockholders’ Equity.</w:t>
      </w:r>
    </w:p>
    <w:p>
      <w:pPr>
        <w:ind w:left="820" w:hanging="326"/>
        <w:spacing w:after="0" w:line="195" w:lineRule="auto"/>
        <w:tabs>
          <w:tab w:leader="none" w:pos="820" w:val="left"/>
        </w:tabs>
        <w:numPr>
          <w:ilvl w:val="0"/>
          <w:numId w:val="97"/>
        </w:numPr>
        <w:rPr>
          <w:rFonts w:ascii="Arial" w:cs="Arial" w:eastAsia="Arial" w:hAnsi="Arial"/>
          <w:sz w:val="18"/>
          <w:szCs w:val="18"/>
          <w:color w:val="auto"/>
          <w:vertAlign w:val="superscript"/>
        </w:rPr>
      </w:pPr>
      <w:r>
        <w:rPr>
          <w:rFonts w:ascii="Arial" w:cs="Arial" w:eastAsia="Arial" w:hAnsi="Arial"/>
          <w:sz w:val="14"/>
          <w:szCs w:val="14"/>
          <w:color w:val="auto"/>
        </w:rPr>
        <w:t>Included in other non-current assets or other non-current liabilities.</w:t>
      </w:r>
    </w:p>
    <w:p>
      <w:pPr>
        <w:ind w:left="820" w:hanging="326"/>
        <w:spacing w:after="0" w:line="187" w:lineRule="auto"/>
        <w:tabs>
          <w:tab w:leader="none" w:pos="820" w:val="left"/>
        </w:tabs>
        <w:numPr>
          <w:ilvl w:val="0"/>
          <w:numId w:val="97"/>
        </w:numPr>
        <w:rPr>
          <w:rFonts w:ascii="Arial" w:cs="Arial" w:eastAsia="Arial" w:hAnsi="Arial"/>
          <w:sz w:val="18"/>
          <w:szCs w:val="18"/>
          <w:color w:val="auto"/>
          <w:vertAlign w:val="superscript"/>
        </w:rPr>
      </w:pPr>
      <w:r>
        <w:rPr>
          <w:rFonts w:ascii="Arial" w:cs="Arial" w:eastAsia="Arial" w:hAnsi="Arial"/>
          <w:sz w:val="14"/>
          <w:szCs w:val="14"/>
          <w:color w:val="auto"/>
        </w:rPr>
        <w:t>Included in assets under vehicle programs or liabilities under vehicle programs.</w:t>
      </w:r>
    </w:p>
    <w:p>
      <w:pPr>
        <w:ind w:left="820" w:hanging="326"/>
        <w:spacing w:after="0" w:line="199" w:lineRule="auto"/>
        <w:tabs>
          <w:tab w:leader="none" w:pos="820" w:val="left"/>
        </w:tabs>
        <w:numPr>
          <w:ilvl w:val="0"/>
          <w:numId w:val="97"/>
        </w:numPr>
        <w:rPr>
          <w:rFonts w:ascii="Arial" w:cs="Arial" w:eastAsia="Arial" w:hAnsi="Arial"/>
          <w:sz w:val="18"/>
          <w:szCs w:val="18"/>
          <w:color w:val="auto"/>
          <w:vertAlign w:val="superscript"/>
        </w:rPr>
      </w:pPr>
      <w:r>
        <w:rPr>
          <w:rFonts w:ascii="Arial" w:cs="Arial" w:eastAsia="Arial" w:hAnsi="Arial"/>
          <w:sz w:val="14"/>
          <w:szCs w:val="14"/>
          <w:color w:val="auto"/>
        </w:rPr>
        <w:t>Included in other current assets or other current liabilities.</w:t>
      </w:r>
    </w:p>
    <w:p>
      <w:pPr>
        <w:spacing w:after="0" w:line="20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effects of derivatives recognized in the Company’s Consolidated Financial Statements are as follows:</w:t>
      </w:r>
    </w:p>
    <w:p>
      <w:pPr>
        <w:spacing w:after="0" w:line="181" w:lineRule="exact"/>
        <w:rPr>
          <w:sz w:val="20"/>
          <w:szCs w:val="20"/>
          <w:color w:val="auto"/>
        </w:rPr>
      </w:pPr>
    </w:p>
    <w:tbl>
      <w:tblPr>
        <w:tblLayout w:type="fixed"/>
        <w:tblInd w:w="520" w:type="dxa"/>
        <w:tblCellMar>
          <w:top w:w="0" w:type="dxa"/>
          <w:left w:w="0" w:type="dxa"/>
          <w:bottom w:w="0" w:type="dxa"/>
          <w:right w:w="0" w:type="dxa"/>
        </w:tblCellMar>
      </w:tblPr>
      <w:tr>
        <w:trPr>
          <w:trHeight w:val="228"/>
        </w:trPr>
        <w:tc>
          <w:tcPr>
            <w:tcW w:w="6380" w:type="dxa"/>
            <w:vAlign w:val="bottom"/>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2200" w:type="dxa"/>
            <w:vAlign w:val="bottom"/>
            <w:tcBorders>
              <w:bottom w:val="single" w:sz="8" w:color="auto"/>
            </w:tcBorders>
            <w:gridSpan w:val="6"/>
          </w:tcPr>
          <w:p>
            <w:pPr>
              <w:jc w:val="right"/>
              <w:spacing w:after="0"/>
              <w:rPr>
                <w:sz w:val="20"/>
                <w:szCs w:val="20"/>
                <w:color w:val="auto"/>
              </w:rPr>
            </w:pPr>
            <w:r>
              <w:rPr>
                <w:rFonts w:ascii="Arial" w:cs="Arial" w:eastAsia="Arial" w:hAnsi="Arial"/>
                <w:sz w:val="16"/>
                <w:szCs w:val="16"/>
                <w:b w:val="1"/>
                <w:bCs w:val="1"/>
                <w:color w:val="auto"/>
              </w:rPr>
              <w:t>Year Ended December 31,</w:t>
            </w:r>
          </w:p>
        </w:tc>
        <w:tc>
          <w:tcPr>
            <w:tcW w:w="880" w:type="dxa"/>
            <w:vAlign w:val="bottom"/>
            <w:tcBorders>
              <w:bottom w:val="single" w:sz="8" w:color="auto"/>
            </w:tcBorders>
          </w:tcPr>
          <w:p>
            <w:pPr>
              <w:spacing w:after="0"/>
              <w:rPr>
                <w:sz w:val="19"/>
                <w:szCs w:val="19"/>
                <w:color w:val="auto"/>
              </w:rPr>
            </w:pPr>
          </w:p>
        </w:tc>
      </w:tr>
      <w:tr>
        <w:trPr>
          <w:trHeight w:val="264"/>
        </w:trPr>
        <w:tc>
          <w:tcPr>
            <w:tcW w:w="6380" w:type="dxa"/>
            <w:vAlign w:val="bottom"/>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2017</w:t>
            </w:r>
          </w:p>
        </w:tc>
        <w:tc>
          <w:tcPr>
            <w:tcW w:w="38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2015</w:t>
            </w:r>
          </w:p>
        </w:tc>
      </w:tr>
      <w:tr>
        <w:trPr>
          <w:trHeight w:val="287"/>
        </w:trPr>
        <w:tc>
          <w:tcPr>
            <w:tcW w:w="6380" w:type="dxa"/>
            <w:vAlign w:val="bottom"/>
          </w:tcPr>
          <w:p>
            <w:pPr>
              <w:spacing w:after="0"/>
              <w:rPr>
                <w:sz w:val="20"/>
                <w:szCs w:val="20"/>
                <w:color w:val="auto"/>
              </w:rPr>
            </w:pPr>
            <w:r>
              <w:rPr>
                <w:rFonts w:ascii="Arial" w:cs="Arial" w:eastAsia="Arial" w:hAnsi="Arial"/>
                <w:sz w:val="16"/>
                <w:szCs w:val="16"/>
                <w:b w:val="1"/>
                <w:bCs w:val="1"/>
                <w:color w:val="auto"/>
              </w:rPr>
              <w:t xml:space="preserve">Financial instruments designated as hedging instruments </w:t>
            </w:r>
            <w:r>
              <w:rPr>
                <w:rFonts w:ascii="Arial" w:cs="Arial" w:eastAsia="Arial" w:hAnsi="Arial"/>
                <w:sz w:val="21"/>
                <w:szCs w:val="21"/>
                <w:color w:val="auto"/>
                <w:vertAlign w:val="superscript"/>
              </w:rPr>
              <w:t>(a)</w:t>
            </w:r>
          </w:p>
        </w:tc>
        <w:tc>
          <w:tcPr>
            <w:tcW w:w="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34"/>
        </w:trPr>
        <w:tc>
          <w:tcPr>
            <w:tcW w:w="6380" w:type="dxa"/>
            <w:vAlign w:val="bottom"/>
          </w:tcPr>
          <w:p>
            <w:pPr>
              <w:ind w:left="100"/>
              <w:spacing w:after="0"/>
              <w:rPr>
                <w:sz w:val="20"/>
                <w:szCs w:val="20"/>
                <w:color w:val="auto"/>
              </w:rPr>
            </w:pPr>
            <w:r>
              <w:rPr>
                <w:rFonts w:ascii="Arial" w:cs="Arial" w:eastAsia="Arial" w:hAnsi="Arial"/>
                <w:sz w:val="16"/>
                <w:szCs w:val="16"/>
                <w:color w:val="auto"/>
              </w:rPr>
              <w:t>Interest rate swaps</w:t>
            </w:r>
          </w:p>
        </w:tc>
        <w:tc>
          <w:tcPr>
            <w:tcW w:w="840" w:type="dxa"/>
            <w:vAlign w:val="bottom"/>
          </w:tcPr>
          <w:p>
            <w:pPr>
              <w:jc w:val="right"/>
              <w:ind w:right="639"/>
              <w:spacing w:after="0"/>
              <w:rPr>
                <w:sz w:val="20"/>
                <w:szCs w:val="20"/>
                <w:color w:val="auto"/>
              </w:rPr>
            </w:pPr>
            <w:r>
              <w:rPr>
                <w:rFonts w:ascii="Arial" w:cs="Arial" w:eastAsia="Arial" w:hAnsi="Arial"/>
                <w:sz w:val="16"/>
                <w:szCs w:val="16"/>
                <w:color w:val="auto"/>
              </w:rPr>
              <w:t>$</w:t>
            </w:r>
          </w:p>
        </w:tc>
        <w:tc>
          <w:tcPr>
            <w:tcW w:w="380" w:type="dxa"/>
            <w:vAlign w:val="bottom"/>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0"/>
                <w:szCs w:val="20"/>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20"/>
                <w:szCs w:val="20"/>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70"/>
        </w:trPr>
        <w:tc>
          <w:tcPr>
            <w:tcW w:w="6380" w:type="dxa"/>
            <w:vAlign w:val="bottom"/>
          </w:tcPr>
          <w:p>
            <w:pPr>
              <w:ind w:left="100"/>
              <w:spacing w:after="0"/>
              <w:rPr>
                <w:sz w:val="20"/>
                <w:szCs w:val="20"/>
                <w:color w:val="auto"/>
              </w:rPr>
            </w:pPr>
            <w:r>
              <w:rPr>
                <w:rFonts w:ascii="Arial" w:cs="Arial" w:eastAsia="Arial" w:hAnsi="Arial"/>
                <w:sz w:val="16"/>
                <w:szCs w:val="16"/>
                <w:color w:val="auto"/>
              </w:rPr>
              <w:t>Euro-denominated notes</w:t>
            </w:r>
          </w:p>
        </w:tc>
        <w:tc>
          <w:tcPr>
            <w:tcW w:w="840" w:type="dxa"/>
            <w:vAlign w:val="bottom"/>
          </w:tcPr>
          <w:p>
            <w:pPr>
              <w:spacing w:after="0"/>
              <w:rPr>
                <w:sz w:val="23"/>
                <w:szCs w:val="23"/>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(50)</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34</w:t>
            </w:r>
          </w:p>
        </w:tc>
      </w:tr>
      <w:tr>
        <w:trPr>
          <w:trHeight w:val="320"/>
        </w:trPr>
        <w:tc>
          <w:tcPr>
            <w:tcW w:w="6380" w:type="dxa"/>
            <w:vAlign w:val="bottom"/>
          </w:tcPr>
          <w:p>
            <w:pPr>
              <w:spacing w:after="0"/>
              <w:rPr>
                <w:sz w:val="20"/>
                <w:szCs w:val="20"/>
                <w:color w:val="auto"/>
              </w:rPr>
            </w:pPr>
            <w:r>
              <w:rPr>
                <w:rFonts w:ascii="Arial" w:cs="Arial" w:eastAsia="Arial" w:hAnsi="Arial"/>
                <w:sz w:val="16"/>
                <w:szCs w:val="16"/>
                <w:b w:val="1"/>
                <w:bCs w:val="1"/>
                <w:color w:val="auto"/>
              </w:rPr>
              <w:t xml:space="preserve">Financial instruments not designated as hedging instruments </w:t>
            </w:r>
            <w:r>
              <w:rPr>
                <w:rFonts w:ascii="Arial" w:cs="Arial" w:eastAsia="Arial" w:hAnsi="Arial"/>
                <w:sz w:val="21"/>
                <w:szCs w:val="21"/>
                <w:color w:val="auto"/>
                <w:vertAlign w:val="superscript"/>
              </w:rPr>
              <w:t>(b)</w:t>
            </w:r>
          </w:p>
        </w:tc>
        <w:tc>
          <w:tcPr>
            <w:tcW w:w="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91"/>
        </w:trPr>
        <w:tc>
          <w:tcPr>
            <w:tcW w:w="6380" w:type="dxa"/>
            <w:vAlign w:val="bottom"/>
          </w:tcPr>
          <w:p>
            <w:pPr>
              <w:ind w:left="100"/>
              <w:spacing w:after="0"/>
              <w:rPr>
                <w:sz w:val="20"/>
                <w:szCs w:val="20"/>
                <w:color w:val="auto"/>
              </w:rPr>
            </w:pPr>
            <w:r>
              <w:rPr>
                <w:rFonts w:ascii="Arial" w:cs="Arial" w:eastAsia="Arial" w:hAnsi="Arial"/>
                <w:sz w:val="16"/>
                <w:szCs w:val="16"/>
                <w:color w:val="auto"/>
              </w:rPr>
              <w:t xml:space="preserve">Foreign exchange contracts </w:t>
            </w:r>
            <w:r>
              <w:rPr>
                <w:rFonts w:ascii="Arial" w:cs="Arial" w:eastAsia="Arial" w:hAnsi="Arial"/>
                <w:sz w:val="21"/>
                <w:szCs w:val="21"/>
                <w:color w:val="auto"/>
                <w:vertAlign w:val="superscript"/>
              </w:rPr>
              <w:t>(c)</w:t>
            </w:r>
          </w:p>
        </w:tc>
        <w:tc>
          <w:tcPr>
            <w:tcW w:w="84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(42)</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42</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48</w:t>
            </w:r>
          </w:p>
        </w:tc>
      </w:tr>
      <w:tr>
        <w:trPr>
          <w:trHeight w:val="270"/>
        </w:trPr>
        <w:tc>
          <w:tcPr>
            <w:tcW w:w="6380" w:type="dxa"/>
            <w:vAlign w:val="bottom"/>
          </w:tcPr>
          <w:p>
            <w:pPr>
              <w:ind w:left="100"/>
              <w:spacing w:after="0"/>
              <w:rPr>
                <w:sz w:val="20"/>
                <w:szCs w:val="20"/>
                <w:color w:val="auto"/>
              </w:rPr>
            </w:pPr>
            <w:r>
              <w:rPr>
                <w:rFonts w:ascii="Arial" w:cs="Arial" w:eastAsia="Arial" w:hAnsi="Arial"/>
                <w:sz w:val="16"/>
                <w:szCs w:val="16"/>
                <w:color w:val="auto"/>
              </w:rPr>
              <w:t xml:space="preserve">Interest rate caps </w:t>
            </w:r>
            <w:r>
              <w:rPr>
                <w:rFonts w:ascii="Arial" w:cs="Arial" w:eastAsia="Arial" w:hAnsi="Arial"/>
                <w:sz w:val="21"/>
                <w:szCs w:val="21"/>
                <w:color w:val="auto"/>
                <w:vertAlign w:val="superscript"/>
              </w:rPr>
              <w:t>(d)</w:t>
            </w:r>
          </w:p>
        </w:tc>
        <w:tc>
          <w:tcPr>
            <w:tcW w:w="840" w:type="dxa"/>
            <w:vAlign w:val="bottom"/>
          </w:tcPr>
          <w:p>
            <w:pPr>
              <w:spacing w:after="0"/>
              <w:rPr>
                <w:sz w:val="23"/>
                <w:szCs w:val="23"/>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19"/>
        </w:trPr>
        <w:tc>
          <w:tcPr>
            <w:tcW w:w="6380" w:type="dxa"/>
            <w:vAlign w:val="bottom"/>
          </w:tcPr>
          <w:p>
            <w:pPr>
              <w:ind w:left="100"/>
              <w:spacing w:after="0" w:line="219" w:lineRule="exact"/>
              <w:rPr>
                <w:sz w:val="20"/>
                <w:szCs w:val="20"/>
                <w:color w:val="auto"/>
              </w:rPr>
            </w:pPr>
            <w:r>
              <w:rPr>
                <w:rFonts w:ascii="Arial" w:cs="Arial" w:eastAsia="Arial" w:hAnsi="Arial"/>
                <w:sz w:val="16"/>
                <w:szCs w:val="16"/>
                <w:color w:val="auto"/>
              </w:rPr>
              <w:t xml:space="preserve">Commodity contracts </w:t>
            </w:r>
            <w:r>
              <w:rPr>
                <w:rFonts w:ascii="Arial" w:cs="Arial" w:eastAsia="Arial" w:hAnsi="Arial"/>
                <w:sz w:val="21"/>
                <w:szCs w:val="21"/>
                <w:color w:val="auto"/>
                <w:vertAlign w:val="superscript"/>
              </w:rPr>
              <w:t>(e)</w:t>
            </w:r>
          </w:p>
        </w:tc>
        <w:tc>
          <w:tcPr>
            <w:tcW w:w="84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6380" w:type="dxa"/>
            <w:vAlign w:val="bottom"/>
          </w:tcPr>
          <w:p>
            <w:pPr>
              <w:spacing w:after="0"/>
              <w:rPr>
                <w:sz w:val="20"/>
                <w:szCs w:val="20"/>
                <w:color w:val="auto"/>
              </w:rPr>
            </w:pPr>
            <w:r>
              <w:rPr>
                <w:rFonts w:ascii="Arial" w:cs="Arial" w:eastAsia="Arial" w:hAnsi="Arial"/>
                <w:sz w:val="16"/>
                <w:szCs w:val="16"/>
                <w:color w:val="auto"/>
              </w:rPr>
              <w:t>Total</w:t>
            </w:r>
          </w:p>
        </w:tc>
        <w:tc>
          <w:tcPr>
            <w:tcW w:w="840" w:type="dxa"/>
            <w:vAlign w:val="bottom"/>
            <w:tcBorders>
              <w:top w:val="single" w:sz="8" w:color="auto"/>
            </w:tcBorders>
          </w:tcPr>
          <w:p>
            <w:pPr>
              <w:jc w:val="right"/>
              <w:ind w:right="639"/>
              <w:spacing w:after="0"/>
              <w:rPr>
                <w:sz w:val="20"/>
                <w:szCs w:val="20"/>
                <w:color w:val="auto"/>
              </w:rPr>
            </w:pPr>
            <w:r>
              <w:rPr>
                <w:rFonts w:ascii="Arial" w:cs="Arial" w:eastAsia="Arial" w:hAnsi="Arial"/>
                <w:sz w:val="16"/>
                <w:szCs w:val="16"/>
                <w:color w:val="auto"/>
              </w:rPr>
              <w:t>$</w:t>
            </w: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(91)</w:t>
            </w:r>
          </w:p>
        </w:tc>
        <w:tc>
          <w:tcPr>
            <w:tcW w:w="120" w:type="dxa"/>
            <w:vAlign w:val="bottom"/>
          </w:tcPr>
          <w:p>
            <w:pPr>
              <w:spacing w:after="0"/>
              <w:rPr>
                <w:sz w:val="18"/>
                <w:szCs w:val="18"/>
                <w:color w:val="auto"/>
              </w:rPr>
            </w:pPr>
          </w:p>
        </w:tc>
        <w:tc>
          <w:tcPr>
            <w:tcW w:w="28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58</w:t>
            </w:r>
          </w:p>
        </w:tc>
        <w:tc>
          <w:tcPr>
            <w:tcW w:w="100" w:type="dxa"/>
            <w:vAlign w:val="bottom"/>
          </w:tcPr>
          <w:p>
            <w:pPr>
              <w:spacing w:after="0"/>
              <w:rPr>
                <w:sz w:val="18"/>
                <w:szCs w:val="18"/>
                <w:color w:val="auto"/>
              </w:rPr>
            </w:pPr>
          </w:p>
        </w:tc>
        <w:tc>
          <w:tcPr>
            <w:tcW w:w="36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4378960</wp:posOffset>
            </wp:positionH>
            <wp:positionV relativeFrom="paragraph">
              <wp:posOffset>12700</wp:posOffset>
            </wp:positionV>
            <wp:extent cx="2495550"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495550" cy="26035"/>
                    </a:xfrm>
                    <a:prstGeom prst="rect">
                      <a:avLst/>
                    </a:prstGeom>
                    <a:noFill/>
                  </pic:spPr>
                </pic:pic>
              </a:graphicData>
            </a:graphic>
          </wp:anchor>
        </w:drawing>
      </w:r>
    </w:p>
    <w:p>
      <w:pPr>
        <w:spacing w:after="0" w:line="3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__________</w:t>
      </w:r>
    </w:p>
    <w:p>
      <w:pPr>
        <w:ind w:left="820" w:hanging="326"/>
        <w:spacing w:after="0" w:line="204" w:lineRule="auto"/>
        <w:tabs>
          <w:tab w:leader="none" w:pos="820" w:val="left"/>
        </w:tabs>
        <w:numPr>
          <w:ilvl w:val="0"/>
          <w:numId w:val="98"/>
        </w:numPr>
        <w:rPr>
          <w:rFonts w:ascii="Arial" w:cs="Arial" w:eastAsia="Arial" w:hAnsi="Arial"/>
          <w:sz w:val="18"/>
          <w:szCs w:val="18"/>
          <w:color w:val="auto"/>
          <w:vertAlign w:val="superscript"/>
        </w:rPr>
      </w:pPr>
      <w:r>
        <w:rPr>
          <w:rFonts w:ascii="Arial" w:cs="Arial" w:eastAsia="Arial" w:hAnsi="Arial"/>
          <w:sz w:val="14"/>
          <w:szCs w:val="14"/>
          <w:color w:val="auto"/>
        </w:rPr>
        <w:t>Recognized, net of tax, as a component of accumulated other comprehensive income (loss) within stockholders’ equity.</w:t>
      </w:r>
    </w:p>
    <w:p>
      <w:pPr>
        <w:ind w:left="820" w:hanging="326"/>
        <w:spacing w:after="0" w:line="187" w:lineRule="auto"/>
        <w:tabs>
          <w:tab w:leader="none" w:pos="820" w:val="left"/>
        </w:tabs>
        <w:numPr>
          <w:ilvl w:val="0"/>
          <w:numId w:val="98"/>
        </w:numPr>
        <w:rPr>
          <w:rFonts w:ascii="Arial" w:cs="Arial" w:eastAsia="Arial" w:hAnsi="Arial"/>
          <w:sz w:val="18"/>
          <w:szCs w:val="18"/>
          <w:color w:val="auto"/>
          <w:vertAlign w:val="superscript"/>
        </w:rPr>
      </w:pPr>
      <w:r>
        <w:rPr>
          <w:rFonts w:ascii="Arial" w:cs="Arial" w:eastAsia="Arial" w:hAnsi="Arial"/>
          <w:sz w:val="14"/>
          <w:szCs w:val="14"/>
          <w:color w:val="auto"/>
        </w:rPr>
        <w:t>Gains (losses) related to derivative instruments are expected to be largely offset by (losses) gains on the underlying exposures being hedged.</w:t>
      </w:r>
    </w:p>
    <w:p>
      <w:pPr>
        <w:jc w:val="both"/>
        <w:ind w:left="820" w:right="160" w:hanging="326"/>
        <w:spacing w:after="0" w:line="220" w:lineRule="auto"/>
        <w:tabs>
          <w:tab w:leader="none" w:pos="820" w:val="left"/>
        </w:tabs>
        <w:numPr>
          <w:ilvl w:val="0"/>
          <w:numId w:val="98"/>
        </w:numPr>
        <w:rPr>
          <w:rFonts w:ascii="Arial" w:cs="Arial" w:eastAsia="Arial" w:hAnsi="Arial"/>
          <w:sz w:val="18"/>
          <w:szCs w:val="18"/>
          <w:color w:val="auto"/>
          <w:vertAlign w:val="superscript"/>
        </w:rPr>
      </w:pPr>
      <w:r>
        <w:rPr>
          <w:rFonts w:ascii="Arial" w:cs="Arial" w:eastAsia="Arial" w:hAnsi="Arial"/>
          <w:sz w:val="14"/>
          <w:szCs w:val="14"/>
          <w:color w:val="auto"/>
        </w:rPr>
        <w:t>For the year ended December 31, 2017, included a $23 million loss included in interest expense and a $19 million loss included in operating expenses. For the year ended December 31, 2016, included a $68 million gain in interest expense and a $26 million loss included in operating expenses. For the year ended December 31, 2015, included a $32 million gain in interest expense and a $16 million gain included in operating expenses.</w:t>
      </w:r>
    </w:p>
    <w:p>
      <w:pPr>
        <w:spacing w:after="0" w:line="1" w:lineRule="exact"/>
        <w:rPr>
          <w:rFonts w:ascii="Arial" w:cs="Arial" w:eastAsia="Arial" w:hAnsi="Arial"/>
          <w:sz w:val="18"/>
          <w:szCs w:val="18"/>
          <w:color w:val="auto"/>
          <w:vertAlign w:val="superscript"/>
        </w:rPr>
      </w:pPr>
    </w:p>
    <w:p>
      <w:pPr>
        <w:ind w:left="820" w:hanging="326"/>
        <w:spacing w:after="0" w:line="187" w:lineRule="auto"/>
        <w:tabs>
          <w:tab w:leader="none" w:pos="820" w:val="left"/>
        </w:tabs>
        <w:numPr>
          <w:ilvl w:val="0"/>
          <w:numId w:val="98"/>
        </w:numPr>
        <w:rPr>
          <w:rFonts w:ascii="Arial" w:cs="Arial" w:eastAsia="Arial" w:hAnsi="Arial"/>
          <w:sz w:val="18"/>
          <w:szCs w:val="18"/>
          <w:color w:val="auto"/>
          <w:vertAlign w:val="superscript"/>
        </w:rPr>
      </w:pPr>
      <w:r>
        <w:rPr>
          <w:rFonts w:ascii="Arial" w:cs="Arial" w:eastAsia="Arial" w:hAnsi="Arial"/>
          <w:sz w:val="14"/>
          <w:szCs w:val="14"/>
          <w:color w:val="auto"/>
        </w:rPr>
        <w:t>For the years ended December 31, 2017, 2016 and 2015, amounts are included in vehicle interest, net.</w:t>
      </w:r>
    </w:p>
    <w:p>
      <w:pPr>
        <w:ind w:left="820" w:hanging="326"/>
        <w:spacing w:after="0" w:line="199" w:lineRule="auto"/>
        <w:tabs>
          <w:tab w:leader="none" w:pos="820" w:val="left"/>
        </w:tabs>
        <w:numPr>
          <w:ilvl w:val="0"/>
          <w:numId w:val="98"/>
        </w:numPr>
        <w:rPr>
          <w:rFonts w:ascii="Arial" w:cs="Arial" w:eastAsia="Arial" w:hAnsi="Arial"/>
          <w:sz w:val="18"/>
          <w:szCs w:val="18"/>
          <w:color w:val="auto"/>
          <w:vertAlign w:val="superscript"/>
        </w:rPr>
      </w:pPr>
      <w:r>
        <w:rPr>
          <w:rFonts w:ascii="Arial" w:cs="Arial" w:eastAsia="Arial" w:hAnsi="Arial"/>
          <w:sz w:val="14"/>
          <w:szCs w:val="14"/>
          <w:color w:val="auto"/>
        </w:rPr>
        <w:t>Included in operating expenses.</w:t>
      </w: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F-45</w:t>
      </w:r>
    </w:p>
    <w:p>
      <w:pPr>
        <w:sectPr>
          <w:pgSz w:w="11900" w:h="16838" w:orient="portrait"/>
          <w:cols w:equalWidth="0" w:num="1">
            <w:col w:w="11400"/>
          </w:cols>
          <w:pgMar w:left="240" w:top="140" w:right="259" w:bottom="1440" w:gutter="0" w:footer="0" w:header="0"/>
        </w:sectPr>
      </w:pPr>
    </w:p>
    <w:bookmarkStart w:id="111" w:name="page112"/>
    <w:bookmarkEnd w:id="1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1"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Debt Instruments</w:t>
      </w:r>
    </w:p>
    <w:p>
      <w:pPr>
        <w:spacing w:after="0" w:line="24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carrying amounts and estimated fair values (Level 2) of debt instruments are as follows:</w:t>
      </w:r>
    </w:p>
    <w:p>
      <w:pPr>
        <w:spacing w:after="0" w:line="181" w:lineRule="exact"/>
        <w:rPr>
          <w:sz w:val="20"/>
          <w:szCs w:val="20"/>
          <w:color w:val="auto"/>
        </w:rPr>
      </w:pPr>
    </w:p>
    <w:tbl>
      <w:tblPr>
        <w:tblLayout w:type="fixed"/>
        <w:tblInd w:w="500" w:type="dxa"/>
        <w:tblCellMar>
          <w:top w:w="0" w:type="dxa"/>
          <w:left w:w="0" w:type="dxa"/>
          <w:bottom w:w="0" w:type="dxa"/>
          <w:right w:w="0" w:type="dxa"/>
        </w:tblCellMar>
      </w:tblPr>
      <w:tr>
        <w:trPr>
          <w:trHeight w:val="228"/>
        </w:trPr>
        <w:tc>
          <w:tcPr>
            <w:tcW w:w="47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560" w:type="dxa"/>
            <w:vAlign w:val="bottom"/>
            <w:tcBorders>
              <w:bottom w:val="single" w:sz="8" w:color="auto"/>
            </w:tcBorders>
            <w:gridSpan w:val="4"/>
          </w:tcPr>
          <w:p>
            <w:pPr>
              <w:jc w:val="right"/>
              <w:ind w:right="339"/>
              <w:spacing w:after="0"/>
              <w:rPr>
                <w:sz w:val="20"/>
                <w:szCs w:val="20"/>
                <w:color w:val="auto"/>
              </w:rPr>
            </w:pPr>
            <w:r>
              <w:rPr>
                <w:rFonts w:ascii="Arial" w:cs="Arial" w:eastAsia="Arial" w:hAnsi="Arial"/>
                <w:sz w:val="16"/>
                <w:szCs w:val="16"/>
                <w:b w:val="1"/>
                <w:bCs w:val="1"/>
                <w:color w:val="auto"/>
              </w:rPr>
              <w:t>As of December 31, 2017</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500" w:type="dxa"/>
            <w:vAlign w:val="bottom"/>
            <w:tcBorders>
              <w:bottom w:val="single" w:sz="8" w:color="auto"/>
            </w:tcBorders>
            <w:gridSpan w:val="4"/>
          </w:tcPr>
          <w:p>
            <w:pPr>
              <w:jc w:val="right"/>
              <w:ind w:right="319"/>
              <w:spacing w:after="0"/>
              <w:rPr>
                <w:sz w:val="20"/>
                <w:szCs w:val="20"/>
                <w:color w:val="auto"/>
              </w:rPr>
            </w:pPr>
            <w:r>
              <w:rPr>
                <w:rFonts w:ascii="Arial" w:cs="Arial" w:eastAsia="Arial" w:hAnsi="Arial"/>
                <w:sz w:val="16"/>
                <w:szCs w:val="16"/>
                <w:b w:val="1"/>
                <w:bCs w:val="1"/>
                <w:color w:val="auto"/>
              </w:rPr>
              <w:t>As of December 31, 2016</w:t>
            </w:r>
          </w:p>
        </w:tc>
      </w:tr>
      <w:tr>
        <w:trPr>
          <w:trHeight w:val="198"/>
        </w:trPr>
        <w:tc>
          <w:tcPr>
            <w:tcW w:w="4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Carrying</w:t>
            </w:r>
          </w:p>
        </w:tc>
        <w:tc>
          <w:tcPr>
            <w:tcW w:w="200" w:type="dxa"/>
            <w:vAlign w:val="bottom"/>
          </w:tcPr>
          <w:p>
            <w:pPr>
              <w:spacing w:after="0"/>
              <w:rPr>
                <w:sz w:val="17"/>
                <w:szCs w:val="17"/>
                <w:color w:val="auto"/>
              </w:rPr>
            </w:pPr>
          </w:p>
        </w:tc>
        <w:tc>
          <w:tcPr>
            <w:tcW w:w="1240" w:type="dxa"/>
            <w:vAlign w:val="bottom"/>
            <w:gridSpan w:val="2"/>
          </w:tcPr>
          <w:p>
            <w:pPr>
              <w:ind w:left="80"/>
              <w:spacing w:after="0"/>
              <w:rPr>
                <w:sz w:val="20"/>
                <w:szCs w:val="20"/>
                <w:color w:val="auto"/>
              </w:rPr>
            </w:pPr>
            <w:r>
              <w:rPr>
                <w:rFonts w:ascii="Arial" w:cs="Arial" w:eastAsia="Arial" w:hAnsi="Arial"/>
                <w:sz w:val="16"/>
                <w:szCs w:val="16"/>
                <w:b w:val="1"/>
                <w:bCs w:val="1"/>
                <w:color w:val="auto"/>
              </w:rPr>
              <w:t>Estimated</w:t>
            </w:r>
          </w:p>
        </w:tc>
        <w:tc>
          <w:tcPr>
            <w:tcW w:w="240" w:type="dxa"/>
            <w:vAlign w:val="bottom"/>
          </w:tcPr>
          <w:p>
            <w:pPr>
              <w:spacing w:after="0"/>
              <w:rPr>
                <w:sz w:val="17"/>
                <w:szCs w:val="17"/>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Carrying</w:t>
            </w:r>
          </w:p>
        </w:tc>
        <w:tc>
          <w:tcPr>
            <w:tcW w:w="200" w:type="dxa"/>
            <w:vAlign w:val="bottom"/>
          </w:tcPr>
          <w:p>
            <w:pPr>
              <w:spacing w:after="0"/>
              <w:rPr>
                <w:sz w:val="17"/>
                <w:szCs w:val="17"/>
                <w:color w:val="auto"/>
              </w:rPr>
            </w:pPr>
          </w:p>
        </w:tc>
        <w:tc>
          <w:tcPr>
            <w:tcW w:w="1100" w:type="dxa"/>
            <w:vAlign w:val="bottom"/>
          </w:tcPr>
          <w:p>
            <w:pPr>
              <w:jc w:val="right"/>
              <w:ind w:right="179"/>
              <w:spacing w:after="0"/>
              <w:rPr>
                <w:sz w:val="20"/>
                <w:szCs w:val="20"/>
                <w:color w:val="auto"/>
              </w:rPr>
            </w:pPr>
            <w:r>
              <w:rPr>
                <w:rFonts w:ascii="Arial" w:cs="Arial" w:eastAsia="Arial" w:hAnsi="Arial"/>
                <w:sz w:val="16"/>
                <w:szCs w:val="16"/>
                <w:b w:val="1"/>
                <w:bCs w:val="1"/>
                <w:color w:val="auto"/>
              </w:rPr>
              <w:t>Estimated</w:t>
            </w:r>
          </w:p>
        </w:tc>
      </w:tr>
      <w:tr>
        <w:trPr>
          <w:trHeight w:val="228"/>
        </w:trPr>
        <w:tc>
          <w:tcPr>
            <w:tcW w:w="4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9"/>
              </w:rPr>
              <w:t>Amount</w:t>
            </w:r>
          </w:p>
        </w:tc>
        <w:tc>
          <w:tcPr>
            <w:tcW w:w="200" w:type="dxa"/>
            <w:vAlign w:val="bottom"/>
          </w:tcPr>
          <w:p>
            <w:pPr>
              <w:spacing w:after="0"/>
              <w:rPr>
                <w:sz w:val="19"/>
                <w:szCs w:val="19"/>
                <w:color w:val="auto"/>
              </w:rPr>
            </w:pPr>
          </w:p>
        </w:tc>
        <w:tc>
          <w:tcPr>
            <w:tcW w:w="1240" w:type="dxa"/>
            <w:vAlign w:val="bottom"/>
            <w:gridSpan w:val="2"/>
          </w:tcPr>
          <w:p>
            <w:pPr>
              <w:ind w:left="80"/>
              <w:spacing w:after="0"/>
              <w:rPr>
                <w:sz w:val="20"/>
                <w:szCs w:val="20"/>
                <w:color w:val="auto"/>
              </w:rPr>
            </w:pPr>
            <w:r>
              <w:rPr>
                <w:rFonts w:ascii="Arial" w:cs="Arial" w:eastAsia="Arial" w:hAnsi="Arial"/>
                <w:sz w:val="16"/>
                <w:szCs w:val="16"/>
                <w:b w:val="1"/>
                <w:bCs w:val="1"/>
                <w:color w:val="auto"/>
              </w:rPr>
              <w:t>Fair Value</w:t>
            </w:r>
          </w:p>
        </w:tc>
        <w:tc>
          <w:tcPr>
            <w:tcW w:w="240" w:type="dxa"/>
            <w:vAlign w:val="bottom"/>
          </w:tcPr>
          <w:p>
            <w:pPr>
              <w:spacing w:after="0"/>
              <w:rPr>
                <w:sz w:val="19"/>
                <w:szCs w:val="19"/>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Amount</w:t>
            </w:r>
          </w:p>
        </w:tc>
        <w:tc>
          <w:tcPr>
            <w:tcW w:w="200" w:type="dxa"/>
            <w:vAlign w:val="bottom"/>
          </w:tcPr>
          <w:p>
            <w:pPr>
              <w:spacing w:after="0"/>
              <w:rPr>
                <w:sz w:val="19"/>
                <w:szCs w:val="19"/>
                <w:color w:val="auto"/>
              </w:rPr>
            </w:pPr>
          </w:p>
        </w:tc>
        <w:tc>
          <w:tcPr>
            <w:tcW w:w="1100" w:type="dxa"/>
            <w:vAlign w:val="bottom"/>
          </w:tcPr>
          <w:p>
            <w:pPr>
              <w:jc w:val="right"/>
              <w:ind w:right="179"/>
              <w:spacing w:after="0"/>
              <w:rPr>
                <w:sz w:val="20"/>
                <w:szCs w:val="20"/>
                <w:color w:val="auto"/>
              </w:rPr>
            </w:pPr>
            <w:r>
              <w:rPr>
                <w:rFonts w:ascii="Arial" w:cs="Arial" w:eastAsia="Arial" w:hAnsi="Arial"/>
                <w:sz w:val="16"/>
                <w:szCs w:val="16"/>
                <w:b w:val="1"/>
                <w:bCs w:val="1"/>
                <w:color w:val="auto"/>
              </w:rPr>
              <w:t>Fair Value</w:t>
            </w:r>
          </w:p>
        </w:tc>
      </w:tr>
      <w:tr>
        <w:trPr>
          <w:trHeight w:val="210"/>
        </w:trPr>
        <w:tc>
          <w:tcPr>
            <w:tcW w:w="4700" w:type="dxa"/>
            <w:vAlign w:val="bottom"/>
          </w:tcPr>
          <w:p>
            <w:pPr>
              <w:ind w:left="20"/>
              <w:spacing w:after="0"/>
              <w:rPr>
                <w:sz w:val="20"/>
                <w:szCs w:val="20"/>
                <w:color w:val="auto"/>
              </w:rPr>
            </w:pPr>
            <w:r>
              <w:rPr>
                <w:rFonts w:ascii="Arial" w:cs="Arial" w:eastAsia="Arial" w:hAnsi="Arial"/>
                <w:sz w:val="16"/>
                <w:szCs w:val="16"/>
                <w:b w:val="1"/>
                <w:bCs w:val="1"/>
                <w:color w:val="auto"/>
              </w:rPr>
              <w:t>Corporate debt</w:t>
            </w:r>
          </w:p>
        </w:tc>
        <w:tc>
          <w:tcPr>
            <w:tcW w:w="2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r>
      <w:tr>
        <w:trPr>
          <w:trHeight w:val="311"/>
        </w:trPr>
        <w:tc>
          <w:tcPr>
            <w:tcW w:w="4700" w:type="dxa"/>
            <w:vAlign w:val="bottom"/>
          </w:tcPr>
          <w:p>
            <w:pPr>
              <w:ind w:left="120"/>
              <w:spacing w:after="0"/>
              <w:rPr>
                <w:sz w:val="20"/>
                <w:szCs w:val="20"/>
                <w:color w:val="auto"/>
              </w:rPr>
            </w:pPr>
            <w:r>
              <w:rPr>
                <w:rFonts w:ascii="Arial" w:cs="Arial" w:eastAsia="Arial" w:hAnsi="Arial"/>
                <w:sz w:val="16"/>
                <w:szCs w:val="16"/>
                <w:color w:val="auto"/>
              </w:rPr>
              <w:t>Short-term debt and current portion of long-term debt</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24"/>
                <w:szCs w:val="24"/>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279</w:t>
            </w:r>
          </w:p>
        </w:tc>
        <w:tc>
          <w:tcPr>
            <w:tcW w:w="10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280</w:t>
            </w:r>
          </w:p>
        </w:tc>
      </w:tr>
      <w:tr>
        <w:trPr>
          <w:trHeight w:val="270"/>
        </w:trPr>
        <w:tc>
          <w:tcPr>
            <w:tcW w:w="4700" w:type="dxa"/>
            <w:vAlign w:val="bottom"/>
          </w:tcPr>
          <w:p>
            <w:pPr>
              <w:ind w:left="120"/>
              <w:spacing w:after="0"/>
              <w:rPr>
                <w:sz w:val="20"/>
                <w:szCs w:val="20"/>
                <w:color w:val="auto"/>
              </w:rPr>
            </w:pPr>
            <w:r>
              <w:rPr>
                <w:rFonts w:ascii="Arial" w:cs="Arial" w:eastAsia="Arial" w:hAnsi="Arial"/>
                <w:sz w:val="16"/>
                <w:szCs w:val="16"/>
                <w:color w:val="auto"/>
              </w:rPr>
              <w:t>Long-term debt</w:t>
            </w:r>
          </w:p>
        </w:tc>
        <w:tc>
          <w:tcPr>
            <w:tcW w:w="22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3,573</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3,677</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3,244</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3,265</w:t>
            </w:r>
          </w:p>
        </w:tc>
      </w:tr>
      <w:tr>
        <w:trPr>
          <w:trHeight w:val="513"/>
        </w:trPr>
        <w:tc>
          <w:tcPr>
            <w:tcW w:w="4700" w:type="dxa"/>
            <w:vAlign w:val="bottom"/>
          </w:tcPr>
          <w:p>
            <w:pPr>
              <w:ind w:left="20"/>
              <w:spacing w:after="0"/>
              <w:rPr>
                <w:sz w:val="20"/>
                <w:szCs w:val="20"/>
                <w:color w:val="auto"/>
              </w:rPr>
            </w:pPr>
            <w:r>
              <w:rPr>
                <w:rFonts w:ascii="Arial" w:cs="Arial" w:eastAsia="Arial" w:hAnsi="Arial"/>
                <w:sz w:val="16"/>
                <w:szCs w:val="16"/>
                <w:b w:val="1"/>
                <w:bCs w:val="1"/>
                <w:color w:val="auto"/>
              </w:rPr>
              <w:t>Debt under vehicle programs</w:t>
            </w: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97"/>
        </w:trPr>
        <w:tc>
          <w:tcPr>
            <w:tcW w:w="4700" w:type="dxa"/>
            <w:vAlign w:val="bottom"/>
          </w:tcPr>
          <w:p>
            <w:pPr>
              <w:ind w:left="120"/>
              <w:spacing w:after="0"/>
              <w:rPr>
                <w:sz w:val="20"/>
                <w:szCs w:val="20"/>
                <w:color w:val="auto"/>
              </w:rPr>
            </w:pPr>
            <w:r>
              <w:rPr>
                <w:rFonts w:ascii="Arial" w:cs="Arial" w:eastAsia="Arial" w:hAnsi="Arial"/>
                <w:sz w:val="16"/>
                <w:szCs w:val="16"/>
                <w:color w:val="auto"/>
              </w:rPr>
              <w:t>Vehicle-backed debt due to Avis Budget Rental Car Funding</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6,480</w:t>
            </w:r>
          </w:p>
        </w:tc>
        <w:tc>
          <w:tcPr>
            <w:tcW w:w="10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6,537</w:t>
            </w:r>
          </w:p>
        </w:tc>
        <w:tc>
          <w:tcPr>
            <w:tcW w:w="100" w:type="dxa"/>
            <w:vAlign w:val="bottom"/>
          </w:tcPr>
          <w:p>
            <w:pPr>
              <w:spacing w:after="0"/>
              <w:rPr>
                <w:sz w:val="24"/>
                <w:szCs w:val="24"/>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6,695</w:t>
            </w:r>
          </w:p>
        </w:tc>
        <w:tc>
          <w:tcPr>
            <w:tcW w:w="10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6,722</w:t>
            </w:r>
          </w:p>
        </w:tc>
      </w:tr>
      <w:tr>
        <w:trPr>
          <w:trHeight w:val="270"/>
        </w:trPr>
        <w:tc>
          <w:tcPr>
            <w:tcW w:w="4700" w:type="dxa"/>
            <w:vAlign w:val="bottom"/>
          </w:tcPr>
          <w:p>
            <w:pPr>
              <w:ind w:left="120"/>
              <w:spacing w:after="0"/>
              <w:rPr>
                <w:sz w:val="20"/>
                <w:szCs w:val="20"/>
                <w:color w:val="auto"/>
              </w:rPr>
            </w:pPr>
            <w:r>
              <w:rPr>
                <w:rFonts w:ascii="Arial" w:cs="Arial" w:eastAsia="Arial" w:hAnsi="Arial"/>
                <w:sz w:val="16"/>
                <w:szCs w:val="16"/>
                <w:color w:val="auto"/>
              </w:rPr>
              <w:t>Vehicle-backed debt</w:t>
            </w:r>
          </w:p>
        </w:tc>
        <w:tc>
          <w:tcPr>
            <w:tcW w:w="22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2,740</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2,745</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2,176</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2,187</w:t>
            </w:r>
          </w:p>
        </w:tc>
      </w:tr>
      <w:tr>
        <w:trPr>
          <w:trHeight w:val="294"/>
        </w:trPr>
        <w:tc>
          <w:tcPr>
            <w:tcW w:w="4700" w:type="dxa"/>
            <w:vAlign w:val="bottom"/>
          </w:tcPr>
          <w:p>
            <w:pPr>
              <w:ind w:left="120"/>
              <w:spacing w:after="0"/>
              <w:rPr>
                <w:sz w:val="20"/>
                <w:szCs w:val="20"/>
                <w:color w:val="auto"/>
              </w:rPr>
            </w:pPr>
            <w:r>
              <w:rPr>
                <w:rFonts w:ascii="Arial" w:cs="Arial" w:eastAsia="Arial" w:hAnsi="Arial"/>
                <w:sz w:val="16"/>
                <w:szCs w:val="16"/>
                <w:color w:val="auto"/>
              </w:rPr>
              <w:t xml:space="preserve">Interest rate swaps and interest rate caps </w:t>
            </w:r>
            <w:r>
              <w:rPr>
                <w:rFonts w:ascii="Arial" w:cs="Arial" w:eastAsia="Arial" w:hAnsi="Arial"/>
                <w:sz w:val="21"/>
                <w:szCs w:val="21"/>
                <w:color w:val="auto"/>
                <w:vertAlign w:val="superscript"/>
              </w:rPr>
              <w:t>(a)</w:t>
            </w:r>
          </w:p>
        </w:tc>
        <w:tc>
          <w:tcPr>
            <w:tcW w:w="220" w:type="dxa"/>
            <w:vAlign w:val="bottom"/>
          </w:tcPr>
          <w:p>
            <w:pPr>
              <w:spacing w:after="0"/>
              <w:rPr>
                <w:sz w:val="24"/>
                <w:szCs w:val="24"/>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157"/>
        </w:trPr>
        <w:tc>
          <w:tcPr>
            <w:tcW w:w="4700" w:type="dxa"/>
            <w:vAlign w:val="bottom"/>
          </w:tcPr>
          <w:p>
            <w:pPr>
              <w:spacing w:after="0" w:line="157" w:lineRule="exact"/>
              <w:rPr>
                <w:sz w:val="20"/>
                <w:szCs w:val="20"/>
                <w:color w:val="auto"/>
              </w:rPr>
            </w:pPr>
            <w:r>
              <w:rPr>
                <w:rFonts w:ascii="Arial" w:cs="Arial" w:eastAsia="Arial" w:hAnsi="Arial"/>
                <w:sz w:val="14"/>
                <w:szCs w:val="14"/>
                <w:color w:val="auto"/>
              </w:rPr>
              <w:t>___________</w:t>
            </w: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tcPr>
          <w:p>
            <w:pPr>
              <w:spacing w:after="0"/>
              <w:rPr>
                <w:sz w:val="13"/>
                <w:szCs w:val="13"/>
                <w:color w:val="auto"/>
              </w:rPr>
            </w:pPr>
          </w:p>
        </w:tc>
      </w:tr>
    </w:tbl>
    <w:p>
      <w:pPr>
        <w:ind w:left="820" w:hanging="326"/>
        <w:spacing w:after="0" w:line="205" w:lineRule="auto"/>
        <w:tabs>
          <w:tab w:leader="none" w:pos="820" w:val="left"/>
        </w:tabs>
        <w:numPr>
          <w:ilvl w:val="1"/>
          <w:numId w:val="99"/>
        </w:numPr>
        <w:rPr>
          <w:rFonts w:ascii="Arial" w:cs="Arial" w:eastAsia="Arial" w:hAnsi="Arial"/>
          <w:sz w:val="18"/>
          <w:szCs w:val="18"/>
          <w:color w:val="auto"/>
          <w:vertAlign w:val="superscript"/>
        </w:rPr>
      </w:pPr>
      <w:r>
        <w:rPr>
          <w:rFonts w:ascii="Arial" w:cs="Arial" w:eastAsia="Arial" w:hAnsi="Arial"/>
          <w:sz w:val="14"/>
          <w:szCs w:val="14"/>
          <w:color w:val="auto"/>
        </w:rPr>
        <w:t>Derivatives in liability position.</w:t>
      </w:r>
    </w:p>
    <w:p>
      <w:pPr>
        <w:spacing w:after="0" w:line="124" w:lineRule="exact"/>
        <w:rPr>
          <w:rFonts w:ascii="Arial" w:cs="Arial" w:eastAsia="Arial" w:hAnsi="Arial"/>
          <w:sz w:val="18"/>
          <w:szCs w:val="18"/>
          <w:color w:val="auto"/>
          <w:vertAlign w:val="superscript"/>
        </w:rPr>
      </w:pPr>
    </w:p>
    <w:p>
      <w:pPr>
        <w:ind w:left="500" w:hanging="492"/>
        <w:spacing w:after="0"/>
        <w:tabs>
          <w:tab w:leader="none" w:pos="500" w:val="left"/>
        </w:tabs>
        <w:numPr>
          <w:ilvl w:val="0"/>
          <w:numId w:val="100"/>
        </w:numPr>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w:t>
      </w:r>
    </w:p>
    <w:p>
      <w:pPr>
        <w:spacing w:after="0" w:line="247" w:lineRule="exact"/>
        <w:rPr>
          <w:rFonts w:ascii="Arial" w:cs="Arial" w:eastAsia="Arial" w:hAnsi="Arial"/>
          <w:sz w:val="18"/>
          <w:szCs w:val="18"/>
          <w:b w:val="1"/>
          <w:bCs w:val="1"/>
          <w:color w:val="auto"/>
        </w:rPr>
      </w:pPr>
    </w:p>
    <w:p>
      <w:pPr>
        <w:ind w:left="500" w:right="8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The Company’s chief operating decision maker assesses performance and allocates resources based upon the separate financial information from the Company’s operating segments. In identifying its reportable segments, the Company considered the nature of services provided, the geographical areas in which the segments operated and other relevant factors. The Company aggregates certain of its operating segments into its reportable segments.</w:t>
      </w:r>
    </w:p>
    <w:p>
      <w:pPr>
        <w:spacing w:after="0" w:line="150" w:lineRule="exact"/>
        <w:rPr>
          <w:rFonts w:ascii="Arial" w:cs="Arial" w:eastAsia="Arial" w:hAnsi="Arial"/>
          <w:sz w:val="18"/>
          <w:szCs w:val="18"/>
          <w:b w:val="1"/>
          <w:bCs w:val="1"/>
          <w:color w:val="auto"/>
        </w:rPr>
      </w:pPr>
    </w:p>
    <w:p>
      <w:pPr>
        <w:ind w:left="500"/>
        <w:spacing w:after="0" w:line="251" w:lineRule="auto"/>
        <w:rPr>
          <w:rFonts w:ascii="Arial" w:cs="Arial" w:eastAsia="Arial" w:hAnsi="Arial"/>
          <w:sz w:val="18"/>
          <w:szCs w:val="18"/>
          <w:b w:val="1"/>
          <w:bCs w:val="1"/>
          <w:color w:val="auto"/>
        </w:rPr>
      </w:pPr>
      <w:r>
        <w:rPr>
          <w:rFonts w:ascii="Arial" w:cs="Arial" w:eastAsia="Arial" w:hAnsi="Arial"/>
          <w:sz w:val="18"/>
          <w:szCs w:val="18"/>
          <w:color w:val="auto"/>
        </w:rPr>
        <w:t>Management evaluates the operating results of each of its reportable segments based upon revenue and “Adjusted EBITDA,” which the Company defines as income from continuing operations before non-vehicle related depreciation and amortization, any impairment charge, restructuring and other related charges, early extinguishment of debt costs, non-vehicle related interest, transaction-related costs, net charges for an unprecedented personal-injury legal matter and income taxes. Net charges for the legal matter are recorded within operating expenses in the Company’s Consolidated Statements of Operations. The Company has revised its definition of Adjusted EBITDA to exclude costs associated with the separation of certain officers of the Company and its limited voluntary opportunity plans, which offered certain employees the limited opportunity to elect resignation from employment for enhanced severance benefits. Costs associated with the separation of certain officers and the limited voluntary opportunity plans are recorded as part of restructuring and other related charges in the Company’s Consolidated Statements of Operations. The Company did not revise prior years’ Adjusted EBITDA amounts because there were no costs similar in nature to these items. The Company’s presentation of Adjusted EBITDA may not be comparable to similarly-titled measures used by other companies.</w:t>
      </w:r>
    </w:p>
    <w:p>
      <w:pPr>
        <w:spacing w:after="0" w:line="189"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Year Ended December 31, 2017</w:t>
      </w:r>
    </w:p>
    <w:p>
      <w:pPr>
        <w:spacing w:after="0" w:line="167" w:lineRule="exact"/>
        <w:rPr>
          <w:sz w:val="20"/>
          <w:szCs w:val="20"/>
          <w:color w:val="auto"/>
        </w:rPr>
      </w:pPr>
    </w:p>
    <w:tbl>
      <w:tblPr>
        <w:tblLayout w:type="fixed"/>
        <w:tblInd w:w="500" w:type="dxa"/>
        <w:tblCellMar>
          <w:top w:w="0" w:type="dxa"/>
          <w:left w:w="0" w:type="dxa"/>
          <w:bottom w:w="0" w:type="dxa"/>
          <w:right w:w="0" w:type="dxa"/>
        </w:tblCellMar>
      </w:tblPr>
      <w:tr>
        <w:trPr>
          <w:trHeight w:val="207"/>
        </w:trPr>
        <w:tc>
          <w:tcPr>
            <w:tcW w:w="4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gridSpan w:val="3"/>
          </w:tcPr>
          <w:p>
            <w:pPr>
              <w:ind w:left="120"/>
              <w:spacing w:after="0"/>
              <w:rPr>
                <w:sz w:val="20"/>
                <w:szCs w:val="20"/>
                <w:color w:val="auto"/>
              </w:rPr>
            </w:pPr>
            <w:r>
              <w:rPr>
                <w:rFonts w:ascii="Arial" w:cs="Arial" w:eastAsia="Arial" w:hAnsi="Arial"/>
                <w:sz w:val="18"/>
                <w:szCs w:val="18"/>
                <w:b w:val="1"/>
                <w:bCs w:val="1"/>
                <w:color w:val="auto"/>
              </w:rPr>
              <w:t>Corporate</w:t>
            </w:r>
          </w:p>
        </w:tc>
        <w:tc>
          <w:tcPr>
            <w:tcW w:w="1120" w:type="dxa"/>
            <w:vAlign w:val="bottom"/>
          </w:tcPr>
          <w:p>
            <w:pPr>
              <w:spacing w:after="0"/>
              <w:rPr>
                <w:sz w:val="18"/>
                <w:szCs w:val="18"/>
                <w:color w:val="auto"/>
              </w:rPr>
            </w:pPr>
          </w:p>
        </w:tc>
      </w:tr>
      <w:tr>
        <w:trPr>
          <w:trHeight w:val="252"/>
        </w:trPr>
        <w:tc>
          <w:tcPr>
            <w:tcW w:w="41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Americas</w:t>
            </w:r>
          </w:p>
        </w:tc>
        <w:tc>
          <w:tcPr>
            <w:tcW w:w="1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International</w:t>
            </w: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7"/>
              </w:rPr>
              <w:t xml:space="preserve">and Other </w:t>
            </w:r>
            <w:r>
              <w:rPr>
                <w:rFonts w:ascii="Arial" w:cs="Arial" w:eastAsia="Arial" w:hAnsi="Arial"/>
                <w:sz w:val="21"/>
                <w:szCs w:val="21"/>
                <w:b w:val="1"/>
                <w:bCs w:val="1"/>
                <w:color w:val="auto"/>
                <w:w w:val="97"/>
                <w:vertAlign w:val="superscript"/>
              </w:rPr>
              <w:t>(a)</w:t>
            </w:r>
          </w:p>
        </w:tc>
        <w:tc>
          <w:tcPr>
            <w:tcW w:w="1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Total</w:t>
            </w:r>
          </w:p>
        </w:tc>
      </w:tr>
      <w:tr>
        <w:trPr>
          <w:trHeight w:val="237"/>
        </w:trPr>
        <w:tc>
          <w:tcPr>
            <w:tcW w:w="4160" w:type="dxa"/>
            <w:vAlign w:val="bottom"/>
          </w:tcPr>
          <w:p>
            <w:pPr>
              <w:ind w:left="20"/>
              <w:spacing w:after="0"/>
              <w:rPr>
                <w:sz w:val="20"/>
                <w:szCs w:val="20"/>
                <w:color w:val="auto"/>
              </w:rPr>
            </w:pPr>
            <w:r>
              <w:rPr>
                <w:rFonts w:ascii="Arial" w:cs="Arial" w:eastAsia="Arial" w:hAnsi="Arial"/>
                <w:sz w:val="18"/>
                <w:szCs w:val="18"/>
                <w:color w:val="auto"/>
              </w:rPr>
              <w:t>Net revenues</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6,100</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2,748</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gridSpan w:val="3"/>
          </w:tcPr>
          <w:p>
            <w:pPr>
              <w:ind w:left="1000"/>
              <w:spacing w:after="0"/>
              <w:rPr>
                <w:sz w:val="20"/>
                <w:szCs w:val="20"/>
                <w:color w:val="auto"/>
              </w:rPr>
            </w:pPr>
            <w:r>
              <w:rPr>
                <w:rFonts w:ascii="Arial" w:cs="Arial" w:eastAsia="Arial" w:hAnsi="Arial"/>
                <w:sz w:val="18"/>
                <w:szCs w:val="18"/>
                <w:color w:val="auto"/>
              </w:rPr>
              <w:t>—   $</w:t>
            </w:r>
          </w:p>
        </w:tc>
        <w:tc>
          <w:tcPr>
            <w:tcW w:w="1120" w:type="dxa"/>
            <w:vAlign w:val="bottom"/>
          </w:tcPr>
          <w:p>
            <w:pPr>
              <w:jc w:val="right"/>
              <w:spacing w:after="0"/>
              <w:rPr>
                <w:sz w:val="20"/>
                <w:szCs w:val="20"/>
                <w:color w:val="auto"/>
              </w:rPr>
            </w:pPr>
            <w:r>
              <w:rPr>
                <w:rFonts w:ascii="Arial" w:cs="Arial" w:eastAsia="Arial" w:hAnsi="Arial"/>
                <w:sz w:val="18"/>
                <w:szCs w:val="18"/>
                <w:color w:val="auto"/>
              </w:rPr>
              <w:t>8,848</w:t>
            </w:r>
          </w:p>
        </w:tc>
      </w:tr>
      <w:tr>
        <w:trPr>
          <w:trHeight w:val="270"/>
        </w:trPr>
        <w:tc>
          <w:tcPr>
            <w:tcW w:w="4160" w:type="dxa"/>
            <w:vAlign w:val="bottom"/>
          </w:tcPr>
          <w:p>
            <w:pPr>
              <w:ind w:left="20"/>
              <w:spacing w:after="0"/>
              <w:rPr>
                <w:sz w:val="20"/>
                <w:szCs w:val="20"/>
                <w:color w:val="auto"/>
              </w:rPr>
            </w:pPr>
            <w:r>
              <w:rPr>
                <w:rFonts w:ascii="Arial" w:cs="Arial" w:eastAsia="Arial" w:hAnsi="Arial"/>
                <w:sz w:val="18"/>
                <w:szCs w:val="18"/>
                <w:color w:val="auto"/>
              </w:rPr>
              <w:t>Vehicle depreciation and lease charges, net</w:t>
            </w:r>
          </w:p>
        </w:tc>
        <w:tc>
          <w:tcPr>
            <w:tcW w:w="2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1,671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550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720" w:type="dxa"/>
            <w:vAlign w:val="bottom"/>
            <w:gridSpan w:val="3"/>
          </w:tcPr>
          <w:p>
            <w:pPr>
              <w:jc w:val="right"/>
              <w:ind w:right="54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2,221</w:t>
            </w:r>
          </w:p>
        </w:tc>
      </w:tr>
      <w:tr>
        <w:trPr>
          <w:trHeight w:val="270"/>
        </w:trPr>
        <w:tc>
          <w:tcPr>
            <w:tcW w:w="4160" w:type="dxa"/>
            <w:vAlign w:val="bottom"/>
          </w:tcPr>
          <w:p>
            <w:pPr>
              <w:ind w:left="20"/>
              <w:spacing w:after="0"/>
              <w:rPr>
                <w:sz w:val="20"/>
                <w:szCs w:val="20"/>
                <w:color w:val="auto"/>
              </w:rPr>
            </w:pPr>
            <w:r>
              <w:rPr>
                <w:rFonts w:ascii="Arial" w:cs="Arial" w:eastAsia="Arial" w:hAnsi="Arial"/>
                <w:sz w:val="18"/>
                <w:szCs w:val="18"/>
                <w:color w:val="auto"/>
              </w:rPr>
              <w:t>Vehicle interest, net</w:t>
            </w:r>
          </w:p>
        </w:tc>
        <w:tc>
          <w:tcPr>
            <w:tcW w:w="2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226</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720" w:type="dxa"/>
            <w:vAlign w:val="bottom"/>
            <w:gridSpan w:val="3"/>
          </w:tcPr>
          <w:p>
            <w:pPr>
              <w:jc w:val="right"/>
              <w:ind w:right="54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286</w:t>
            </w:r>
          </w:p>
        </w:tc>
      </w:tr>
      <w:tr>
        <w:trPr>
          <w:trHeight w:val="270"/>
        </w:trPr>
        <w:tc>
          <w:tcPr>
            <w:tcW w:w="4160" w:type="dxa"/>
            <w:vAlign w:val="bottom"/>
          </w:tcPr>
          <w:p>
            <w:pPr>
              <w:ind w:left="20"/>
              <w:spacing w:after="0"/>
              <w:rPr>
                <w:sz w:val="20"/>
                <w:szCs w:val="20"/>
                <w:color w:val="auto"/>
              </w:rPr>
            </w:pPr>
            <w:r>
              <w:rPr>
                <w:rFonts w:ascii="Arial" w:cs="Arial" w:eastAsia="Arial" w:hAnsi="Arial"/>
                <w:sz w:val="18"/>
                <w:szCs w:val="18"/>
                <w:color w:val="auto"/>
              </w:rPr>
              <w:t>Adjusted EBITDA</w:t>
            </w:r>
          </w:p>
        </w:tc>
        <w:tc>
          <w:tcPr>
            <w:tcW w:w="2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486</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305</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735</w:t>
            </w:r>
          </w:p>
        </w:tc>
      </w:tr>
      <w:tr>
        <w:trPr>
          <w:trHeight w:val="270"/>
        </w:trPr>
        <w:tc>
          <w:tcPr>
            <w:tcW w:w="4160" w:type="dxa"/>
            <w:vAlign w:val="bottom"/>
          </w:tcPr>
          <w:p>
            <w:pPr>
              <w:ind w:left="20"/>
              <w:spacing w:after="0"/>
              <w:rPr>
                <w:sz w:val="20"/>
                <w:szCs w:val="20"/>
                <w:color w:val="auto"/>
              </w:rPr>
            </w:pPr>
            <w:r>
              <w:rPr>
                <w:rFonts w:ascii="Arial" w:cs="Arial" w:eastAsia="Arial" w:hAnsi="Arial"/>
                <w:sz w:val="18"/>
                <w:szCs w:val="18"/>
                <w:color w:val="auto"/>
              </w:rPr>
              <w:t>Non-vehicle depreciation and amortization</w:t>
            </w:r>
          </w:p>
        </w:tc>
        <w:tc>
          <w:tcPr>
            <w:tcW w:w="2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168</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720" w:type="dxa"/>
            <w:vAlign w:val="bottom"/>
            <w:gridSpan w:val="3"/>
          </w:tcPr>
          <w:p>
            <w:pPr>
              <w:jc w:val="right"/>
              <w:ind w:right="54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259</w:t>
            </w:r>
          </w:p>
        </w:tc>
      </w:tr>
      <w:tr>
        <w:trPr>
          <w:trHeight w:val="270"/>
        </w:trPr>
        <w:tc>
          <w:tcPr>
            <w:tcW w:w="4160" w:type="dxa"/>
            <w:vAlign w:val="bottom"/>
          </w:tcPr>
          <w:p>
            <w:pPr>
              <w:ind w:left="20"/>
              <w:spacing w:after="0"/>
              <w:rPr>
                <w:sz w:val="20"/>
                <w:szCs w:val="20"/>
                <w:color w:val="auto"/>
              </w:rPr>
            </w:pPr>
            <w:r>
              <w:rPr>
                <w:rFonts w:ascii="Arial" w:cs="Arial" w:eastAsia="Arial" w:hAnsi="Arial"/>
                <w:sz w:val="18"/>
                <w:szCs w:val="18"/>
                <w:color w:val="auto"/>
              </w:rPr>
              <w:t>Assets exclusive of assets under vehicle programs</w:t>
            </w:r>
          </w:p>
        </w:tc>
        <w:tc>
          <w:tcPr>
            <w:tcW w:w="2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3,388</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2,353</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5,820</w:t>
            </w:r>
          </w:p>
        </w:tc>
      </w:tr>
      <w:tr>
        <w:trPr>
          <w:trHeight w:val="270"/>
        </w:trPr>
        <w:tc>
          <w:tcPr>
            <w:tcW w:w="4160" w:type="dxa"/>
            <w:vAlign w:val="bottom"/>
          </w:tcPr>
          <w:p>
            <w:pPr>
              <w:ind w:left="20"/>
              <w:spacing w:after="0"/>
              <w:rPr>
                <w:sz w:val="20"/>
                <w:szCs w:val="20"/>
                <w:color w:val="auto"/>
              </w:rPr>
            </w:pPr>
            <w:r>
              <w:rPr>
                <w:rFonts w:ascii="Arial" w:cs="Arial" w:eastAsia="Arial" w:hAnsi="Arial"/>
                <w:sz w:val="18"/>
                <w:szCs w:val="18"/>
                <w:color w:val="auto"/>
              </w:rPr>
              <w:t>Assets under vehicle programs</w:t>
            </w:r>
          </w:p>
        </w:tc>
        <w:tc>
          <w:tcPr>
            <w:tcW w:w="2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9,017</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2,862</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720" w:type="dxa"/>
            <w:vAlign w:val="bottom"/>
            <w:gridSpan w:val="3"/>
          </w:tcPr>
          <w:p>
            <w:pPr>
              <w:jc w:val="right"/>
              <w:ind w:right="54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11,879</w:t>
            </w:r>
          </w:p>
        </w:tc>
      </w:tr>
      <w:tr>
        <w:trPr>
          <w:trHeight w:val="270"/>
        </w:trPr>
        <w:tc>
          <w:tcPr>
            <w:tcW w:w="4160" w:type="dxa"/>
            <w:vAlign w:val="bottom"/>
          </w:tcPr>
          <w:p>
            <w:pPr>
              <w:ind w:left="20"/>
              <w:spacing w:after="0"/>
              <w:rPr>
                <w:sz w:val="20"/>
                <w:szCs w:val="20"/>
                <w:color w:val="auto"/>
              </w:rPr>
            </w:pPr>
            <w:r>
              <w:rPr>
                <w:rFonts w:ascii="Arial" w:cs="Arial" w:eastAsia="Arial" w:hAnsi="Arial"/>
                <w:sz w:val="18"/>
                <w:szCs w:val="18"/>
                <w:color w:val="auto"/>
              </w:rPr>
              <w:t>Capital expenditures (excluding vehicles)</w:t>
            </w:r>
          </w:p>
        </w:tc>
        <w:tc>
          <w:tcPr>
            <w:tcW w:w="2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122</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197</w:t>
            </w:r>
          </w:p>
        </w:tc>
      </w:tr>
      <w:tr>
        <w:trPr>
          <w:trHeight w:val="283"/>
        </w:trPr>
        <w:tc>
          <w:tcPr>
            <w:tcW w:w="4160" w:type="dxa"/>
            <w:vAlign w:val="bottom"/>
          </w:tcPr>
          <w:p>
            <w:pPr>
              <w:spacing w:after="0"/>
              <w:rPr>
                <w:sz w:val="20"/>
                <w:szCs w:val="20"/>
                <w:color w:val="auto"/>
              </w:rPr>
            </w:pPr>
            <w:r>
              <w:rPr>
                <w:rFonts w:ascii="Arial" w:cs="Arial" w:eastAsia="Arial" w:hAnsi="Arial"/>
                <w:sz w:val="18"/>
                <w:szCs w:val="18"/>
                <w:color w:val="auto"/>
              </w:rPr>
              <w:t>__________</w:t>
            </w: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ind w:left="820" w:hanging="326"/>
        <w:spacing w:after="0" w:line="228" w:lineRule="auto"/>
        <w:tabs>
          <w:tab w:leader="none" w:pos="820" w:val="left"/>
        </w:tabs>
        <w:numPr>
          <w:ilvl w:val="0"/>
          <w:numId w:val="101"/>
        </w:numPr>
        <w:rPr>
          <w:rFonts w:ascii="Arial" w:cs="Arial" w:eastAsia="Arial" w:hAnsi="Arial"/>
          <w:sz w:val="18"/>
          <w:szCs w:val="18"/>
          <w:color w:val="auto"/>
          <w:vertAlign w:val="superscript"/>
        </w:rPr>
      </w:pPr>
      <w:r>
        <w:rPr>
          <w:rFonts w:ascii="Arial" w:cs="Arial" w:eastAsia="Arial" w:hAnsi="Arial"/>
          <w:sz w:val="14"/>
          <w:szCs w:val="14"/>
          <w:color w:val="auto"/>
        </w:rPr>
        <w:t>Primarily represents unallocated corporate expenses and receivables from our former subsidiaries</w:t>
      </w:r>
      <w:r>
        <w:rPr>
          <w:rFonts w:ascii="Arial" w:cs="Arial" w:eastAsia="Arial" w:hAnsi="Arial"/>
          <w:sz w:val="16"/>
          <w:szCs w:val="16"/>
          <w:color w:val="auto"/>
        </w:rPr>
        <w:t>.</w:t>
      </w:r>
    </w:p>
    <w:p>
      <w:pPr>
        <w:spacing w:after="0" w:line="23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F-46</w:t>
      </w:r>
    </w:p>
    <w:p>
      <w:pPr>
        <w:sectPr>
          <w:pgSz w:w="11900" w:h="16838" w:orient="portrait"/>
          <w:cols w:equalWidth="0" w:num="1">
            <w:col w:w="11360"/>
          </w:cols>
          <w:pgMar w:left="240" w:top="140" w:right="299" w:bottom="1440" w:gutter="0" w:footer="0" w:header="0"/>
        </w:sectPr>
      </w:pPr>
    </w:p>
    <w:bookmarkStart w:id="112" w:name="page113"/>
    <w:bookmarkEnd w:id="1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1"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Year Ended December 31, 2016</w:t>
      </w:r>
    </w:p>
    <w:p>
      <w:pPr>
        <w:spacing w:after="0" w:line="171" w:lineRule="exact"/>
        <w:rPr>
          <w:sz w:val="20"/>
          <w:szCs w:val="20"/>
          <w:color w:val="auto"/>
        </w:rPr>
      </w:pPr>
    </w:p>
    <w:p>
      <w:pPr>
        <w:ind w:left="8100"/>
        <w:spacing w:after="0"/>
        <w:rPr>
          <w:sz w:val="20"/>
          <w:szCs w:val="20"/>
          <w:color w:val="auto"/>
        </w:rPr>
      </w:pPr>
      <w:r>
        <w:rPr>
          <w:rFonts w:ascii="Arial" w:cs="Arial" w:eastAsia="Arial" w:hAnsi="Arial"/>
          <w:sz w:val="18"/>
          <w:szCs w:val="18"/>
          <w:b w:val="1"/>
          <w:bCs w:val="1"/>
          <w:color w:val="auto"/>
        </w:rPr>
        <w:t>Corporate</w:t>
      </w:r>
    </w:p>
    <w:p>
      <w:pPr>
        <w:spacing w:after="0" w:line="15" w:lineRule="exact"/>
        <w:rPr>
          <w:sz w:val="20"/>
          <w:szCs w:val="20"/>
          <w:color w:val="auto"/>
        </w:rPr>
      </w:pPr>
    </w:p>
    <w:p>
      <w:pPr>
        <w:jc w:val="both"/>
        <w:ind w:left="5000"/>
        <w:spacing w:after="0"/>
        <w:tabs>
          <w:tab w:leader="none" w:pos="6400" w:val="left"/>
          <w:tab w:leader="none" w:pos="8000" w:val="left"/>
          <w:tab w:leader="none" w:pos="9860" w:val="left"/>
        </w:tabs>
        <w:rPr>
          <w:sz w:val="20"/>
          <w:szCs w:val="20"/>
          <w:color w:val="auto"/>
        </w:rPr>
      </w:pPr>
      <w:r>
        <w:rPr>
          <w:rFonts w:ascii="Arial" w:cs="Arial" w:eastAsia="Arial" w:hAnsi="Arial"/>
          <w:sz w:val="18"/>
          <w:szCs w:val="18"/>
          <w:b w:val="1"/>
          <w:bCs w:val="1"/>
          <w:color w:val="auto"/>
        </w:rPr>
        <w:t>Americas</w:t>
      </w:r>
      <w:r>
        <w:rPr>
          <w:sz w:val="20"/>
          <w:szCs w:val="20"/>
          <w:color w:val="auto"/>
        </w:rPr>
        <w:tab/>
      </w:r>
      <w:r>
        <w:rPr>
          <w:rFonts w:ascii="Arial" w:cs="Arial" w:eastAsia="Arial" w:hAnsi="Arial"/>
          <w:sz w:val="18"/>
          <w:szCs w:val="18"/>
          <w:b w:val="1"/>
          <w:bCs w:val="1"/>
          <w:color w:val="auto"/>
        </w:rPr>
        <w:t>International</w:t>
      </w:r>
      <w:r>
        <w:rPr>
          <w:sz w:val="20"/>
          <w:szCs w:val="20"/>
          <w:color w:val="auto"/>
        </w:rPr>
        <w:tab/>
      </w:r>
      <w:r>
        <w:rPr>
          <w:rFonts w:ascii="Arial" w:cs="Arial" w:eastAsia="Arial" w:hAnsi="Arial"/>
          <w:sz w:val="18"/>
          <w:szCs w:val="18"/>
          <w:b w:val="1"/>
          <w:bCs w:val="1"/>
          <w:color w:val="auto"/>
        </w:rPr>
        <w:t xml:space="preserve">and Other </w:t>
      </w:r>
      <w:r>
        <w:rPr>
          <w:rFonts w:ascii="Arial" w:cs="Arial" w:eastAsia="Arial" w:hAnsi="Arial"/>
          <w:sz w:val="21"/>
          <w:szCs w:val="21"/>
          <w:b w:val="1"/>
          <w:bCs w:val="1"/>
          <w:color w:val="auto"/>
          <w:vertAlign w:val="superscript"/>
        </w:rPr>
        <w:t>(a)</w:t>
      </w:r>
      <w:r>
        <w:rPr>
          <w:sz w:val="20"/>
          <w:szCs w:val="20"/>
          <w:color w:val="auto"/>
        </w:rPr>
        <w:tab/>
      </w:r>
      <w:r>
        <w:rPr>
          <w:rFonts w:ascii="Arial" w:cs="Arial" w:eastAsia="Arial" w:hAnsi="Arial"/>
          <w:sz w:val="17"/>
          <w:szCs w:val="17"/>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2963545</wp:posOffset>
            </wp:positionH>
            <wp:positionV relativeFrom="paragraph">
              <wp:posOffset>-5080</wp:posOffset>
            </wp:positionV>
            <wp:extent cx="391033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910330" cy="8890"/>
                    </a:xfrm>
                    <a:prstGeom prst="rect">
                      <a:avLst/>
                    </a:prstGeom>
                    <a:noFill/>
                  </pic:spPr>
                </pic:pic>
              </a:graphicData>
            </a:graphic>
          </wp:anchor>
        </w:drawing>
      </w:r>
    </w:p>
    <w:p>
      <w:pPr>
        <w:sectPr>
          <w:pgSz w:w="11900" w:h="16838" w:orient="portrait"/>
          <w:cols w:equalWidth="0" w:num="1">
            <w:col w:w="10820"/>
          </w:cols>
          <w:pgMar w:left="240" w:top="140" w:right="839" w:bottom="1440" w:gutter="0" w:footer="0" w:header="0"/>
        </w:sectPr>
      </w:pPr>
    </w:p>
    <w:p>
      <w:pPr>
        <w:spacing w:after="0" w:line="18" w:lineRule="exact"/>
        <w:rPr>
          <w:sz w:val="20"/>
          <w:szCs w:val="20"/>
          <w:color w:val="auto"/>
        </w:rPr>
      </w:pPr>
    </w:p>
    <w:tbl>
      <w:tblPr>
        <w:tblLayout w:type="fixed"/>
        <w:tblInd w:w="500" w:type="dxa"/>
        <w:tblCellMar>
          <w:top w:w="0" w:type="dxa"/>
          <w:left w:w="0" w:type="dxa"/>
          <w:bottom w:w="0" w:type="dxa"/>
          <w:right w:w="0" w:type="dxa"/>
        </w:tblCellMar>
      </w:tblPr>
      <w:tr>
        <w:trPr>
          <w:trHeight w:val="230"/>
        </w:trPr>
        <w:tc>
          <w:tcPr>
            <w:tcW w:w="4120" w:type="dxa"/>
            <w:vAlign w:val="bottom"/>
          </w:tcPr>
          <w:p>
            <w:pPr>
              <w:ind w:left="20"/>
              <w:spacing w:after="0"/>
              <w:rPr>
                <w:sz w:val="20"/>
                <w:szCs w:val="20"/>
                <w:color w:val="auto"/>
              </w:rPr>
            </w:pPr>
            <w:r>
              <w:rPr>
                <w:rFonts w:ascii="Arial" w:cs="Arial" w:eastAsia="Arial" w:hAnsi="Arial"/>
                <w:sz w:val="18"/>
                <w:szCs w:val="18"/>
                <w:color w:val="auto"/>
              </w:rPr>
              <w:t>Net revenues</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4120" w:type="dxa"/>
            <w:vAlign w:val="bottom"/>
          </w:tcPr>
          <w:p>
            <w:pPr>
              <w:ind w:left="20"/>
              <w:spacing w:after="0"/>
              <w:rPr>
                <w:sz w:val="20"/>
                <w:szCs w:val="20"/>
                <w:color w:val="auto"/>
              </w:rPr>
            </w:pPr>
            <w:r>
              <w:rPr>
                <w:rFonts w:ascii="Arial" w:cs="Arial" w:eastAsia="Arial" w:hAnsi="Arial"/>
                <w:sz w:val="18"/>
                <w:szCs w:val="18"/>
                <w:color w:val="auto"/>
              </w:rPr>
              <w:t>Vehicle depreciation and lease charges, net</w:t>
            </w:r>
          </w:p>
        </w:tc>
        <w:tc>
          <w:tcPr>
            <w:tcW w:w="180" w:type="dxa"/>
            <w:vAlign w:val="bottom"/>
          </w:tcPr>
          <w:p>
            <w:pPr>
              <w:spacing w:after="0"/>
              <w:rPr>
                <w:sz w:val="22"/>
                <w:szCs w:val="22"/>
                <w:color w:val="auto"/>
              </w:rPr>
            </w:pPr>
          </w:p>
        </w:tc>
      </w:tr>
      <w:tr>
        <w:trPr>
          <w:trHeight w:val="270"/>
        </w:trPr>
        <w:tc>
          <w:tcPr>
            <w:tcW w:w="4120" w:type="dxa"/>
            <w:vAlign w:val="bottom"/>
          </w:tcPr>
          <w:p>
            <w:pPr>
              <w:ind w:left="20"/>
              <w:spacing w:after="0"/>
              <w:rPr>
                <w:sz w:val="20"/>
                <w:szCs w:val="20"/>
                <w:color w:val="auto"/>
              </w:rPr>
            </w:pPr>
            <w:r>
              <w:rPr>
                <w:rFonts w:ascii="Arial" w:cs="Arial" w:eastAsia="Arial" w:hAnsi="Arial"/>
                <w:sz w:val="18"/>
                <w:szCs w:val="18"/>
                <w:color w:val="auto"/>
              </w:rPr>
              <w:t>Vehicle interest, net</w:t>
            </w:r>
          </w:p>
        </w:tc>
        <w:tc>
          <w:tcPr>
            <w:tcW w:w="180" w:type="dxa"/>
            <w:vAlign w:val="bottom"/>
          </w:tcPr>
          <w:p>
            <w:pPr>
              <w:spacing w:after="0"/>
              <w:rPr>
                <w:sz w:val="23"/>
                <w:szCs w:val="23"/>
                <w:color w:val="auto"/>
              </w:rPr>
            </w:pPr>
          </w:p>
        </w:tc>
      </w:tr>
      <w:tr>
        <w:trPr>
          <w:trHeight w:val="270"/>
        </w:trPr>
        <w:tc>
          <w:tcPr>
            <w:tcW w:w="4120" w:type="dxa"/>
            <w:vAlign w:val="bottom"/>
          </w:tcPr>
          <w:p>
            <w:pPr>
              <w:ind w:left="20"/>
              <w:spacing w:after="0"/>
              <w:rPr>
                <w:sz w:val="20"/>
                <w:szCs w:val="20"/>
                <w:color w:val="auto"/>
              </w:rPr>
            </w:pPr>
            <w:r>
              <w:rPr>
                <w:rFonts w:ascii="Arial" w:cs="Arial" w:eastAsia="Arial" w:hAnsi="Arial"/>
                <w:sz w:val="18"/>
                <w:szCs w:val="18"/>
                <w:color w:val="auto"/>
              </w:rPr>
              <w:t>Adjusted EBITDA</w:t>
            </w:r>
          </w:p>
        </w:tc>
        <w:tc>
          <w:tcPr>
            <w:tcW w:w="180" w:type="dxa"/>
            <w:vAlign w:val="bottom"/>
          </w:tcPr>
          <w:p>
            <w:pPr>
              <w:spacing w:after="0"/>
              <w:rPr>
                <w:sz w:val="23"/>
                <w:szCs w:val="23"/>
                <w:color w:val="auto"/>
              </w:rPr>
            </w:pPr>
          </w:p>
        </w:tc>
      </w:tr>
      <w:tr>
        <w:trPr>
          <w:trHeight w:val="270"/>
        </w:trPr>
        <w:tc>
          <w:tcPr>
            <w:tcW w:w="4120" w:type="dxa"/>
            <w:vAlign w:val="bottom"/>
          </w:tcPr>
          <w:p>
            <w:pPr>
              <w:ind w:left="20"/>
              <w:spacing w:after="0"/>
              <w:rPr>
                <w:sz w:val="20"/>
                <w:szCs w:val="20"/>
                <w:color w:val="auto"/>
              </w:rPr>
            </w:pPr>
            <w:r>
              <w:rPr>
                <w:rFonts w:ascii="Arial" w:cs="Arial" w:eastAsia="Arial" w:hAnsi="Arial"/>
                <w:sz w:val="18"/>
                <w:szCs w:val="18"/>
                <w:color w:val="auto"/>
              </w:rPr>
              <w:t>Non-vehicle depreciation and amortization</w:t>
            </w:r>
          </w:p>
        </w:tc>
        <w:tc>
          <w:tcPr>
            <w:tcW w:w="180" w:type="dxa"/>
            <w:vAlign w:val="bottom"/>
          </w:tcPr>
          <w:p>
            <w:pPr>
              <w:spacing w:after="0"/>
              <w:rPr>
                <w:sz w:val="23"/>
                <w:szCs w:val="23"/>
                <w:color w:val="auto"/>
              </w:rPr>
            </w:pPr>
          </w:p>
        </w:tc>
      </w:tr>
      <w:tr>
        <w:trPr>
          <w:trHeight w:val="270"/>
        </w:trPr>
        <w:tc>
          <w:tcPr>
            <w:tcW w:w="4120" w:type="dxa"/>
            <w:vAlign w:val="bottom"/>
          </w:tcPr>
          <w:p>
            <w:pPr>
              <w:ind w:left="20"/>
              <w:spacing w:after="0"/>
              <w:rPr>
                <w:sz w:val="20"/>
                <w:szCs w:val="20"/>
                <w:color w:val="auto"/>
              </w:rPr>
            </w:pPr>
            <w:r>
              <w:rPr>
                <w:rFonts w:ascii="Arial" w:cs="Arial" w:eastAsia="Arial" w:hAnsi="Arial"/>
                <w:sz w:val="18"/>
                <w:szCs w:val="18"/>
                <w:color w:val="auto"/>
              </w:rPr>
              <w:t>Assets exclusive of assets under vehicle programs</w:t>
            </w:r>
          </w:p>
        </w:tc>
        <w:tc>
          <w:tcPr>
            <w:tcW w:w="180" w:type="dxa"/>
            <w:vAlign w:val="bottom"/>
          </w:tcPr>
          <w:p>
            <w:pPr>
              <w:spacing w:after="0"/>
              <w:rPr>
                <w:sz w:val="23"/>
                <w:szCs w:val="23"/>
                <w:color w:val="auto"/>
              </w:rPr>
            </w:pPr>
          </w:p>
        </w:tc>
      </w:tr>
      <w:tr>
        <w:trPr>
          <w:trHeight w:val="270"/>
        </w:trPr>
        <w:tc>
          <w:tcPr>
            <w:tcW w:w="4120" w:type="dxa"/>
            <w:vAlign w:val="bottom"/>
          </w:tcPr>
          <w:p>
            <w:pPr>
              <w:ind w:left="20"/>
              <w:spacing w:after="0"/>
              <w:rPr>
                <w:sz w:val="20"/>
                <w:szCs w:val="20"/>
                <w:color w:val="auto"/>
              </w:rPr>
            </w:pPr>
            <w:r>
              <w:rPr>
                <w:rFonts w:ascii="Arial" w:cs="Arial" w:eastAsia="Arial" w:hAnsi="Arial"/>
                <w:sz w:val="18"/>
                <w:szCs w:val="18"/>
                <w:color w:val="auto"/>
              </w:rPr>
              <w:t>Assets under vehicle programs</w:t>
            </w:r>
          </w:p>
        </w:tc>
        <w:tc>
          <w:tcPr>
            <w:tcW w:w="180" w:type="dxa"/>
            <w:vAlign w:val="bottom"/>
          </w:tcPr>
          <w:p>
            <w:pPr>
              <w:spacing w:after="0"/>
              <w:rPr>
                <w:sz w:val="23"/>
                <w:szCs w:val="23"/>
                <w:color w:val="auto"/>
              </w:rPr>
            </w:pPr>
          </w:p>
        </w:tc>
      </w:tr>
      <w:tr>
        <w:trPr>
          <w:trHeight w:val="270"/>
        </w:trPr>
        <w:tc>
          <w:tcPr>
            <w:tcW w:w="4120" w:type="dxa"/>
            <w:vAlign w:val="bottom"/>
          </w:tcPr>
          <w:p>
            <w:pPr>
              <w:ind w:left="20"/>
              <w:spacing w:after="0"/>
              <w:rPr>
                <w:sz w:val="20"/>
                <w:szCs w:val="20"/>
                <w:color w:val="auto"/>
              </w:rPr>
            </w:pPr>
            <w:r>
              <w:rPr>
                <w:rFonts w:ascii="Arial" w:cs="Arial" w:eastAsia="Arial" w:hAnsi="Arial"/>
                <w:sz w:val="18"/>
                <w:szCs w:val="18"/>
                <w:color w:val="auto"/>
              </w:rPr>
              <w:t>Capital expenditures (excluding vehicles)</w:t>
            </w:r>
          </w:p>
        </w:tc>
        <w:tc>
          <w:tcPr>
            <w:tcW w:w="180" w:type="dxa"/>
            <w:vAlign w:val="bottom"/>
          </w:tcPr>
          <w:p>
            <w:pPr>
              <w:spacing w:after="0"/>
              <w:rPr>
                <w:sz w:val="23"/>
                <w:szCs w:val="23"/>
                <w:color w:val="auto"/>
              </w:rPr>
            </w:pPr>
          </w:p>
        </w:tc>
      </w:tr>
      <w:tr>
        <w:trPr>
          <w:trHeight w:val="297"/>
        </w:trPr>
        <w:tc>
          <w:tcPr>
            <w:tcW w:w="4120" w:type="dxa"/>
            <w:vAlign w:val="bottom"/>
          </w:tcPr>
          <w:p>
            <w:pPr>
              <w:spacing w:after="0"/>
              <w:rPr>
                <w:sz w:val="20"/>
                <w:szCs w:val="20"/>
                <w:color w:val="auto"/>
              </w:rPr>
            </w:pPr>
            <w:r>
              <w:rPr>
                <w:rFonts w:ascii="Arial" w:cs="Arial" w:eastAsia="Arial" w:hAnsi="Arial"/>
                <w:sz w:val="18"/>
                <w:szCs w:val="18"/>
                <w:color w:val="auto"/>
              </w:rPr>
              <w:t>__________</w:t>
            </w:r>
          </w:p>
        </w:tc>
        <w:tc>
          <w:tcPr>
            <w:tcW w:w="1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7"/>
        </w:trPr>
        <w:tc>
          <w:tcPr>
            <w:tcW w:w="560" w:type="dxa"/>
            <w:vAlign w:val="bottom"/>
          </w:tcPr>
          <w:p>
            <w:pPr>
              <w:jc w:val="right"/>
              <w:ind w:right="10"/>
              <w:spacing w:after="0"/>
              <w:rPr>
                <w:sz w:val="20"/>
                <w:szCs w:val="20"/>
                <w:color w:val="auto"/>
              </w:rPr>
            </w:pPr>
            <w:r>
              <w:rPr>
                <w:rFonts w:ascii="Arial" w:cs="Arial" w:eastAsia="Arial" w:hAnsi="Arial"/>
                <w:sz w:val="18"/>
                <w:szCs w:val="18"/>
                <w:color w:val="auto"/>
                <w:w w:val="97"/>
              </w:rPr>
              <w:t>6,121</w:t>
            </w:r>
          </w:p>
        </w:tc>
        <w:tc>
          <w:tcPr>
            <w:tcW w:w="62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2,538</w:t>
            </w:r>
          </w:p>
        </w:tc>
        <w:tc>
          <w:tcPr>
            <w:tcW w:w="70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250"/>
              <w:spacing w:after="0"/>
              <w:rPr>
                <w:sz w:val="20"/>
                <w:szCs w:val="20"/>
                <w:color w:val="auto"/>
              </w:rPr>
            </w:pPr>
            <w:r>
              <w:rPr>
                <w:rFonts w:ascii="Arial" w:cs="Arial" w:eastAsia="Arial" w:hAnsi="Arial"/>
                <w:sz w:val="18"/>
                <w:szCs w:val="18"/>
                <w:color w:val="auto"/>
              </w:rPr>
              <w:t>—   $</w:t>
            </w:r>
          </w:p>
        </w:tc>
        <w:tc>
          <w:tcPr>
            <w:tcW w:w="900" w:type="dxa"/>
            <w:vAlign w:val="bottom"/>
          </w:tcPr>
          <w:p>
            <w:pPr>
              <w:jc w:val="right"/>
              <w:spacing w:after="0"/>
              <w:rPr>
                <w:sz w:val="20"/>
                <w:szCs w:val="20"/>
                <w:color w:val="auto"/>
              </w:rPr>
            </w:pPr>
            <w:r>
              <w:rPr>
                <w:rFonts w:ascii="Arial" w:cs="Arial" w:eastAsia="Arial" w:hAnsi="Arial"/>
                <w:sz w:val="18"/>
                <w:szCs w:val="18"/>
                <w:color w:val="auto"/>
              </w:rPr>
              <w:t>8,659</w:t>
            </w:r>
          </w:p>
        </w:tc>
      </w:tr>
      <w:tr>
        <w:trPr>
          <w:trHeight w:val="270"/>
        </w:trPr>
        <w:tc>
          <w:tcPr>
            <w:tcW w:w="560" w:type="dxa"/>
            <w:vAlign w:val="bottom"/>
          </w:tcPr>
          <w:p>
            <w:pPr>
              <w:jc w:val="right"/>
              <w:ind w:right="10"/>
              <w:spacing w:after="0"/>
              <w:rPr>
                <w:sz w:val="20"/>
                <w:szCs w:val="20"/>
                <w:color w:val="auto"/>
              </w:rPr>
            </w:pPr>
            <w:r>
              <w:rPr>
                <w:rFonts w:ascii="Arial" w:cs="Arial" w:eastAsia="Arial" w:hAnsi="Arial"/>
                <w:sz w:val="18"/>
                <w:szCs w:val="18"/>
                <w:color w:val="auto"/>
                <w:w w:val="97"/>
              </w:rPr>
              <w:t>1,559</w:t>
            </w:r>
          </w:p>
        </w:tc>
        <w:tc>
          <w:tcPr>
            <w:tcW w:w="620" w:type="dxa"/>
            <w:vAlign w:val="bottom"/>
          </w:tcPr>
          <w:p>
            <w:pPr>
              <w:spacing w:after="0"/>
              <w:rPr>
                <w:sz w:val="23"/>
                <w:szCs w:val="23"/>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488</w:t>
            </w:r>
          </w:p>
        </w:tc>
        <w:tc>
          <w:tcPr>
            <w:tcW w:w="700" w:type="dxa"/>
            <w:vAlign w:val="bottom"/>
          </w:tcPr>
          <w:p>
            <w:pPr>
              <w:spacing w:after="0"/>
              <w:rPr>
                <w:sz w:val="23"/>
                <w:szCs w:val="23"/>
                <w:color w:val="auto"/>
              </w:rPr>
            </w:pPr>
          </w:p>
        </w:tc>
        <w:tc>
          <w:tcPr>
            <w:tcW w:w="1420" w:type="dxa"/>
            <w:vAlign w:val="bottom"/>
          </w:tcPr>
          <w:p>
            <w:pPr>
              <w:jc w:val="right"/>
              <w:ind w:right="59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2,047</w:t>
            </w:r>
          </w:p>
        </w:tc>
      </w:tr>
      <w:tr>
        <w:trPr>
          <w:trHeight w:val="270"/>
        </w:trPr>
        <w:tc>
          <w:tcPr>
            <w:tcW w:w="560" w:type="dxa"/>
            <w:vAlign w:val="bottom"/>
          </w:tcPr>
          <w:p>
            <w:pPr>
              <w:jc w:val="right"/>
              <w:ind w:right="10"/>
              <w:spacing w:after="0"/>
              <w:rPr>
                <w:sz w:val="20"/>
                <w:szCs w:val="20"/>
                <w:color w:val="auto"/>
              </w:rPr>
            </w:pPr>
            <w:r>
              <w:rPr>
                <w:rFonts w:ascii="Arial" w:cs="Arial" w:eastAsia="Arial" w:hAnsi="Arial"/>
                <w:sz w:val="18"/>
                <w:szCs w:val="18"/>
                <w:color w:val="auto"/>
              </w:rPr>
              <w:t>226</w:t>
            </w:r>
          </w:p>
        </w:tc>
        <w:tc>
          <w:tcPr>
            <w:tcW w:w="620" w:type="dxa"/>
            <w:vAlign w:val="bottom"/>
          </w:tcPr>
          <w:p>
            <w:pPr>
              <w:spacing w:after="0"/>
              <w:rPr>
                <w:sz w:val="23"/>
                <w:szCs w:val="23"/>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58</w:t>
            </w:r>
          </w:p>
        </w:tc>
        <w:tc>
          <w:tcPr>
            <w:tcW w:w="700" w:type="dxa"/>
            <w:vAlign w:val="bottom"/>
          </w:tcPr>
          <w:p>
            <w:pPr>
              <w:spacing w:after="0"/>
              <w:rPr>
                <w:sz w:val="23"/>
                <w:szCs w:val="23"/>
                <w:color w:val="auto"/>
              </w:rPr>
            </w:pPr>
          </w:p>
        </w:tc>
        <w:tc>
          <w:tcPr>
            <w:tcW w:w="1420" w:type="dxa"/>
            <w:vAlign w:val="bottom"/>
          </w:tcPr>
          <w:p>
            <w:pPr>
              <w:jc w:val="right"/>
              <w:ind w:right="59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284</w:t>
            </w:r>
          </w:p>
        </w:tc>
      </w:tr>
      <w:tr>
        <w:trPr>
          <w:trHeight w:val="270"/>
        </w:trPr>
        <w:tc>
          <w:tcPr>
            <w:tcW w:w="560" w:type="dxa"/>
            <w:vAlign w:val="bottom"/>
          </w:tcPr>
          <w:p>
            <w:pPr>
              <w:jc w:val="right"/>
              <w:ind w:right="10"/>
              <w:spacing w:after="0"/>
              <w:rPr>
                <w:sz w:val="20"/>
                <w:szCs w:val="20"/>
                <w:color w:val="auto"/>
              </w:rPr>
            </w:pPr>
            <w:r>
              <w:rPr>
                <w:rFonts w:ascii="Arial" w:cs="Arial" w:eastAsia="Arial" w:hAnsi="Arial"/>
                <w:sz w:val="18"/>
                <w:szCs w:val="18"/>
                <w:color w:val="auto"/>
              </w:rPr>
              <w:t>633</w:t>
            </w:r>
          </w:p>
        </w:tc>
        <w:tc>
          <w:tcPr>
            <w:tcW w:w="620" w:type="dxa"/>
            <w:vAlign w:val="bottom"/>
          </w:tcPr>
          <w:p>
            <w:pPr>
              <w:spacing w:after="0"/>
              <w:rPr>
                <w:sz w:val="23"/>
                <w:szCs w:val="23"/>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273</w:t>
            </w:r>
          </w:p>
        </w:tc>
        <w:tc>
          <w:tcPr>
            <w:tcW w:w="700" w:type="dxa"/>
            <w:vAlign w:val="bottom"/>
          </w:tcPr>
          <w:p>
            <w:pPr>
              <w:spacing w:after="0"/>
              <w:rPr>
                <w:sz w:val="23"/>
                <w:szCs w:val="23"/>
                <w:color w:val="auto"/>
              </w:rPr>
            </w:pPr>
          </w:p>
        </w:tc>
        <w:tc>
          <w:tcPr>
            <w:tcW w:w="1420" w:type="dxa"/>
            <w:vAlign w:val="bottom"/>
          </w:tcPr>
          <w:p>
            <w:pPr>
              <w:jc w:val="right"/>
              <w:ind w:right="530"/>
              <w:spacing w:after="0"/>
              <w:rPr>
                <w:sz w:val="20"/>
                <w:szCs w:val="20"/>
                <w:color w:val="auto"/>
              </w:rPr>
            </w:pPr>
            <w:r>
              <w:rPr>
                <w:rFonts w:ascii="Arial" w:cs="Arial" w:eastAsia="Arial" w:hAnsi="Arial"/>
                <w:sz w:val="18"/>
                <w:szCs w:val="18"/>
                <w:color w:val="auto"/>
              </w:rPr>
              <w:t>(68)</w:t>
            </w:r>
          </w:p>
        </w:tc>
        <w:tc>
          <w:tcPr>
            <w:tcW w:w="900" w:type="dxa"/>
            <w:vAlign w:val="bottom"/>
          </w:tcPr>
          <w:p>
            <w:pPr>
              <w:jc w:val="right"/>
              <w:spacing w:after="0"/>
              <w:rPr>
                <w:sz w:val="20"/>
                <w:szCs w:val="20"/>
                <w:color w:val="auto"/>
              </w:rPr>
            </w:pPr>
            <w:r>
              <w:rPr>
                <w:rFonts w:ascii="Arial" w:cs="Arial" w:eastAsia="Arial" w:hAnsi="Arial"/>
                <w:sz w:val="18"/>
                <w:szCs w:val="18"/>
                <w:color w:val="auto"/>
              </w:rPr>
              <w:t>838</w:t>
            </w:r>
          </w:p>
        </w:tc>
      </w:tr>
      <w:tr>
        <w:trPr>
          <w:trHeight w:val="270"/>
        </w:trPr>
        <w:tc>
          <w:tcPr>
            <w:tcW w:w="560" w:type="dxa"/>
            <w:vAlign w:val="bottom"/>
          </w:tcPr>
          <w:p>
            <w:pPr>
              <w:jc w:val="right"/>
              <w:ind w:right="10"/>
              <w:spacing w:after="0"/>
              <w:rPr>
                <w:sz w:val="20"/>
                <w:szCs w:val="20"/>
                <w:color w:val="auto"/>
              </w:rPr>
            </w:pPr>
            <w:r>
              <w:rPr>
                <w:rFonts w:ascii="Arial" w:cs="Arial" w:eastAsia="Arial" w:hAnsi="Arial"/>
                <w:sz w:val="18"/>
                <w:szCs w:val="18"/>
                <w:color w:val="auto"/>
              </w:rPr>
              <w:t>165</w:t>
            </w:r>
          </w:p>
        </w:tc>
        <w:tc>
          <w:tcPr>
            <w:tcW w:w="620" w:type="dxa"/>
            <w:vAlign w:val="bottom"/>
          </w:tcPr>
          <w:p>
            <w:pPr>
              <w:spacing w:after="0"/>
              <w:rPr>
                <w:sz w:val="23"/>
                <w:szCs w:val="23"/>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88</w:t>
            </w:r>
          </w:p>
        </w:tc>
        <w:tc>
          <w:tcPr>
            <w:tcW w:w="700" w:type="dxa"/>
            <w:vAlign w:val="bottom"/>
          </w:tcPr>
          <w:p>
            <w:pPr>
              <w:spacing w:after="0"/>
              <w:rPr>
                <w:sz w:val="23"/>
                <w:szCs w:val="23"/>
                <w:color w:val="auto"/>
              </w:rPr>
            </w:pPr>
          </w:p>
        </w:tc>
        <w:tc>
          <w:tcPr>
            <w:tcW w:w="1420" w:type="dxa"/>
            <w:vAlign w:val="bottom"/>
          </w:tcPr>
          <w:p>
            <w:pPr>
              <w:jc w:val="right"/>
              <w:ind w:right="59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253</w:t>
            </w:r>
          </w:p>
        </w:tc>
      </w:tr>
      <w:tr>
        <w:trPr>
          <w:trHeight w:val="270"/>
        </w:trPr>
        <w:tc>
          <w:tcPr>
            <w:tcW w:w="560" w:type="dxa"/>
            <w:vAlign w:val="bottom"/>
          </w:tcPr>
          <w:p>
            <w:pPr>
              <w:jc w:val="right"/>
              <w:ind w:right="10"/>
              <w:spacing w:after="0"/>
              <w:rPr>
                <w:sz w:val="20"/>
                <w:szCs w:val="20"/>
                <w:color w:val="auto"/>
              </w:rPr>
            </w:pPr>
            <w:r>
              <w:rPr>
                <w:rFonts w:ascii="Arial" w:cs="Arial" w:eastAsia="Arial" w:hAnsi="Arial"/>
                <w:sz w:val="18"/>
                <w:szCs w:val="18"/>
                <w:color w:val="auto"/>
                <w:w w:val="97"/>
              </w:rPr>
              <w:t>4,017</w:t>
            </w:r>
          </w:p>
        </w:tc>
        <w:tc>
          <w:tcPr>
            <w:tcW w:w="620" w:type="dxa"/>
            <w:vAlign w:val="bottom"/>
          </w:tcPr>
          <w:p>
            <w:pPr>
              <w:spacing w:after="0"/>
              <w:rPr>
                <w:sz w:val="23"/>
                <w:szCs w:val="23"/>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1,990</w:t>
            </w:r>
          </w:p>
        </w:tc>
        <w:tc>
          <w:tcPr>
            <w:tcW w:w="700" w:type="dxa"/>
            <w:vAlign w:val="bottom"/>
          </w:tcPr>
          <w:p>
            <w:pPr>
              <w:spacing w:after="0"/>
              <w:rPr>
                <w:sz w:val="23"/>
                <w:szCs w:val="23"/>
                <w:color w:val="auto"/>
              </w:rPr>
            </w:pPr>
          </w:p>
        </w:tc>
        <w:tc>
          <w:tcPr>
            <w:tcW w:w="1420" w:type="dxa"/>
            <w:vAlign w:val="bottom"/>
          </w:tcPr>
          <w:p>
            <w:pPr>
              <w:jc w:val="right"/>
              <w:ind w:right="590"/>
              <w:spacing w:after="0"/>
              <w:rPr>
                <w:sz w:val="20"/>
                <w:szCs w:val="20"/>
                <w:color w:val="auto"/>
              </w:rPr>
            </w:pPr>
            <w:r>
              <w:rPr>
                <w:rFonts w:ascii="Arial" w:cs="Arial" w:eastAsia="Arial" w:hAnsi="Arial"/>
                <w:sz w:val="18"/>
                <w:szCs w:val="18"/>
                <w:color w:val="auto"/>
              </w:rPr>
              <w:t>58</w:t>
            </w:r>
          </w:p>
        </w:tc>
        <w:tc>
          <w:tcPr>
            <w:tcW w:w="900" w:type="dxa"/>
            <w:vAlign w:val="bottom"/>
          </w:tcPr>
          <w:p>
            <w:pPr>
              <w:jc w:val="right"/>
              <w:spacing w:after="0"/>
              <w:rPr>
                <w:sz w:val="20"/>
                <w:szCs w:val="20"/>
                <w:color w:val="auto"/>
              </w:rPr>
            </w:pPr>
            <w:r>
              <w:rPr>
                <w:rFonts w:ascii="Arial" w:cs="Arial" w:eastAsia="Arial" w:hAnsi="Arial"/>
                <w:sz w:val="18"/>
                <w:szCs w:val="18"/>
                <w:color w:val="auto"/>
              </w:rPr>
              <w:t>6,065</w:t>
            </w:r>
          </w:p>
        </w:tc>
      </w:tr>
      <w:tr>
        <w:trPr>
          <w:trHeight w:val="270"/>
        </w:trPr>
        <w:tc>
          <w:tcPr>
            <w:tcW w:w="560" w:type="dxa"/>
            <w:vAlign w:val="bottom"/>
          </w:tcPr>
          <w:p>
            <w:pPr>
              <w:jc w:val="right"/>
              <w:ind w:right="10"/>
              <w:spacing w:after="0"/>
              <w:rPr>
                <w:sz w:val="20"/>
                <w:szCs w:val="20"/>
                <w:color w:val="auto"/>
              </w:rPr>
            </w:pPr>
            <w:r>
              <w:rPr>
                <w:rFonts w:ascii="Arial" w:cs="Arial" w:eastAsia="Arial" w:hAnsi="Arial"/>
                <w:sz w:val="18"/>
                <w:szCs w:val="18"/>
                <w:color w:val="auto"/>
                <w:w w:val="97"/>
              </w:rPr>
              <w:t>9,210</w:t>
            </w:r>
          </w:p>
        </w:tc>
        <w:tc>
          <w:tcPr>
            <w:tcW w:w="620" w:type="dxa"/>
            <w:vAlign w:val="bottom"/>
          </w:tcPr>
          <w:p>
            <w:pPr>
              <w:spacing w:after="0"/>
              <w:rPr>
                <w:sz w:val="23"/>
                <w:szCs w:val="23"/>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2,368</w:t>
            </w:r>
          </w:p>
        </w:tc>
        <w:tc>
          <w:tcPr>
            <w:tcW w:w="700" w:type="dxa"/>
            <w:vAlign w:val="bottom"/>
          </w:tcPr>
          <w:p>
            <w:pPr>
              <w:spacing w:after="0"/>
              <w:rPr>
                <w:sz w:val="23"/>
                <w:szCs w:val="23"/>
                <w:color w:val="auto"/>
              </w:rPr>
            </w:pPr>
          </w:p>
        </w:tc>
        <w:tc>
          <w:tcPr>
            <w:tcW w:w="1420" w:type="dxa"/>
            <w:vAlign w:val="bottom"/>
          </w:tcPr>
          <w:p>
            <w:pPr>
              <w:jc w:val="right"/>
              <w:ind w:right="59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11,578</w:t>
            </w:r>
          </w:p>
        </w:tc>
      </w:tr>
      <w:tr>
        <w:trPr>
          <w:trHeight w:val="270"/>
        </w:trPr>
        <w:tc>
          <w:tcPr>
            <w:tcW w:w="560" w:type="dxa"/>
            <w:vAlign w:val="bottom"/>
          </w:tcPr>
          <w:p>
            <w:pPr>
              <w:jc w:val="right"/>
              <w:ind w:right="10"/>
              <w:spacing w:after="0"/>
              <w:rPr>
                <w:sz w:val="20"/>
                <w:szCs w:val="20"/>
                <w:color w:val="auto"/>
              </w:rPr>
            </w:pPr>
            <w:r>
              <w:rPr>
                <w:rFonts w:ascii="Arial" w:cs="Arial" w:eastAsia="Arial" w:hAnsi="Arial"/>
                <w:sz w:val="18"/>
                <w:szCs w:val="18"/>
                <w:color w:val="auto"/>
              </w:rPr>
              <w:t>121</w:t>
            </w:r>
          </w:p>
        </w:tc>
        <w:tc>
          <w:tcPr>
            <w:tcW w:w="620" w:type="dxa"/>
            <w:vAlign w:val="bottom"/>
          </w:tcPr>
          <w:p>
            <w:pPr>
              <w:spacing w:after="0"/>
              <w:rPr>
                <w:sz w:val="23"/>
                <w:szCs w:val="23"/>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62</w:t>
            </w:r>
          </w:p>
        </w:tc>
        <w:tc>
          <w:tcPr>
            <w:tcW w:w="700" w:type="dxa"/>
            <w:vAlign w:val="bottom"/>
          </w:tcPr>
          <w:p>
            <w:pPr>
              <w:spacing w:after="0"/>
              <w:rPr>
                <w:sz w:val="23"/>
                <w:szCs w:val="23"/>
                <w:color w:val="auto"/>
              </w:rPr>
            </w:pPr>
          </w:p>
        </w:tc>
        <w:tc>
          <w:tcPr>
            <w:tcW w:w="1420" w:type="dxa"/>
            <w:vAlign w:val="bottom"/>
          </w:tcPr>
          <w:p>
            <w:pPr>
              <w:jc w:val="right"/>
              <w:ind w:right="590"/>
              <w:spacing w:after="0"/>
              <w:rPr>
                <w:sz w:val="20"/>
                <w:szCs w:val="20"/>
                <w:color w:val="auto"/>
              </w:rPr>
            </w:pPr>
            <w:r>
              <w:rPr>
                <w:rFonts w:ascii="Arial" w:cs="Arial" w:eastAsia="Arial" w:hAnsi="Arial"/>
                <w:sz w:val="18"/>
                <w:szCs w:val="18"/>
                <w:color w:val="auto"/>
              </w:rPr>
              <w:t>7</w:t>
            </w:r>
          </w:p>
        </w:tc>
        <w:tc>
          <w:tcPr>
            <w:tcW w:w="900" w:type="dxa"/>
            <w:vAlign w:val="bottom"/>
          </w:tcPr>
          <w:p>
            <w:pPr>
              <w:jc w:val="right"/>
              <w:spacing w:after="0"/>
              <w:rPr>
                <w:sz w:val="20"/>
                <w:szCs w:val="20"/>
                <w:color w:val="auto"/>
              </w:rPr>
            </w:pPr>
            <w:r>
              <w:rPr>
                <w:rFonts w:ascii="Arial" w:cs="Arial" w:eastAsia="Arial" w:hAnsi="Arial"/>
                <w:sz w:val="18"/>
                <w:szCs w:val="18"/>
                <w:color w:val="auto"/>
              </w:rPr>
              <w:t>190</w:t>
            </w:r>
          </w:p>
        </w:tc>
      </w:tr>
    </w:tbl>
    <w:p>
      <w:pPr>
        <w:spacing w:after="0" w:line="284" w:lineRule="exact"/>
        <w:rPr>
          <w:sz w:val="20"/>
          <w:szCs w:val="20"/>
          <w:color w:val="auto"/>
        </w:rPr>
      </w:pPr>
    </w:p>
    <w:p>
      <w:pPr>
        <w:sectPr>
          <w:pgSz w:w="11900" w:h="16838" w:orient="portrait"/>
          <w:cols w:equalWidth="0" w:num="2">
            <w:col w:w="4860" w:space="720"/>
            <w:col w:w="5240"/>
          </w:cols>
          <w:pgMar w:left="240" w:top="140" w:right="839" w:bottom="1440" w:gutter="0" w:footer="0" w:header="0"/>
          <w:type w:val="continuous"/>
        </w:sectPr>
      </w:pPr>
    </w:p>
    <w:p>
      <w:pPr>
        <w:ind w:left="820" w:hanging="326"/>
        <w:spacing w:after="0" w:line="205" w:lineRule="auto"/>
        <w:tabs>
          <w:tab w:leader="none" w:pos="820" w:val="left"/>
        </w:tabs>
        <w:numPr>
          <w:ilvl w:val="0"/>
          <w:numId w:val="102"/>
        </w:numPr>
        <w:rPr>
          <w:rFonts w:ascii="Arial" w:cs="Arial" w:eastAsia="Arial" w:hAnsi="Arial"/>
          <w:sz w:val="18"/>
          <w:szCs w:val="18"/>
          <w:color w:val="auto"/>
          <w:vertAlign w:val="superscript"/>
        </w:rPr>
      </w:pPr>
      <w:r>
        <w:rPr>
          <w:rFonts w:ascii="Arial" w:cs="Arial" w:eastAsia="Arial" w:hAnsi="Arial"/>
          <w:sz w:val="14"/>
          <w:szCs w:val="14"/>
          <w:color w:val="auto"/>
        </w:rPr>
        <w:t>Primarily represents unallocated corporate expenses and receivables from our former subsidiaries.</w:t>
      </w:r>
    </w:p>
    <w:p>
      <w:pPr>
        <w:spacing w:after="0" w:line="125"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Year Ended December 31, 2015</w:t>
      </w:r>
    </w:p>
    <w:p>
      <w:pPr>
        <w:spacing w:after="0" w:line="171" w:lineRule="exact"/>
        <w:rPr>
          <w:sz w:val="20"/>
          <w:szCs w:val="20"/>
          <w:color w:val="auto"/>
        </w:rPr>
      </w:pPr>
    </w:p>
    <w:p>
      <w:pPr>
        <w:ind w:left="8100"/>
        <w:spacing w:after="0"/>
        <w:rPr>
          <w:sz w:val="20"/>
          <w:szCs w:val="20"/>
          <w:color w:val="auto"/>
        </w:rPr>
      </w:pPr>
      <w:r>
        <w:rPr>
          <w:rFonts w:ascii="Arial" w:cs="Arial" w:eastAsia="Arial" w:hAnsi="Arial"/>
          <w:sz w:val="18"/>
          <w:szCs w:val="18"/>
          <w:b w:val="1"/>
          <w:bCs w:val="1"/>
          <w:color w:val="auto"/>
        </w:rPr>
        <w:t>Corporate</w:t>
      </w:r>
    </w:p>
    <w:p>
      <w:pPr>
        <w:spacing w:after="0" w:line="15" w:lineRule="exact"/>
        <w:rPr>
          <w:sz w:val="20"/>
          <w:szCs w:val="20"/>
          <w:color w:val="auto"/>
        </w:rPr>
      </w:pPr>
    </w:p>
    <w:p>
      <w:pPr>
        <w:jc w:val="both"/>
        <w:ind w:left="5000"/>
        <w:spacing w:after="0"/>
        <w:tabs>
          <w:tab w:leader="none" w:pos="6400" w:val="left"/>
          <w:tab w:leader="none" w:pos="8000" w:val="left"/>
          <w:tab w:leader="none" w:pos="9860" w:val="left"/>
        </w:tabs>
        <w:rPr>
          <w:sz w:val="20"/>
          <w:szCs w:val="20"/>
          <w:color w:val="auto"/>
        </w:rPr>
      </w:pPr>
      <w:r>
        <w:rPr>
          <w:rFonts w:ascii="Arial" w:cs="Arial" w:eastAsia="Arial" w:hAnsi="Arial"/>
          <w:sz w:val="18"/>
          <w:szCs w:val="18"/>
          <w:b w:val="1"/>
          <w:bCs w:val="1"/>
          <w:color w:val="auto"/>
        </w:rPr>
        <w:t>Americas</w:t>
      </w:r>
      <w:r>
        <w:rPr>
          <w:sz w:val="20"/>
          <w:szCs w:val="20"/>
          <w:color w:val="auto"/>
        </w:rPr>
        <w:tab/>
      </w:r>
      <w:r>
        <w:rPr>
          <w:rFonts w:ascii="Arial" w:cs="Arial" w:eastAsia="Arial" w:hAnsi="Arial"/>
          <w:sz w:val="18"/>
          <w:szCs w:val="18"/>
          <w:b w:val="1"/>
          <w:bCs w:val="1"/>
          <w:color w:val="auto"/>
        </w:rPr>
        <w:t>International</w:t>
      </w:r>
      <w:r>
        <w:rPr>
          <w:sz w:val="20"/>
          <w:szCs w:val="20"/>
          <w:color w:val="auto"/>
        </w:rPr>
        <w:tab/>
      </w:r>
      <w:r>
        <w:rPr>
          <w:rFonts w:ascii="Arial" w:cs="Arial" w:eastAsia="Arial" w:hAnsi="Arial"/>
          <w:sz w:val="18"/>
          <w:szCs w:val="18"/>
          <w:b w:val="1"/>
          <w:bCs w:val="1"/>
          <w:color w:val="auto"/>
        </w:rPr>
        <w:t xml:space="preserve">and Other </w:t>
      </w:r>
      <w:r>
        <w:rPr>
          <w:rFonts w:ascii="Arial" w:cs="Arial" w:eastAsia="Arial" w:hAnsi="Arial"/>
          <w:sz w:val="21"/>
          <w:szCs w:val="21"/>
          <w:b w:val="1"/>
          <w:bCs w:val="1"/>
          <w:color w:val="auto"/>
          <w:vertAlign w:val="superscript"/>
        </w:rPr>
        <w:t>(a)</w:t>
      </w:r>
      <w:r>
        <w:rPr>
          <w:sz w:val="20"/>
          <w:szCs w:val="20"/>
          <w:color w:val="auto"/>
        </w:rPr>
        <w:tab/>
      </w:r>
      <w:r>
        <w:rPr>
          <w:rFonts w:ascii="Arial" w:cs="Arial" w:eastAsia="Arial" w:hAnsi="Arial"/>
          <w:sz w:val="17"/>
          <w:szCs w:val="17"/>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2963545</wp:posOffset>
            </wp:positionH>
            <wp:positionV relativeFrom="paragraph">
              <wp:posOffset>-5080</wp:posOffset>
            </wp:positionV>
            <wp:extent cx="391033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910330" cy="8890"/>
                    </a:xfrm>
                    <a:prstGeom prst="rect">
                      <a:avLst/>
                    </a:prstGeom>
                    <a:noFill/>
                  </pic:spPr>
                </pic:pic>
              </a:graphicData>
            </a:graphic>
          </wp:anchor>
        </w:drawing>
      </w:r>
    </w:p>
    <w:p>
      <w:pPr>
        <w:sectPr>
          <w:pgSz w:w="11900" w:h="16838" w:orient="portrait"/>
          <w:cols w:equalWidth="0" w:num="1">
            <w:col w:w="10820"/>
          </w:cols>
          <w:pgMar w:left="240" w:top="140" w:right="839" w:bottom="1440" w:gutter="0" w:footer="0" w:header="0"/>
          <w:type w:val="continuous"/>
        </w:sectPr>
      </w:pPr>
    </w:p>
    <w:p>
      <w:pPr>
        <w:spacing w:after="0" w:line="17" w:lineRule="exact"/>
        <w:rPr>
          <w:sz w:val="20"/>
          <w:szCs w:val="20"/>
          <w:color w:val="auto"/>
        </w:rPr>
      </w:pPr>
    </w:p>
    <w:tbl>
      <w:tblPr>
        <w:tblLayout w:type="fixed"/>
        <w:tblInd w:w="500" w:type="dxa"/>
        <w:tblCellMar>
          <w:top w:w="0" w:type="dxa"/>
          <w:left w:w="0" w:type="dxa"/>
          <w:bottom w:w="0" w:type="dxa"/>
          <w:right w:w="0" w:type="dxa"/>
        </w:tblCellMar>
      </w:tblPr>
      <w:tr>
        <w:trPr>
          <w:trHeight w:val="230"/>
        </w:trPr>
        <w:tc>
          <w:tcPr>
            <w:tcW w:w="4120" w:type="dxa"/>
            <w:vAlign w:val="bottom"/>
          </w:tcPr>
          <w:p>
            <w:pPr>
              <w:ind w:left="20"/>
              <w:spacing w:after="0"/>
              <w:rPr>
                <w:sz w:val="20"/>
                <w:szCs w:val="20"/>
                <w:color w:val="auto"/>
              </w:rPr>
            </w:pPr>
            <w:r>
              <w:rPr>
                <w:rFonts w:ascii="Arial" w:cs="Arial" w:eastAsia="Arial" w:hAnsi="Arial"/>
                <w:sz w:val="18"/>
                <w:szCs w:val="18"/>
                <w:color w:val="auto"/>
              </w:rPr>
              <w:t>Net revenues</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4120" w:type="dxa"/>
            <w:vAlign w:val="bottom"/>
          </w:tcPr>
          <w:p>
            <w:pPr>
              <w:ind w:left="20"/>
              <w:spacing w:after="0"/>
              <w:rPr>
                <w:sz w:val="20"/>
                <w:szCs w:val="20"/>
                <w:color w:val="auto"/>
              </w:rPr>
            </w:pPr>
            <w:r>
              <w:rPr>
                <w:rFonts w:ascii="Arial" w:cs="Arial" w:eastAsia="Arial" w:hAnsi="Arial"/>
                <w:sz w:val="18"/>
                <w:szCs w:val="18"/>
                <w:color w:val="auto"/>
              </w:rPr>
              <w:t>Vehicle depreciation and lease charges, net</w:t>
            </w:r>
          </w:p>
        </w:tc>
        <w:tc>
          <w:tcPr>
            <w:tcW w:w="180" w:type="dxa"/>
            <w:vAlign w:val="bottom"/>
          </w:tcPr>
          <w:p>
            <w:pPr>
              <w:spacing w:after="0"/>
              <w:rPr>
                <w:sz w:val="22"/>
                <w:szCs w:val="22"/>
                <w:color w:val="auto"/>
              </w:rPr>
            </w:pPr>
          </w:p>
        </w:tc>
      </w:tr>
      <w:tr>
        <w:trPr>
          <w:trHeight w:val="270"/>
        </w:trPr>
        <w:tc>
          <w:tcPr>
            <w:tcW w:w="4120" w:type="dxa"/>
            <w:vAlign w:val="bottom"/>
          </w:tcPr>
          <w:p>
            <w:pPr>
              <w:ind w:left="20"/>
              <w:spacing w:after="0"/>
              <w:rPr>
                <w:sz w:val="20"/>
                <w:szCs w:val="20"/>
                <w:color w:val="auto"/>
              </w:rPr>
            </w:pPr>
            <w:r>
              <w:rPr>
                <w:rFonts w:ascii="Arial" w:cs="Arial" w:eastAsia="Arial" w:hAnsi="Arial"/>
                <w:sz w:val="18"/>
                <w:szCs w:val="18"/>
                <w:color w:val="auto"/>
              </w:rPr>
              <w:t>Vehicle interest, net</w:t>
            </w:r>
          </w:p>
        </w:tc>
        <w:tc>
          <w:tcPr>
            <w:tcW w:w="180" w:type="dxa"/>
            <w:vAlign w:val="bottom"/>
          </w:tcPr>
          <w:p>
            <w:pPr>
              <w:spacing w:after="0"/>
              <w:rPr>
                <w:sz w:val="23"/>
                <w:szCs w:val="23"/>
                <w:color w:val="auto"/>
              </w:rPr>
            </w:pPr>
          </w:p>
        </w:tc>
      </w:tr>
      <w:tr>
        <w:trPr>
          <w:trHeight w:val="270"/>
        </w:trPr>
        <w:tc>
          <w:tcPr>
            <w:tcW w:w="4120" w:type="dxa"/>
            <w:vAlign w:val="bottom"/>
          </w:tcPr>
          <w:p>
            <w:pPr>
              <w:ind w:left="20"/>
              <w:spacing w:after="0"/>
              <w:rPr>
                <w:sz w:val="20"/>
                <w:szCs w:val="20"/>
                <w:color w:val="auto"/>
              </w:rPr>
            </w:pPr>
            <w:r>
              <w:rPr>
                <w:rFonts w:ascii="Arial" w:cs="Arial" w:eastAsia="Arial" w:hAnsi="Arial"/>
                <w:sz w:val="18"/>
                <w:szCs w:val="18"/>
                <w:color w:val="auto"/>
              </w:rPr>
              <w:t>Adjusted EBITDA</w:t>
            </w:r>
          </w:p>
        </w:tc>
        <w:tc>
          <w:tcPr>
            <w:tcW w:w="180" w:type="dxa"/>
            <w:vAlign w:val="bottom"/>
          </w:tcPr>
          <w:p>
            <w:pPr>
              <w:spacing w:after="0"/>
              <w:rPr>
                <w:sz w:val="23"/>
                <w:szCs w:val="23"/>
                <w:color w:val="auto"/>
              </w:rPr>
            </w:pPr>
          </w:p>
        </w:tc>
      </w:tr>
      <w:tr>
        <w:trPr>
          <w:trHeight w:val="270"/>
        </w:trPr>
        <w:tc>
          <w:tcPr>
            <w:tcW w:w="4120" w:type="dxa"/>
            <w:vAlign w:val="bottom"/>
          </w:tcPr>
          <w:p>
            <w:pPr>
              <w:ind w:left="20"/>
              <w:spacing w:after="0"/>
              <w:rPr>
                <w:sz w:val="20"/>
                <w:szCs w:val="20"/>
                <w:color w:val="auto"/>
              </w:rPr>
            </w:pPr>
            <w:r>
              <w:rPr>
                <w:rFonts w:ascii="Arial" w:cs="Arial" w:eastAsia="Arial" w:hAnsi="Arial"/>
                <w:sz w:val="18"/>
                <w:szCs w:val="18"/>
                <w:color w:val="auto"/>
              </w:rPr>
              <w:t>Non-vehicle depreciation and amortization</w:t>
            </w:r>
          </w:p>
        </w:tc>
        <w:tc>
          <w:tcPr>
            <w:tcW w:w="180" w:type="dxa"/>
            <w:vAlign w:val="bottom"/>
          </w:tcPr>
          <w:p>
            <w:pPr>
              <w:spacing w:after="0"/>
              <w:rPr>
                <w:sz w:val="23"/>
                <w:szCs w:val="23"/>
                <w:color w:val="auto"/>
              </w:rPr>
            </w:pPr>
          </w:p>
        </w:tc>
      </w:tr>
      <w:tr>
        <w:trPr>
          <w:trHeight w:val="270"/>
        </w:trPr>
        <w:tc>
          <w:tcPr>
            <w:tcW w:w="4120" w:type="dxa"/>
            <w:vAlign w:val="bottom"/>
          </w:tcPr>
          <w:p>
            <w:pPr>
              <w:ind w:left="20"/>
              <w:spacing w:after="0"/>
              <w:rPr>
                <w:sz w:val="20"/>
                <w:szCs w:val="20"/>
                <w:color w:val="auto"/>
              </w:rPr>
            </w:pPr>
            <w:r>
              <w:rPr>
                <w:rFonts w:ascii="Arial" w:cs="Arial" w:eastAsia="Arial" w:hAnsi="Arial"/>
                <w:sz w:val="18"/>
                <w:szCs w:val="18"/>
                <w:color w:val="auto"/>
              </w:rPr>
              <w:t>Assets exclusive of assets under vehicle programs</w:t>
            </w:r>
          </w:p>
        </w:tc>
        <w:tc>
          <w:tcPr>
            <w:tcW w:w="180" w:type="dxa"/>
            <w:vAlign w:val="bottom"/>
          </w:tcPr>
          <w:p>
            <w:pPr>
              <w:spacing w:after="0"/>
              <w:rPr>
                <w:sz w:val="23"/>
                <w:szCs w:val="23"/>
                <w:color w:val="auto"/>
              </w:rPr>
            </w:pPr>
          </w:p>
        </w:tc>
      </w:tr>
      <w:tr>
        <w:trPr>
          <w:trHeight w:val="270"/>
        </w:trPr>
        <w:tc>
          <w:tcPr>
            <w:tcW w:w="4120" w:type="dxa"/>
            <w:vAlign w:val="bottom"/>
          </w:tcPr>
          <w:p>
            <w:pPr>
              <w:ind w:left="20"/>
              <w:spacing w:after="0"/>
              <w:rPr>
                <w:sz w:val="20"/>
                <w:szCs w:val="20"/>
                <w:color w:val="auto"/>
              </w:rPr>
            </w:pPr>
            <w:r>
              <w:rPr>
                <w:rFonts w:ascii="Arial" w:cs="Arial" w:eastAsia="Arial" w:hAnsi="Arial"/>
                <w:sz w:val="18"/>
                <w:szCs w:val="18"/>
                <w:color w:val="auto"/>
              </w:rPr>
              <w:t>Assets under vehicle programs</w:t>
            </w:r>
          </w:p>
        </w:tc>
        <w:tc>
          <w:tcPr>
            <w:tcW w:w="180" w:type="dxa"/>
            <w:vAlign w:val="bottom"/>
          </w:tcPr>
          <w:p>
            <w:pPr>
              <w:spacing w:after="0"/>
              <w:rPr>
                <w:sz w:val="23"/>
                <w:szCs w:val="23"/>
                <w:color w:val="auto"/>
              </w:rPr>
            </w:pPr>
          </w:p>
        </w:tc>
      </w:tr>
      <w:tr>
        <w:trPr>
          <w:trHeight w:val="270"/>
        </w:trPr>
        <w:tc>
          <w:tcPr>
            <w:tcW w:w="4120" w:type="dxa"/>
            <w:vAlign w:val="bottom"/>
          </w:tcPr>
          <w:p>
            <w:pPr>
              <w:ind w:left="20"/>
              <w:spacing w:after="0"/>
              <w:rPr>
                <w:sz w:val="20"/>
                <w:szCs w:val="20"/>
                <w:color w:val="auto"/>
              </w:rPr>
            </w:pPr>
            <w:r>
              <w:rPr>
                <w:rFonts w:ascii="Arial" w:cs="Arial" w:eastAsia="Arial" w:hAnsi="Arial"/>
                <w:sz w:val="18"/>
                <w:szCs w:val="18"/>
                <w:color w:val="auto"/>
              </w:rPr>
              <w:t>Capital expenditures (excluding vehicles)</w:t>
            </w:r>
          </w:p>
        </w:tc>
        <w:tc>
          <w:tcPr>
            <w:tcW w:w="180" w:type="dxa"/>
            <w:vAlign w:val="bottom"/>
          </w:tcPr>
          <w:p>
            <w:pPr>
              <w:spacing w:after="0"/>
              <w:rPr>
                <w:sz w:val="23"/>
                <w:szCs w:val="23"/>
                <w:color w:val="auto"/>
              </w:rPr>
            </w:pPr>
          </w:p>
        </w:tc>
      </w:tr>
      <w:tr>
        <w:trPr>
          <w:trHeight w:val="297"/>
        </w:trPr>
        <w:tc>
          <w:tcPr>
            <w:tcW w:w="4120" w:type="dxa"/>
            <w:vAlign w:val="bottom"/>
          </w:tcPr>
          <w:p>
            <w:pPr>
              <w:spacing w:after="0"/>
              <w:rPr>
                <w:sz w:val="20"/>
                <w:szCs w:val="20"/>
                <w:color w:val="auto"/>
              </w:rPr>
            </w:pPr>
            <w:r>
              <w:rPr>
                <w:rFonts w:ascii="Arial" w:cs="Arial" w:eastAsia="Arial" w:hAnsi="Arial"/>
                <w:sz w:val="18"/>
                <w:szCs w:val="18"/>
                <w:color w:val="auto"/>
              </w:rPr>
              <w:t>__________</w:t>
            </w:r>
          </w:p>
        </w:tc>
        <w:tc>
          <w:tcPr>
            <w:tcW w:w="1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7"/>
        </w:trPr>
        <w:tc>
          <w:tcPr>
            <w:tcW w:w="560" w:type="dxa"/>
            <w:vAlign w:val="bottom"/>
          </w:tcPr>
          <w:p>
            <w:pPr>
              <w:jc w:val="right"/>
              <w:ind w:right="10"/>
              <w:spacing w:after="0"/>
              <w:rPr>
                <w:sz w:val="20"/>
                <w:szCs w:val="20"/>
                <w:color w:val="auto"/>
              </w:rPr>
            </w:pPr>
            <w:r>
              <w:rPr>
                <w:rFonts w:ascii="Arial" w:cs="Arial" w:eastAsia="Arial" w:hAnsi="Arial"/>
                <w:sz w:val="18"/>
                <w:szCs w:val="18"/>
                <w:color w:val="auto"/>
                <w:w w:val="97"/>
              </w:rPr>
              <w:t>6,069</w:t>
            </w:r>
          </w:p>
        </w:tc>
        <w:tc>
          <w:tcPr>
            <w:tcW w:w="62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2,433</w:t>
            </w:r>
          </w:p>
        </w:tc>
        <w:tc>
          <w:tcPr>
            <w:tcW w:w="70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250"/>
              <w:spacing w:after="0"/>
              <w:rPr>
                <w:sz w:val="20"/>
                <w:szCs w:val="20"/>
                <w:color w:val="auto"/>
              </w:rPr>
            </w:pPr>
            <w:r>
              <w:rPr>
                <w:rFonts w:ascii="Arial" w:cs="Arial" w:eastAsia="Arial" w:hAnsi="Arial"/>
                <w:sz w:val="18"/>
                <w:szCs w:val="18"/>
                <w:color w:val="auto"/>
              </w:rPr>
              <w:t>—   $</w:t>
            </w:r>
          </w:p>
        </w:tc>
        <w:tc>
          <w:tcPr>
            <w:tcW w:w="900" w:type="dxa"/>
            <w:vAlign w:val="bottom"/>
          </w:tcPr>
          <w:p>
            <w:pPr>
              <w:jc w:val="right"/>
              <w:spacing w:after="0"/>
              <w:rPr>
                <w:sz w:val="20"/>
                <w:szCs w:val="20"/>
                <w:color w:val="auto"/>
              </w:rPr>
            </w:pPr>
            <w:r>
              <w:rPr>
                <w:rFonts w:ascii="Arial" w:cs="Arial" w:eastAsia="Arial" w:hAnsi="Arial"/>
                <w:sz w:val="18"/>
                <w:szCs w:val="18"/>
                <w:color w:val="auto"/>
              </w:rPr>
              <w:t>8,502</w:t>
            </w:r>
          </w:p>
        </w:tc>
      </w:tr>
      <w:tr>
        <w:trPr>
          <w:trHeight w:val="270"/>
        </w:trPr>
        <w:tc>
          <w:tcPr>
            <w:tcW w:w="560" w:type="dxa"/>
            <w:vAlign w:val="bottom"/>
          </w:tcPr>
          <w:p>
            <w:pPr>
              <w:jc w:val="right"/>
              <w:ind w:right="10"/>
              <w:spacing w:after="0"/>
              <w:rPr>
                <w:sz w:val="20"/>
                <w:szCs w:val="20"/>
                <w:color w:val="auto"/>
              </w:rPr>
            </w:pPr>
            <w:r>
              <w:rPr>
                <w:rFonts w:ascii="Arial" w:cs="Arial" w:eastAsia="Arial" w:hAnsi="Arial"/>
                <w:sz w:val="18"/>
                <w:szCs w:val="18"/>
                <w:color w:val="auto"/>
                <w:w w:val="97"/>
              </w:rPr>
              <w:t>1,478</w:t>
            </w:r>
          </w:p>
        </w:tc>
        <w:tc>
          <w:tcPr>
            <w:tcW w:w="620" w:type="dxa"/>
            <w:vAlign w:val="bottom"/>
          </w:tcPr>
          <w:p>
            <w:pPr>
              <w:spacing w:after="0"/>
              <w:rPr>
                <w:sz w:val="23"/>
                <w:szCs w:val="23"/>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455</w:t>
            </w:r>
          </w:p>
        </w:tc>
        <w:tc>
          <w:tcPr>
            <w:tcW w:w="700" w:type="dxa"/>
            <w:vAlign w:val="bottom"/>
          </w:tcPr>
          <w:p>
            <w:pPr>
              <w:spacing w:after="0"/>
              <w:rPr>
                <w:sz w:val="23"/>
                <w:szCs w:val="23"/>
                <w:color w:val="auto"/>
              </w:rPr>
            </w:pPr>
          </w:p>
        </w:tc>
        <w:tc>
          <w:tcPr>
            <w:tcW w:w="1420" w:type="dxa"/>
            <w:vAlign w:val="bottom"/>
          </w:tcPr>
          <w:p>
            <w:pPr>
              <w:jc w:val="right"/>
              <w:ind w:right="59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1,933</w:t>
            </w:r>
          </w:p>
        </w:tc>
      </w:tr>
      <w:tr>
        <w:trPr>
          <w:trHeight w:val="270"/>
        </w:trPr>
        <w:tc>
          <w:tcPr>
            <w:tcW w:w="560" w:type="dxa"/>
            <w:vAlign w:val="bottom"/>
          </w:tcPr>
          <w:p>
            <w:pPr>
              <w:jc w:val="right"/>
              <w:ind w:right="10"/>
              <w:spacing w:after="0"/>
              <w:rPr>
                <w:sz w:val="20"/>
                <w:szCs w:val="20"/>
                <w:color w:val="auto"/>
              </w:rPr>
            </w:pPr>
            <w:r>
              <w:rPr>
                <w:rFonts w:ascii="Arial" w:cs="Arial" w:eastAsia="Arial" w:hAnsi="Arial"/>
                <w:sz w:val="18"/>
                <w:szCs w:val="18"/>
                <w:color w:val="auto"/>
              </w:rPr>
              <w:t>234</w:t>
            </w:r>
          </w:p>
        </w:tc>
        <w:tc>
          <w:tcPr>
            <w:tcW w:w="620" w:type="dxa"/>
            <w:vAlign w:val="bottom"/>
          </w:tcPr>
          <w:p>
            <w:pPr>
              <w:spacing w:after="0"/>
              <w:rPr>
                <w:sz w:val="23"/>
                <w:szCs w:val="23"/>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55</w:t>
            </w:r>
          </w:p>
        </w:tc>
        <w:tc>
          <w:tcPr>
            <w:tcW w:w="700" w:type="dxa"/>
            <w:vAlign w:val="bottom"/>
          </w:tcPr>
          <w:p>
            <w:pPr>
              <w:spacing w:after="0"/>
              <w:rPr>
                <w:sz w:val="23"/>
                <w:szCs w:val="23"/>
                <w:color w:val="auto"/>
              </w:rPr>
            </w:pPr>
          </w:p>
        </w:tc>
        <w:tc>
          <w:tcPr>
            <w:tcW w:w="1420" w:type="dxa"/>
            <w:vAlign w:val="bottom"/>
          </w:tcPr>
          <w:p>
            <w:pPr>
              <w:jc w:val="right"/>
              <w:ind w:right="59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289</w:t>
            </w:r>
          </w:p>
        </w:tc>
      </w:tr>
      <w:tr>
        <w:trPr>
          <w:trHeight w:val="270"/>
        </w:trPr>
        <w:tc>
          <w:tcPr>
            <w:tcW w:w="560" w:type="dxa"/>
            <w:vAlign w:val="bottom"/>
          </w:tcPr>
          <w:p>
            <w:pPr>
              <w:jc w:val="right"/>
              <w:ind w:right="10"/>
              <w:spacing w:after="0"/>
              <w:rPr>
                <w:sz w:val="20"/>
                <w:szCs w:val="20"/>
                <w:color w:val="auto"/>
              </w:rPr>
            </w:pPr>
            <w:r>
              <w:rPr>
                <w:rFonts w:ascii="Arial" w:cs="Arial" w:eastAsia="Arial" w:hAnsi="Arial"/>
                <w:sz w:val="18"/>
                <w:szCs w:val="18"/>
                <w:color w:val="auto"/>
              </w:rPr>
              <w:t>682</w:t>
            </w:r>
          </w:p>
        </w:tc>
        <w:tc>
          <w:tcPr>
            <w:tcW w:w="620" w:type="dxa"/>
            <w:vAlign w:val="bottom"/>
          </w:tcPr>
          <w:p>
            <w:pPr>
              <w:spacing w:after="0"/>
              <w:rPr>
                <w:sz w:val="23"/>
                <w:szCs w:val="23"/>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277</w:t>
            </w:r>
          </w:p>
        </w:tc>
        <w:tc>
          <w:tcPr>
            <w:tcW w:w="700" w:type="dxa"/>
            <w:vAlign w:val="bottom"/>
          </w:tcPr>
          <w:p>
            <w:pPr>
              <w:spacing w:after="0"/>
              <w:rPr>
                <w:sz w:val="23"/>
                <w:szCs w:val="23"/>
                <w:color w:val="auto"/>
              </w:rPr>
            </w:pPr>
          </w:p>
        </w:tc>
        <w:tc>
          <w:tcPr>
            <w:tcW w:w="1420" w:type="dxa"/>
            <w:vAlign w:val="bottom"/>
          </w:tcPr>
          <w:p>
            <w:pPr>
              <w:jc w:val="right"/>
              <w:ind w:right="530"/>
              <w:spacing w:after="0"/>
              <w:rPr>
                <w:sz w:val="20"/>
                <w:szCs w:val="20"/>
                <w:color w:val="auto"/>
              </w:rPr>
            </w:pPr>
            <w:r>
              <w:rPr>
                <w:rFonts w:ascii="Arial" w:cs="Arial" w:eastAsia="Arial" w:hAnsi="Arial"/>
                <w:sz w:val="18"/>
                <w:szCs w:val="18"/>
                <w:color w:val="auto"/>
              </w:rPr>
              <w:t>(56)</w:t>
            </w:r>
          </w:p>
        </w:tc>
        <w:tc>
          <w:tcPr>
            <w:tcW w:w="900" w:type="dxa"/>
            <w:vAlign w:val="bottom"/>
          </w:tcPr>
          <w:p>
            <w:pPr>
              <w:jc w:val="right"/>
              <w:spacing w:after="0"/>
              <w:rPr>
                <w:sz w:val="20"/>
                <w:szCs w:val="20"/>
                <w:color w:val="auto"/>
              </w:rPr>
            </w:pPr>
            <w:r>
              <w:rPr>
                <w:rFonts w:ascii="Arial" w:cs="Arial" w:eastAsia="Arial" w:hAnsi="Arial"/>
                <w:sz w:val="18"/>
                <w:szCs w:val="18"/>
                <w:color w:val="auto"/>
              </w:rPr>
              <w:t>903</w:t>
            </w:r>
          </w:p>
        </w:tc>
      </w:tr>
      <w:tr>
        <w:trPr>
          <w:trHeight w:val="270"/>
        </w:trPr>
        <w:tc>
          <w:tcPr>
            <w:tcW w:w="560" w:type="dxa"/>
            <w:vAlign w:val="bottom"/>
          </w:tcPr>
          <w:p>
            <w:pPr>
              <w:jc w:val="right"/>
              <w:ind w:right="10"/>
              <w:spacing w:after="0"/>
              <w:rPr>
                <w:sz w:val="20"/>
                <w:szCs w:val="20"/>
                <w:color w:val="auto"/>
              </w:rPr>
            </w:pPr>
            <w:r>
              <w:rPr>
                <w:rFonts w:ascii="Arial" w:cs="Arial" w:eastAsia="Arial" w:hAnsi="Arial"/>
                <w:sz w:val="18"/>
                <w:szCs w:val="18"/>
                <w:color w:val="auto"/>
              </w:rPr>
              <w:t>143</w:t>
            </w:r>
          </w:p>
        </w:tc>
        <w:tc>
          <w:tcPr>
            <w:tcW w:w="620" w:type="dxa"/>
            <w:vAlign w:val="bottom"/>
          </w:tcPr>
          <w:p>
            <w:pPr>
              <w:spacing w:after="0"/>
              <w:rPr>
                <w:sz w:val="23"/>
                <w:szCs w:val="23"/>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75</w:t>
            </w:r>
          </w:p>
        </w:tc>
        <w:tc>
          <w:tcPr>
            <w:tcW w:w="700" w:type="dxa"/>
            <w:vAlign w:val="bottom"/>
          </w:tcPr>
          <w:p>
            <w:pPr>
              <w:spacing w:after="0"/>
              <w:rPr>
                <w:sz w:val="23"/>
                <w:szCs w:val="23"/>
                <w:color w:val="auto"/>
              </w:rPr>
            </w:pPr>
          </w:p>
        </w:tc>
        <w:tc>
          <w:tcPr>
            <w:tcW w:w="1420" w:type="dxa"/>
            <w:vAlign w:val="bottom"/>
          </w:tcPr>
          <w:p>
            <w:pPr>
              <w:jc w:val="right"/>
              <w:ind w:right="59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218</w:t>
            </w:r>
          </w:p>
        </w:tc>
      </w:tr>
      <w:tr>
        <w:trPr>
          <w:trHeight w:val="270"/>
        </w:trPr>
        <w:tc>
          <w:tcPr>
            <w:tcW w:w="560" w:type="dxa"/>
            <w:vAlign w:val="bottom"/>
          </w:tcPr>
          <w:p>
            <w:pPr>
              <w:jc w:val="right"/>
              <w:ind w:right="10"/>
              <w:spacing w:after="0"/>
              <w:rPr>
                <w:sz w:val="20"/>
                <w:szCs w:val="20"/>
                <w:color w:val="auto"/>
              </w:rPr>
            </w:pPr>
            <w:r>
              <w:rPr>
                <w:rFonts w:ascii="Arial" w:cs="Arial" w:eastAsia="Arial" w:hAnsi="Arial"/>
                <w:sz w:val="18"/>
                <w:szCs w:val="18"/>
                <w:color w:val="auto"/>
                <w:w w:val="97"/>
              </w:rPr>
              <w:t>3,940</w:t>
            </w:r>
          </w:p>
        </w:tc>
        <w:tc>
          <w:tcPr>
            <w:tcW w:w="620" w:type="dxa"/>
            <w:vAlign w:val="bottom"/>
          </w:tcPr>
          <w:p>
            <w:pPr>
              <w:spacing w:after="0"/>
              <w:rPr>
                <w:sz w:val="23"/>
                <w:szCs w:val="23"/>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1,901</w:t>
            </w:r>
          </w:p>
        </w:tc>
        <w:tc>
          <w:tcPr>
            <w:tcW w:w="700" w:type="dxa"/>
            <w:vAlign w:val="bottom"/>
          </w:tcPr>
          <w:p>
            <w:pPr>
              <w:spacing w:after="0"/>
              <w:rPr>
                <w:sz w:val="23"/>
                <w:szCs w:val="23"/>
                <w:color w:val="auto"/>
              </w:rPr>
            </w:pPr>
          </w:p>
        </w:tc>
        <w:tc>
          <w:tcPr>
            <w:tcW w:w="1420" w:type="dxa"/>
            <w:vAlign w:val="bottom"/>
          </w:tcPr>
          <w:p>
            <w:pPr>
              <w:jc w:val="right"/>
              <w:ind w:right="590"/>
              <w:spacing w:after="0"/>
              <w:rPr>
                <w:sz w:val="20"/>
                <w:szCs w:val="20"/>
                <w:color w:val="auto"/>
              </w:rPr>
            </w:pPr>
            <w:r>
              <w:rPr>
                <w:rFonts w:ascii="Arial" w:cs="Arial" w:eastAsia="Arial" w:hAnsi="Arial"/>
                <w:sz w:val="18"/>
                <w:szCs w:val="18"/>
                <w:color w:val="auto"/>
              </w:rPr>
              <w:t>77</w:t>
            </w:r>
          </w:p>
        </w:tc>
        <w:tc>
          <w:tcPr>
            <w:tcW w:w="900" w:type="dxa"/>
            <w:vAlign w:val="bottom"/>
          </w:tcPr>
          <w:p>
            <w:pPr>
              <w:jc w:val="right"/>
              <w:spacing w:after="0"/>
              <w:rPr>
                <w:sz w:val="20"/>
                <w:szCs w:val="20"/>
                <w:color w:val="auto"/>
              </w:rPr>
            </w:pPr>
            <w:r>
              <w:rPr>
                <w:rFonts w:ascii="Arial" w:cs="Arial" w:eastAsia="Arial" w:hAnsi="Arial"/>
                <w:sz w:val="18"/>
                <w:szCs w:val="18"/>
                <w:color w:val="auto"/>
              </w:rPr>
              <w:t>5,918</w:t>
            </w:r>
          </w:p>
        </w:tc>
      </w:tr>
      <w:tr>
        <w:trPr>
          <w:trHeight w:val="270"/>
        </w:trPr>
        <w:tc>
          <w:tcPr>
            <w:tcW w:w="560" w:type="dxa"/>
            <w:vAlign w:val="bottom"/>
          </w:tcPr>
          <w:p>
            <w:pPr>
              <w:jc w:val="right"/>
              <w:ind w:right="10"/>
              <w:spacing w:after="0"/>
              <w:rPr>
                <w:sz w:val="20"/>
                <w:szCs w:val="20"/>
                <w:color w:val="auto"/>
              </w:rPr>
            </w:pPr>
            <w:r>
              <w:rPr>
                <w:rFonts w:ascii="Arial" w:cs="Arial" w:eastAsia="Arial" w:hAnsi="Arial"/>
                <w:sz w:val="18"/>
                <w:szCs w:val="18"/>
                <w:color w:val="auto"/>
                <w:w w:val="97"/>
              </w:rPr>
              <w:t>9,440</w:t>
            </w:r>
          </w:p>
        </w:tc>
        <w:tc>
          <w:tcPr>
            <w:tcW w:w="620" w:type="dxa"/>
            <w:vAlign w:val="bottom"/>
          </w:tcPr>
          <w:p>
            <w:pPr>
              <w:spacing w:after="0"/>
              <w:rPr>
                <w:sz w:val="23"/>
                <w:szCs w:val="23"/>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2,276</w:t>
            </w:r>
          </w:p>
        </w:tc>
        <w:tc>
          <w:tcPr>
            <w:tcW w:w="700" w:type="dxa"/>
            <w:vAlign w:val="bottom"/>
          </w:tcPr>
          <w:p>
            <w:pPr>
              <w:spacing w:after="0"/>
              <w:rPr>
                <w:sz w:val="23"/>
                <w:szCs w:val="23"/>
                <w:color w:val="auto"/>
              </w:rPr>
            </w:pPr>
          </w:p>
        </w:tc>
        <w:tc>
          <w:tcPr>
            <w:tcW w:w="1420" w:type="dxa"/>
            <w:vAlign w:val="bottom"/>
          </w:tcPr>
          <w:p>
            <w:pPr>
              <w:jc w:val="right"/>
              <w:ind w:right="59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11,716</w:t>
            </w:r>
          </w:p>
        </w:tc>
      </w:tr>
      <w:tr>
        <w:trPr>
          <w:trHeight w:val="270"/>
        </w:trPr>
        <w:tc>
          <w:tcPr>
            <w:tcW w:w="560" w:type="dxa"/>
            <w:vAlign w:val="bottom"/>
          </w:tcPr>
          <w:p>
            <w:pPr>
              <w:jc w:val="right"/>
              <w:ind w:right="10"/>
              <w:spacing w:after="0"/>
              <w:rPr>
                <w:sz w:val="20"/>
                <w:szCs w:val="20"/>
                <w:color w:val="auto"/>
              </w:rPr>
            </w:pPr>
            <w:r>
              <w:rPr>
                <w:rFonts w:ascii="Arial" w:cs="Arial" w:eastAsia="Arial" w:hAnsi="Arial"/>
                <w:sz w:val="18"/>
                <w:szCs w:val="18"/>
                <w:color w:val="auto"/>
              </w:rPr>
              <w:t>131</w:t>
            </w:r>
          </w:p>
        </w:tc>
        <w:tc>
          <w:tcPr>
            <w:tcW w:w="620" w:type="dxa"/>
            <w:vAlign w:val="bottom"/>
          </w:tcPr>
          <w:p>
            <w:pPr>
              <w:spacing w:after="0"/>
              <w:rPr>
                <w:sz w:val="23"/>
                <w:szCs w:val="23"/>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68</w:t>
            </w:r>
          </w:p>
        </w:tc>
        <w:tc>
          <w:tcPr>
            <w:tcW w:w="700" w:type="dxa"/>
            <w:vAlign w:val="bottom"/>
          </w:tcPr>
          <w:p>
            <w:pPr>
              <w:spacing w:after="0"/>
              <w:rPr>
                <w:sz w:val="23"/>
                <w:szCs w:val="23"/>
                <w:color w:val="auto"/>
              </w:rPr>
            </w:pPr>
          </w:p>
        </w:tc>
        <w:tc>
          <w:tcPr>
            <w:tcW w:w="1420" w:type="dxa"/>
            <w:vAlign w:val="bottom"/>
          </w:tcPr>
          <w:p>
            <w:pPr>
              <w:jc w:val="right"/>
              <w:ind w:right="59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199</w:t>
            </w:r>
          </w:p>
        </w:tc>
      </w:tr>
    </w:tbl>
    <w:p>
      <w:pPr>
        <w:spacing w:after="0" w:line="284" w:lineRule="exact"/>
        <w:rPr>
          <w:sz w:val="20"/>
          <w:szCs w:val="20"/>
          <w:color w:val="auto"/>
        </w:rPr>
      </w:pPr>
    </w:p>
    <w:p>
      <w:pPr>
        <w:sectPr>
          <w:pgSz w:w="11900" w:h="16838" w:orient="portrait"/>
          <w:cols w:equalWidth="0" w:num="2">
            <w:col w:w="4860" w:space="720"/>
            <w:col w:w="5240"/>
          </w:cols>
          <w:pgMar w:left="240" w:top="140" w:right="839" w:bottom="1440" w:gutter="0" w:footer="0" w:header="0"/>
          <w:type w:val="continuous"/>
        </w:sectPr>
      </w:pPr>
    </w:p>
    <w:p>
      <w:pPr>
        <w:ind w:left="820" w:hanging="326"/>
        <w:spacing w:after="0" w:line="205" w:lineRule="auto"/>
        <w:tabs>
          <w:tab w:leader="none" w:pos="820" w:val="left"/>
        </w:tabs>
        <w:numPr>
          <w:ilvl w:val="0"/>
          <w:numId w:val="103"/>
        </w:numPr>
        <w:rPr>
          <w:rFonts w:ascii="Arial" w:cs="Arial" w:eastAsia="Arial" w:hAnsi="Arial"/>
          <w:sz w:val="18"/>
          <w:szCs w:val="18"/>
          <w:color w:val="auto"/>
          <w:vertAlign w:val="superscript"/>
        </w:rPr>
      </w:pPr>
      <w:r>
        <w:rPr>
          <w:rFonts w:ascii="Arial" w:cs="Arial" w:eastAsia="Arial" w:hAnsi="Arial"/>
          <w:sz w:val="14"/>
          <w:szCs w:val="14"/>
          <w:color w:val="auto"/>
        </w:rPr>
        <w:t>Primarily represents unallocated corporate expenses and receivables from our former subsidiaries.</w:t>
      </w:r>
    </w:p>
    <w:p>
      <w:pPr>
        <w:spacing w:after="0" w:line="14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Provided below is a reconciliation of Adjusted EBITDA to income before income taxes.</w:t>
      </w:r>
    </w:p>
    <w:p>
      <w:pPr>
        <w:spacing w:after="0" w:line="163" w:lineRule="exact"/>
        <w:rPr>
          <w:sz w:val="20"/>
          <w:szCs w:val="20"/>
          <w:color w:val="auto"/>
        </w:rPr>
      </w:pPr>
    </w:p>
    <w:tbl>
      <w:tblPr>
        <w:tblLayout w:type="fixed"/>
        <w:tblInd w:w="500" w:type="dxa"/>
        <w:tblCellMar>
          <w:top w:w="0" w:type="dxa"/>
          <w:left w:w="0" w:type="dxa"/>
          <w:bottom w:w="0" w:type="dxa"/>
          <w:right w:w="0" w:type="dxa"/>
        </w:tblCellMar>
      </w:tblPr>
      <w:tr>
        <w:trPr>
          <w:trHeight w:val="246"/>
        </w:trPr>
        <w:tc>
          <w:tcPr>
            <w:tcW w:w="6020" w:type="dxa"/>
            <w:vAlign w:val="bottom"/>
          </w:tcPr>
          <w:p>
            <w:pPr>
              <w:spacing w:after="0"/>
              <w:rPr>
                <w:sz w:val="21"/>
                <w:szCs w:val="21"/>
                <w:color w:val="auto"/>
              </w:rPr>
            </w:pPr>
          </w:p>
        </w:tc>
        <w:tc>
          <w:tcPr>
            <w:tcW w:w="4300" w:type="dxa"/>
            <w:vAlign w:val="bottom"/>
            <w:tcBorders>
              <w:bottom w:val="single" w:sz="8" w:color="auto"/>
            </w:tcBorders>
            <w:gridSpan w:val="8"/>
          </w:tcPr>
          <w:p>
            <w:pPr>
              <w:jc w:val="right"/>
              <w:ind w:right="610"/>
              <w:spacing w:after="0"/>
              <w:rPr>
                <w:sz w:val="20"/>
                <w:szCs w:val="20"/>
                <w:color w:val="auto"/>
              </w:rPr>
            </w:pPr>
            <w:r>
              <w:rPr>
                <w:rFonts w:ascii="Arial" w:cs="Arial" w:eastAsia="Arial" w:hAnsi="Arial"/>
                <w:sz w:val="18"/>
                <w:szCs w:val="18"/>
                <w:b w:val="1"/>
                <w:bCs w:val="1"/>
                <w:color w:val="auto"/>
              </w:rPr>
              <w:t>For the Year Ended December 31,</w:t>
            </w:r>
          </w:p>
        </w:tc>
        <w:tc>
          <w:tcPr>
            <w:tcW w:w="0" w:type="dxa"/>
            <w:vAlign w:val="bottom"/>
          </w:tcPr>
          <w:p>
            <w:pPr>
              <w:spacing w:after="0"/>
              <w:rPr>
                <w:sz w:val="1"/>
                <w:szCs w:val="1"/>
                <w:color w:val="auto"/>
              </w:rPr>
            </w:pPr>
          </w:p>
        </w:tc>
      </w:tr>
      <w:tr>
        <w:trPr>
          <w:trHeight w:val="264"/>
        </w:trPr>
        <w:tc>
          <w:tcPr>
            <w:tcW w:w="6020" w:type="dxa"/>
            <w:vAlign w:val="bottom"/>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2017</w:t>
            </w:r>
          </w:p>
        </w:tc>
        <w:tc>
          <w:tcPr>
            <w:tcW w:w="4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2015</w:t>
            </w:r>
          </w:p>
        </w:tc>
        <w:tc>
          <w:tcPr>
            <w:tcW w:w="0" w:type="dxa"/>
            <w:vAlign w:val="bottom"/>
          </w:tcPr>
          <w:p>
            <w:pPr>
              <w:spacing w:after="0"/>
              <w:rPr>
                <w:sz w:val="1"/>
                <w:szCs w:val="1"/>
                <w:color w:val="auto"/>
              </w:rPr>
            </w:pPr>
          </w:p>
        </w:tc>
      </w:tr>
      <w:tr>
        <w:trPr>
          <w:trHeight w:val="243"/>
        </w:trPr>
        <w:tc>
          <w:tcPr>
            <w:tcW w:w="6020" w:type="dxa"/>
            <w:vAlign w:val="bottom"/>
          </w:tcPr>
          <w:p>
            <w:pPr>
              <w:ind w:left="20"/>
              <w:spacing w:after="0"/>
              <w:rPr>
                <w:sz w:val="20"/>
                <w:szCs w:val="20"/>
                <w:color w:val="auto"/>
              </w:rPr>
            </w:pPr>
            <w:r>
              <w:rPr>
                <w:rFonts w:ascii="Arial" w:cs="Arial" w:eastAsia="Arial" w:hAnsi="Arial"/>
                <w:sz w:val="18"/>
                <w:szCs w:val="18"/>
                <w:color w:val="auto"/>
              </w:rPr>
              <w:t>Adjusted EBITDA</w:t>
            </w:r>
          </w:p>
        </w:tc>
        <w:tc>
          <w:tcPr>
            <w:tcW w:w="920" w:type="dxa"/>
            <w:vAlign w:val="bottom"/>
          </w:tcPr>
          <w:p>
            <w:pPr>
              <w:jc w:val="right"/>
              <w:ind w:right="710"/>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735</w:t>
            </w:r>
          </w:p>
        </w:tc>
        <w:tc>
          <w:tcPr>
            <w:tcW w:w="100" w:type="dxa"/>
            <w:vAlign w:val="bottom"/>
          </w:tcPr>
          <w:p>
            <w:pPr>
              <w:spacing w:after="0"/>
              <w:rPr>
                <w:sz w:val="21"/>
                <w:szCs w:val="21"/>
                <w:color w:val="auto"/>
              </w:rPr>
            </w:pP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838</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903</w:t>
            </w:r>
          </w:p>
        </w:tc>
        <w:tc>
          <w:tcPr>
            <w:tcW w:w="0" w:type="dxa"/>
            <w:vAlign w:val="bottom"/>
          </w:tcPr>
          <w:p>
            <w:pPr>
              <w:spacing w:after="0"/>
              <w:rPr>
                <w:sz w:val="1"/>
                <w:szCs w:val="1"/>
                <w:color w:val="auto"/>
              </w:rPr>
            </w:pPr>
          </w:p>
        </w:tc>
      </w:tr>
      <w:tr>
        <w:trPr>
          <w:trHeight w:val="310"/>
        </w:trPr>
        <w:tc>
          <w:tcPr>
            <w:tcW w:w="6020" w:type="dxa"/>
            <w:vAlign w:val="bottom"/>
          </w:tcPr>
          <w:p>
            <w:pPr>
              <w:ind w:left="20"/>
              <w:spacing w:after="0"/>
              <w:rPr>
                <w:sz w:val="20"/>
                <w:szCs w:val="20"/>
                <w:color w:val="auto"/>
              </w:rPr>
            </w:pPr>
            <w:r>
              <w:rPr>
                <w:rFonts w:ascii="Arial" w:cs="Arial" w:eastAsia="Arial" w:hAnsi="Arial"/>
                <w:sz w:val="18"/>
                <w:szCs w:val="18"/>
                <w:color w:val="auto"/>
              </w:rPr>
              <w:t xml:space="preserve">Less: Non-vehicle related depreciation and amortization </w:t>
            </w:r>
            <w:r>
              <w:rPr>
                <w:rFonts w:ascii="Arial" w:cs="Arial" w:eastAsia="Arial" w:hAnsi="Arial"/>
                <w:sz w:val="21"/>
                <w:szCs w:val="21"/>
                <w:color w:val="auto"/>
                <w:vertAlign w:val="superscript"/>
              </w:rPr>
              <w:t>(a)</w:t>
            </w:r>
          </w:p>
        </w:tc>
        <w:tc>
          <w:tcPr>
            <w:tcW w:w="920" w:type="dxa"/>
            <w:vAlign w:val="bottom"/>
          </w:tcPr>
          <w:p>
            <w:pPr>
              <w:spacing w:after="0"/>
              <w:rPr>
                <w:sz w:val="24"/>
                <w:szCs w:val="24"/>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259</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253</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30"/>
        </w:trPr>
        <w:tc>
          <w:tcPr>
            <w:tcW w:w="6020" w:type="dxa"/>
            <w:vAlign w:val="bottom"/>
          </w:tcPr>
          <w:p>
            <w:pPr>
              <w:ind w:left="300"/>
              <w:spacing w:after="0"/>
              <w:rPr>
                <w:sz w:val="20"/>
                <w:szCs w:val="20"/>
                <w:color w:val="auto"/>
              </w:rPr>
            </w:pPr>
            <w:r>
              <w:rPr>
                <w:rFonts w:ascii="Arial" w:cs="Arial" w:eastAsia="Arial" w:hAnsi="Arial"/>
                <w:sz w:val="18"/>
                <w:szCs w:val="18"/>
                <w:color w:val="auto"/>
              </w:rPr>
              <w:t>Interest expense related to corporate debt, net</w:t>
            </w:r>
          </w:p>
        </w:tc>
        <w:tc>
          <w:tcPr>
            <w:tcW w:w="920" w:type="dxa"/>
            <w:vAlign w:val="bottom"/>
          </w:tcPr>
          <w:p>
            <w:pPr>
              <w:spacing w:after="0"/>
              <w:rPr>
                <w:sz w:val="20"/>
                <w:szCs w:val="20"/>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188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203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70"/>
        </w:trPr>
        <w:tc>
          <w:tcPr>
            <w:tcW w:w="6020" w:type="dxa"/>
            <w:vAlign w:val="bottom"/>
          </w:tcPr>
          <w:p>
            <w:pPr>
              <w:ind w:left="300"/>
              <w:spacing w:after="0"/>
              <w:rPr>
                <w:sz w:val="20"/>
                <w:szCs w:val="20"/>
                <w:color w:val="auto"/>
              </w:rPr>
            </w:pPr>
            <w:r>
              <w:rPr>
                <w:rFonts w:ascii="Arial" w:cs="Arial" w:eastAsia="Arial" w:hAnsi="Arial"/>
                <w:sz w:val="18"/>
                <w:szCs w:val="18"/>
                <w:color w:val="auto"/>
              </w:rPr>
              <w:t>Early extinguishment of corporate debt</w:t>
            </w:r>
          </w:p>
        </w:tc>
        <w:tc>
          <w:tcPr>
            <w:tcW w:w="920" w:type="dxa"/>
            <w:vAlign w:val="bottom"/>
          </w:tcPr>
          <w:p>
            <w:pPr>
              <w:spacing w:after="0"/>
              <w:rPr>
                <w:sz w:val="23"/>
                <w:szCs w:val="23"/>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0"/>
        </w:trPr>
        <w:tc>
          <w:tcPr>
            <w:tcW w:w="6020" w:type="dxa"/>
            <w:vAlign w:val="bottom"/>
          </w:tcPr>
          <w:p>
            <w:pPr>
              <w:ind w:left="300"/>
              <w:spacing w:after="0"/>
              <w:rPr>
                <w:sz w:val="20"/>
                <w:szCs w:val="20"/>
                <w:color w:val="auto"/>
              </w:rPr>
            </w:pPr>
            <w:r>
              <w:rPr>
                <w:rFonts w:ascii="Arial" w:cs="Arial" w:eastAsia="Arial" w:hAnsi="Arial"/>
                <w:sz w:val="18"/>
                <w:szCs w:val="18"/>
                <w:color w:val="auto"/>
              </w:rPr>
              <w:t>Restructuring and other related charges</w:t>
            </w:r>
          </w:p>
        </w:tc>
        <w:tc>
          <w:tcPr>
            <w:tcW w:w="920" w:type="dxa"/>
            <w:vAlign w:val="bottom"/>
          </w:tcPr>
          <w:p>
            <w:pPr>
              <w:spacing w:after="0"/>
              <w:rPr>
                <w:sz w:val="23"/>
                <w:szCs w:val="23"/>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0"/>
        </w:trPr>
        <w:tc>
          <w:tcPr>
            <w:tcW w:w="6020" w:type="dxa"/>
            <w:vAlign w:val="bottom"/>
          </w:tcPr>
          <w:p>
            <w:pPr>
              <w:ind w:left="300"/>
              <w:spacing w:after="0"/>
              <w:rPr>
                <w:sz w:val="20"/>
                <w:szCs w:val="20"/>
                <w:color w:val="auto"/>
              </w:rPr>
            </w:pPr>
            <w:r>
              <w:rPr>
                <w:rFonts w:ascii="Arial" w:cs="Arial" w:eastAsia="Arial" w:hAnsi="Arial"/>
                <w:sz w:val="18"/>
                <w:szCs w:val="18"/>
                <w:color w:val="auto"/>
              </w:rPr>
              <w:t>Transaction-related costs, net</w:t>
            </w:r>
          </w:p>
        </w:tc>
        <w:tc>
          <w:tcPr>
            <w:tcW w:w="920" w:type="dxa"/>
            <w:vAlign w:val="bottom"/>
          </w:tcPr>
          <w:p>
            <w:pPr>
              <w:spacing w:after="0"/>
              <w:rPr>
                <w:sz w:val="23"/>
                <w:szCs w:val="23"/>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70"/>
        </w:trPr>
        <w:tc>
          <w:tcPr>
            <w:tcW w:w="6020" w:type="dxa"/>
            <w:vAlign w:val="bottom"/>
          </w:tcPr>
          <w:p>
            <w:pPr>
              <w:ind w:left="300"/>
              <w:spacing w:after="0"/>
              <w:rPr>
                <w:sz w:val="20"/>
                <w:szCs w:val="20"/>
                <w:color w:val="auto"/>
              </w:rPr>
            </w:pPr>
            <w:r>
              <w:rPr>
                <w:rFonts w:ascii="Arial" w:cs="Arial" w:eastAsia="Arial" w:hAnsi="Arial"/>
                <w:sz w:val="18"/>
                <w:szCs w:val="18"/>
                <w:color w:val="auto"/>
              </w:rPr>
              <w:t>Impairment</w:t>
            </w:r>
          </w:p>
        </w:tc>
        <w:tc>
          <w:tcPr>
            <w:tcW w:w="920" w:type="dxa"/>
            <w:vAlign w:val="bottom"/>
          </w:tcPr>
          <w:p>
            <w:pPr>
              <w:spacing w:after="0"/>
              <w:rPr>
                <w:sz w:val="23"/>
                <w:szCs w:val="23"/>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4"/>
        </w:trPr>
        <w:tc>
          <w:tcPr>
            <w:tcW w:w="6020" w:type="dxa"/>
            <w:vAlign w:val="bottom"/>
          </w:tcPr>
          <w:p>
            <w:pPr>
              <w:ind w:left="300"/>
              <w:spacing w:after="0"/>
              <w:rPr>
                <w:sz w:val="20"/>
                <w:szCs w:val="20"/>
                <w:color w:val="auto"/>
              </w:rPr>
            </w:pPr>
            <w:r>
              <w:rPr>
                <w:rFonts w:ascii="Arial" w:cs="Arial" w:eastAsia="Arial" w:hAnsi="Arial"/>
                <w:sz w:val="18"/>
                <w:szCs w:val="18"/>
                <w:color w:val="auto"/>
              </w:rPr>
              <w:t xml:space="preserve">Charges for legal matter, net </w:t>
            </w:r>
            <w:r>
              <w:rPr>
                <w:rFonts w:ascii="Arial" w:cs="Arial" w:eastAsia="Arial" w:hAnsi="Arial"/>
                <w:sz w:val="21"/>
                <w:szCs w:val="21"/>
                <w:color w:val="auto"/>
                <w:vertAlign w:val="superscript"/>
              </w:rPr>
              <w:t>(b)</w:t>
            </w:r>
          </w:p>
        </w:tc>
        <w:tc>
          <w:tcPr>
            <w:tcW w:w="9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4"/>
        </w:trPr>
        <w:tc>
          <w:tcPr>
            <w:tcW w:w="6020" w:type="dxa"/>
            <w:vAlign w:val="bottom"/>
          </w:tcPr>
          <w:p>
            <w:pPr>
              <w:ind w:left="20"/>
              <w:spacing w:after="0"/>
              <w:rPr>
                <w:sz w:val="20"/>
                <w:szCs w:val="20"/>
                <w:color w:val="auto"/>
              </w:rPr>
            </w:pPr>
            <w:r>
              <w:rPr>
                <w:rFonts w:ascii="Arial" w:cs="Arial" w:eastAsia="Arial" w:hAnsi="Arial"/>
                <w:sz w:val="18"/>
                <w:szCs w:val="18"/>
                <w:b w:val="1"/>
                <w:bCs w:val="1"/>
                <w:color w:val="auto"/>
              </w:rPr>
              <w:t>Income before income taxes</w:t>
            </w:r>
          </w:p>
        </w:tc>
        <w:tc>
          <w:tcPr>
            <w:tcW w:w="92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211</w:t>
            </w:r>
          </w:p>
        </w:tc>
        <w:tc>
          <w:tcPr>
            <w:tcW w:w="100" w:type="dxa"/>
            <w:vAlign w:val="bottom"/>
          </w:tcPr>
          <w:p>
            <w:pPr>
              <w:spacing w:after="0"/>
              <w:rPr>
                <w:sz w:val="21"/>
                <w:szCs w:val="21"/>
                <w:color w:val="auto"/>
              </w:rPr>
            </w:pPr>
          </w:p>
        </w:tc>
        <w:tc>
          <w:tcPr>
            <w:tcW w:w="3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279</w:t>
            </w:r>
          </w:p>
        </w:tc>
        <w:tc>
          <w:tcPr>
            <w:tcW w:w="100" w:type="dxa"/>
            <w:vAlign w:val="bottom"/>
          </w:tcPr>
          <w:p>
            <w:pPr>
              <w:spacing w:after="0"/>
              <w:rPr>
                <w:sz w:val="21"/>
                <w:szCs w:val="21"/>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w:t>
            </w:r>
          </w:p>
        </w:tc>
        <w:tc>
          <w:tcPr>
            <w:tcW w:w="0" w:type="dxa"/>
            <w:vAlign w:val="bottom"/>
          </w:tcPr>
          <w:p>
            <w:pPr>
              <w:spacing w:after="0"/>
              <w:rPr>
                <w:sz w:val="1"/>
                <w:szCs w:val="1"/>
                <w:color w:val="auto"/>
              </w:rPr>
            </w:pPr>
          </w:p>
        </w:tc>
      </w:tr>
      <w:tr>
        <w:trPr>
          <w:trHeight w:val="20"/>
        </w:trPr>
        <w:tc>
          <w:tcPr>
            <w:tcW w:w="6020" w:type="dxa"/>
            <w:vAlign w:val="bottom"/>
            <w:vMerge w:val="restart"/>
          </w:tcPr>
          <w:p>
            <w:pPr>
              <w:spacing w:after="0"/>
              <w:rPr>
                <w:sz w:val="20"/>
                <w:szCs w:val="20"/>
                <w:color w:val="auto"/>
              </w:rPr>
            </w:pPr>
            <w:r>
              <w:rPr>
                <w:rFonts w:ascii="Arial" w:cs="Arial" w:eastAsia="Arial" w:hAnsi="Arial"/>
                <w:sz w:val="18"/>
                <w:szCs w:val="18"/>
                <w:color w:val="auto"/>
              </w:rPr>
              <w:t>__________</w:t>
            </w:r>
          </w:p>
        </w:tc>
        <w:tc>
          <w:tcPr>
            <w:tcW w:w="9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6020" w:type="dxa"/>
            <w:vAlign w:val="bottom"/>
            <w:vMerge w:val="continue"/>
          </w:tcPr>
          <w:p>
            <w:pPr>
              <w:spacing w:after="0"/>
              <w:rPr>
                <w:sz w:val="22"/>
                <w:szCs w:val="22"/>
                <w:color w:val="auto"/>
              </w:rPr>
            </w:pPr>
          </w:p>
        </w:tc>
        <w:tc>
          <w:tcPr>
            <w:tcW w:w="9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45" w:lineRule="exact"/>
        <w:rPr>
          <w:sz w:val="20"/>
          <w:szCs w:val="20"/>
          <w:color w:val="auto"/>
        </w:rPr>
      </w:pPr>
    </w:p>
    <w:p>
      <w:pPr>
        <w:ind w:left="820" w:hanging="326"/>
        <w:spacing w:after="0"/>
        <w:tabs>
          <w:tab w:leader="none" w:pos="820" w:val="left"/>
        </w:tabs>
        <w:numPr>
          <w:ilvl w:val="0"/>
          <w:numId w:val="104"/>
        </w:numPr>
        <w:rPr>
          <w:rFonts w:ascii="Arial" w:cs="Arial" w:eastAsia="Arial" w:hAnsi="Arial"/>
          <w:sz w:val="9"/>
          <w:szCs w:val="9"/>
          <w:color w:val="auto"/>
        </w:rPr>
      </w:pPr>
      <w:r>
        <w:rPr>
          <w:rFonts w:ascii="Arial" w:cs="Arial" w:eastAsia="Arial" w:hAnsi="Arial"/>
          <w:sz w:val="14"/>
          <w:szCs w:val="14"/>
          <w:color w:val="auto"/>
        </w:rPr>
        <w:t>Includes amortization of intangible assets recognized in purchase accounting of $58 million in 2017, $59 million in 2016 and $55 million in 2015.</w:t>
      </w:r>
    </w:p>
    <w:p>
      <w:pPr>
        <w:spacing w:after="0" w:line="12" w:lineRule="exact"/>
        <w:rPr>
          <w:rFonts w:ascii="Arial" w:cs="Arial" w:eastAsia="Arial" w:hAnsi="Arial"/>
          <w:sz w:val="9"/>
          <w:szCs w:val="9"/>
          <w:color w:val="auto"/>
        </w:rPr>
      </w:pPr>
    </w:p>
    <w:p>
      <w:pPr>
        <w:ind w:left="820" w:hanging="326"/>
        <w:spacing w:after="0"/>
        <w:tabs>
          <w:tab w:leader="none" w:pos="820" w:val="left"/>
        </w:tabs>
        <w:numPr>
          <w:ilvl w:val="0"/>
          <w:numId w:val="104"/>
        </w:numPr>
        <w:rPr>
          <w:rFonts w:ascii="Arial" w:cs="Arial" w:eastAsia="Arial" w:hAnsi="Arial"/>
          <w:sz w:val="18"/>
          <w:szCs w:val="18"/>
          <w:color w:val="auto"/>
          <w:vertAlign w:val="superscript"/>
        </w:rPr>
      </w:pPr>
      <w:r>
        <w:rPr>
          <w:rFonts w:ascii="Arial" w:cs="Arial" w:eastAsia="Arial" w:hAnsi="Arial"/>
          <w:sz w:val="14"/>
          <w:szCs w:val="14"/>
          <w:color w:val="auto"/>
        </w:rPr>
        <w:t>Reported within operating expenses in our Consolidated Statements of Operations</w:t>
      </w:r>
      <w:r>
        <w:rPr>
          <w:rFonts w:ascii="Arial" w:cs="Arial" w:eastAsia="Arial" w:hAnsi="Arial"/>
          <w:sz w:val="16"/>
          <w:szCs w:val="16"/>
          <w:color w:val="auto"/>
        </w:rPr>
        <w:t>.</w:t>
      </w:r>
    </w:p>
    <w:p>
      <w:pPr>
        <w:spacing w:after="0" w:line="221"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F-47</w:t>
      </w:r>
    </w:p>
    <w:p>
      <w:pPr>
        <w:sectPr>
          <w:pgSz w:w="11900" w:h="16838" w:orient="portrait"/>
          <w:cols w:equalWidth="0" w:num="1">
            <w:col w:w="10820"/>
          </w:cols>
          <w:pgMar w:left="240" w:top="140" w:right="839" w:bottom="1440" w:gutter="0" w:footer="0" w:header="0"/>
          <w:type w:val="continuous"/>
        </w:sectPr>
      </w:pPr>
    </w:p>
    <w:bookmarkStart w:id="113" w:name="page114"/>
    <w:bookmarkEnd w:id="1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geographic segment information provided below is classified based on the geographic location of the Company’s subsidiaries.</w:t>
      </w:r>
    </w:p>
    <w:p>
      <w:pPr>
        <w:spacing w:after="0" w:line="145" w:lineRule="exact"/>
        <w:rPr>
          <w:sz w:val="20"/>
          <w:szCs w:val="20"/>
          <w:color w:val="auto"/>
        </w:rPr>
      </w:pPr>
    </w:p>
    <w:tbl>
      <w:tblPr>
        <w:tblLayout w:type="fixed"/>
        <w:tblInd w:w="520" w:type="dxa"/>
        <w:tblCellMar>
          <w:top w:w="0" w:type="dxa"/>
          <w:left w:w="0" w:type="dxa"/>
          <w:bottom w:w="0" w:type="dxa"/>
          <w:right w:w="0" w:type="dxa"/>
        </w:tblCellMar>
      </w:tblPr>
      <w:tr>
        <w:trPr>
          <w:trHeight w:val="207"/>
        </w:trPr>
        <w:tc>
          <w:tcPr>
            <w:tcW w:w="5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9"/>
              </w:rPr>
              <w:t>All Other</w:t>
            </w:r>
          </w:p>
        </w:tc>
        <w:tc>
          <w:tcPr>
            <w:tcW w:w="36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46"/>
        </w:trPr>
        <w:tc>
          <w:tcPr>
            <w:tcW w:w="50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80" w:type="dxa"/>
            <w:vAlign w:val="bottom"/>
            <w:gridSpan w:val="2"/>
          </w:tcPr>
          <w:p>
            <w:pPr>
              <w:ind w:left="60"/>
              <w:spacing w:after="0"/>
              <w:rPr>
                <w:sz w:val="20"/>
                <w:szCs w:val="20"/>
                <w:color w:val="auto"/>
              </w:rPr>
            </w:pPr>
            <w:r>
              <w:rPr>
                <w:rFonts w:ascii="Arial" w:cs="Arial" w:eastAsia="Arial" w:hAnsi="Arial"/>
                <w:sz w:val="18"/>
                <w:szCs w:val="18"/>
                <w:b w:val="1"/>
                <w:bCs w:val="1"/>
                <w:color w:val="auto"/>
              </w:rPr>
              <w:t>United States</w:t>
            </w:r>
          </w:p>
        </w:tc>
        <w:tc>
          <w:tcPr>
            <w:tcW w:w="280" w:type="dxa"/>
            <w:vAlign w:val="bottom"/>
          </w:tcPr>
          <w:p>
            <w:pPr>
              <w:spacing w:after="0"/>
              <w:rPr>
                <w:sz w:val="21"/>
                <w:szCs w:val="21"/>
                <w:color w:val="auto"/>
              </w:rPr>
            </w:pPr>
          </w:p>
        </w:tc>
        <w:tc>
          <w:tcPr>
            <w:tcW w:w="15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9"/>
              </w:rPr>
              <w:t>Countries</w:t>
            </w:r>
          </w:p>
        </w:tc>
        <w:tc>
          <w:tcPr>
            <w:tcW w:w="360" w:type="dxa"/>
            <w:vAlign w:val="bottom"/>
          </w:tcPr>
          <w:p>
            <w:pPr>
              <w:spacing w:after="0"/>
              <w:rPr>
                <w:sz w:val="21"/>
                <w:szCs w:val="21"/>
                <w:color w:val="auto"/>
              </w:rPr>
            </w:pPr>
          </w:p>
        </w:tc>
        <w:tc>
          <w:tcPr>
            <w:tcW w:w="1300" w:type="dxa"/>
            <w:vAlign w:val="bottom"/>
          </w:tcPr>
          <w:p>
            <w:pPr>
              <w:jc w:val="right"/>
              <w:ind w:right="530"/>
              <w:spacing w:after="0"/>
              <w:rPr>
                <w:sz w:val="20"/>
                <w:szCs w:val="20"/>
                <w:color w:val="auto"/>
              </w:rPr>
            </w:pPr>
            <w:r>
              <w:rPr>
                <w:rFonts w:ascii="Arial" w:cs="Arial" w:eastAsia="Arial" w:hAnsi="Arial"/>
                <w:sz w:val="18"/>
                <w:szCs w:val="18"/>
                <w:b w:val="1"/>
                <w:bCs w:val="1"/>
                <w:color w:val="auto"/>
              </w:rPr>
              <w:t>Total</w:t>
            </w:r>
          </w:p>
        </w:tc>
      </w:tr>
      <w:tr>
        <w:trPr>
          <w:trHeight w:val="230"/>
        </w:trPr>
        <w:tc>
          <w:tcPr>
            <w:tcW w:w="5060" w:type="dxa"/>
            <w:vAlign w:val="bottom"/>
          </w:tcPr>
          <w:p>
            <w:pPr>
              <w:spacing w:after="0"/>
              <w:rPr>
                <w:sz w:val="20"/>
                <w:szCs w:val="20"/>
                <w:color w:val="auto"/>
              </w:rPr>
            </w:pPr>
            <w:r>
              <w:rPr>
                <w:rFonts w:ascii="Arial" w:cs="Arial" w:eastAsia="Arial" w:hAnsi="Arial"/>
                <w:sz w:val="18"/>
                <w:szCs w:val="18"/>
                <w:b w:val="1"/>
                <w:bCs w:val="1"/>
                <w:color w:val="auto"/>
              </w:rPr>
              <w:t>2017</w:t>
            </w:r>
          </w:p>
        </w:tc>
        <w:tc>
          <w:tcPr>
            <w:tcW w:w="20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r>
      <w:tr>
        <w:trPr>
          <w:trHeight w:val="297"/>
        </w:trPr>
        <w:tc>
          <w:tcPr>
            <w:tcW w:w="5060" w:type="dxa"/>
            <w:vAlign w:val="bottom"/>
          </w:tcPr>
          <w:p>
            <w:pPr>
              <w:spacing w:after="0"/>
              <w:rPr>
                <w:sz w:val="20"/>
                <w:szCs w:val="20"/>
                <w:color w:val="auto"/>
              </w:rPr>
            </w:pPr>
            <w:r>
              <w:rPr>
                <w:rFonts w:ascii="Arial" w:cs="Arial" w:eastAsia="Arial" w:hAnsi="Arial"/>
                <w:sz w:val="18"/>
                <w:szCs w:val="18"/>
                <w:color w:val="auto"/>
              </w:rPr>
              <w:t>Net revenues</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5,629</w:t>
            </w:r>
          </w:p>
        </w:tc>
        <w:tc>
          <w:tcPr>
            <w:tcW w:w="100" w:type="dxa"/>
            <w:vAlign w:val="bottom"/>
          </w:tcPr>
          <w:p>
            <w:pPr>
              <w:spacing w:after="0"/>
              <w:rPr>
                <w:sz w:val="24"/>
                <w:szCs w:val="24"/>
                <w:color w:val="auto"/>
              </w:rPr>
            </w:pP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3,219</w:t>
            </w:r>
          </w:p>
        </w:tc>
        <w:tc>
          <w:tcPr>
            <w:tcW w:w="120" w:type="dxa"/>
            <w:vAlign w:val="bottom"/>
          </w:tcPr>
          <w:p>
            <w:pPr>
              <w:spacing w:after="0"/>
              <w:rPr>
                <w:sz w:val="24"/>
                <w:szCs w:val="24"/>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8,848</w:t>
            </w:r>
          </w:p>
        </w:tc>
      </w:tr>
      <w:tr>
        <w:trPr>
          <w:trHeight w:val="270"/>
        </w:trPr>
        <w:tc>
          <w:tcPr>
            <w:tcW w:w="5060" w:type="dxa"/>
            <w:vAlign w:val="bottom"/>
          </w:tcPr>
          <w:p>
            <w:pPr>
              <w:spacing w:after="0"/>
              <w:rPr>
                <w:sz w:val="20"/>
                <w:szCs w:val="20"/>
                <w:color w:val="auto"/>
              </w:rPr>
            </w:pPr>
            <w:r>
              <w:rPr>
                <w:rFonts w:ascii="Arial" w:cs="Arial" w:eastAsia="Arial" w:hAnsi="Arial"/>
                <w:sz w:val="18"/>
                <w:szCs w:val="18"/>
                <w:color w:val="auto"/>
              </w:rPr>
              <w:t>Assets exclusive of assets under vehicle programs</w:t>
            </w:r>
          </w:p>
        </w:tc>
        <w:tc>
          <w:tcPr>
            <w:tcW w:w="200" w:type="dxa"/>
            <w:vAlign w:val="bottom"/>
          </w:tcPr>
          <w:p>
            <w:pPr>
              <w:spacing w:after="0"/>
              <w:rPr>
                <w:sz w:val="23"/>
                <w:szCs w:val="23"/>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3,069</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2,751</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5,820</w:t>
            </w:r>
          </w:p>
        </w:tc>
      </w:tr>
      <w:tr>
        <w:trPr>
          <w:trHeight w:val="270"/>
        </w:trPr>
        <w:tc>
          <w:tcPr>
            <w:tcW w:w="5060" w:type="dxa"/>
            <w:vAlign w:val="bottom"/>
          </w:tcPr>
          <w:p>
            <w:pPr>
              <w:spacing w:after="0"/>
              <w:rPr>
                <w:sz w:val="20"/>
                <w:szCs w:val="20"/>
                <w:color w:val="auto"/>
              </w:rPr>
            </w:pPr>
            <w:r>
              <w:rPr>
                <w:rFonts w:ascii="Arial" w:cs="Arial" w:eastAsia="Arial" w:hAnsi="Arial"/>
                <w:sz w:val="18"/>
                <w:szCs w:val="18"/>
                <w:color w:val="auto"/>
              </w:rPr>
              <w:t>Assets under vehicle programs</w:t>
            </w:r>
          </w:p>
        </w:tc>
        <w:tc>
          <w:tcPr>
            <w:tcW w:w="200" w:type="dxa"/>
            <w:vAlign w:val="bottom"/>
          </w:tcPr>
          <w:p>
            <w:pPr>
              <w:spacing w:after="0"/>
              <w:rPr>
                <w:sz w:val="23"/>
                <w:szCs w:val="23"/>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8,192</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3,687</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11,879</w:t>
            </w:r>
          </w:p>
        </w:tc>
      </w:tr>
      <w:tr>
        <w:trPr>
          <w:trHeight w:val="270"/>
        </w:trPr>
        <w:tc>
          <w:tcPr>
            <w:tcW w:w="5060" w:type="dxa"/>
            <w:vAlign w:val="bottom"/>
          </w:tcPr>
          <w:p>
            <w:pPr>
              <w:spacing w:after="0"/>
              <w:rPr>
                <w:sz w:val="20"/>
                <w:szCs w:val="20"/>
                <w:color w:val="auto"/>
              </w:rPr>
            </w:pPr>
            <w:r>
              <w:rPr>
                <w:rFonts w:ascii="Arial" w:cs="Arial" w:eastAsia="Arial" w:hAnsi="Arial"/>
                <w:sz w:val="18"/>
                <w:szCs w:val="18"/>
                <w:color w:val="auto"/>
              </w:rPr>
              <w:t>Net long-lived assets</w:t>
            </w:r>
          </w:p>
        </w:tc>
        <w:tc>
          <w:tcPr>
            <w:tcW w:w="200" w:type="dxa"/>
            <w:vAlign w:val="bottom"/>
          </w:tcPr>
          <w:p>
            <w:pPr>
              <w:spacing w:after="0"/>
              <w:rPr>
                <w:sz w:val="23"/>
                <w:szCs w:val="23"/>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1,451</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1,176</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2,627</w:t>
            </w:r>
          </w:p>
        </w:tc>
      </w:tr>
      <w:tr>
        <w:trPr>
          <w:trHeight w:val="527"/>
        </w:trPr>
        <w:tc>
          <w:tcPr>
            <w:tcW w:w="5060" w:type="dxa"/>
            <w:vAlign w:val="bottom"/>
          </w:tcPr>
          <w:p>
            <w:pPr>
              <w:spacing w:after="0"/>
              <w:rPr>
                <w:sz w:val="20"/>
                <w:szCs w:val="20"/>
                <w:color w:val="auto"/>
              </w:rPr>
            </w:pPr>
            <w:r>
              <w:rPr>
                <w:rFonts w:ascii="Arial" w:cs="Arial" w:eastAsia="Arial" w:hAnsi="Arial"/>
                <w:sz w:val="18"/>
                <w:szCs w:val="18"/>
                <w:b w:val="1"/>
                <w:bCs w:val="1"/>
                <w:color w:val="auto"/>
              </w:rPr>
              <w:t>2016</w:t>
            </w: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84"/>
        </w:trPr>
        <w:tc>
          <w:tcPr>
            <w:tcW w:w="5060" w:type="dxa"/>
            <w:vAlign w:val="bottom"/>
          </w:tcPr>
          <w:p>
            <w:pPr>
              <w:spacing w:after="0"/>
              <w:rPr>
                <w:sz w:val="20"/>
                <w:szCs w:val="20"/>
                <w:color w:val="auto"/>
              </w:rPr>
            </w:pPr>
            <w:r>
              <w:rPr>
                <w:rFonts w:ascii="Arial" w:cs="Arial" w:eastAsia="Arial" w:hAnsi="Arial"/>
                <w:sz w:val="18"/>
                <w:szCs w:val="18"/>
                <w:color w:val="auto"/>
              </w:rPr>
              <w:t>Net revenues</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5,674</w:t>
            </w:r>
          </w:p>
        </w:tc>
        <w:tc>
          <w:tcPr>
            <w:tcW w:w="100" w:type="dxa"/>
            <w:vAlign w:val="bottom"/>
          </w:tcPr>
          <w:p>
            <w:pPr>
              <w:spacing w:after="0"/>
              <w:rPr>
                <w:sz w:val="24"/>
                <w:szCs w:val="24"/>
                <w:color w:val="auto"/>
              </w:rPr>
            </w:pP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2,985</w:t>
            </w:r>
          </w:p>
        </w:tc>
        <w:tc>
          <w:tcPr>
            <w:tcW w:w="120" w:type="dxa"/>
            <w:vAlign w:val="bottom"/>
          </w:tcPr>
          <w:p>
            <w:pPr>
              <w:spacing w:after="0"/>
              <w:rPr>
                <w:sz w:val="24"/>
                <w:szCs w:val="24"/>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8,659</w:t>
            </w:r>
          </w:p>
        </w:tc>
      </w:tr>
      <w:tr>
        <w:trPr>
          <w:trHeight w:val="270"/>
        </w:trPr>
        <w:tc>
          <w:tcPr>
            <w:tcW w:w="5060" w:type="dxa"/>
            <w:vAlign w:val="bottom"/>
          </w:tcPr>
          <w:p>
            <w:pPr>
              <w:spacing w:after="0"/>
              <w:rPr>
                <w:sz w:val="20"/>
                <w:szCs w:val="20"/>
                <w:color w:val="auto"/>
              </w:rPr>
            </w:pPr>
            <w:r>
              <w:rPr>
                <w:rFonts w:ascii="Arial" w:cs="Arial" w:eastAsia="Arial" w:hAnsi="Arial"/>
                <w:sz w:val="18"/>
                <w:szCs w:val="18"/>
                <w:color w:val="auto"/>
              </w:rPr>
              <w:t>Assets exclusive of assets under vehicle programs</w:t>
            </w:r>
          </w:p>
        </w:tc>
        <w:tc>
          <w:tcPr>
            <w:tcW w:w="200" w:type="dxa"/>
            <w:vAlign w:val="bottom"/>
          </w:tcPr>
          <w:p>
            <w:pPr>
              <w:spacing w:after="0"/>
              <w:rPr>
                <w:sz w:val="23"/>
                <w:szCs w:val="23"/>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3,699</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2,366</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6,065</w:t>
            </w:r>
          </w:p>
        </w:tc>
      </w:tr>
      <w:tr>
        <w:trPr>
          <w:trHeight w:val="270"/>
        </w:trPr>
        <w:tc>
          <w:tcPr>
            <w:tcW w:w="5060" w:type="dxa"/>
            <w:vAlign w:val="bottom"/>
          </w:tcPr>
          <w:p>
            <w:pPr>
              <w:spacing w:after="0"/>
              <w:rPr>
                <w:sz w:val="20"/>
                <w:szCs w:val="20"/>
                <w:color w:val="auto"/>
              </w:rPr>
            </w:pPr>
            <w:r>
              <w:rPr>
                <w:rFonts w:ascii="Arial" w:cs="Arial" w:eastAsia="Arial" w:hAnsi="Arial"/>
                <w:sz w:val="18"/>
                <w:szCs w:val="18"/>
                <w:color w:val="auto"/>
              </w:rPr>
              <w:t>Assets under vehicle programs</w:t>
            </w:r>
          </w:p>
        </w:tc>
        <w:tc>
          <w:tcPr>
            <w:tcW w:w="200" w:type="dxa"/>
            <w:vAlign w:val="bottom"/>
          </w:tcPr>
          <w:p>
            <w:pPr>
              <w:spacing w:after="0"/>
              <w:rPr>
                <w:sz w:val="23"/>
                <w:szCs w:val="23"/>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8,552</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3,026</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11,578</w:t>
            </w:r>
          </w:p>
        </w:tc>
      </w:tr>
      <w:tr>
        <w:trPr>
          <w:trHeight w:val="270"/>
        </w:trPr>
        <w:tc>
          <w:tcPr>
            <w:tcW w:w="5060" w:type="dxa"/>
            <w:vAlign w:val="bottom"/>
          </w:tcPr>
          <w:p>
            <w:pPr>
              <w:spacing w:after="0"/>
              <w:rPr>
                <w:sz w:val="20"/>
                <w:szCs w:val="20"/>
                <w:color w:val="auto"/>
              </w:rPr>
            </w:pPr>
            <w:r>
              <w:rPr>
                <w:rFonts w:ascii="Arial" w:cs="Arial" w:eastAsia="Arial" w:hAnsi="Arial"/>
                <w:sz w:val="18"/>
                <w:szCs w:val="18"/>
                <w:color w:val="auto"/>
              </w:rPr>
              <w:t>Net long-lived assets</w:t>
            </w:r>
          </w:p>
        </w:tc>
        <w:tc>
          <w:tcPr>
            <w:tcW w:w="200" w:type="dxa"/>
            <w:vAlign w:val="bottom"/>
          </w:tcPr>
          <w:p>
            <w:pPr>
              <w:spacing w:after="0"/>
              <w:rPr>
                <w:sz w:val="23"/>
                <w:szCs w:val="23"/>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1,489</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1,073</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2,562</w:t>
            </w:r>
          </w:p>
        </w:tc>
      </w:tr>
      <w:tr>
        <w:trPr>
          <w:trHeight w:val="527"/>
        </w:trPr>
        <w:tc>
          <w:tcPr>
            <w:tcW w:w="5060" w:type="dxa"/>
            <w:vAlign w:val="bottom"/>
          </w:tcPr>
          <w:p>
            <w:pPr>
              <w:spacing w:after="0"/>
              <w:rPr>
                <w:sz w:val="20"/>
                <w:szCs w:val="20"/>
                <w:color w:val="auto"/>
              </w:rPr>
            </w:pPr>
            <w:r>
              <w:rPr>
                <w:rFonts w:ascii="Arial" w:cs="Arial" w:eastAsia="Arial" w:hAnsi="Arial"/>
                <w:sz w:val="18"/>
                <w:szCs w:val="18"/>
                <w:b w:val="1"/>
                <w:bCs w:val="1"/>
                <w:color w:val="auto"/>
              </w:rPr>
              <w:t>2015</w:t>
            </w: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84"/>
        </w:trPr>
        <w:tc>
          <w:tcPr>
            <w:tcW w:w="5060" w:type="dxa"/>
            <w:vAlign w:val="bottom"/>
          </w:tcPr>
          <w:p>
            <w:pPr>
              <w:spacing w:after="0"/>
              <w:rPr>
                <w:sz w:val="20"/>
                <w:szCs w:val="20"/>
                <w:color w:val="auto"/>
              </w:rPr>
            </w:pPr>
            <w:r>
              <w:rPr>
                <w:rFonts w:ascii="Arial" w:cs="Arial" w:eastAsia="Arial" w:hAnsi="Arial"/>
                <w:sz w:val="18"/>
                <w:szCs w:val="18"/>
                <w:color w:val="auto"/>
              </w:rPr>
              <w:t>Net revenues</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5,635</w:t>
            </w:r>
          </w:p>
        </w:tc>
        <w:tc>
          <w:tcPr>
            <w:tcW w:w="100" w:type="dxa"/>
            <w:vAlign w:val="bottom"/>
          </w:tcPr>
          <w:p>
            <w:pPr>
              <w:spacing w:after="0"/>
              <w:rPr>
                <w:sz w:val="24"/>
                <w:szCs w:val="24"/>
                <w:color w:val="auto"/>
              </w:rPr>
            </w:pP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2,867</w:t>
            </w:r>
          </w:p>
        </w:tc>
        <w:tc>
          <w:tcPr>
            <w:tcW w:w="120" w:type="dxa"/>
            <w:vAlign w:val="bottom"/>
          </w:tcPr>
          <w:p>
            <w:pPr>
              <w:spacing w:after="0"/>
              <w:rPr>
                <w:sz w:val="24"/>
                <w:szCs w:val="24"/>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8,502</w:t>
            </w:r>
          </w:p>
        </w:tc>
      </w:tr>
      <w:tr>
        <w:trPr>
          <w:trHeight w:val="270"/>
        </w:trPr>
        <w:tc>
          <w:tcPr>
            <w:tcW w:w="5060" w:type="dxa"/>
            <w:vAlign w:val="bottom"/>
          </w:tcPr>
          <w:p>
            <w:pPr>
              <w:spacing w:after="0"/>
              <w:rPr>
                <w:sz w:val="20"/>
                <w:szCs w:val="20"/>
                <w:color w:val="auto"/>
              </w:rPr>
            </w:pPr>
            <w:r>
              <w:rPr>
                <w:rFonts w:ascii="Arial" w:cs="Arial" w:eastAsia="Arial" w:hAnsi="Arial"/>
                <w:sz w:val="18"/>
                <w:szCs w:val="18"/>
                <w:color w:val="auto"/>
              </w:rPr>
              <w:t>Assets exclusive of assets under vehicle programs</w:t>
            </w:r>
          </w:p>
        </w:tc>
        <w:tc>
          <w:tcPr>
            <w:tcW w:w="200" w:type="dxa"/>
            <w:vAlign w:val="bottom"/>
          </w:tcPr>
          <w:p>
            <w:pPr>
              <w:spacing w:after="0"/>
              <w:rPr>
                <w:sz w:val="23"/>
                <w:szCs w:val="23"/>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3,677</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2,241</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5,918</w:t>
            </w:r>
          </w:p>
        </w:tc>
      </w:tr>
      <w:tr>
        <w:trPr>
          <w:trHeight w:val="270"/>
        </w:trPr>
        <w:tc>
          <w:tcPr>
            <w:tcW w:w="5060" w:type="dxa"/>
            <w:vAlign w:val="bottom"/>
          </w:tcPr>
          <w:p>
            <w:pPr>
              <w:spacing w:after="0"/>
              <w:rPr>
                <w:sz w:val="20"/>
                <w:szCs w:val="20"/>
                <w:color w:val="auto"/>
              </w:rPr>
            </w:pPr>
            <w:r>
              <w:rPr>
                <w:rFonts w:ascii="Arial" w:cs="Arial" w:eastAsia="Arial" w:hAnsi="Arial"/>
                <w:sz w:val="18"/>
                <w:szCs w:val="18"/>
                <w:color w:val="auto"/>
              </w:rPr>
              <w:t>Assets under vehicle programs</w:t>
            </w:r>
          </w:p>
        </w:tc>
        <w:tc>
          <w:tcPr>
            <w:tcW w:w="200" w:type="dxa"/>
            <w:vAlign w:val="bottom"/>
          </w:tcPr>
          <w:p>
            <w:pPr>
              <w:spacing w:after="0"/>
              <w:rPr>
                <w:sz w:val="23"/>
                <w:szCs w:val="23"/>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8,786</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2,930</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11,716</w:t>
            </w:r>
          </w:p>
        </w:tc>
      </w:tr>
      <w:tr>
        <w:trPr>
          <w:trHeight w:val="270"/>
        </w:trPr>
        <w:tc>
          <w:tcPr>
            <w:tcW w:w="5060" w:type="dxa"/>
            <w:vAlign w:val="bottom"/>
          </w:tcPr>
          <w:p>
            <w:pPr>
              <w:spacing w:after="0"/>
              <w:rPr>
                <w:sz w:val="20"/>
                <w:szCs w:val="20"/>
                <w:color w:val="auto"/>
              </w:rPr>
            </w:pPr>
            <w:r>
              <w:rPr>
                <w:rFonts w:ascii="Arial" w:cs="Arial" w:eastAsia="Arial" w:hAnsi="Arial"/>
                <w:sz w:val="18"/>
                <w:szCs w:val="18"/>
                <w:color w:val="auto"/>
              </w:rPr>
              <w:t>Net long-lived assets</w:t>
            </w:r>
          </w:p>
        </w:tc>
        <w:tc>
          <w:tcPr>
            <w:tcW w:w="200" w:type="dxa"/>
            <w:vAlign w:val="bottom"/>
          </w:tcPr>
          <w:p>
            <w:pPr>
              <w:spacing w:after="0"/>
              <w:rPr>
                <w:sz w:val="23"/>
                <w:szCs w:val="23"/>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1,502</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1,069</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2,571</w:t>
            </w:r>
          </w:p>
        </w:tc>
      </w:tr>
    </w:tbl>
    <w:p>
      <w:pPr>
        <w:spacing w:after="0" w:line="180" w:lineRule="exact"/>
        <w:rPr>
          <w:sz w:val="20"/>
          <w:szCs w:val="20"/>
          <w:color w:val="auto"/>
        </w:rPr>
      </w:pPr>
    </w:p>
    <w:p>
      <w:pPr>
        <w:ind w:left="500" w:hanging="492"/>
        <w:spacing w:after="0"/>
        <w:tabs>
          <w:tab w:leader="none" w:pos="500" w:val="left"/>
        </w:tabs>
        <w:numPr>
          <w:ilvl w:val="0"/>
          <w:numId w:val="105"/>
        </w:numPr>
        <w:rPr>
          <w:rFonts w:ascii="Arial" w:cs="Arial" w:eastAsia="Arial" w:hAnsi="Arial"/>
          <w:sz w:val="18"/>
          <w:szCs w:val="18"/>
          <w:b w:val="1"/>
          <w:bCs w:val="1"/>
          <w:color w:val="auto"/>
        </w:rPr>
      </w:pPr>
      <w:r>
        <w:rPr>
          <w:rFonts w:ascii="Arial" w:cs="Arial" w:eastAsia="Arial" w:hAnsi="Arial"/>
          <w:sz w:val="18"/>
          <w:szCs w:val="18"/>
          <w:b w:val="1"/>
          <w:bCs w:val="1"/>
          <w:color w:val="auto"/>
        </w:rPr>
        <w:t>Guarantor and Non-Guarantor Consolidating Financial Statements</w:t>
      </w:r>
    </w:p>
    <w:p>
      <w:pPr>
        <w:spacing w:after="0" w:line="193" w:lineRule="exact"/>
        <w:rPr>
          <w:rFonts w:ascii="Arial" w:cs="Arial" w:eastAsia="Arial" w:hAnsi="Arial"/>
          <w:sz w:val="18"/>
          <w:szCs w:val="18"/>
          <w:b w:val="1"/>
          <w:bCs w:val="1"/>
          <w:color w:val="auto"/>
        </w:rPr>
      </w:pPr>
    </w:p>
    <w:p>
      <w:pPr>
        <w:ind w:left="500"/>
        <w:spacing w:after="0" w:line="251" w:lineRule="auto"/>
        <w:rPr>
          <w:rFonts w:ascii="Arial" w:cs="Arial" w:eastAsia="Arial" w:hAnsi="Arial"/>
          <w:sz w:val="18"/>
          <w:szCs w:val="18"/>
          <w:b w:val="1"/>
          <w:bCs w:val="1"/>
          <w:color w:val="auto"/>
        </w:rPr>
      </w:pPr>
      <w:r>
        <w:rPr>
          <w:rFonts w:ascii="Arial" w:cs="Arial" w:eastAsia="Arial" w:hAnsi="Arial"/>
          <w:sz w:val="18"/>
          <w:szCs w:val="18"/>
          <w:color w:val="auto"/>
        </w:rPr>
        <w:t>The following consolidating financial information presents Consolidating Condensed Statements of Operations for the years ended December 31, 2017, 2016 and 2015, Consolidating Condensed Balance Sheets as of December 31, 2017 and December 31, 2016 and Consolidating Condensed Statements of Cash Flows for the years ended December 31, 2017, 2016 and 2015 for: (i) Avis Budget Group, Inc. (the “Parent”); (ii) ABCR and Avis Budget Finance, Inc. (the “Subsidiary Issuers”); (iii) the guarantor subsidiaries; (iv) the non-guarantor subsidiaries; (v) elimination entries necessary to consolidate the Parent with the Subsidiary Issuers, the guarantor and non-guarantor subsidiaries; and (vi) the Company on a consolidated basis. The Subsidiary Issuers and the guarantor and non-guarantor subsidiaries are 100% owned by the Parent, either directly or indirectly. All guarantees are full and unconditional and joint and several. This financial information is being presented in relation to the Company’s guarantee of the payment of principal, premium (if any) and interest on the notes issued by the Subsidiary Issuers. See Note 12-Long-term Corporate Debt and Borrowing Arrangements for additional description of these guaranteed notes. The Senior Notes have separate investors than the equity investors of the Company and are guaranteed by the Parent and certain subsidiaries.</w:t>
      </w:r>
    </w:p>
    <w:p>
      <w:pPr>
        <w:spacing w:after="0" w:line="157" w:lineRule="exact"/>
        <w:rPr>
          <w:rFonts w:ascii="Arial" w:cs="Arial" w:eastAsia="Arial" w:hAnsi="Arial"/>
          <w:sz w:val="18"/>
          <w:szCs w:val="18"/>
          <w:b w:val="1"/>
          <w:bCs w:val="1"/>
          <w:color w:val="auto"/>
        </w:rPr>
      </w:pPr>
    </w:p>
    <w:p>
      <w:pPr>
        <w:ind w:left="50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Investments in subsidiaries are accounted for using the equity method of accounting for purposes of the consolidating presentation. The principal elimination entries relate to investments in subsidiaries and intercompany balances and transactions. For purposes of the accompanying Consolidating Condensed Statements of Operations, certain expenses incurred by the Subsidiary Issuers are allocated to the guarantor and non-guarantor subsidiaries.</w:t>
      </w:r>
    </w:p>
    <w:p>
      <w:pPr>
        <w:spacing w:after="0" w:line="150" w:lineRule="exact"/>
        <w:rPr>
          <w:rFonts w:ascii="Arial" w:cs="Arial" w:eastAsia="Arial" w:hAnsi="Arial"/>
          <w:sz w:val="18"/>
          <w:szCs w:val="18"/>
          <w:b w:val="1"/>
          <w:bCs w:val="1"/>
          <w:color w:val="auto"/>
        </w:rPr>
      </w:pPr>
    </w:p>
    <w:p>
      <w:pPr>
        <w:ind w:left="500" w:right="240"/>
        <w:spacing w:after="0" w:line="262" w:lineRule="auto"/>
        <w:rPr>
          <w:rFonts w:ascii="Arial" w:cs="Arial" w:eastAsia="Arial" w:hAnsi="Arial"/>
          <w:sz w:val="18"/>
          <w:szCs w:val="18"/>
          <w:b w:val="1"/>
          <w:bCs w:val="1"/>
          <w:color w:val="auto"/>
        </w:rPr>
      </w:pPr>
      <w:r>
        <w:rPr>
          <w:rFonts w:ascii="Arial" w:cs="Arial" w:eastAsia="Arial" w:hAnsi="Arial"/>
          <w:sz w:val="18"/>
          <w:szCs w:val="18"/>
          <w:color w:val="auto"/>
        </w:rPr>
        <w:t>The following tables provide the impact of adoption of ASU 2016-18 on the Company’s Consolidating Condensed Statements of Cash Flows for the years ended December 31, 2016 and 2015.</w:t>
      </w:r>
    </w:p>
    <w:p>
      <w:pPr>
        <w:spacing w:after="0" w:line="200" w:lineRule="exact"/>
        <w:rPr>
          <w:sz w:val="20"/>
          <w:szCs w:val="20"/>
          <w:color w:val="auto"/>
        </w:rPr>
      </w:pPr>
    </w:p>
    <w:p>
      <w:pPr>
        <w:spacing w:after="0" w:line="2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F-48</w:t>
      </w:r>
    </w:p>
    <w:p>
      <w:pPr>
        <w:sectPr>
          <w:pgSz w:w="11900" w:h="16838" w:orient="portrait"/>
          <w:cols w:equalWidth="0" w:num="1">
            <w:col w:w="11360"/>
          </w:cols>
          <w:pgMar w:left="240" w:top="140" w:right="299" w:bottom="1440" w:gutter="0" w:footer="0" w:header="0"/>
        </w:sectPr>
      </w:pPr>
    </w:p>
    <w:bookmarkStart w:id="114" w:name="page115"/>
    <w:bookmarkEnd w:id="1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2997835</wp:posOffset>
            </wp:positionH>
            <wp:positionV relativeFrom="paragraph">
              <wp:posOffset>245745</wp:posOffset>
            </wp:positionV>
            <wp:extent cx="406463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4064635" cy="8890"/>
                    </a:xfrm>
                    <a:prstGeom prst="rect">
                      <a:avLst/>
                    </a:prstGeom>
                    <a:noFill/>
                  </pic:spPr>
                </pic:pic>
              </a:graphicData>
            </a:graphic>
          </wp:anchor>
        </w:drawing>
      </w:r>
    </w:p>
    <w:p>
      <w:pPr>
        <w:spacing w:after="0" w:line="386" w:lineRule="exact"/>
        <w:rPr>
          <w:sz w:val="20"/>
          <w:szCs w:val="20"/>
          <w:color w:val="auto"/>
        </w:rPr>
      </w:pPr>
    </w:p>
    <w:tbl>
      <w:tblPr>
        <w:tblLayout w:type="fixed"/>
        <w:tblInd w:w="820" w:type="dxa"/>
        <w:tblCellMar>
          <w:top w:w="0" w:type="dxa"/>
          <w:left w:w="0" w:type="dxa"/>
          <w:bottom w:w="0" w:type="dxa"/>
          <w:right w:w="0" w:type="dxa"/>
        </w:tblCellMar>
      </w:tblPr>
      <w:tr>
        <w:trPr>
          <w:trHeight w:val="168"/>
        </w:trPr>
        <w:tc>
          <w:tcPr>
            <w:tcW w:w="3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20" w:type="dxa"/>
            <w:vAlign w:val="bottom"/>
            <w:gridSpan w:val="5"/>
          </w:tcPr>
          <w:p>
            <w:pPr>
              <w:ind w:left="40"/>
              <w:spacing w:after="0"/>
              <w:rPr>
                <w:sz w:val="20"/>
                <w:szCs w:val="20"/>
                <w:color w:val="auto"/>
              </w:rPr>
            </w:pPr>
            <w:r>
              <w:rPr>
                <w:rFonts w:ascii="Arial" w:cs="Arial" w:eastAsia="Arial" w:hAnsi="Arial"/>
                <w:sz w:val="13"/>
                <w:szCs w:val="13"/>
                <w:b w:val="1"/>
                <w:bCs w:val="1"/>
                <w:color w:val="auto"/>
              </w:rPr>
              <w:t>Year Ended December 31, 2016</w:t>
            </w: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3900" w:type="dxa"/>
            <w:vAlign w:val="bottom"/>
          </w:tcPr>
          <w:p>
            <w:pPr>
              <w:spacing w:after="0"/>
              <w:rPr>
                <w:sz w:val="13"/>
                <w:szCs w:val="13"/>
                <w:color w:val="auto"/>
              </w:rPr>
            </w:pPr>
          </w:p>
        </w:tc>
        <w:tc>
          <w:tcPr>
            <w:tcW w:w="1080" w:type="dxa"/>
            <w:vAlign w:val="bottom"/>
            <w:tcBorders>
              <w:bottom w:val="single" w:sz="8" w:color="auto"/>
            </w:tcBorders>
            <w:gridSpan w:val="3"/>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gridSpan w:val="3"/>
          </w:tcPr>
          <w:p>
            <w:pPr>
              <w:spacing w:after="0"/>
              <w:rPr>
                <w:sz w:val="13"/>
                <w:szCs w:val="13"/>
                <w:color w:val="auto"/>
              </w:rPr>
            </w:pPr>
          </w:p>
        </w:tc>
        <w:tc>
          <w:tcPr>
            <w:tcW w:w="1020" w:type="dxa"/>
            <w:vAlign w:val="bottom"/>
            <w:tcBorders>
              <w:bottom w:val="single" w:sz="8" w:color="auto"/>
            </w:tcBorders>
            <w:gridSpan w:val="3"/>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3900" w:type="dxa"/>
            <w:vAlign w:val="bottom"/>
          </w:tcPr>
          <w:p>
            <w:pPr>
              <w:spacing w:after="0"/>
              <w:rPr>
                <w:sz w:val="11"/>
                <w:szCs w:val="11"/>
                <w:color w:val="auto"/>
              </w:rPr>
            </w:pPr>
          </w:p>
        </w:tc>
        <w:tc>
          <w:tcPr>
            <w:tcW w:w="1080" w:type="dxa"/>
            <w:vAlign w:val="bottom"/>
            <w:gridSpan w:val="3"/>
          </w:tcPr>
          <w:p>
            <w:pPr>
              <w:jc w:val="center"/>
              <w:ind w:right="120"/>
              <w:spacing w:after="0" w:line="134" w:lineRule="exact"/>
              <w:rPr>
                <w:sz w:val="20"/>
                <w:szCs w:val="20"/>
                <w:color w:val="auto"/>
              </w:rPr>
            </w:pPr>
            <w:r>
              <w:rPr>
                <w:rFonts w:ascii="Arial" w:cs="Arial" w:eastAsia="Arial" w:hAnsi="Arial"/>
                <w:sz w:val="13"/>
                <w:szCs w:val="13"/>
                <w:b w:val="1"/>
                <w:bCs w:val="1"/>
                <w:color w:val="auto"/>
                <w:w w:val="97"/>
              </w:rPr>
              <w:t>As Previously</w:t>
            </w: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40" w:type="dxa"/>
            <w:vAlign w:val="bottom"/>
            <w:gridSpan w:val="3"/>
          </w:tcPr>
          <w:p>
            <w:pPr>
              <w:jc w:val="center"/>
              <w:ind w:right="400"/>
              <w:spacing w:after="0" w:line="134" w:lineRule="exact"/>
              <w:rPr>
                <w:sz w:val="20"/>
                <w:szCs w:val="20"/>
                <w:color w:val="auto"/>
              </w:rPr>
            </w:pPr>
            <w:r>
              <w:rPr>
                <w:rFonts w:ascii="Arial" w:cs="Arial" w:eastAsia="Arial" w:hAnsi="Arial"/>
                <w:sz w:val="13"/>
                <w:szCs w:val="13"/>
                <w:b w:val="1"/>
                <w:bCs w:val="1"/>
                <w:color w:val="auto"/>
                <w:w w:val="97"/>
              </w:rPr>
              <w:t>As Adjusted</w:t>
            </w:r>
          </w:p>
        </w:tc>
        <w:tc>
          <w:tcPr>
            <w:tcW w:w="1020" w:type="dxa"/>
            <w:vAlign w:val="bottom"/>
            <w:gridSpan w:val="3"/>
          </w:tcPr>
          <w:p>
            <w:pPr>
              <w:ind w:left="40"/>
              <w:spacing w:after="0" w:line="134" w:lineRule="exact"/>
              <w:rPr>
                <w:sz w:val="20"/>
                <w:szCs w:val="20"/>
                <w:color w:val="auto"/>
              </w:rPr>
            </w:pPr>
            <w:r>
              <w:rPr>
                <w:rFonts w:ascii="Arial" w:cs="Arial" w:eastAsia="Arial" w:hAnsi="Arial"/>
                <w:sz w:val="13"/>
                <w:szCs w:val="13"/>
                <w:b w:val="1"/>
                <w:bCs w:val="1"/>
                <w:color w:val="auto"/>
              </w:rPr>
              <w:t>As Previously</w:t>
            </w: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900" w:type="dxa"/>
            <w:vAlign w:val="bottom"/>
          </w:tcPr>
          <w:p>
            <w:pPr>
              <w:spacing w:after="0"/>
              <w:rPr>
                <w:sz w:val="11"/>
                <w:szCs w:val="11"/>
                <w:color w:val="auto"/>
              </w:rPr>
            </w:pPr>
          </w:p>
        </w:tc>
        <w:tc>
          <w:tcPr>
            <w:tcW w:w="1080" w:type="dxa"/>
            <w:vAlign w:val="bottom"/>
            <w:gridSpan w:val="3"/>
          </w:tcPr>
          <w:p>
            <w:pPr>
              <w:ind w:left="40"/>
              <w:spacing w:after="0" w:line="135" w:lineRule="exact"/>
              <w:rPr>
                <w:sz w:val="20"/>
                <w:szCs w:val="20"/>
                <w:color w:val="auto"/>
              </w:rPr>
            </w:pPr>
            <w:r>
              <w:rPr>
                <w:rFonts w:ascii="Arial" w:cs="Arial" w:eastAsia="Arial" w:hAnsi="Arial"/>
                <w:sz w:val="13"/>
                <w:szCs w:val="13"/>
                <w:b w:val="1"/>
                <w:bCs w:val="1"/>
                <w:color w:val="auto"/>
              </w:rPr>
              <w:t>Reported Non-</w:t>
            </w:r>
          </w:p>
        </w:tc>
        <w:tc>
          <w:tcPr>
            <w:tcW w:w="160" w:type="dxa"/>
            <w:vAlign w:val="bottom"/>
          </w:tcPr>
          <w:p>
            <w:pPr>
              <w:spacing w:after="0"/>
              <w:rPr>
                <w:sz w:val="11"/>
                <w:szCs w:val="11"/>
                <w:color w:val="auto"/>
              </w:rPr>
            </w:pPr>
          </w:p>
        </w:tc>
        <w:tc>
          <w:tcPr>
            <w:tcW w:w="86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9"/>
              </w:rPr>
              <w:t>Effect of</w:t>
            </w:r>
          </w:p>
        </w:tc>
        <w:tc>
          <w:tcPr>
            <w:tcW w:w="140" w:type="dxa"/>
            <w:vAlign w:val="bottom"/>
          </w:tcPr>
          <w:p>
            <w:pPr>
              <w:spacing w:after="0"/>
              <w:rPr>
                <w:sz w:val="11"/>
                <w:szCs w:val="11"/>
                <w:color w:val="auto"/>
              </w:rPr>
            </w:pPr>
          </w:p>
        </w:tc>
        <w:tc>
          <w:tcPr>
            <w:tcW w:w="1200" w:type="dxa"/>
            <w:vAlign w:val="bottom"/>
            <w:gridSpan w:val="2"/>
          </w:tcPr>
          <w:p>
            <w:pPr>
              <w:jc w:val="center"/>
              <w:ind w:right="540"/>
              <w:spacing w:after="0" w:line="135" w:lineRule="exact"/>
              <w:rPr>
                <w:sz w:val="20"/>
                <w:szCs w:val="20"/>
                <w:color w:val="auto"/>
              </w:rPr>
            </w:pPr>
            <w:r>
              <w:rPr>
                <w:rFonts w:ascii="Arial" w:cs="Arial" w:eastAsia="Arial" w:hAnsi="Arial"/>
                <w:sz w:val="13"/>
                <w:szCs w:val="13"/>
                <w:b w:val="1"/>
                <w:bCs w:val="1"/>
                <w:color w:val="auto"/>
              </w:rPr>
              <w:t>Non-</w:t>
            </w:r>
          </w:p>
        </w:tc>
        <w:tc>
          <w:tcPr>
            <w:tcW w:w="140" w:type="dxa"/>
            <w:vAlign w:val="bottom"/>
          </w:tcPr>
          <w:p>
            <w:pPr>
              <w:spacing w:after="0"/>
              <w:rPr>
                <w:sz w:val="11"/>
                <w:szCs w:val="11"/>
                <w:color w:val="auto"/>
              </w:rPr>
            </w:pPr>
          </w:p>
        </w:tc>
        <w:tc>
          <w:tcPr>
            <w:tcW w:w="88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4"/>
              </w:rPr>
              <w:t>Reported</w:t>
            </w:r>
          </w:p>
        </w:tc>
        <w:tc>
          <w:tcPr>
            <w:tcW w:w="160" w:type="dxa"/>
            <w:vAlign w:val="bottom"/>
          </w:tcPr>
          <w:p>
            <w:pPr>
              <w:spacing w:after="0"/>
              <w:rPr>
                <w:sz w:val="11"/>
                <w:szCs w:val="11"/>
                <w:color w:val="auto"/>
              </w:rPr>
            </w:pPr>
          </w:p>
        </w:tc>
        <w:tc>
          <w:tcPr>
            <w:tcW w:w="86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96"/>
              </w:rPr>
              <w:t>Effect of</w:t>
            </w:r>
          </w:p>
        </w:tc>
        <w:tc>
          <w:tcPr>
            <w:tcW w:w="92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7"/>
              </w:rPr>
              <w:t>As Adjusted</w:t>
            </w:r>
          </w:p>
        </w:tc>
        <w:tc>
          <w:tcPr>
            <w:tcW w:w="0" w:type="dxa"/>
            <w:vAlign w:val="bottom"/>
          </w:tcPr>
          <w:p>
            <w:pPr>
              <w:spacing w:after="0"/>
              <w:rPr>
                <w:sz w:val="1"/>
                <w:szCs w:val="1"/>
                <w:color w:val="auto"/>
              </w:rPr>
            </w:pPr>
          </w:p>
        </w:tc>
      </w:tr>
      <w:tr>
        <w:trPr>
          <w:trHeight w:val="178"/>
        </w:trPr>
        <w:tc>
          <w:tcPr>
            <w:tcW w:w="39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77"/>
              <w:spacing w:after="0"/>
              <w:rPr>
                <w:sz w:val="20"/>
                <w:szCs w:val="20"/>
                <w:color w:val="auto"/>
              </w:rPr>
            </w:pPr>
            <w:r>
              <w:rPr>
                <w:rFonts w:ascii="Arial" w:cs="Arial" w:eastAsia="Arial" w:hAnsi="Arial"/>
                <w:sz w:val="13"/>
                <w:szCs w:val="13"/>
                <w:b w:val="1"/>
                <w:bCs w:val="1"/>
                <w:color w:val="auto"/>
                <w:w w:val="95"/>
              </w:rPr>
              <w:t>Guarantor</w:t>
            </w: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97"/>
              <w:spacing w:after="0"/>
              <w:rPr>
                <w:sz w:val="20"/>
                <w:szCs w:val="20"/>
                <w:color w:val="auto"/>
              </w:rPr>
            </w:pPr>
            <w:r>
              <w:rPr>
                <w:rFonts w:ascii="Arial" w:cs="Arial" w:eastAsia="Arial" w:hAnsi="Arial"/>
                <w:sz w:val="13"/>
                <w:szCs w:val="13"/>
                <w:b w:val="1"/>
                <w:bCs w:val="1"/>
                <w:color w:val="auto"/>
              </w:rPr>
              <w:t>Change</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b w:val="1"/>
                <w:bCs w:val="1"/>
                <w:color w:val="auto"/>
                <w:w w:val="98"/>
              </w:rPr>
              <w:t>Guarantor</w:t>
            </w:r>
          </w:p>
        </w:tc>
        <w:tc>
          <w:tcPr>
            <w:tcW w:w="4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97"/>
              <w:spacing w:after="0"/>
              <w:rPr>
                <w:sz w:val="20"/>
                <w:szCs w:val="20"/>
                <w:color w:val="auto"/>
              </w:rPr>
            </w:pPr>
            <w:r>
              <w:rPr>
                <w:rFonts w:ascii="Arial" w:cs="Arial" w:eastAsia="Arial" w:hAnsi="Arial"/>
                <w:sz w:val="13"/>
                <w:szCs w:val="13"/>
                <w:b w:val="1"/>
                <w:bCs w:val="1"/>
                <w:color w:val="auto"/>
                <w:w w:val="96"/>
              </w:rPr>
              <w:t>Total</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117"/>
              <w:spacing w:after="0"/>
              <w:rPr>
                <w:sz w:val="20"/>
                <w:szCs w:val="20"/>
                <w:color w:val="auto"/>
              </w:rPr>
            </w:pPr>
            <w:r>
              <w:rPr>
                <w:rFonts w:ascii="Arial" w:cs="Arial" w:eastAsia="Arial" w:hAnsi="Arial"/>
                <w:sz w:val="13"/>
                <w:szCs w:val="13"/>
                <w:b w:val="1"/>
                <w:bCs w:val="1"/>
                <w:color w:val="auto"/>
                <w:w w:val="96"/>
              </w:rPr>
              <w:t>Change</w:t>
            </w: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ind w:right="137"/>
              <w:spacing w:after="0"/>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60"/>
        </w:trPr>
        <w:tc>
          <w:tcPr>
            <w:tcW w:w="3900" w:type="dxa"/>
            <w:vAlign w:val="bottom"/>
          </w:tcPr>
          <w:p>
            <w:pPr>
              <w:spacing w:after="0"/>
              <w:rPr>
                <w:sz w:val="20"/>
                <w:szCs w:val="20"/>
                <w:color w:val="auto"/>
              </w:rPr>
            </w:pPr>
            <w:r>
              <w:rPr>
                <w:rFonts w:ascii="Arial" w:cs="Arial" w:eastAsia="Arial" w:hAnsi="Arial"/>
                <w:sz w:val="13"/>
                <w:szCs w:val="13"/>
                <w:color w:val="auto"/>
              </w:rPr>
              <w:t>Decrease in program cash</w:t>
            </w:r>
          </w:p>
        </w:tc>
        <w:tc>
          <w:tcPr>
            <w:tcW w:w="140" w:type="dxa"/>
            <w:vAlign w:val="bottom"/>
            <w:vMerge w:val="restart"/>
          </w:tcPr>
          <w:p>
            <w:pPr>
              <w:ind w:left="20"/>
              <w:spacing w:after="0"/>
              <w:rPr>
                <w:sz w:val="20"/>
                <w:szCs w:val="20"/>
                <w:color w:val="auto"/>
              </w:rPr>
            </w:pPr>
            <w:r>
              <w:rPr>
                <w:rFonts w:ascii="Arial" w:cs="Arial" w:eastAsia="Arial" w:hAnsi="Arial"/>
                <w:sz w:val="13"/>
                <w:szCs w:val="13"/>
                <w:color w:val="auto"/>
              </w:rPr>
              <w:t>$</w:t>
            </w:r>
          </w:p>
        </w:tc>
        <w:tc>
          <w:tcPr>
            <w:tcW w:w="820" w:type="dxa"/>
            <w:vAlign w:val="bottom"/>
            <w:vMerge w:val="restart"/>
          </w:tcPr>
          <w:p>
            <w:pPr>
              <w:jc w:val="right"/>
              <w:ind w:right="37"/>
              <w:spacing w:after="0"/>
              <w:rPr>
                <w:sz w:val="20"/>
                <w:szCs w:val="20"/>
                <w:color w:val="auto"/>
              </w:rPr>
            </w:pPr>
            <w:r>
              <w:rPr>
                <w:rFonts w:ascii="Arial" w:cs="Arial" w:eastAsia="Arial" w:hAnsi="Arial"/>
                <w:sz w:val="13"/>
                <w:szCs w:val="13"/>
                <w:color w:val="auto"/>
              </w:rPr>
              <w:t>31</w:t>
            </w:r>
          </w:p>
        </w:tc>
        <w:tc>
          <w:tcPr>
            <w:tcW w:w="120" w:type="dxa"/>
            <w:vAlign w:val="bottom"/>
          </w:tcPr>
          <w:p>
            <w:pPr>
              <w:spacing w:after="0"/>
              <w:rPr>
                <w:sz w:val="13"/>
                <w:szCs w:val="13"/>
                <w:color w:val="auto"/>
              </w:rPr>
            </w:pPr>
          </w:p>
        </w:tc>
        <w:tc>
          <w:tcPr>
            <w:tcW w:w="1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(31)</w:t>
            </w:r>
          </w:p>
        </w:tc>
        <w:tc>
          <w:tcPr>
            <w:tcW w:w="100" w:type="dxa"/>
            <w:vAlign w:val="bottom"/>
          </w:tcPr>
          <w:p>
            <w:pPr>
              <w:spacing w:after="0"/>
              <w:rPr>
                <w:sz w:val="13"/>
                <w:szCs w:val="13"/>
                <w:color w:val="auto"/>
              </w:rPr>
            </w:pPr>
          </w:p>
        </w:tc>
        <w:tc>
          <w:tcPr>
            <w:tcW w:w="1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200" w:type="dxa"/>
            <w:vAlign w:val="bottom"/>
            <w:gridSpan w:val="2"/>
            <w:vMerge w:val="restart"/>
          </w:tcPr>
          <w:p>
            <w:pPr>
              <w:jc w:val="right"/>
              <w:ind w:right="500"/>
              <w:spacing w:after="0"/>
              <w:rPr>
                <w:sz w:val="20"/>
                <w:szCs w:val="20"/>
                <w:color w:val="auto"/>
              </w:rPr>
            </w:pPr>
            <w:r>
              <w:rPr>
                <w:rFonts w:ascii="Arial" w:cs="Arial" w:eastAsia="Arial" w:hAnsi="Arial"/>
                <w:sz w:val="13"/>
                <w:szCs w:val="13"/>
                <w:color w:val="auto"/>
              </w:rPr>
              <w:t>—</w:t>
            </w:r>
          </w:p>
        </w:tc>
        <w:tc>
          <w:tcPr>
            <w:tcW w:w="140" w:type="dxa"/>
            <w:vAlign w:val="bottom"/>
            <w:vMerge w:val="restart"/>
          </w:tcPr>
          <w:p>
            <w:pPr>
              <w:ind w:left="20"/>
              <w:spacing w:after="0"/>
              <w:rPr>
                <w:sz w:val="20"/>
                <w:szCs w:val="20"/>
                <w:color w:val="auto"/>
              </w:rPr>
            </w:pPr>
            <w:r>
              <w:rPr>
                <w:rFonts w:ascii="Arial" w:cs="Arial" w:eastAsia="Arial" w:hAnsi="Arial"/>
                <w:sz w:val="13"/>
                <w:szCs w:val="13"/>
                <w:color w:val="auto"/>
              </w:rPr>
              <w:t>$</w:t>
            </w:r>
          </w:p>
        </w:tc>
        <w:tc>
          <w:tcPr>
            <w:tcW w:w="780" w:type="dxa"/>
            <w:vAlign w:val="bottom"/>
            <w:vMerge w:val="restart"/>
          </w:tcPr>
          <w:p>
            <w:pPr>
              <w:jc w:val="right"/>
              <w:ind w:right="37"/>
              <w:spacing w:after="0"/>
              <w:rPr>
                <w:sz w:val="20"/>
                <w:szCs w:val="20"/>
                <w:color w:val="auto"/>
              </w:rPr>
            </w:pPr>
            <w:r>
              <w:rPr>
                <w:rFonts w:ascii="Arial" w:cs="Arial" w:eastAsia="Arial" w:hAnsi="Arial"/>
                <w:sz w:val="13"/>
                <w:szCs w:val="13"/>
                <w:color w:val="auto"/>
              </w:rPr>
              <w:t>31</w:t>
            </w:r>
          </w:p>
        </w:tc>
        <w:tc>
          <w:tcPr>
            <w:tcW w:w="100" w:type="dxa"/>
            <w:vAlign w:val="bottom"/>
          </w:tcPr>
          <w:p>
            <w:pPr>
              <w:spacing w:after="0"/>
              <w:rPr>
                <w:sz w:val="13"/>
                <w:szCs w:val="13"/>
                <w:color w:val="auto"/>
              </w:rPr>
            </w:pPr>
          </w:p>
        </w:tc>
        <w:tc>
          <w:tcPr>
            <w:tcW w:w="1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(31)</w:t>
            </w:r>
          </w:p>
        </w:tc>
        <w:tc>
          <w:tcPr>
            <w:tcW w:w="100" w:type="dxa"/>
            <w:vAlign w:val="bottom"/>
          </w:tcPr>
          <w:p>
            <w:pPr>
              <w:spacing w:after="0"/>
              <w:rPr>
                <w:sz w:val="13"/>
                <w:szCs w:val="13"/>
                <w:color w:val="auto"/>
              </w:rPr>
            </w:pPr>
          </w:p>
        </w:tc>
        <w:tc>
          <w:tcPr>
            <w:tcW w:w="200" w:type="dxa"/>
            <w:vAlign w:val="bottom"/>
            <w:vMerge w:val="restart"/>
          </w:tcPr>
          <w:p>
            <w:pPr>
              <w:jc w:val="right"/>
              <w:ind w:right="37"/>
              <w:spacing w:after="0"/>
              <w:rPr>
                <w:sz w:val="20"/>
                <w:szCs w:val="20"/>
                <w:color w:val="auto"/>
              </w:rPr>
            </w:pPr>
            <w:r>
              <w:rPr>
                <w:rFonts w:ascii="Arial" w:cs="Arial" w:eastAsia="Arial" w:hAnsi="Arial"/>
                <w:sz w:val="13"/>
                <w:szCs w:val="13"/>
                <w:color w:val="auto"/>
              </w:rPr>
              <w:t>$</w:t>
            </w:r>
          </w:p>
        </w:tc>
        <w:tc>
          <w:tcPr>
            <w:tcW w:w="720" w:type="dxa"/>
            <w:vAlign w:val="bottom"/>
            <w:vMerge w:val="restart"/>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81"/>
        </w:trPr>
        <w:tc>
          <w:tcPr>
            <w:tcW w:w="3900" w:type="dxa"/>
            <w:vAlign w:val="bottom"/>
          </w:tcPr>
          <w:p>
            <w:pPr>
              <w:spacing w:after="0"/>
              <w:rPr>
                <w:sz w:val="7"/>
                <w:szCs w:val="7"/>
                <w:color w:val="auto"/>
              </w:rPr>
            </w:pPr>
          </w:p>
        </w:tc>
        <w:tc>
          <w:tcPr>
            <w:tcW w:w="14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vMerge w:val="continue"/>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14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3900" w:type="dxa"/>
            <w:vAlign w:val="bottom"/>
          </w:tcPr>
          <w:p>
            <w:pPr>
              <w:spacing w:after="0"/>
              <w:rPr>
                <w:sz w:val="20"/>
                <w:szCs w:val="20"/>
                <w:color w:val="auto"/>
              </w:rPr>
            </w:pPr>
            <w:r>
              <w:rPr>
                <w:rFonts w:ascii="Arial" w:cs="Arial" w:eastAsia="Arial" w:hAnsi="Arial"/>
                <w:sz w:val="13"/>
                <w:szCs w:val="13"/>
                <w:color w:val="auto"/>
              </w:rPr>
              <w:t>Other, net</w:t>
            </w:r>
          </w:p>
        </w:tc>
        <w:tc>
          <w:tcPr>
            <w:tcW w:w="140" w:type="dxa"/>
            <w:vAlign w:val="bottom"/>
          </w:tcPr>
          <w:p>
            <w:pPr>
              <w:spacing w:after="0"/>
              <w:rPr>
                <w:sz w:val="16"/>
                <w:szCs w:val="16"/>
                <w:color w:val="auto"/>
              </w:rPr>
            </w:pPr>
          </w:p>
        </w:tc>
        <w:tc>
          <w:tcPr>
            <w:tcW w:w="820" w:type="dxa"/>
            <w:vAlign w:val="bottom"/>
            <w:vMerge w:val="restart"/>
          </w:tcPr>
          <w:p>
            <w:pPr>
              <w:jc w:val="right"/>
              <w:ind w:right="37"/>
              <w:spacing w:after="0"/>
              <w:rPr>
                <w:sz w:val="20"/>
                <w:szCs w:val="20"/>
                <w:color w:val="auto"/>
              </w:rPr>
            </w:pPr>
            <w:r>
              <w:rPr>
                <w:rFonts w:ascii="Arial" w:cs="Arial" w:eastAsia="Arial" w:hAnsi="Arial"/>
                <w:sz w:val="13"/>
                <w:szCs w:val="13"/>
                <w:color w:val="auto"/>
              </w:rPr>
              <w:t>4</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vMerge w:val="restart"/>
          </w:tcPr>
          <w:p>
            <w:pPr>
              <w:jc w:val="right"/>
              <w:ind w:right="17"/>
              <w:spacing w:after="0"/>
              <w:rPr>
                <w:sz w:val="20"/>
                <w:szCs w:val="20"/>
                <w:color w:val="auto"/>
              </w:rPr>
            </w:pPr>
            <w:r>
              <w:rPr>
                <w:rFonts w:ascii="Arial" w:cs="Arial" w:eastAsia="Arial" w:hAnsi="Arial"/>
                <w:sz w:val="13"/>
                <w:szCs w:val="13"/>
                <w:color w:val="auto"/>
              </w:rPr>
              <w:t>2</w:t>
            </w: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vMerge w:val="restart"/>
          </w:tcPr>
          <w:p>
            <w:pPr>
              <w:jc w:val="right"/>
              <w:ind w:right="37"/>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vMerge w:val="restart"/>
          </w:tcPr>
          <w:p>
            <w:pPr>
              <w:jc w:val="right"/>
              <w:ind w:right="37"/>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81"/>
        </w:trPr>
        <w:tc>
          <w:tcPr>
            <w:tcW w:w="3900" w:type="dxa"/>
            <w:vAlign w:val="bottom"/>
          </w:tcPr>
          <w:p>
            <w:pPr>
              <w:spacing w:after="0"/>
              <w:rPr>
                <w:sz w:val="7"/>
                <w:szCs w:val="7"/>
                <w:color w:val="auto"/>
              </w:rPr>
            </w:pPr>
          </w:p>
        </w:tc>
        <w:tc>
          <w:tcPr>
            <w:tcW w:w="14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420" w:type="dxa"/>
            <w:vAlign w:val="bottom"/>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3900" w:type="dxa"/>
            <w:vAlign w:val="bottom"/>
          </w:tcPr>
          <w:p>
            <w:pPr>
              <w:spacing w:after="0"/>
              <w:rPr>
                <w:sz w:val="20"/>
                <w:szCs w:val="20"/>
                <w:color w:val="auto"/>
              </w:rPr>
            </w:pPr>
            <w:r>
              <w:rPr>
                <w:rFonts w:ascii="Arial" w:cs="Arial" w:eastAsia="Arial" w:hAnsi="Arial"/>
                <w:sz w:val="13"/>
                <w:szCs w:val="13"/>
                <w:b w:val="1"/>
                <w:bCs w:val="1"/>
                <w:color w:val="auto"/>
              </w:rPr>
              <w:t>Net cash used in investing activities</w:t>
            </w:r>
          </w:p>
        </w:tc>
        <w:tc>
          <w:tcPr>
            <w:tcW w:w="140" w:type="dxa"/>
            <w:vAlign w:val="bottom"/>
          </w:tcPr>
          <w:p>
            <w:pPr>
              <w:spacing w:after="0"/>
              <w:rPr>
                <w:sz w:val="16"/>
                <w:szCs w:val="16"/>
                <w:color w:val="auto"/>
              </w:rPr>
            </w:pPr>
          </w:p>
        </w:tc>
        <w:tc>
          <w:tcPr>
            <w:tcW w:w="820" w:type="dxa"/>
            <w:vAlign w:val="bottom"/>
            <w:vMerge w:val="restart"/>
          </w:tcPr>
          <w:p>
            <w:pPr>
              <w:jc w:val="right"/>
              <w:spacing w:after="0"/>
              <w:rPr>
                <w:sz w:val="20"/>
                <w:szCs w:val="20"/>
                <w:color w:val="auto"/>
              </w:rPr>
            </w:pPr>
            <w:r>
              <w:rPr>
                <w:rFonts w:ascii="Arial" w:cs="Arial" w:eastAsia="Arial" w:hAnsi="Arial"/>
                <w:sz w:val="13"/>
                <w:szCs w:val="13"/>
                <w:color w:val="auto"/>
              </w:rPr>
              <w:t>(2,368)</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(33)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vMerge w:val="restart"/>
          </w:tcPr>
          <w:p>
            <w:pPr>
              <w:jc w:val="right"/>
              <w:spacing w:after="0"/>
              <w:rPr>
                <w:sz w:val="20"/>
                <w:szCs w:val="20"/>
                <w:color w:val="auto"/>
              </w:rPr>
            </w:pPr>
            <w:r>
              <w:rPr>
                <w:rFonts w:ascii="Arial" w:cs="Arial" w:eastAsia="Arial" w:hAnsi="Arial"/>
                <w:sz w:val="13"/>
                <w:szCs w:val="13"/>
                <w:color w:val="auto"/>
              </w:rPr>
              <w:t>(2,401)</w:t>
            </w: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vMerge w:val="restart"/>
          </w:tcPr>
          <w:p>
            <w:pPr>
              <w:jc w:val="right"/>
              <w:spacing w:after="0"/>
              <w:rPr>
                <w:sz w:val="20"/>
                <w:szCs w:val="20"/>
                <w:color w:val="auto"/>
              </w:rPr>
            </w:pPr>
            <w:r>
              <w:rPr>
                <w:rFonts w:ascii="Arial" w:cs="Arial" w:eastAsia="Arial" w:hAnsi="Arial"/>
                <w:sz w:val="13"/>
                <w:szCs w:val="13"/>
                <w:color w:val="auto"/>
              </w:rPr>
              <w:t>(2,149)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(33)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vMerge w:val="restart"/>
          </w:tcPr>
          <w:p>
            <w:pPr>
              <w:jc w:val="right"/>
              <w:spacing w:after="0"/>
              <w:rPr>
                <w:sz w:val="20"/>
                <w:szCs w:val="20"/>
                <w:color w:val="auto"/>
              </w:rPr>
            </w:pPr>
            <w:r>
              <w:rPr>
                <w:rFonts w:ascii="Arial" w:cs="Arial" w:eastAsia="Arial" w:hAnsi="Arial"/>
                <w:sz w:val="13"/>
                <w:szCs w:val="13"/>
                <w:color w:val="auto"/>
              </w:rPr>
              <w:t>(2,182)</w:t>
            </w:r>
          </w:p>
        </w:tc>
        <w:tc>
          <w:tcPr>
            <w:tcW w:w="0" w:type="dxa"/>
            <w:vAlign w:val="bottom"/>
          </w:tcPr>
          <w:p>
            <w:pPr>
              <w:spacing w:after="0"/>
              <w:rPr>
                <w:sz w:val="1"/>
                <w:szCs w:val="1"/>
                <w:color w:val="auto"/>
              </w:rPr>
            </w:pPr>
          </w:p>
        </w:tc>
      </w:tr>
      <w:tr>
        <w:trPr>
          <w:trHeight w:val="81"/>
        </w:trPr>
        <w:tc>
          <w:tcPr>
            <w:tcW w:w="3900" w:type="dxa"/>
            <w:vAlign w:val="bottom"/>
          </w:tcPr>
          <w:p>
            <w:pPr>
              <w:spacing w:after="0"/>
              <w:rPr>
                <w:sz w:val="7"/>
                <w:szCs w:val="7"/>
                <w:color w:val="auto"/>
              </w:rPr>
            </w:pPr>
          </w:p>
        </w:tc>
        <w:tc>
          <w:tcPr>
            <w:tcW w:w="14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420" w:type="dxa"/>
            <w:vAlign w:val="bottom"/>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42"/>
        </w:trPr>
        <w:tc>
          <w:tcPr>
            <w:tcW w:w="3900" w:type="dxa"/>
            <w:vAlign w:val="bottom"/>
          </w:tcPr>
          <w:p>
            <w:pPr>
              <w:spacing w:after="0"/>
              <w:rPr>
                <w:sz w:val="20"/>
                <w:szCs w:val="20"/>
                <w:color w:val="auto"/>
              </w:rPr>
            </w:pPr>
            <w:r>
              <w:rPr>
                <w:rFonts w:ascii="Arial" w:cs="Arial" w:eastAsia="Arial" w:hAnsi="Arial"/>
                <w:sz w:val="13"/>
                <w:szCs w:val="13"/>
                <w:color w:val="auto"/>
              </w:rPr>
              <w:t>Effect of changes in exchange rates on cash and cash equivalents,</w:t>
            </w: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3900" w:type="dxa"/>
            <w:vAlign w:val="bottom"/>
          </w:tcPr>
          <w:p>
            <w:pPr>
              <w:ind w:left="160"/>
              <w:spacing w:after="0"/>
              <w:rPr>
                <w:sz w:val="20"/>
                <w:szCs w:val="20"/>
                <w:color w:val="auto"/>
              </w:rPr>
            </w:pPr>
            <w:r>
              <w:rPr>
                <w:rFonts w:ascii="Arial" w:cs="Arial" w:eastAsia="Arial" w:hAnsi="Arial"/>
                <w:sz w:val="13"/>
                <w:szCs w:val="13"/>
                <w:color w:val="auto"/>
              </w:rPr>
              <w:t>program and restricted cash</w:t>
            </w:r>
          </w:p>
        </w:tc>
        <w:tc>
          <w:tcPr>
            <w:tcW w:w="14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Arial" w:cs="Arial" w:eastAsia="Arial" w:hAnsi="Arial"/>
                <w:sz w:val="13"/>
                <w:szCs w:val="13"/>
                <w:color w:val="auto"/>
              </w:rPr>
              <w:t>(4)</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Arial" w:cs="Arial" w:eastAsia="Arial" w:hAnsi="Arial"/>
                <w:sz w:val="13"/>
                <w:szCs w:val="13"/>
                <w:color w:val="auto"/>
              </w:rPr>
              <w:t>(6)</w:t>
            </w: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Arial" w:cs="Arial" w:eastAsia="Arial" w:hAnsi="Arial"/>
                <w:sz w:val="13"/>
                <w:szCs w:val="13"/>
                <w:color w:val="auto"/>
              </w:rPr>
              <w:t>(4)</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Arial" w:cs="Arial" w:eastAsia="Arial" w:hAnsi="Arial"/>
                <w:sz w:val="13"/>
                <w:szCs w:val="13"/>
                <w:color w:val="auto"/>
              </w:rPr>
              <w:t>(6)</w:t>
            </w:r>
          </w:p>
        </w:tc>
        <w:tc>
          <w:tcPr>
            <w:tcW w:w="0" w:type="dxa"/>
            <w:vAlign w:val="bottom"/>
          </w:tcPr>
          <w:p>
            <w:pPr>
              <w:spacing w:after="0"/>
              <w:rPr>
                <w:sz w:val="1"/>
                <w:szCs w:val="1"/>
                <w:color w:val="auto"/>
              </w:rPr>
            </w:pPr>
          </w:p>
        </w:tc>
      </w:tr>
      <w:tr>
        <w:trPr>
          <w:trHeight w:val="135"/>
        </w:trPr>
        <w:tc>
          <w:tcPr>
            <w:tcW w:w="3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442"/>
        </w:trPr>
        <w:tc>
          <w:tcPr>
            <w:tcW w:w="3900" w:type="dxa"/>
            <w:vAlign w:val="bottom"/>
          </w:tcPr>
          <w:p>
            <w:pPr>
              <w:spacing w:after="0"/>
              <w:rPr>
                <w:sz w:val="20"/>
                <w:szCs w:val="20"/>
                <w:color w:val="auto"/>
              </w:rPr>
            </w:pPr>
            <w:r>
              <w:rPr>
                <w:rFonts w:ascii="Arial" w:cs="Arial" w:eastAsia="Arial" w:hAnsi="Arial"/>
                <w:sz w:val="13"/>
                <w:szCs w:val="13"/>
                <w:color w:val="auto"/>
              </w:rPr>
              <w:t>Net increase in cash and cash equivalents, program and restricted</w:t>
            </w: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3900" w:type="dxa"/>
            <w:vAlign w:val="bottom"/>
          </w:tcPr>
          <w:p>
            <w:pPr>
              <w:ind w:left="160"/>
              <w:spacing w:after="0"/>
              <w:rPr>
                <w:sz w:val="20"/>
                <w:szCs w:val="20"/>
                <w:color w:val="auto"/>
              </w:rPr>
            </w:pPr>
            <w:r>
              <w:rPr>
                <w:rFonts w:ascii="Arial" w:cs="Arial" w:eastAsia="Arial" w:hAnsi="Arial"/>
                <w:sz w:val="13"/>
                <w:szCs w:val="13"/>
                <w:color w:val="auto"/>
              </w:rPr>
              <w:t>cash</w:t>
            </w:r>
          </w:p>
        </w:tc>
        <w:tc>
          <w:tcPr>
            <w:tcW w:w="140" w:type="dxa"/>
            <w:vAlign w:val="bottom"/>
          </w:tcPr>
          <w:p>
            <w:pPr>
              <w:spacing w:after="0"/>
              <w:rPr>
                <w:sz w:val="13"/>
                <w:szCs w:val="13"/>
                <w:color w:val="auto"/>
              </w:rPr>
            </w:pPr>
          </w:p>
        </w:tc>
        <w:tc>
          <w:tcPr>
            <w:tcW w:w="820" w:type="dxa"/>
            <w:vAlign w:val="bottom"/>
          </w:tcPr>
          <w:p>
            <w:pPr>
              <w:jc w:val="right"/>
              <w:ind w:right="37"/>
              <w:spacing w:after="0"/>
              <w:rPr>
                <w:sz w:val="20"/>
                <w:szCs w:val="20"/>
                <w:color w:val="auto"/>
              </w:rPr>
            </w:pPr>
            <w:r>
              <w:rPr>
                <w:rFonts w:ascii="Arial" w:cs="Arial" w:eastAsia="Arial" w:hAnsi="Arial"/>
                <w:sz w:val="13"/>
                <w:szCs w:val="13"/>
                <w:color w:val="auto"/>
              </w:rPr>
              <w:t>97</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(35)</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jc w:val="right"/>
              <w:ind w:right="17"/>
              <w:spacing w:after="0"/>
              <w:rPr>
                <w:sz w:val="20"/>
                <w:szCs w:val="20"/>
                <w:color w:val="auto"/>
              </w:rPr>
            </w:pPr>
            <w:r>
              <w:rPr>
                <w:rFonts w:ascii="Arial" w:cs="Arial" w:eastAsia="Arial" w:hAnsi="Arial"/>
                <w:sz w:val="13"/>
                <w:szCs w:val="13"/>
                <w:color w:val="auto"/>
              </w:rPr>
              <w:t>62</w:t>
            </w: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38</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(35)</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ind w:right="37"/>
              <w:spacing w:after="0"/>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172"/>
        </w:trPr>
        <w:tc>
          <w:tcPr>
            <w:tcW w:w="3900" w:type="dxa"/>
            <w:vAlign w:val="bottom"/>
          </w:tcPr>
          <w:p>
            <w:pPr>
              <w:spacing w:after="0"/>
              <w:rPr>
                <w:sz w:val="20"/>
                <w:szCs w:val="20"/>
                <w:color w:val="auto"/>
              </w:rPr>
            </w:pPr>
            <w:r>
              <w:rPr>
                <w:rFonts w:ascii="Arial" w:cs="Arial" w:eastAsia="Arial" w:hAnsi="Arial"/>
                <w:sz w:val="13"/>
                <w:szCs w:val="13"/>
                <w:color w:val="auto"/>
                <w:w w:val="99"/>
              </w:rPr>
              <w:t>Cash and cash equivalents, program and restricted cash, beginning</w:t>
            </w: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3900" w:type="dxa"/>
            <w:vAlign w:val="bottom"/>
          </w:tcPr>
          <w:p>
            <w:pPr>
              <w:ind w:left="160"/>
              <w:spacing w:after="0"/>
              <w:rPr>
                <w:sz w:val="20"/>
                <w:szCs w:val="20"/>
                <w:color w:val="auto"/>
              </w:rPr>
            </w:pPr>
            <w:r>
              <w:rPr>
                <w:rFonts w:ascii="Arial" w:cs="Arial" w:eastAsia="Arial" w:hAnsi="Arial"/>
                <w:sz w:val="13"/>
                <w:szCs w:val="13"/>
                <w:color w:val="auto"/>
              </w:rPr>
              <w:t>of period</w:t>
            </w:r>
          </w:p>
        </w:tc>
        <w:tc>
          <w:tcPr>
            <w:tcW w:w="140" w:type="dxa"/>
            <w:vAlign w:val="bottom"/>
          </w:tcPr>
          <w:p>
            <w:pPr>
              <w:spacing w:after="0"/>
              <w:rPr>
                <w:sz w:val="13"/>
                <w:szCs w:val="13"/>
                <w:color w:val="auto"/>
              </w:rPr>
            </w:pPr>
          </w:p>
        </w:tc>
        <w:tc>
          <w:tcPr>
            <w:tcW w:w="820" w:type="dxa"/>
            <w:vAlign w:val="bottom"/>
            <w:vMerge w:val="restart"/>
          </w:tcPr>
          <w:p>
            <w:pPr>
              <w:jc w:val="right"/>
              <w:ind w:right="37"/>
              <w:spacing w:after="0"/>
              <w:rPr>
                <w:sz w:val="20"/>
                <w:szCs w:val="20"/>
                <w:color w:val="auto"/>
              </w:rPr>
            </w:pPr>
            <w:r>
              <w:rPr>
                <w:rFonts w:ascii="Arial" w:cs="Arial" w:eastAsia="Arial" w:hAnsi="Arial"/>
                <w:sz w:val="13"/>
                <w:szCs w:val="13"/>
                <w:color w:val="auto"/>
              </w:rPr>
              <w:t>378</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vMerge w:val="restart"/>
          </w:tcPr>
          <w:p>
            <w:pPr>
              <w:jc w:val="right"/>
              <w:ind w:right="37"/>
              <w:spacing w:after="0"/>
              <w:rPr>
                <w:sz w:val="20"/>
                <w:szCs w:val="20"/>
                <w:color w:val="auto"/>
              </w:rPr>
            </w:pPr>
            <w:r>
              <w:rPr>
                <w:rFonts w:ascii="Arial" w:cs="Arial" w:eastAsia="Arial" w:hAnsi="Arial"/>
                <w:sz w:val="13"/>
                <w:szCs w:val="13"/>
                <w:color w:val="auto"/>
              </w:rPr>
              <w:t>265</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vMerge w:val="restart"/>
          </w:tcPr>
          <w:p>
            <w:pPr>
              <w:jc w:val="right"/>
              <w:ind w:right="17"/>
              <w:spacing w:after="0"/>
              <w:rPr>
                <w:sz w:val="20"/>
                <w:szCs w:val="20"/>
                <w:color w:val="auto"/>
              </w:rPr>
            </w:pPr>
            <w:r>
              <w:rPr>
                <w:rFonts w:ascii="Arial" w:cs="Arial" w:eastAsia="Arial" w:hAnsi="Arial"/>
                <w:sz w:val="13"/>
                <w:szCs w:val="13"/>
                <w:color w:val="auto"/>
              </w:rPr>
              <w:t>643</w:t>
            </w: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vMerge w:val="restart"/>
          </w:tcPr>
          <w:p>
            <w:pPr>
              <w:jc w:val="right"/>
              <w:ind w:right="37"/>
              <w:spacing w:after="0"/>
              <w:rPr>
                <w:sz w:val="20"/>
                <w:szCs w:val="20"/>
                <w:color w:val="auto"/>
              </w:rPr>
            </w:pPr>
            <w:r>
              <w:rPr>
                <w:rFonts w:ascii="Arial" w:cs="Arial" w:eastAsia="Arial" w:hAnsi="Arial"/>
                <w:sz w:val="13"/>
                <w:szCs w:val="13"/>
                <w:color w:val="auto"/>
              </w:rPr>
              <w:t>452</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vMerge w:val="restart"/>
          </w:tcPr>
          <w:p>
            <w:pPr>
              <w:jc w:val="right"/>
              <w:ind w:right="37"/>
              <w:spacing w:after="0"/>
              <w:rPr>
                <w:sz w:val="20"/>
                <w:szCs w:val="20"/>
                <w:color w:val="auto"/>
              </w:rPr>
            </w:pPr>
            <w:r>
              <w:rPr>
                <w:rFonts w:ascii="Arial" w:cs="Arial" w:eastAsia="Arial" w:hAnsi="Arial"/>
                <w:sz w:val="13"/>
                <w:szCs w:val="13"/>
                <w:color w:val="auto"/>
              </w:rPr>
              <w:t>265</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vMerge w:val="restart"/>
          </w:tcPr>
          <w:p>
            <w:pPr>
              <w:jc w:val="right"/>
              <w:ind w:right="37"/>
              <w:spacing w:after="0"/>
              <w:rPr>
                <w:sz w:val="20"/>
                <w:szCs w:val="20"/>
                <w:color w:val="auto"/>
              </w:rPr>
            </w:pPr>
            <w:r>
              <w:rPr>
                <w:rFonts w:ascii="Arial" w:cs="Arial" w:eastAsia="Arial" w:hAnsi="Arial"/>
                <w:sz w:val="13"/>
                <w:szCs w:val="13"/>
                <w:color w:val="auto"/>
              </w:rPr>
              <w:t>717</w:t>
            </w:r>
          </w:p>
        </w:tc>
        <w:tc>
          <w:tcPr>
            <w:tcW w:w="0" w:type="dxa"/>
            <w:vAlign w:val="bottom"/>
          </w:tcPr>
          <w:p>
            <w:pPr>
              <w:spacing w:after="0"/>
              <w:rPr>
                <w:sz w:val="1"/>
                <w:szCs w:val="1"/>
                <w:color w:val="auto"/>
              </w:rPr>
            </w:pPr>
          </w:p>
        </w:tc>
      </w:tr>
      <w:tr>
        <w:trPr>
          <w:trHeight w:val="145"/>
        </w:trPr>
        <w:tc>
          <w:tcPr>
            <w:tcW w:w="39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vMerge w:val="continue"/>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vMerge w:val="continue"/>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3900" w:type="dxa"/>
            <w:vAlign w:val="bottom"/>
          </w:tcPr>
          <w:p>
            <w:pPr>
              <w:spacing w:after="0" w:line="127" w:lineRule="exact"/>
              <w:rPr>
                <w:sz w:val="20"/>
                <w:szCs w:val="20"/>
                <w:color w:val="auto"/>
              </w:rPr>
            </w:pPr>
            <w:r>
              <w:rPr>
                <w:rFonts w:ascii="Arial" w:cs="Arial" w:eastAsia="Arial" w:hAnsi="Arial"/>
                <w:sz w:val="13"/>
                <w:szCs w:val="13"/>
                <w:b w:val="1"/>
                <w:bCs w:val="1"/>
                <w:color w:val="auto"/>
                <w:w w:val="97"/>
              </w:rPr>
              <w:t>Cash and cash equivalents, program and restricted cash, end of</w:t>
            </w: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3900" w:type="dxa"/>
            <w:vAlign w:val="bottom"/>
          </w:tcPr>
          <w:p>
            <w:pPr>
              <w:ind w:left="160"/>
              <w:spacing w:after="0"/>
              <w:rPr>
                <w:sz w:val="20"/>
                <w:szCs w:val="20"/>
                <w:color w:val="auto"/>
              </w:rPr>
            </w:pPr>
            <w:r>
              <w:rPr>
                <w:rFonts w:ascii="Arial" w:cs="Arial" w:eastAsia="Arial" w:hAnsi="Arial"/>
                <w:sz w:val="13"/>
                <w:szCs w:val="13"/>
                <w:b w:val="1"/>
                <w:bCs w:val="1"/>
                <w:color w:val="auto"/>
              </w:rPr>
              <w:t>period</w:t>
            </w:r>
          </w:p>
        </w:tc>
        <w:tc>
          <w:tcPr>
            <w:tcW w:w="140" w:type="dxa"/>
            <w:vAlign w:val="bottom"/>
            <w:vMerge w:val="restart"/>
          </w:tcPr>
          <w:p>
            <w:pPr>
              <w:ind w:left="20"/>
              <w:spacing w:after="0"/>
              <w:rPr>
                <w:sz w:val="20"/>
                <w:szCs w:val="20"/>
                <w:color w:val="auto"/>
              </w:rPr>
            </w:pPr>
            <w:r>
              <w:rPr>
                <w:rFonts w:ascii="Arial" w:cs="Arial" w:eastAsia="Arial" w:hAnsi="Arial"/>
                <w:sz w:val="13"/>
                <w:szCs w:val="13"/>
                <w:color w:val="auto"/>
              </w:rPr>
              <w:t>$</w:t>
            </w:r>
          </w:p>
        </w:tc>
        <w:tc>
          <w:tcPr>
            <w:tcW w:w="820" w:type="dxa"/>
            <w:vAlign w:val="bottom"/>
            <w:vMerge w:val="restart"/>
          </w:tcPr>
          <w:p>
            <w:pPr>
              <w:jc w:val="right"/>
              <w:ind w:right="37"/>
              <w:spacing w:after="0"/>
              <w:rPr>
                <w:sz w:val="20"/>
                <w:szCs w:val="20"/>
                <w:color w:val="auto"/>
              </w:rPr>
            </w:pPr>
            <w:r>
              <w:rPr>
                <w:rFonts w:ascii="Arial" w:cs="Arial" w:eastAsia="Arial" w:hAnsi="Arial"/>
                <w:sz w:val="13"/>
                <w:szCs w:val="13"/>
                <w:color w:val="auto"/>
              </w:rPr>
              <w:t>475</w:t>
            </w:r>
          </w:p>
        </w:tc>
        <w:tc>
          <w:tcPr>
            <w:tcW w:w="120" w:type="dxa"/>
            <w:vAlign w:val="bottom"/>
          </w:tcPr>
          <w:p>
            <w:pPr>
              <w:spacing w:after="0"/>
              <w:rPr>
                <w:sz w:val="14"/>
                <w:szCs w:val="14"/>
                <w:color w:val="auto"/>
              </w:rPr>
            </w:pPr>
          </w:p>
        </w:tc>
        <w:tc>
          <w:tcPr>
            <w:tcW w:w="1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760" w:type="dxa"/>
            <w:vAlign w:val="bottom"/>
            <w:vMerge w:val="restart"/>
          </w:tcPr>
          <w:p>
            <w:pPr>
              <w:jc w:val="right"/>
              <w:ind w:right="37"/>
              <w:spacing w:after="0"/>
              <w:rPr>
                <w:sz w:val="20"/>
                <w:szCs w:val="20"/>
                <w:color w:val="auto"/>
              </w:rPr>
            </w:pPr>
            <w:r>
              <w:rPr>
                <w:rFonts w:ascii="Arial" w:cs="Arial" w:eastAsia="Arial" w:hAnsi="Arial"/>
                <w:sz w:val="13"/>
                <w:szCs w:val="13"/>
                <w:color w:val="auto"/>
              </w:rPr>
              <w:t>230</w:t>
            </w:r>
          </w:p>
        </w:tc>
        <w:tc>
          <w:tcPr>
            <w:tcW w:w="10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780" w:type="dxa"/>
            <w:vAlign w:val="bottom"/>
            <w:vMerge w:val="restart"/>
          </w:tcPr>
          <w:p>
            <w:pPr>
              <w:jc w:val="right"/>
              <w:ind w:right="17"/>
              <w:spacing w:after="0"/>
              <w:rPr>
                <w:sz w:val="20"/>
                <w:szCs w:val="20"/>
                <w:color w:val="auto"/>
              </w:rPr>
            </w:pPr>
            <w:r>
              <w:rPr>
                <w:rFonts w:ascii="Arial" w:cs="Arial" w:eastAsia="Arial" w:hAnsi="Arial"/>
                <w:sz w:val="13"/>
                <w:szCs w:val="13"/>
                <w:color w:val="auto"/>
              </w:rPr>
              <w:t>705</w:t>
            </w:r>
          </w:p>
        </w:tc>
        <w:tc>
          <w:tcPr>
            <w:tcW w:w="420" w:type="dxa"/>
            <w:vAlign w:val="bottom"/>
          </w:tcPr>
          <w:p>
            <w:pPr>
              <w:spacing w:after="0"/>
              <w:rPr>
                <w:sz w:val="14"/>
                <w:szCs w:val="14"/>
                <w:color w:val="auto"/>
              </w:rPr>
            </w:pPr>
          </w:p>
        </w:tc>
        <w:tc>
          <w:tcPr>
            <w:tcW w:w="140" w:type="dxa"/>
            <w:vAlign w:val="bottom"/>
            <w:vMerge w:val="restart"/>
          </w:tcPr>
          <w:p>
            <w:pPr>
              <w:ind w:left="20"/>
              <w:spacing w:after="0"/>
              <w:rPr>
                <w:sz w:val="20"/>
                <w:szCs w:val="20"/>
                <w:color w:val="auto"/>
              </w:rPr>
            </w:pPr>
            <w:r>
              <w:rPr>
                <w:rFonts w:ascii="Arial" w:cs="Arial" w:eastAsia="Arial" w:hAnsi="Arial"/>
                <w:sz w:val="13"/>
                <w:szCs w:val="13"/>
                <w:color w:val="auto"/>
              </w:rPr>
              <w:t>$</w:t>
            </w:r>
          </w:p>
        </w:tc>
        <w:tc>
          <w:tcPr>
            <w:tcW w:w="780" w:type="dxa"/>
            <w:vAlign w:val="bottom"/>
            <w:vMerge w:val="restart"/>
          </w:tcPr>
          <w:p>
            <w:pPr>
              <w:jc w:val="right"/>
              <w:ind w:right="37"/>
              <w:spacing w:after="0"/>
              <w:rPr>
                <w:sz w:val="20"/>
                <w:szCs w:val="20"/>
                <w:color w:val="auto"/>
              </w:rPr>
            </w:pPr>
            <w:r>
              <w:rPr>
                <w:rFonts w:ascii="Arial" w:cs="Arial" w:eastAsia="Arial" w:hAnsi="Arial"/>
                <w:sz w:val="13"/>
                <w:szCs w:val="13"/>
                <w:color w:val="auto"/>
              </w:rPr>
              <w:t>490</w:t>
            </w:r>
          </w:p>
        </w:tc>
        <w:tc>
          <w:tcPr>
            <w:tcW w:w="100" w:type="dxa"/>
            <w:vAlign w:val="bottom"/>
          </w:tcPr>
          <w:p>
            <w:pPr>
              <w:spacing w:after="0"/>
              <w:rPr>
                <w:sz w:val="14"/>
                <w:szCs w:val="14"/>
                <w:color w:val="auto"/>
              </w:rPr>
            </w:pPr>
          </w:p>
        </w:tc>
        <w:tc>
          <w:tcPr>
            <w:tcW w:w="1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760" w:type="dxa"/>
            <w:vAlign w:val="bottom"/>
            <w:vMerge w:val="restart"/>
          </w:tcPr>
          <w:p>
            <w:pPr>
              <w:jc w:val="right"/>
              <w:ind w:right="37"/>
              <w:spacing w:after="0"/>
              <w:rPr>
                <w:sz w:val="20"/>
                <w:szCs w:val="20"/>
                <w:color w:val="auto"/>
              </w:rPr>
            </w:pPr>
            <w:r>
              <w:rPr>
                <w:rFonts w:ascii="Arial" w:cs="Arial" w:eastAsia="Arial" w:hAnsi="Arial"/>
                <w:sz w:val="13"/>
                <w:szCs w:val="13"/>
                <w:color w:val="auto"/>
              </w:rPr>
              <w:t>230</w:t>
            </w:r>
          </w:p>
        </w:tc>
        <w:tc>
          <w:tcPr>
            <w:tcW w:w="100" w:type="dxa"/>
            <w:vAlign w:val="bottom"/>
          </w:tcPr>
          <w:p>
            <w:pPr>
              <w:spacing w:after="0"/>
              <w:rPr>
                <w:sz w:val="14"/>
                <w:szCs w:val="14"/>
                <w:color w:val="auto"/>
              </w:rPr>
            </w:pPr>
          </w:p>
        </w:tc>
        <w:tc>
          <w:tcPr>
            <w:tcW w:w="200" w:type="dxa"/>
            <w:vAlign w:val="bottom"/>
            <w:vMerge w:val="restart"/>
          </w:tcPr>
          <w:p>
            <w:pPr>
              <w:jc w:val="right"/>
              <w:ind w:right="37"/>
              <w:spacing w:after="0"/>
              <w:rPr>
                <w:sz w:val="20"/>
                <w:szCs w:val="20"/>
                <w:color w:val="auto"/>
              </w:rPr>
            </w:pPr>
            <w:r>
              <w:rPr>
                <w:rFonts w:ascii="Arial" w:cs="Arial" w:eastAsia="Arial" w:hAnsi="Arial"/>
                <w:sz w:val="13"/>
                <w:szCs w:val="13"/>
                <w:color w:val="auto"/>
              </w:rPr>
              <w:t>$</w:t>
            </w:r>
          </w:p>
        </w:tc>
        <w:tc>
          <w:tcPr>
            <w:tcW w:w="720" w:type="dxa"/>
            <w:vAlign w:val="bottom"/>
            <w:vMerge w:val="restart"/>
          </w:tcPr>
          <w:p>
            <w:pPr>
              <w:jc w:val="right"/>
              <w:ind w:right="37"/>
              <w:spacing w:after="0"/>
              <w:rPr>
                <w:sz w:val="20"/>
                <w:szCs w:val="20"/>
                <w:color w:val="auto"/>
              </w:rPr>
            </w:pPr>
            <w:r>
              <w:rPr>
                <w:rFonts w:ascii="Arial" w:cs="Arial" w:eastAsia="Arial" w:hAnsi="Arial"/>
                <w:sz w:val="13"/>
                <w:szCs w:val="13"/>
                <w:color w:val="auto"/>
              </w:rPr>
              <w:t>720</w:t>
            </w:r>
          </w:p>
        </w:tc>
        <w:tc>
          <w:tcPr>
            <w:tcW w:w="0" w:type="dxa"/>
            <w:vAlign w:val="bottom"/>
          </w:tcPr>
          <w:p>
            <w:pPr>
              <w:spacing w:after="0"/>
              <w:rPr>
                <w:sz w:val="1"/>
                <w:szCs w:val="1"/>
                <w:color w:val="auto"/>
              </w:rPr>
            </w:pPr>
          </w:p>
        </w:tc>
      </w:tr>
      <w:tr>
        <w:trPr>
          <w:trHeight w:val="136"/>
        </w:trPr>
        <w:tc>
          <w:tcPr>
            <w:tcW w:w="3900" w:type="dxa"/>
            <w:vAlign w:val="bottom"/>
          </w:tcPr>
          <w:p>
            <w:pPr>
              <w:spacing w:after="0"/>
              <w:rPr>
                <w:sz w:val="11"/>
                <w:szCs w:val="11"/>
                <w:color w:val="auto"/>
              </w:rPr>
            </w:pPr>
          </w:p>
        </w:tc>
        <w:tc>
          <w:tcPr>
            <w:tcW w:w="140" w:type="dxa"/>
            <w:vAlign w:val="bottom"/>
            <w:tcBorders>
              <w:bottom w:val="single" w:sz="8" w:color="auto"/>
            </w:tcBorders>
            <w:vMerge w:val="continue"/>
          </w:tcPr>
          <w:p>
            <w:pPr>
              <w:spacing w:after="0"/>
              <w:rPr>
                <w:sz w:val="11"/>
                <w:szCs w:val="11"/>
                <w:color w:val="auto"/>
              </w:rPr>
            </w:pPr>
          </w:p>
        </w:tc>
        <w:tc>
          <w:tcPr>
            <w:tcW w:w="820" w:type="dxa"/>
            <w:vAlign w:val="bottom"/>
            <w:tcBorders>
              <w:bottom w:val="single" w:sz="8" w:color="auto"/>
            </w:tcBorders>
            <w:vMerge w:val="continue"/>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Borders>
              <w:bottom w:val="single" w:sz="8" w:color="auto"/>
            </w:tcBorders>
            <w:vMerge w:val="continue"/>
          </w:tcPr>
          <w:p>
            <w:pPr>
              <w:spacing w:after="0"/>
              <w:rPr>
                <w:sz w:val="11"/>
                <w:szCs w:val="11"/>
                <w:color w:val="auto"/>
              </w:rPr>
            </w:pPr>
          </w:p>
        </w:tc>
        <w:tc>
          <w:tcPr>
            <w:tcW w:w="760" w:type="dxa"/>
            <w:vAlign w:val="bottom"/>
            <w:tcBorders>
              <w:bottom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bottom w:val="single" w:sz="8" w:color="auto"/>
            </w:tcBorders>
            <w:vMerge w:val="continue"/>
          </w:tcPr>
          <w:p>
            <w:pPr>
              <w:spacing w:after="0"/>
              <w:rPr>
                <w:sz w:val="11"/>
                <w:szCs w:val="11"/>
                <w:color w:val="auto"/>
              </w:rPr>
            </w:pPr>
          </w:p>
        </w:tc>
        <w:tc>
          <w:tcPr>
            <w:tcW w:w="780" w:type="dxa"/>
            <w:vAlign w:val="bottom"/>
            <w:tcBorders>
              <w:bottom w:val="single" w:sz="8" w:color="auto"/>
            </w:tcBorders>
            <w:vMerge w:val="continue"/>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Borders>
              <w:bottom w:val="single" w:sz="8" w:color="auto"/>
            </w:tcBorders>
            <w:vMerge w:val="continue"/>
          </w:tcPr>
          <w:p>
            <w:pPr>
              <w:spacing w:after="0"/>
              <w:rPr>
                <w:sz w:val="11"/>
                <w:szCs w:val="11"/>
                <w:color w:val="auto"/>
              </w:rPr>
            </w:pPr>
          </w:p>
        </w:tc>
        <w:tc>
          <w:tcPr>
            <w:tcW w:w="780" w:type="dxa"/>
            <w:vAlign w:val="bottom"/>
            <w:tcBorders>
              <w:bottom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Borders>
              <w:bottom w:val="single" w:sz="8" w:color="auto"/>
            </w:tcBorders>
            <w:vMerge w:val="continue"/>
          </w:tcPr>
          <w:p>
            <w:pPr>
              <w:spacing w:after="0"/>
              <w:rPr>
                <w:sz w:val="11"/>
                <w:szCs w:val="11"/>
                <w:color w:val="auto"/>
              </w:rPr>
            </w:pPr>
          </w:p>
        </w:tc>
        <w:tc>
          <w:tcPr>
            <w:tcW w:w="760" w:type="dxa"/>
            <w:vAlign w:val="bottom"/>
            <w:tcBorders>
              <w:bottom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Borders>
              <w:bottom w:val="single" w:sz="8" w:color="auto"/>
            </w:tcBorders>
            <w:vMerge w:val="continue"/>
          </w:tcPr>
          <w:p>
            <w:pPr>
              <w:spacing w:after="0"/>
              <w:rPr>
                <w:sz w:val="11"/>
                <w:szCs w:val="11"/>
                <w:color w:val="auto"/>
              </w:rPr>
            </w:pPr>
          </w:p>
        </w:tc>
        <w:tc>
          <w:tcPr>
            <w:tcW w:w="72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39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67"/>
        </w:trPr>
        <w:tc>
          <w:tcPr>
            <w:tcW w:w="3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20" w:type="dxa"/>
            <w:vAlign w:val="bottom"/>
            <w:gridSpan w:val="5"/>
          </w:tcPr>
          <w:p>
            <w:pPr>
              <w:ind w:left="40"/>
              <w:spacing w:after="0"/>
              <w:rPr>
                <w:sz w:val="20"/>
                <w:szCs w:val="20"/>
                <w:color w:val="auto"/>
              </w:rPr>
            </w:pPr>
            <w:r>
              <w:rPr>
                <w:rFonts w:ascii="Arial" w:cs="Arial" w:eastAsia="Arial" w:hAnsi="Arial"/>
                <w:sz w:val="13"/>
                <w:szCs w:val="13"/>
                <w:b w:val="1"/>
                <w:bCs w:val="1"/>
                <w:color w:val="auto"/>
              </w:rPr>
              <w:t>Year Ended December 31, 2015</w:t>
            </w: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3900" w:type="dxa"/>
            <w:vAlign w:val="bottom"/>
          </w:tcPr>
          <w:p>
            <w:pPr>
              <w:spacing w:after="0"/>
              <w:rPr>
                <w:sz w:val="13"/>
                <w:szCs w:val="13"/>
                <w:color w:val="auto"/>
              </w:rPr>
            </w:pPr>
          </w:p>
        </w:tc>
        <w:tc>
          <w:tcPr>
            <w:tcW w:w="1080" w:type="dxa"/>
            <w:vAlign w:val="bottom"/>
            <w:tcBorders>
              <w:bottom w:val="single" w:sz="8" w:color="auto"/>
            </w:tcBorders>
            <w:gridSpan w:val="3"/>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gridSpan w:val="3"/>
          </w:tcPr>
          <w:p>
            <w:pPr>
              <w:spacing w:after="0"/>
              <w:rPr>
                <w:sz w:val="13"/>
                <w:szCs w:val="13"/>
                <w:color w:val="auto"/>
              </w:rPr>
            </w:pPr>
          </w:p>
        </w:tc>
        <w:tc>
          <w:tcPr>
            <w:tcW w:w="1020" w:type="dxa"/>
            <w:vAlign w:val="bottom"/>
            <w:tcBorders>
              <w:bottom w:val="single" w:sz="8" w:color="auto"/>
            </w:tcBorders>
            <w:gridSpan w:val="3"/>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3900" w:type="dxa"/>
            <w:vAlign w:val="bottom"/>
          </w:tcPr>
          <w:p>
            <w:pPr>
              <w:spacing w:after="0"/>
              <w:rPr>
                <w:sz w:val="11"/>
                <w:szCs w:val="11"/>
                <w:color w:val="auto"/>
              </w:rPr>
            </w:pPr>
          </w:p>
        </w:tc>
        <w:tc>
          <w:tcPr>
            <w:tcW w:w="1080" w:type="dxa"/>
            <w:vAlign w:val="bottom"/>
            <w:gridSpan w:val="3"/>
          </w:tcPr>
          <w:p>
            <w:pPr>
              <w:jc w:val="center"/>
              <w:ind w:right="120"/>
              <w:spacing w:after="0" w:line="134" w:lineRule="exact"/>
              <w:rPr>
                <w:sz w:val="20"/>
                <w:szCs w:val="20"/>
                <w:color w:val="auto"/>
              </w:rPr>
            </w:pPr>
            <w:r>
              <w:rPr>
                <w:rFonts w:ascii="Arial" w:cs="Arial" w:eastAsia="Arial" w:hAnsi="Arial"/>
                <w:sz w:val="13"/>
                <w:szCs w:val="13"/>
                <w:b w:val="1"/>
                <w:bCs w:val="1"/>
                <w:color w:val="auto"/>
                <w:w w:val="97"/>
              </w:rPr>
              <w:t>As Previously</w:t>
            </w: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40" w:type="dxa"/>
            <w:vAlign w:val="bottom"/>
            <w:gridSpan w:val="3"/>
          </w:tcPr>
          <w:p>
            <w:pPr>
              <w:jc w:val="center"/>
              <w:ind w:right="400"/>
              <w:spacing w:after="0" w:line="134" w:lineRule="exact"/>
              <w:rPr>
                <w:sz w:val="20"/>
                <w:szCs w:val="20"/>
                <w:color w:val="auto"/>
              </w:rPr>
            </w:pPr>
            <w:r>
              <w:rPr>
                <w:rFonts w:ascii="Arial" w:cs="Arial" w:eastAsia="Arial" w:hAnsi="Arial"/>
                <w:sz w:val="13"/>
                <w:szCs w:val="13"/>
                <w:b w:val="1"/>
                <w:bCs w:val="1"/>
                <w:color w:val="auto"/>
                <w:w w:val="97"/>
              </w:rPr>
              <w:t>As Adjusted</w:t>
            </w:r>
          </w:p>
        </w:tc>
        <w:tc>
          <w:tcPr>
            <w:tcW w:w="1020" w:type="dxa"/>
            <w:vAlign w:val="bottom"/>
            <w:gridSpan w:val="3"/>
          </w:tcPr>
          <w:p>
            <w:pPr>
              <w:ind w:left="40"/>
              <w:spacing w:after="0" w:line="134" w:lineRule="exact"/>
              <w:rPr>
                <w:sz w:val="20"/>
                <w:szCs w:val="20"/>
                <w:color w:val="auto"/>
              </w:rPr>
            </w:pPr>
            <w:r>
              <w:rPr>
                <w:rFonts w:ascii="Arial" w:cs="Arial" w:eastAsia="Arial" w:hAnsi="Arial"/>
                <w:sz w:val="13"/>
                <w:szCs w:val="13"/>
                <w:b w:val="1"/>
                <w:bCs w:val="1"/>
                <w:color w:val="auto"/>
              </w:rPr>
              <w:t>As Previously</w:t>
            </w: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900" w:type="dxa"/>
            <w:vAlign w:val="bottom"/>
          </w:tcPr>
          <w:p>
            <w:pPr>
              <w:spacing w:after="0"/>
              <w:rPr>
                <w:sz w:val="11"/>
                <w:szCs w:val="11"/>
                <w:color w:val="auto"/>
              </w:rPr>
            </w:pPr>
          </w:p>
        </w:tc>
        <w:tc>
          <w:tcPr>
            <w:tcW w:w="1080" w:type="dxa"/>
            <w:vAlign w:val="bottom"/>
            <w:gridSpan w:val="3"/>
          </w:tcPr>
          <w:p>
            <w:pPr>
              <w:ind w:left="40"/>
              <w:spacing w:after="0" w:line="135" w:lineRule="exact"/>
              <w:rPr>
                <w:sz w:val="20"/>
                <w:szCs w:val="20"/>
                <w:color w:val="auto"/>
              </w:rPr>
            </w:pPr>
            <w:r>
              <w:rPr>
                <w:rFonts w:ascii="Arial" w:cs="Arial" w:eastAsia="Arial" w:hAnsi="Arial"/>
                <w:sz w:val="13"/>
                <w:szCs w:val="13"/>
                <w:b w:val="1"/>
                <w:bCs w:val="1"/>
                <w:color w:val="auto"/>
              </w:rPr>
              <w:t>Reported Non-</w:t>
            </w:r>
          </w:p>
        </w:tc>
        <w:tc>
          <w:tcPr>
            <w:tcW w:w="160" w:type="dxa"/>
            <w:vAlign w:val="bottom"/>
          </w:tcPr>
          <w:p>
            <w:pPr>
              <w:spacing w:after="0"/>
              <w:rPr>
                <w:sz w:val="11"/>
                <w:szCs w:val="11"/>
                <w:color w:val="auto"/>
              </w:rPr>
            </w:pPr>
          </w:p>
        </w:tc>
        <w:tc>
          <w:tcPr>
            <w:tcW w:w="86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9"/>
              </w:rPr>
              <w:t>Effect of</w:t>
            </w:r>
          </w:p>
        </w:tc>
        <w:tc>
          <w:tcPr>
            <w:tcW w:w="140" w:type="dxa"/>
            <w:vAlign w:val="bottom"/>
          </w:tcPr>
          <w:p>
            <w:pPr>
              <w:spacing w:after="0"/>
              <w:rPr>
                <w:sz w:val="11"/>
                <w:szCs w:val="11"/>
                <w:color w:val="auto"/>
              </w:rPr>
            </w:pPr>
          </w:p>
        </w:tc>
        <w:tc>
          <w:tcPr>
            <w:tcW w:w="1200" w:type="dxa"/>
            <w:vAlign w:val="bottom"/>
            <w:gridSpan w:val="2"/>
          </w:tcPr>
          <w:p>
            <w:pPr>
              <w:jc w:val="center"/>
              <w:ind w:right="540"/>
              <w:spacing w:after="0" w:line="135" w:lineRule="exact"/>
              <w:rPr>
                <w:sz w:val="20"/>
                <w:szCs w:val="20"/>
                <w:color w:val="auto"/>
              </w:rPr>
            </w:pPr>
            <w:r>
              <w:rPr>
                <w:rFonts w:ascii="Arial" w:cs="Arial" w:eastAsia="Arial" w:hAnsi="Arial"/>
                <w:sz w:val="13"/>
                <w:szCs w:val="13"/>
                <w:b w:val="1"/>
                <w:bCs w:val="1"/>
                <w:color w:val="auto"/>
              </w:rPr>
              <w:t>Non-</w:t>
            </w:r>
          </w:p>
        </w:tc>
        <w:tc>
          <w:tcPr>
            <w:tcW w:w="140" w:type="dxa"/>
            <w:vAlign w:val="bottom"/>
          </w:tcPr>
          <w:p>
            <w:pPr>
              <w:spacing w:after="0"/>
              <w:rPr>
                <w:sz w:val="11"/>
                <w:szCs w:val="11"/>
                <w:color w:val="auto"/>
              </w:rPr>
            </w:pPr>
          </w:p>
        </w:tc>
        <w:tc>
          <w:tcPr>
            <w:tcW w:w="88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4"/>
              </w:rPr>
              <w:t>Reported</w:t>
            </w:r>
          </w:p>
        </w:tc>
        <w:tc>
          <w:tcPr>
            <w:tcW w:w="160" w:type="dxa"/>
            <w:vAlign w:val="bottom"/>
          </w:tcPr>
          <w:p>
            <w:pPr>
              <w:spacing w:after="0"/>
              <w:rPr>
                <w:sz w:val="11"/>
                <w:szCs w:val="11"/>
                <w:color w:val="auto"/>
              </w:rPr>
            </w:pPr>
          </w:p>
        </w:tc>
        <w:tc>
          <w:tcPr>
            <w:tcW w:w="86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96"/>
              </w:rPr>
              <w:t>Effect of</w:t>
            </w:r>
          </w:p>
        </w:tc>
        <w:tc>
          <w:tcPr>
            <w:tcW w:w="92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7"/>
              </w:rPr>
              <w:t>As Adjusted</w:t>
            </w:r>
          </w:p>
        </w:tc>
        <w:tc>
          <w:tcPr>
            <w:tcW w:w="0" w:type="dxa"/>
            <w:vAlign w:val="bottom"/>
          </w:tcPr>
          <w:p>
            <w:pPr>
              <w:spacing w:after="0"/>
              <w:rPr>
                <w:sz w:val="1"/>
                <w:szCs w:val="1"/>
                <w:color w:val="auto"/>
              </w:rPr>
            </w:pPr>
          </w:p>
        </w:tc>
      </w:tr>
      <w:tr>
        <w:trPr>
          <w:trHeight w:val="178"/>
        </w:trPr>
        <w:tc>
          <w:tcPr>
            <w:tcW w:w="39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77"/>
              <w:spacing w:after="0"/>
              <w:rPr>
                <w:sz w:val="20"/>
                <w:szCs w:val="20"/>
                <w:color w:val="auto"/>
              </w:rPr>
            </w:pPr>
            <w:r>
              <w:rPr>
                <w:rFonts w:ascii="Arial" w:cs="Arial" w:eastAsia="Arial" w:hAnsi="Arial"/>
                <w:sz w:val="13"/>
                <w:szCs w:val="13"/>
                <w:b w:val="1"/>
                <w:bCs w:val="1"/>
                <w:color w:val="auto"/>
                <w:w w:val="95"/>
              </w:rPr>
              <w:t>Guarantor</w:t>
            </w: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97"/>
              <w:spacing w:after="0"/>
              <w:rPr>
                <w:sz w:val="20"/>
                <w:szCs w:val="20"/>
                <w:color w:val="auto"/>
              </w:rPr>
            </w:pPr>
            <w:r>
              <w:rPr>
                <w:rFonts w:ascii="Arial" w:cs="Arial" w:eastAsia="Arial" w:hAnsi="Arial"/>
                <w:sz w:val="13"/>
                <w:szCs w:val="13"/>
                <w:b w:val="1"/>
                <w:bCs w:val="1"/>
                <w:color w:val="auto"/>
              </w:rPr>
              <w:t>Change</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b w:val="1"/>
                <w:bCs w:val="1"/>
                <w:color w:val="auto"/>
                <w:w w:val="98"/>
              </w:rPr>
              <w:t>Guarantor</w:t>
            </w:r>
          </w:p>
        </w:tc>
        <w:tc>
          <w:tcPr>
            <w:tcW w:w="4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97"/>
              <w:spacing w:after="0"/>
              <w:rPr>
                <w:sz w:val="20"/>
                <w:szCs w:val="20"/>
                <w:color w:val="auto"/>
              </w:rPr>
            </w:pPr>
            <w:r>
              <w:rPr>
                <w:rFonts w:ascii="Arial" w:cs="Arial" w:eastAsia="Arial" w:hAnsi="Arial"/>
                <w:sz w:val="13"/>
                <w:szCs w:val="13"/>
                <w:b w:val="1"/>
                <w:bCs w:val="1"/>
                <w:color w:val="auto"/>
                <w:w w:val="96"/>
              </w:rPr>
              <w:t>Total</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117"/>
              <w:spacing w:after="0"/>
              <w:rPr>
                <w:sz w:val="20"/>
                <w:szCs w:val="20"/>
                <w:color w:val="auto"/>
              </w:rPr>
            </w:pPr>
            <w:r>
              <w:rPr>
                <w:rFonts w:ascii="Arial" w:cs="Arial" w:eastAsia="Arial" w:hAnsi="Arial"/>
                <w:sz w:val="13"/>
                <w:szCs w:val="13"/>
                <w:b w:val="1"/>
                <w:bCs w:val="1"/>
                <w:color w:val="auto"/>
                <w:w w:val="96"/>
              </w:rPr>
              <w:t>Change</w:t>
            </w: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ind w:right="137"/>
              <w:spacing w:after="0"/>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60"/>
        </w:trPr>
        <w:tc>
          <w:tcPr>
            <w:tcW w:w="3900" w:type="dxa"/>
            <w:vAlign w:val="bottom"/>
          </w:tcPr>
          <w:p>
            <w:pPr>
              <w:spacing w:after="0"/>
              <w:rPr>
                <w:sz w:val="20"/>
                <w:szCs w:val="20"/>
                <w:color w:val="auto"/>
              </w:rPr>
            </w:pPr>
            <w:r>
              <w:rPr>
                <w:rFonts w:ascii="Arial" w:cs="Arial" w:eastAsia="Arial" w:hAnsi="Arial"/>
                <w:sz w:val="13"/>
                <w:szCs w:val="13"/>
                <w:color w:val="auto"/>
              </w:rPr>
              <w:t>Increase in program cash</w:t>
            </w:r>
          </w:p>
        </w:tc>
        <w:tc>
          <w:tcPr>
            <w:tcW w:w="140" w:type="dxa"/>
            <w:vAlign w:val="bottom"/>
            <w:vMerge w:val="restart"/>
          </w:tcPr>
          <w:p>
            <w:pPr>
              <w:ind w:left="20"/>
              <w:spacing w:after="0"/>
              <w:rPr>
                <w:sz w:val="20"/>
                <w:szCs w:val="20"/>
                <w:color w:val="auto"/>
              </w:rPr>
            </w:pPr>
            <w:r>
              <w:rPr>
                <w:rFonts w:ascii="Arial" w:cs="Arial" w:eastAsia="Arial" w:hAnsi="Arial"/>
                <w:sz w:val="13"/>
                <w:szCs w:val="13"/>
                <w:color w:val="auto"/>
              </w:rPr>
              <w:t>$</w:t>
            </w:r>
          </w:p>
        </w:tc>
        <w:tc>
          <w:tcPr>
            <w:tcW w:w="820" w:type="dxa"/>
            <w:vAlign w:val="bottom"/>
            <w:vMerge w:val="restart"/>
          </w:tcPr>
          <w:p>
            <w:pPr>
              <w:jc w:val="right"/>
              <w:spacing w:after="0"/>
              <w:rPr>
                <w:sz w:val="20"/>
                <w:szCs w:val="20"/>
                <w:color w:val="auto"/>
              </w:rPr>
            </w:pPr>
            <w:r>
              <w:rPr>
                <w:rFonts w:ascii="Arial" w:cs="Arial" w:eastAsia="Arial" w:hAnsi="Arial"/>
                <w:sz w:val="13"/>
                <w:szCs w:val="13"/>
                <w:color w:val="auto"/>
              </w:rPr>
              <w:t>(148)</w:t>
            </w:r>
          </w:p>
        </w:tc>
        <w:tc>
          <w:tcPr>
            <w:tcW w:w="120" w:type="dxa"/>
            <w:vAlign w:val="bottom"/>
          </w:tcPr>
          <w:p>
            <w:pPr>
              <w:spacing w:after="0"/>
              <w:rPr>
                <w:sz w:val="13"/>
                <w:szCs w:val="13"/>
                <w:color w:val="auto"/>
              </w:rPr>
            </w:pPr>
          </w:p>
        </w:tc>
        <w:tc>
          <w:tcPr>
            <w:tcW w:w="1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760" w:type="dxa"/>
            <w:vAlign w:val="bottom"/>
            <w:vMerge w:val="restart"/>
          </w:tcPr>
          <w:p>
            <w:pPr>
              <w:jc w:val="right"/>
              <w:ind w:right="37"/>
              <w:spacing w:after="0"/>
              <w:rPr>
                <w:sz w:val="20"/>
                <w:szCs w:val="20"/>
                <w:color w:val="auto"/>
              </w:rPr>
            </w:pPr>
            <w:r>
              <w:rPr>
                <w:rFonts w:ascii="Arial" w:cs="Arial" w:eastAsia="Arial" w:hAnsi="Arial"/>
                <w:sz w:val="13"/>
                <w:szCs w:val="13"/>
                <w:color w:val="auto"/>
              </w:rPr>
              <w:t>148</w:t>
            </w:r>
          </w:p>
        </w:tc>
        <w:tc>
          <w:tcPr>
            <w:tcW w:w="100" w:type="dxa"/>
            <w:vAlign w:val="bottom"/>
          </w:tcPr>
          <w:p>
            <w:pPr>
              <w:spacing w:after="0"/>
              <w:rPr>
                <w:sz w:val="13"/>
                <w:szCs w:val="13"/>
                <w:color w:val="auto"/>
              </w:rPr>
            </w:pPr>
          </w:p>
        </w:tc>
        <w:tc>
          <w:tcPr>
            <w:tcW w:w="1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200" w:type="dxa"/>
            <w:vAlign w:val="bottom"/>
            <w:gridSpan w:val="2"/>
            <w:vMerge w:val="restart"/>
          </w:tcPr>
          <w:p>
            <w:pPr>
              <w:jc w:val="right"/>
              <w:ind w:right="500"/>
              <w:spacing w:after="0"/>
              <w:rPr>
                <w:sz w:val="20"/>
                <w:szCs w:val="20"/>
                <w:color w:val="auto"/>
              </w:rPr>
            </w:pPr>
            <w:r>
              <w:rPr>
                <w:rFonts w:ascii="Arial" w:cs="Arial" w:eastAsia="Arial" w:hAnsi="Arial"/>
                <w:sz w:val="13"/>
                <w:szCs w:val="13"/>
                <w:color w:val="auto"/>
              </w:rPr>
              <w:t>—</w:t>
            </w:r>
          </w:p>
        </w:tc>
        <w:tc>
          <w:tcPr>
            <w:tcW w:w="140" w:type="dxa"/>
            <w:vAlign w:val="bottom"/>
            <w:vMerge w:val="restart"/>
          </w:tcPr>
          <w:p>
            <w:pPr>
              <w:ind w:left="20"/>
              <w:spacing w:after="0"/>
              <w:rPr>
                <w:sz w:val="20"/>
                <w:szCs w:val="20"/>
                <w:color w:val="auto"/>
              </w:rPr>
            </w:pPr>
            <w:r>
              <w:rPr>
                <w:rFonts w:ascii="Arial" w:cs="Arial" w:eastAsia="Arial" w:hAnsi="Arial"/>
                <w:sz w:val="13"/>
                <w:szCs w:val="13"/>
                <w:color w:val="auto"/>
              </w:rPr>
              <w:t>$</w:t>
            </w:r>
          </w:p>
        </w:tc>
        <w:tc>
          <w:tcPr>
            <w:tcW w:w="780" w:type="dxa"/>
            <w:vAlign w:val="bottom"/>
            <w:vMerge w:val="restart"/>
          </w:tcPr>
          <w:p>
            <w:pPr>
              <w:jc w:val="right"/>
              <w:spacing w:after="0"/>
              <w:rPr>
                <w:sz w:val="20"/>
                <w:szCs w:val="20"/>
                <w:color w:val="auto"/>
              </w:rPr>
            </w:pPr>
            <w:r>
              <w:rPr>
                <w:rFonts w:ascii="Arial" w:cs="Arial" w:eastAsia="Arial" w:hAnsi="Arial"/>
                <w:sz w:val="13"/>
                <w:szCs w:val="13"/>
                <w:color w:val="auto"/>
              </w:rPr>
              <w:t>(148)</w:t>
            </w:r>
          </w:p>
        </w:tc>
        <w:tc>
          <w:tcPr>
            <w:tcW w:w="100" w:type="dxa"/>
            <w:vAlign w:val="bottom"/>
          </w:tcPr>
          <w:p>
            <w:pPr>
              <w:spacing w:after="0"/>
              <w:rPr>
                <w:sz w:val="13"/>
                <w:szCs w:val="13"/>
                <w:color w:val="auto"/>
              </w:rPr>
            </w:pPr>
          </w:p>
        </w:tc>
        <w:tc>
          <w:tcPr>
            <w:tcW w:w="1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760" w:type="dxa"/>
            <w:vAlign w:val="bottom"/>
            <w:vMerge w:val="restart"/>
          </w:tcPr>
          <w:p>
            <w:pPr>
              <w:jc w:val="right"/>
              <w:ind w:right="37"/>
              <w:spacing w:after="0"/>
              <w:rPr>
                <w:sz w:val="20"/>
                <w:szCs w:val="20"/>
                <w:color w:val="auto"/>
              </w:rPr>
            </w:pPr>
            <w:r>
              <w:rPr>
                <w:rFonts w:ascii="Arial" w:cs="Arial" w:eastAsia="Arial" w:hAnsi="Arial"/>
                <w:sz w:val="13"/>
                <w:szCs w:val="13"/>
                <w:color w:val="auto"/>
              </w:rPr>
              <w:t>148</w:t>
            </w:r>
          </w:p>
        </w:tc>
        <w:tc>
          <w:tcPr>
            <w:tcW w:w="100" w:type="dxa"/>
            <w:vAlign w:val="bottom"/>
          </w:tcPr>
          <w:p>
            <w:pPr>
              <w:spacing w:after="0"/>
              <w:rPr>
                <w:sz w:val="13"/>
                <w:szCs w:val="13"/>
                <w:color w:val="auto"/>
              </w:rPr>
            </w:pPr>
          </w:p>
        </w:tc>
        <w:tc>
          <w:tcPr>
            <w:tcW w:w="200" w:type="dxa"/>
            <w:vAlign w:val="bottom"/>
            <w:vMerge w:val="restart"/>
          </w:tcPr>
          <w:p>
            <w:pPr>
              <w:jc w:val="right"/>
              <w:ind w:right="37"/>
              <w:spacing w:after="0"/>
              <w:rPr>
                <w:sz w:val="20"/>
                <w:szCs w:val="20"/>
                <w:color w:val="auto"/>
              </w:rPr>
            </w:pPr>
            <w:r>
              <w:rPr>
                <w:rFonts w:ascii="Arial" w:cs="Arial" w:eastAsia="Arial" w:hAnsi="Arial"/>
                <w:sz w:val="13"/>
                <w:szCs w:val="13"/>
                <w:color w:val="auto"/>
              </w:rPr>
              <w:t>$</w:t>
            </w:r>
          </w:p>
        </w:tc>
        <w:tc>
          <w:tcPr>
            <w:tcW w:w="720" w:type="dxa"/>
            <w:vAlign w:val="bottom"/>
            <w:vMerge w:val="restart"/>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81"/>
        </w:trPr>
        <w:tc>
          <w:tcPr>
            <w:tcW w:w="3900" w:type="dxa"/>
            <w:vAlign w:val="bottom"/>
          </w:tcPr>
          <w:p>
            <w:pPr>
              <w:spacing w:after="0"/>
              <w:rPr>
                <w:sz w:val="7"/>
                <w:szCs w:val="7"/>
                <w:color w:val="auto"/>
              </w:rPr>
            </w:pPr>
          </w:p>
        </w:tc>
        <w:tc>
          <w:tcPr>
            <w:tcW w:w="14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vMerge w:val="continue"/>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14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3900" w:type="dxa"/>
            <w:vAlign w:val="bottom"/>
          </w:tcPr>
          <w:p>
            <w:pPr>
              <w:spacing w:after="0"/>
              <w:rPr>
                <w:sz w:val="20"/>
                <w:szCs w:val="20"/>
                <w:color w:val="auto"/>
              </w:rPr>
            </w:pPr>
            <w:r>
              <w:rPr>
                <w:rFonts w:ascii="Arial" w:cs="Arial" w:eastAsia="Arial" w:hAnsi="Arial"/>
                <w:sz w:val="13"/>
                <w:szCs w:val="13"/>
                <w:color w:val="auto"/>
              </w:rPr>
              <w:t>Other, net</w:t>
            </w:r>
          </w:p>
        </w:tc>
        <w:tc>
          <w:tcPr>
            <w:tcW w:w="140" w:type="dxa"/>
            <w:vAlign w:val="bottom"/>
          </w:tcPr>
          <w:p>
            <w:pPr>
              <w:spacing w:after="0"/>
              <w:rPr>
                <w:sz w:val="16"/>
                <w:szCs w:val="16"/>
                <w:color w:val="auto"/>
              </w:rPr>
            </w:pPr>
          </w:p>
        </w:tc>
        <w:tc>
          <w:tcPr>
            <w:tcW w:w="820" w:type="dxa"/>
            <w:vAlign w:val="bottom"/>
            <w:vMerge w:val="restart"/>
          </w:tcPr>
          <w:p>
            <w:pPr>
              <w:jc w:val="right"/>
              <w:ind w:right="37"/>
              <w:spacing w:after="0"/>
              <w:rPr>
                <w:sz w:val="20"/>
                <w:szCs w:val="20"/>
                <w:color w:val="auto"/>
              </w:rPr>
            </w:pPr>
            <w:r>
              <w:rPr>
                <w:rFonts w:ascii="Arial" w:cs="Arial" w:eastAsia="Arial" w:hAnsi="Arial"/>
                <w:sz w:val="13"/>
                <w:szCs w:val="13"/>
                <w:color w:val="auto"/>
              </w:rPr>
              <w:t>8</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vMerge w:val="restart"/>
          </w:tcPr>
          <w:p>
            <w:pPr>
              <w:jc w:val="right"/>
              <w:ind w:right="17"/>
              <w:spacing w:after="0"/>
              <w:rPr>
                <w:sz w:val="20"/>
                <w:szCs w:val="20"/>
                <w:color w:val="auto"/>
              </w:rPr>
            </w:pPr>
            <w:r>
              <w:rPr>
                <w:rFonts w:ascii="Arial" w:cs="Arial" w:eastAsia="Arial" w:hAnsi="Arial"/>
                <w:sz w:val="13"/>
                <w:szCs w:val="13"/>
                <w:color w:val="auto"/>
              </w:rPr>
              <w:t>5</w:t>
            </w: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vMerge w:val="restart"/>
          </w:tcPr>
          <w:p>
            <w:pPr>
              <w:jc w:val="right"/>
              <w:ind w:right="37"/>
              <w:spacing w:after="0"/>
              <w:rPr>
                <w:sz w:val="20"/>
                <w:szCs w:val="20"/>
                <w:color w:val="auto"/>
              </w:rPr>
            </w:pPr>
            <w:r>
              <w:rPr>
                <w:rFonts w:ascii="Arial" w:cs="Arial" w:eastAsia="Arial" w:hAnsi="Arial"/>
                <w:sz w:val="13"/>
                <w:szCs w:val="13"/>
                <w:color w:val="auto"/>
              </w:rPr>
              <w:t>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vMerge w:val="restart"/>
          </w:tcPr>
          <w:p>
            <w:pPr>
              <w:jc w:val="right"/>
              <w:ind w:right="37"/>
              <w:spacing w:after="0"/>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81"/>
        </w:trPr>
        <w:tc>
          <w:tcPr>
            <w:tcW w:w="3900" w:type="dxa"/>
            <w:vAlign w:val="bottom"/>
          </w:tcPr>
          <w:p>
            <w:pPr>
              <w:spacing w:after="0"/>
              <w:rPr>
                <w:sz w:val="7"/>
                <w:szCs w:val="7"/>
                <w:color w:val="auto"/>
              </w:rPr>
            </w:pPr>
          </w:p>
        </w:tc>
        <w:tc>
          <w:tcPr>
            <w:tcW w:w="14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420" w:type="dxa"/>
            <w:vAlign w:val="bottom"/>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3900" w:type="dxa"/>
            <w:vAlign w:val="bottom"/>
          </w:tcPr>
          <w:p>
            <w:pPr>
              <w:spacing w:after="0"/>
              <w:rPr>
                <w:sz w:val="20"/>
                <w:szCs w:val="20"/>
                <w:color w:val="auto"/>
              </w:rPr>
            </w:pPr>
            <w:r>
              <w:rPr>
                <w:rFonts w:ascii="Arial" w:cs="Arial" w:eastAsia="Arial" w:hAnsi="Arial"/>
                <w:sz w:val="13"/>
                <w:szCs w:val="13"/>
                <w:b w:val="1"/>
                <w:bCs w:val="1"/>
                <w:color w:val="auto"/>
              </w:rPr>
              <w:t>Net cash used in investing activities</w:t>
            </w:r>
          </w:p>
        </w:tc>
        <w:tc>
          <w:tcPr>
            <w:tcW w:w="140" w:type="dxa"/>
            <w:vAlign w:val="bottom"/>
          </w:tcPr>
          <w:p>
            <w:pPr>
              <w:spacing w:after="0"/>
              <w:rPr>
                <w:sz w:val="16"/>
                <w:szCs w:val="16"/>
                <w:color w:val="auto"/>
              </w:rPr>
            </w:pPr>
          </w:p>
        </w:tc>
        <w:tc>
          <w:tcPr>
            <w:tcW w:w="820" w:type="dxa"/>
            <w:vAlign w:val="bottom"/>
            <w:vMerge w:val="restart"/>
          </w:tcPr>
          <w:p>
            <w:pPr>
              <w:jc w:val="right"/>
              <w:spacing w:after="0"/>
              <w:rPr>
                <w:sz w:val="20"/>
                <w:szCs w:val="20"/>
                <w:color w:val="auto"/>
              </w:rPr>
            </w:pPr>
            <w:r>
              <w:rPr>
                <w:rFonts w:ascii="Arial" w:cs="Arial" w:eastAsia="Arial" w:hAnsi="Arial"/>
                <w:sz w:val="13"/>
                <w:szCs w:val="13"/>
                <w:color w:val="auto"/>
              </w:rPr>
              <w:t>(2,711)</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vMerge w:val="restart"/>
          </w:tcPr>
          <w:p>
            <w:pPr>
              <w:jc w:val="right"/>
              <w:ind w:right="37"/>
              <w:spacing w:after="0"/>
              <w:rPr>
                <w:sz w:val="20"/>
                <w:szCs w:val="20"/>
                <w:color w:val="auto"/>
              </w:rPr>
            </w:pPr>
            <w:r>
              <w:rPr>
                <w:rFonts w:ascii="Arial" w:cs="Arial" w:eastAsia="Arial" w:hAnsi="Arial"/>
                <w:sz w:val="13"/>
                <w:szCs w:val="13"/>
                <w:color w:val="auto"/>
              </w:rPr>
              <w:t>145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vMerge w:val="restart"/>
          </w:tcPr>
          <w:p>
            <w:pPr>
              <w:jc w:val="right"/>
              <w:spacing w:after="0"/>
              <w:rPr>
                <w:sz w:val="20"/>
                <w:szCs w:val="20"/>
                <w:color w:val="auto"/>
              </w:rPr>
            </w:pPr>
            <w:r>
              <w:rPr>
                <w:rFonts w:ascii="Arial" w:cs="Arial" w:eastAsia="Arial" w:hAnsi="Arial"/>
                <w:sz w:val="13"/>
                <w:szCs w:val="13"/>
                <w:color w:val="auto"/>
              </w:rPr>
              <w:t>(2,566)</w:t>
            </w: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vMerge w:val="restart"/>
          </w:tcPr>
          <w:p>
            <w:pPr>
              <w:jc w:val="right"/>
              <w:spacing w:after="0"/>
              <w:rPr>
                <w:sz w:val="20"/>
                <w:szCs w:val="20"/>
                <w:color w:val="auto"/>
              </w:rPr>
            </w:pPr>
            <w:r>
              <w:rPr>
                <w:rFonts w:ascii="Arial" w:cs="Arial" w:eastAsia="Arial" w:hAnsi="Arial"/>
                <w:sz w:val="13"/>
                <w:szCs w:val="13"/>
                <w:color w:val="auto"/>
              </w:rPr>
              <w:t>(2,830)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vMerge w:val="restart"/>
          </w:tcPr>
          <w:p>
            <w:pPr>
              <w:jc w:val="right"/>
              <w:ind w:right="37"/>
              <w:spacing w:after="0"/>
              <w:rPr>
                <w:sz w:val="20"/>
                <w:szCs w:val="20"/>
                <w:color w:val="auto"/>
              </w:rPr>
            </w:pPr>
            <w:r>
              <w:rPr>
                <w:rFonts w:ascii="Arial" w:cs="Arial" w:eastAsia="Arial" w:hAnsi="Arial"/>
                <w:sz w:val="13"/>
                <w:szCs w:val="13"/>
                <w:color w:val="auto"/>
              </w:rPr>
              <w:t>145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vMerge w:val="restart"/>
          </w:tcPr>
          <w:p>
            <w:pPr>
              <w:jc w:val="right"/>
              <w:spacing w:after="0"/>
              <w:rPr>
                <w:sz w:val="20"/>
                <w:szCs w:val="20"/>
                <w:color w:val="auto"/>
              </w:rPr>
            </w:pPr>
            <w:r>
              <w:rPr>
                <w:rFonts w:ascii="Arial" w:cs="Arial" w:eastAsia="Arial" w:hAnsi="Arial"/>
                <w:sz w:val="13"/>
                <w:szCs w:val="13"/>
                <w:color w:val="auto"/>
              </w:rPr>
              <w:t>(2,685)</w:t>
            </w:r>
          </w:p>
        </w:tc>
        <w:tc>
          <w:tcPr>
            <w:tcW w:w="0" w:type="dxa"/>
            <w:vAlign w:val="bottom"/>
          </w:tcPr>
          <w:p>
            <w:pPr>
              <w:spacing w:after="0"/>
              <w:rPr>
                <w:sz w:val="1"/>
                <w:szCs w:val="1"/>
                <w:color w:val="auto"/>
              </w:rPr>
            </w:pPr>
          </w:p>
        </w:tc>
      </w:tr>
      <w:tr>
        <w:trPr>
          <w:trHeight w:val="81"/>
        </w:trPr>
        <w:tc>
          <w:tcPr>
            <w:tcW w:w="3900" w:type="dxa"/>
            <w:vAlign w:val="bottom"/>
          </w:tcPr>
          <w:p>
            <w:pPr>
              <w:spacing w:after="0"/>
              <w:rPr>
                <w:sz w:val="7"/>
                <w:szCs w:val="7"/>
                <w:color w:val="auto"/>
              </w:rPr>
            </w:pPr>
          </w:p>
        </w:tc>
        <w:tc>
          <w:tcPr>
            <w:tcW w:w="14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420" w:type="dxa"/>
            <w:vAlign w:val="bottom"/>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42"/>
        </w:trPr>
        <w:tc>
          <w:tcPr>
            <w:tcW w:w="3900" w:type="dxa"/>
            <w:vAlign w:val="bottom"/>
          </w:tcPr>
          <w:p>
            <w:pPr>
              <w:spacing w:after="0"/>
              <w:rPr>
                <w:sz w:val="20"/>
                <w:szCs w:val="20"/>
                <w:color w:val="auto"/>
              </w:rPr>
            </w:pPr>
            <w:r>
              <w:rPr>
                <w:rFonts w:ascii="Arial" w:cs="Arial" w:eastAsia="Arial" w:hAnsi="Arial"/>
                <w:sz w:val="13"/>
                <w:szCs w:val="13"/>
                <w:color w:val="auto"/>
              </w:rPr>
              <w:t>Effect of changes in exchange rates on cash and cash equivalents,</w:t>
            </w: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3900" w:type="dxa"/>
            <w:vAlign w:val="bottom"/>
          </w:tcPr>
          <w:p>
            <w:pPr>
              <w:ind w:left="160"/>
              <w:spacing w:after="0"/>
              <w:rPr>
                <w:sz w:val="20"/>
                <w:szCs w:val="20"/>
                <w:color w:val="auto"/>
              </w:rPr>
            </w:pPr>
            <w:r>
              <w:rPr>
                <w:rFonts w:ascii="Arial" w:cs="Arial" w:eastAsia="Arial" w:hAnsi="Arial"/>
                <w:sz w:val="13"/>
                <w:szCs w:val="13"/>
                <w:color w:val="auto"/>
              </w:rPr>
              <w:t>program and restricted cash</w:t>
            </w:r>
          </w:p>
        </w:tc>
        <w:tc>
          <w:tcPr>
            <w:tcW w:w="14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Arial" w:cs="Arial" w:eastAsia="Arial" w:hAnsi="Arial"/>
                <w:sz w:val="13"/>
                <w:szCs w:val="13"/>
                <w:color w:val="auto"/>
              </w:rPr>
              <w:t>(41)</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(9)</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Arial" w:cs="Arial" w:eastAsia="Arial" w:hAnsi="Arial"/>
                <w:sz w:val="13"/>
                <w:szCs w:val="13"/>
                <w:color w:val="auto"/>
              </w:rPr>
              <w:t>(50)</w:t>
            </w: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Arial" w:cs="Arial" w:eastAsia="Arial" w:hAnsi="Arial"/>
                <w:sz w:val="13"/>
                <w:szCs w:val="13"/>
                <w:color w:val="auto"/>
              </w:rPr>
              <w:t>(41)</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(9)</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Arial" w:cs="Arial" w:eastAsia="Arial" w:hAnsi="Arial"/>
                <w:sz w:val="13"/>
                <w:szCs w:val="13"/>
                <w:color w:val="auto"/>
              </w:rPr>
              <w:t>(50)</w:t>
            </w:r>
          </w:p>
        </w:tc>
        <w:tc>
          <w:tcPr>
            <w:tcW w:w="0" w:type="dxa"/>
            <w:vAlign w:val="bottom"/>
          </w:tcPr>
          <w:p>
            <w:pPr>
              <w:spacing w:after="0"/>
              <w:rPr>
                <w:sz w:val="1"/>
                <w:szCs w:val="1"/>
                <w:color w:val="auto"/>
              </w:rPr>
            </w:pPr>
          </w:p>
        </w:tc>
      </w:tr>
      <w:tr>
        <w:trPr>
          <w:trHeight w:val="135"/>
        </w:trPr>
        <w:tc>
          <w:tcPr>
            <w:tcW w:w="3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442"/>
        </w:trPr>
        <w:tc>
          <w:tcPr>
            <w:tcW w:w="3900" w:type="dxa"/>
            <w:vAlign w:val="bottom"/>
          </w:tcPr>
          <w:p>
            <w:pPr>
              <w:spacing w:after="0"/>
              <w:rPr>
                <w:sz w:val="20"/>
                <w:szCs w:val="20"/>
                <w:color w:val="auto"/>
              </w:rPr>
            </w:pPr>
            <w:r>
              <w:rPr>
                <w:rFonts w:ascii="Arial" w:cs="Arial" w:eastAsia="Arial" w:hAnsi="Arial"/>
                <w:sz w:val="13"/>
                <w:szCs w:val="13"/>
                <w:color w:val="auto"/>
                <w:w w:val="99"/>
              </w:rPr>
              <w:t>Net increase (decrease) in cash and cash equivalents, program and</w:t>
            </w: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3900" w:type="dxa"/>
            <w:vAlign w:val="bottom"/>
          </w:tcPr>
          <w:p>
            <w:pPr>
              <w:ind w:left="160"/>
              <w:spacing w:after="0"/>
              <w:rPr>
                <w:sz w:val="20"/>
                <w:szCs w:val="20"/>
                <w:color w:val="auto"/>
              </w:rPr>
            </w:pPr>
            <w:r>
              <w:rPr>
                <w:rFonts w:ascii="Arial" w:cs="Arial" w:eastAsia="Arial" w:hAnsi="Arial"/>
                <w:sz w:val="13"/>
                <w:szCs w:val="13"/>
                <w:color w:val="auto"/>
              </w:rPr>
              <w:t>restricted cash</w:t>
            </w:r>
          </w:p>
        </w:tc>
        <w:tc>
          <w:tcPr>
            <w:tcW w:w="14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(34)</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jc w:val="right"/>
              <w:ind w:right="37"/>
              <w:spacing w:after="0"/>
              <w:rPr>
                <w:sz w:val="20"/>
                <w:szCs w:val="20"/>
                <w:color w:val="auto"/>
              </w:rPr>
            </w:pPr>
            <w:r>
              <w:rPr>
                <w:rFonts w:ascii="Arial" w:cs="Arial" w:eastAsia="Arial" w:hAnsi="Arial"/>
                <w:sz w:val="13"/>
                <w:szCs w:val="13"/>
                <w:color w:val="auto"/>
              </w:rPr>
              <w:t>136</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jc w:val="right"/>
              <w:ind w:right="17"/>
              <w:spacing w:after="0"/>
              <w:rPr>
                <w:sz w:val="20"/>
                <w:szCs w:val="20"/>
                <w:color w:val="auto"/>
              </w:rPr>
            </w:pPr>
            <w:r>
              <w:rPr>
                <w:rFonts w:ascii="Arial" w:cs="Arial" w:eastAsia="Arial" w:hAnsi="Arial"/>
                <w:sz w:val="13"/>
                <w:szCs w:val="13"/>
                <w:color w:val="auto"/>
              </w:rPr>
              <w:t>102</w:t>
            </w: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(172)</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jc w:val="right"/>
              <w:ind w:right="37"/>
              <w:spacing w:after="0"/>
              <w:rPr>
                <w:sz w:val="20"/>
                <w:szCs w:val="20"/>
                <w:color w:val="auto"/>
              </w:rPr>
            </w:pPr>
            <w:r>
              <w:rPr>
                <w:rFonts w:ascii="Arial" w:cs="Arial" w:eastAsia="Arial" w:hAnsi="Arial"/>
                <w:sz w:val="13"/>
                <w:szCs w:val="13"/>
                <w:color w:val="auto"/>
              </w:rPr>
              <w:t>136</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(36)</w:t>
            </w:r>
          </w:p>
        </w:tc>
        <w:tc>
          <w:tcPr>
            <w:tcW w:w="0" w:type="dxa"/>
            <w:vAlign w:val="bottom"/>
          </w:tcPr>
          <w:p>
            <w:pPr>
              <w:spacing w:after="0"/>
              <w:rPr>
                <w:sz w:val="1"/>
                <w:szCs w:val="1"/>
                <w:color w:val="auto"/>
              </w:rPr>
            </w:pPr>
          </w:p>
        </w:tc>
      </w:tr>
      <w:tr>
        <w:trPr>
          <w:trHeight w:val="172"/>
        </w:trPr>
        <w:tc>
          <w:tcPr>
            <w:tcW w:w="3900" w:type="dxa"/>
            <w:vAlign w:val="bottom"/>
          </w:tcPr>
          <w:p>
            <w:pPr>
              <w:spacing w:after="0"/>
              <w:rPr>
                <w:sz w:val="20"/>
                <w:szCs w:val="20"/>
                <w:color w:val="auto"/>
              </w:rPr>
            </w:pPr>
            <w:r>
              <w:rPr>
                <w:rFonts w:ascii="Arial" w:cs="Arial" w:eastAsia="Arial" w:hAnsi="Arial"/>
                <w:sz w:val="13"/>
                <w:szCs w:val="13"/>
                <w:color w:val="auto"/>
                <w:w w:val="99"/>
              </w:rPr>
              <w:t>Cash and cash equivalents, program and restricted cash, beginning</w:t>
            </w: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3900" w:type="dxa"/>
            <w:vAlign w:val="bottom"/>
          </w:tcPr>
          <w:p>
            <w:pPr>
              <w:ind w:left="160"/>
              <w:spacing w:after="0"/>
              <w:rPr>
                <w:sz w:val="20"/>
                <w:szCs w:val="20"/>
                <w:color w:val="auto"/>
              </w:rPr>
            </w:pPr>
            <w:r>
              <w:rPr>
                <w:rFonts w:ascii="Arial" w:cs="Arial" w:eastAsia="Arial" w:hAnsi="Arial"/>
                <w:sz w:val="13"/>
                <w:szCs w:val="13"/>
                <w:color w:val="auto"/>
              </w:rPr>
              <w:t>of period</w:t>
            </w:r>
          </w:p>
        </w:tc>
        <w:tc>
          <w:tcPr>
            <w:tcW w:w="140" w:type="dxa"/>
            <w:vAlign w:val="bottom"/>
          </w:tcPr>
          <w:p>
            <w:pPr>
              <w:spacing w:after="0"/>
              <w:rPr>
                <w:sz w:val="13"/>
                <w:szCs w:val="13"/>
                <w:color w:val="auto"/>
              </w:rPr>
            </w:pPr>
          </w:p>
        </w:tc>
        <w:tc>
          <w:tcPr>
            <w:tcW w:w="820" w:type="dxa"/>
            <w:vAlign w:val="bottom"/>
            <w:vMerge w:val="restart"/>
          </w:tcPr>
          <w:p>
            <w:pPr>
              <w:jc w:val="right"/>
              <w:ind w:right="37"/>
              <w:spacing w:after="0"/>
              <w:rPr>
                <w:sz w:val="20"/>
                <w:szCs w:val="20"/>
                <w:color w:val="auto"/>
              </w:rPr>
            </w:pPr>
            <w:r>
              <w:rPr>
                <w:rFonts w:ascii="Arial" w:cs="Arial" w:eastAsia="Arial" w:hAnsi="Arial"/>
                <w:sz w:val="13"/>
                <w:szCs w:val="13"/>
                <w:color w:val="auto"/>
              </w:rPr>
              <w:t>412</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vMerge w:val="restart"/>
          </w:tcPr>
          <w:p>
            <w:pPr>
              <w:jc w:val="right"/>
              <w:ind w:right="37"/>
              <w:spacing w:after="0"/>
              <w:rPr>
                <w:sz w:val="20"/>
                <w:szCs w:val="20"/>
                <w:color w:val="auto"/>
              </w:rPr>
            </w:pPr>
            <w:r>
              <w:rPr>
                <w:rFonts w:ascii="Arial" w:cs="Arial" w:eastAsia="Arial" w:hAnsi="Arial"/>
                <w:sz w:val="13"/>
                <w:szCs w:val="13"/>
                <w:color w:val="auto"/>
              </w:rPr>
              <w:t>129</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vMerge w:val="restart"/>
          </w:tcPr>
          <w:p>
            <w:pPr>
              <w:jc w:val="right"/>
              <w:ind w:right="17"/>
              <w:spacing w:after="0"/>
              <w:rPr>
                <w:sz w:val="20"/>
                <w:szCs w:val="20"/>
                <w:color w:val="auto"/>
              </w:rPr>
            </w:pPr>
            <w:r>
              <w:rPr>
                <w:rFonts w:ascii="Arial" w:cs="Arial" w:eastAsia="Arial" w:hAnsi="Arial"/>
                <w:sz w:val="13"/>
                <w:szCs w:val="13"/>
                <w:color w:val="auto"/>
              </w:rPr>
              <w:t>541</w:t>
            </w: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vMerge w:val="restart"/>
          </w:tcPr>
          <w:p>
            <w:pPr>
              <w:jc w:val="right"/>
              <w:ind w:right="37"/>
              <w:spacing w:after="0"/>
              <w:rPr>
                <w:sz w:val="20"/>
                <w:szCs w:val="20"/>
                <w:color w:val="auto"/>
              </w:rPr>
            </w:pPr>
            <w:r>
              <w:rPr>
                <w:rFonts w:ascii="Arial" w:cs="Arial" w:eastAsia="Arial" w:hAnsi="Arial"/>
                <w:sz w:val="13"/>
                <w:szCs w:val="13"/>
                <w:color w:val="auto"/>
              </w:rPr>
              <w:t>624</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vMerge w:val="restart"/>
          </w:tcPr>
          <w:p>
            <w:pPr>
              <w:jc w:val="right"/>
              <w:ind w:right="37"/>
              <w:spacing w:after="0"/>
              <w:rPr>
                <w:sz w:val="20"/>
                <w:szCs w:val="20"/>
                <w:color w:val="auto"/>
              </w:rPr>
            </w:pPr>
            <w:r>
              <w:rPr>
                <w:rFonts w:ascii="Arial" w:cs="Arial" w:eastAsia="Arial" w:hAnsi="Arial"/>
                <w:sz w:val="13"/>
                <w:szCs w:val="13"/>
                <w:color w:val="auto"/>
              </w:rPr>
              <w:t>129</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vMerge w:val="restart"/>
          </w:tcPr>
          <w:p>
            <w:pPr>
              <w:jc w:val="right"/>
              <w:ind w:right="37"/>
              <w:spacing w:after="0"/>
              <w:rPr>
                <w:sz w:val="20"/>
                <w:szCs w:val="20"/>
                <w:color w:val="auto"/>
              </w:rPr>
            </w:pPr>
            <w:r>
              <w:rPr>
                <w:rFonts w:ascii="Arial" w:cs="Arial" w:eastAsia="Arial" w:hAnsi="Arial"/>
                <w:sz w:val="13"/>
                <w:szCs w:val="13"/>
                <w:color w:val="auto"/>
              </w:rPr>
              <w:t>753</w:t>
            </w:r>
          </w:p>
        </w:tc>
        <w:tc>
          <w:tcPr>
            <w:tcW w:w="0" w:type="dxa"/>
            <w:vAlign w:val="bottom"/>
          </w:tcPr>
          <w:p>
            <w:pPr>
              <w:spacing w:after="0"/>
              <w:rPr>
                <w:sz w:val="1"/>
                <w:szCs w:val="1"/>
                <w:color w:val="auto"/>
              </w:rPr>
            </w:pPr>
          </w:p>
        </w:tc>
      </w:tr>
      <w:tr>
        <w:trPr>
          <w:trHeight w:val="145"/>
        </w:trPr>
        <w:tc>
          <w:tcPr>
            <w:tcW w:w="39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vMerge w:val="continue"/>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vMerge w:val="continue"/>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3900" w:type="dxa"/>
            <w:vAlign w:val="bottom"/>
          </w:tcPr>
          <w:p>
            <w:pPr>
              <w:spacing w:after="0" w:line="127" w:lineRule="exact"/>
              <w:rPr>
                <w:sz w:val="20"/>
                <w:szCs w:val="20"/>
                <w:color w:val="auto"/>
              </w:rPr>
            </w:pPr>
            <w:r>
              <w:rPr>
                <w:rFonts w:ascii="Arial" w:cs="Arial" w:eastAsia="Arial" w:hAnsi="Arial"/>
                <w:sz w:val="13"/>
                <w:szCs w:val="13"/>
                <w:b w:val="1"/>
                <w:bCs w:val="1"/>
                <w:color w:val="auto"/>
                <w:w w:val="97"/>
              </w:rPr>
              <w:t>Cash and cash equivalents, program and restricted cash, end of</w:t>
            </w: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3900" w:type="dxa"/>
            <w:vAlign w:val="bottom"/>
          </w:tcPr>
          <w:p>
            <w:pPr>
              <w:ind w:left="160"/>
              <w:spacing w:after="0"/>
              <w:rPr>
                <w:sz w:val="20"/>
                <w:szCs w:val="20"/>
                <w:color w:val="auto"/>
              </w:rPr>
            </w:pPr>
            <w:r>
              <w:rPr>
                <w:rFonts w:ascii="Arial" w:cs="Arial" w:eastAsia="Arial" w:hAnsi="Arial"/>
                <w:sz w:val="13"/>
                <w:szCs w:val="13"/>
                <w:b w:val="1"/>
                <w:bCs w:val="1"/>
                <w:color w:val="auto"/>
              </w:rPr>
              <w:t>period</w:t>
            </w:r>
          </w:p>
        </w:tc>
        <w:tc>
          <w:tcPr>
            <w:tcW w:w="140" w:type="dxa"/>
            <w:vAlign w:val="bottom"/>
            <w:vMerge w:val="restart"/>
          </w:tcPr>
          <w:p>
            <w:pPr>
              <w:ind w:left="20"/>
              <w:spacing w:after="0"/>
              <w:rPr>
                <w:sz w:val="20"/>
                <w:szCs w:val="20"/>
                <w:color w:val="auto"/>
              </w:rPr>
            </w:pPr>
            <w:r>
              <w:rPr>
                <w:rFonts w:ascii="Arial" w:cs="Arial" w:eastAsia="Arial" w:hAnsi="Arial"/>
                <w:sz w:val="13"/>
                <w:szCs w:val="13"/>
                <w:color w:val="auto"/>
              </w:rPr>
              <w:t>$</w:t>
            </w:r>
          </w:p>
        </w:tc>
        <w:tc>
          <w:tcPr>
            <w:tcW w:w="820" w:type="dxa"/>
            <w:vAlign w:val="bottom"/>
            <w:vMerge w:val="restart"/>
          </w:tcPr>
          <w:p>
            <w:pPr>
              <w:jc w:val="right"/>
              <w:ind w:right="37"/>
              <w:spacing w:after="0"/>
              <w:rPr>
                <w:sz w:val="20"/>
                <w:szCs w:val="20"/>
                <w:color w:val="auto"/>
              </w:rPr>
            </w:pPr>
            <w:r>
              <w:rPr>
                <w:rFonts w:ascii="Arial" w:cs="Arial" w:eastAsia="Arial" w:hAnsi="Arial"/>
                <w:sz w:val="13"/>
                <w:szCs w:val="13"/>
                <w:color w:val="auto"/>
              </w:rPr>
              <w:t>378</w:t>
            </w:r>
          </w:p>
        </w:tc>
        <w:tc>
          <w:tcPr>
            <w:tcW w:w="120" w:type="dxa"/>
            <w:vAlign w:val="bottom"/>
          </w:tcPr>
          <w:p>
            <w:pPr>
              <w:spacing w:after="0"/>
              <w:rPr>
                <w:sz w:val="14"/>
                <w:szCs w:val="14"/>
                <w:color w:val="auto"/>
              </w:rPr>
            </w:pPr>
          </w:p>
        </w:tc>
        <w:tc>
          <w:tcPr>
            <w:tcW w:w="1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760" w:type="dxa"/>
            <w:vAlign w:val="bottom"/>
            <w:vMerge w:val="restart"/>
          </w:tcPr>
          <w:p>
            <w:pPr>
              <w:jc w:val="right"/>
              <w:ind w:right="37"/>
              <w:spacing w:after="0"/>
              <w:rPr>
                <w:sz w:val="20"/>
                <w:szCs w:val="20"/>
                <w:color w:val="auto"/>
              </w:rPr>
            </w:pPr>
            <w:r>
              <w:rPr>
                <w:rFonts w:ascii="Arial" w:cs="Arial" w:eastAsia="Arial" w:hAnsi="Arial"/>
                <w:sz w:val="13"/>
                <w:szCs w:val="13"/>
                <w:color w:val="auto"/>
              </w:rPr>
              <w:t>265</w:t>
            </w:r>
          </w:p>
        </w:tc>
        <w:tc>
          <w:tcPr>
            <w:tcW w:w="10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780" w:type="dxa"/>
            <w:vAlign w:val="bottom"/>
            <w:vMerge w:val="restart"/>
          </w:tcPr>
          <w:p>
            <w:pPr>
              <w:jc w:val="right"/>
              <w:ind w:right="17"/>
              <w:spacing w:after="0"/>
              <w:rPr>
                <w:sz w:val="20"/>
                <w:szCs w:val="20"/>
                <w:color w:val="auto"/>
              </w:rPr>
            </w:pPr>
            <w:r>
              <w:rPr>
                <w:rFonts w:ascii="Arial" w:cs="Arial" w:eastAsia="Arial" w:hAnsi="Arial"/>
                <w:sz w:val="13"/>
                <w:szCs w:val="13"/>
                <w:color w:val="auto"/>
              </w:rPr>
              <w:t>643</w:t>
            </w:r>
          </w:p>
        </w:tc>
        <w:tc>
          <w:tcPr>
            <w:tcW w:w="420" w:type="dxa"/>
            <w:vAlign w:val="bottom"/>
          </w:tcPr>
          <w:p>
            <w:pPr>
              <w:spacing w:after="0"/>
              <w:rPr>
                <w:sz w:val="14"/>
                <w:szCs w:val="14"/>
                <w:color w:val="auto"/>
              </w:rPr>
            </w:pPr>
          </w:p>
        </w:tc>
        <w:tc>
          <w:tcPr>
            <w:tcW w:w="140" w:type="dxa"/>
            <w:vAlign w:val="bottom"/>
            <w:vMerge w:val="restart"/>
          </w:tcPr>
          <w:p>
            <w:pPr>
              <w:ind w:left="20"/>
              <w:spacing w:after="0"/>
              <w:rPr>
                <w:sz w:val="20"/>
                <w:szCs w:val="20"/>
                <w:color w:val="auto"/>
              </w:rPr>
            </w:pPr>
            <w:r>
              <w:rPr>
                <w:rFonts w:ascii="Arial" w:cs="Arial" w:eastAsia="Arial" w:hAnsi="Arial"/>
                <w:sz w:val="13"/>
                <w:szCs w:val="13"/>
                <w:color w:val="auto"/>
              </w:rPr>
              <w:t>$</w:t>
            </w:r>
          </w:p>
        </w:tc>
        <w:tc>
          <w:tcPr>
            <w:tcW w:w="780" w:type="dxa"/>
            <w:vAlign w:val="bottom"/>
            <w:vMerge w:val="restart"/>
          </w:tcPr>
          <w:p>
            <w:pPr>
              <w:jc w:val="right"/>
              <w:ind w:right="37"/>
              <w:spacing w:after="0"/>
              <w:rPr>
                <w:sz w:val="20"/>
                <w:szCs w:val="20"/>
                <w:color w:val="auto"/>
              </w:rPr>
            </w:pPr>
            <w:r>
              <w:rPr>
                <w:rFonts w:ascii="Arial" w:cs="Arial" w:eastAsia="Arial" w:hAnsi="Arial"/>
                <w:sz w:val="13"/>
                <w:szCs w:val="13"/>
                <w:color w:val="auto"/>
              </w:rPr>
              <w:t>452</w:t>
            </w:r>
          </w:p>
        </w:tc>
        <w:tc>
          <w:tcPr>
            <w:tcW w:w="100" w:type="dxa"/>
            <w:vAlign w:val="bottom"/>
          </w:tcPr>
          <w:p>
            <w:pPr>
              <w:spacing w:after="0"/>
              <w:rPr>
                <w:sz w:val="14"/>
                <w:szCs w:val="14"/>
                <w:color w:val="auto"/>
              </w:rPr>
            </w:pPr>
          </w:p>
        </w:tc>
        <w:tc>
          <w:tcPr>
            <w:tcW w:w="1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760" w:type="dxa"/>
            <w:vAlign w:val="bottom"/>
            <w:vMerge w:val="restart"/>
          </w:tcPr>
          <w:p>
            <w:pPr>
              <w:jc w:val="right"/>
              <w:ind w:right="37"/>
              <w:spacing w:after="0"/>
              <w:rPr>
                <w:sz w:val="20"/>
                <w:szCs w:val="20"/>
                <w:color w:val="auto"/>
              </w:rPr>
            </w:pPr>
            <w:r>
              <w:rPr>
                <w:rFonts w:ascii="Arial" w:cs="Arial" w:eastAsia="Arial" w:hAnsi="Arial"/>
                <w:sz w:val="13"/>
                <w:szCs w:val="13"/>
                <w:color w:val="auto"/>
              </w:rPr>
              <w:t>265</w:t>
            </w:r>
          </w:p>
        </w:tc>
        <w:tc>
          <w:tcPr>
            <w:tcW w:w="100" w:type="dxa"/>
            <w:vAlign w:val="bottom"/>
          </w:tcPr>
          <w:p>
            <w:pPr>
              <w:spacing w:after="0"/>
              <w:rPr>
                <w:sz w:val="14"/>
                <w:szCs w:val="14"/>
                <w:color w:val="auto"/>
              </w:rPr>
            </w:pPr>
          </w:p>
        </w:tc>
        <w:tc>
          <w:tcPr>
            <w:tcW w:w="200" w:type="dxa"/>
            <w:vAlign w:val="bottom"/>
            <w:vMerge w:val="restart"/>
          </w:tcPr>
          <w:p>
            <w:pPr>
              <w:jc w:val="right"/>
              <w:ind w:right="37"/>
              <w:spacing w:after="0"/>
              <w:rPr>
                <w:sz w:val="20"/>
                <w:szCs w:val="20"/>
                <w:color w:val="auto"/>
              </w:rPr>
            </w:pPr>
            <w:r>
              <w:rPr>
                <w:rFonts w:ascii="Arial" w:cs="Arial" w:eastAsia="Arial" w:hAnsi="Arial"/>
                <w:sz w:val="13"/>
                <w:szCs w:val="13"/>
                <w:color w:val="auto"/>
              </w:rPr>
              <w:t>$</w:t>
            </w:r>
          </w:p>
        </w:tc>
        <w:tc>
          <w:tcPr>
            <w:tcW w:w="720" w:type="dxa"/>
            <w:vAlign w:val="bottom"/>
            <w:vMerge w:val="restart"/>
          </w:tcPr>
          <w:p>
            <w:pPr>
              <w:jc w:val="right"/>
              <w:ind w:right="37"/>
              <w:spacing w:after="0"/>
              <w:rPr>
                <w:sz w:val="20"/>
                <w:szCs w:val="20"/>
                <w:color w:val="auto"/>
              </w:rPr>
            </w:pPr>
            <w:r>
              <w:rPr>
                <w:rFonts w:ascii="Arial" w:cs="Arial" w:eastAsia="Arial" w:hAnsi="Arial"/>
                <w:sz w:val="13"/>
                <w:szCs w:val="13"/>
                <w:color w:val="auto"/>
              </w:rPr>
              <w:t>717</w:t>
            </w:r>
          </w:p>
        </w:tc>
        <w:tc>
          <w:tcPr>
            <w:tcW w:w="0" w:type="dxa"/>
            <w:vAlign w:val="bottom"/>
          </w:tcPr>
          <w:p>
            <w:pPr>
              <w:spacing w:after="0"/>
              <w:rPr>
                <w:sz w:val="1"/>
                <w:szCs w:val="1"/>
                <w:color w:val="auto"/>
              </w:rPr>
            </w:pPr>
          </w:p>
        </w:tc>
      </w:tr>
      <w:tr>
        <w:trPr>
          <w:trHeight w:val="136"/>
        </w:trPr>
        <w:tc>
          <w:tcPr>
            <w:tcW w:w="3900" w:type="dxa"/>
            <w:vAlign w:val="bottom"/>
          </w:tcPr>
          <w:p>
            <w:pPr>
              <w:spacing w:after="0"/>
              <w:rPr>
                <w:sz w:val="11"/>
                <w:szCs w:val="11"/>
                <w:color w:val="auto"/>
              </w:rPr>
            </w:pPr>
          </w:p>
        </w:tc>
        <w:tc>
          <w:tcPr>
            <w:tcW w:w="140" w:type="dxa"/>
            <w:vAlign w:val="bottom"/>
            <w:tcBorders>
              <w:bottom w:val="single" w:sz="8" w:color="auto"/>
            </w:tcBorders>
            <w:vMerge w:val="continue"/>
          </w:tcPr>
          <w:p>
            <w:pPr>
              <w:spacing w:after="0"/>
              <w:rPr>
                <w:sz w:val="11"/>
                <w:szCs w:val="11"/>
                <w:color w:val="auto"/>
              </w:rPr>
            </w:pPr>
          </w:p>
        </w:tc>
        <w:tc>
          <w:tcPr>
            <w:tcW w:w="820" w:type="dxa"/>
            <w:vAlign w:val="bottom"/>
            <w:tcBorders>
              <w:bottom w:val="single" w:sz="8" w:color="auto"/>
            </w:tcBorders>
            <w:vMerge w:val="continue"/>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Borders>
              <w:bottom w:val="single" w:sz="8" w:color="auto"/>
            </w:tcBorders>
            <w:vMerge w:val="continue"/>
          </w:tcPr>
          <w:p>
            <w:pPr>
              <w:spacing w:after="0"/>
              <w:rPr>
                <w:sz w:val="11"/>
                <w:szCs w:val="11"/>
                <w:color w:val="auto"/>
              </w:rPr>
            </w:pPr>
          </w:p>
        </w:tc>
        <w:tc>
          <w:tcPr>
            <w:tcW w:w="760" w:type="dxa"/>
            <w:vAlign w:val="bottom"/>
            <w:tcBorders>
              <w:bottom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bottom w:val="single" w:sz="8" w:color="auto"/>
            </w:tcBorders>
            <w:vMerge w:val="continue"/>
          </w:tcPr>
          <w:p>
            <w:pPr>
              <w:spacing w:after="0"/>
              <w:rPr>
                <w:sz w:val="11"/>
                <w:szCs w:val="11"/>
                <w:color w:val="auto"/>
              </w:rPr>
            </w:pPr>
          </w:p>
        </w:tc>
        <w:tc>
          <w:tcPr>
            <w:tcW w:w="780" w:type="dxa"/>
            <w:vAlign w:val="bottom"/>
            <w:tcBorders>
              <w:bottom w:val="single" w:sz="8" w:color="auto"/>
            </w:tcBorders>
            <w:vMerge w:val="continue"/>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Borders>
              <w:bottom w:val="single" w:sz="8" w:color="auto"/>
            </w:tcBorders>
            <w:vMerge w:val="continue"/>
          </w:tcPr>
          <w:p>
            <w:pPr>
              <w:spacing w:after="0"/>
              <w:rPr>
                <w:sz w:val="11"/>
                <w:szCs w:val="11"/>
                <w:color w:val="auto"/>
              </w:rPr>
            </w:pPr>
          </w:p>
        </w:tc>
        <w:tc>
          <w:tcPr>
            <w:tcW w:w="780" w:type="dxa"/>
            <w:vAlign w:val="bottom"/>
            <w:tcBorders>
              <w:bottom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Borders>
              <w:bottom w:val="single" w:sz="8" w:color="auto"/>
            </w:tcBorders>
            <w:vMerge w:val="continue"/>
          </w:tcPr>
          <w:p>
            <w:pPr>
              <w:spacing w:after="0"/>
              <w:rPr>
                <w:sz w:val="11"/>
                <w:szCs w:val="11"/>
                <w:color w:val="auto"/>
              </w:rPr>
            </w:pPr>
          </w:p>
        </w:tc>
        <w:tc>
          <w:tcPr>
            <w:tcW w:w="760" w:type="dxa"/>
            <w:vAlign w:val="bottom"/>
            <w:tcBorders>
              <w:bottom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Borders>
              <w:bottom w:val="single" w:sz="8" w:color="auto"/>
            </w:tcBorders>
            <w:vMerge w:val="continue"/>
          </w:tcPr>
          <w:p>
            <w:pPr>
              <w:spacing w:after="0"/>
              <w:rPr>
                <w:sz w:val="11"/>
                <w:szCs w:val="11"/>
                <w:color w:val="auto"/>
              </w:rPr>
            </w:pPr>
          </w:p>
        </w:tc>
        <w:tc>
          <w:tcPr>
            <w:tcW w:w="72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7" w:lineRule="exact"/>
        <w:rPr>
          <w:sz w:val="20"/>
          <w:szCs w:val="20"/>
          <w:color w:val="auto"/>
        </w:rPr>
      </w:pPr>
    </w:p>
    <w:p>
      <w:pPr>
        <w:jc w:val="both"/>
        <w:ind w:left="500" w:right="600"/>
        <w:spacing w:after="0" w:line="291" w:lineRule="auto"/>
        <w:rPr>
          <w:sz w:val="20"/>
          <w:szCs w:val="20"/>
          <w:color w:val="auto"/>
        </w:rPr>
      </w:pPr>
      <w:r>
        <w:rPr>
          <w:rFonts w:ascii="Arial" w:cs="Arial" w:eastAsia="Arial" w:hAnsi="Arial"/>
          <w:sz w:val="17"/>
          <w:szCs w:val="17"/>
          <w:color w:val="auto"/>
        </w:rPr>
        <w:t>The following table provides a reconciliation of the cash and cash equivalents, program and restricted cash reported within the Consolidating Condensed Balance Sheets to the amounts shown in the Consolidating Condensed Statements of Cash Flows.</w:t>
      </w:r>
    </w:p>
    <w:p>
      <w:pPr>
        <w:spacing w:after="0" w:line="112" w:lineRule="exact"/>
        <w:rPr>
          <w:sz w:val="20"/>
          <w:szCs w:val="20"/>
          <w:color w:val="auto"/>
        </w:rPr>
      </w:pPr>
    </w:p>
    <w:tbl>
      <w:tblPr>
        <w:tblLayout w:type="fixed"/>
        <w:tblInd w:w="520" w:type="dxa"/>
        <w:tblCellMar>
          <w:top w:w="0" w:type="dxa"/>
          <w:left w:w="0" w:type="dxa"/>
          <w:bottom w:w="0" w:type="dxa"/>
          <w:right w:w="0" w:type="dxa"/>
        </w:tblCellMar>
      </w:tblPr>
      <w:tr>
        <w:trPr>
          <w:trHeight w:val="246"/>
        </w:trPr>
        <w:tc>
          <w:tcPr>
            <w:tcW w:w="4360" w:type="dxa"/>
            <w:vAlign w:val="bottom"/>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214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8"/>
                <w:szCs w:val="18"/>
                <w:b w:val="1"/>
                <w:bCs w:val="1"/>
                <w:color w:val="auto"/>
              </w:rPr>
              <w:t>As of December 31,</w:t>
            </w:r>
          </w:p>
        </w:tc>
        <w:tc>
          <w:tcPr>
            <w:tcW w:w="50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4360" w:type="dxa"/>
            <w:vAlign w:val="bottom"/>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8"/>
                <w:szCs w:val="18"/>
                <w:b w:val="1"/>
                <w:bCs w:val="1"/>
                <w:color w:val="auto"/>
              </w:rPr>
              <w:t>2017</w:t>
            </w:r>
          </w:p>
        </w:tc>
        <w:tc>
          <w:tcPr>
            <w:tcW w:w="1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8"/>
                <w:szCs w:val="18"/>
                <w:b w:val="1"/>
                <w:bCs w:val="1"/>
                <w:color w:val="auto"/>
              </w:rPr>
              <w:t>2016</w:t>
            </w:r>
          </w:p>
        </w:tc>
        <w:tc>
          <w:tcPr>
            <w:tcW w:w="10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4360" w:type="dxa"/>
            <w:vAlign w:val="bottom"/>
          </w:tcPr>
          <w:p>
            <w:pPr>
              <w:spacing w:after="0"/>
              <w:rPr>
                <w:sz w:val="22"/>
                <w:szCs w:val="22"/>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b w:val="1"/>
                <w:bCs w:val="1"/>
                <w:color w:val="auto"/>
              </w:rPr>
              <w:t>Non-Guarantor</w:t>
            </w:r>
          </w:p>
        </w:tc>
        <w:tc>
          <w:tcPr>
            <w:tcW w:w="380" w:type="dxa"/>
            <w:vAlign w:val="bottom"/>
          </w:tcPr>
          <w:p>
            <w:pPr>
              <w:spacing w:after="0"/>
              <w:rPr>
                <w:sz w:val="22"/>
                <w:szCs w:val="22"/>
                <w:color w:val="auto"/>
              </w:rPr>
            </w:pPr>
          </w:p>
        </w:tc>
        <w:tc>
          <w:tcPr>
            <w:tcW w:w="1200" w:type="dxa"/>
            <w:vAlign w:val="bottom"/>
            <w:gridSpan w:val="2"/>
          </w:tcPr>
          <w:p>
            <w:pPr>
              <w:ind w:left="160"/>
              <w:spacing w:after="0"/>
              <w:rPr>
                <w:sz w:val="20"/>
                <w:szCs w:val="20"/>
                <w:color w:val="auto"/>
              </w:rPr>
            </w:pPr>
            <w:r>
              <w:rPr>
                <w:rFonts w:ascii="Arial" w:cs="Arial" w:eastAsia="Arial" w:hAnsi="Arial"/>
                <w:sz w:val="18"/>
                <w:szCs w:val="18"/>
                <w:b w:val="1"/>
                <w:bCs w:val="1"/>
                <w:color w:val="auto"/>
              </w:rPr>
              <w:t>Total</w:t>
            </w:r>
          </w:p>
        </w:tc>
        <w:tc>
          <w:tcPr>
            <w:tcW w:w="1440" w:type="dxa"/>
            <w:vAlign w:val="bottom"/>
            <w:gridSpan w:val="2"/>
          </w:tcPr>
          <w:p>
            <w:pPr>
              <w:jc w:val="right"/>
              <w:spacing w:after="0"/>
              <w:rPr>
                <w:sz w:val="20"/>
                <w:szCs w:val="20"/>
                <w:color w:val="auto"/>
              </w:rPr>
            </w:pPr>
            <w:r>
              <w:rPr>
                <w:rFonts w:ascii="Arial" w:cs="Arial" w:eastAsia="Arial" w:hAnsi="Arial"/>
                <w:sz w:val="18"/>
                <w:szCs w:val="18"/>
                <w:b w:val="1"/>
                <w:bCs w:val="1"/>
                <w:color w:val="auto"/>
              </w:rPr>
              <w:t>Non-Guarantor</w:t>
            </w:r>
          </w:p>
        </w:tc>
        <w:tc>
          <w:tcPr>
            <w:tcW w:w="400" w:type="dxa"/>
            <w:vAlign w:val="bottom"/>
          </w:tcPr>
          <w:p>
            <w:pPr>
              <w:spacing w:after="0"/>
              <w:rPr>
                <w:sz w:val="22"/>
                <w:szCs w:val="22"/>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43"/>
        </w:trPr>
        <w:tc>
          <w:tcPr>
            <w:tcW w:w="43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60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593</w:t>
            </w:r>
          </w:p>
        </w:tc>
        <w:tc>
          <w:tcPr>
            <w:tcW w:w="38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611</w:t>
            </w:r>
          </w:p>
        </w:tc>
        <w:tc>
          <w:tcPr>
            <w:tcW w:w="100" w:type="dxa"/>
            <w:vAlign w:val="bottom"/>
          </w:tcPr>
          <w:p>
            <w:pPr>
              <w:spacing w:after="0"/>
              <w:rPr>
                <w:sz w:val="21"/>
                <w:szCs w:val="21"/>
                <w:color w:val="auto"/>
              </w:rPr>
            </w:pPr>
          </w:p>
        </w:tc>
        <w:tc>
          <w:tcPr>
            <w:tcW w:w="940" w:type="dxa"/>
            <w:vAlign w:val="bottom"/>
            <w:tcBorders>
              <w:top w:val="single" w:sz="8" w:color="auto"/>
            </w:tcBorders>
          </w:tcPr>
          <w:p>
            <w:pPr>
              <w:jc w:val="right"/>
              <w:ind w:right="710"/>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475</w:t>
            </w:r>
          </w:p>
        </w:tc>
        <w:tc>
          <w:tcPr>
            <w:tcW w:w="40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490</w:t>
            </w:r>
          </w:p>
        </w:tc>
        <w:tc>
          <w:tcPr>
            <w:tcW w:w="0" w:type="dxa"/>
            <w:vAlign w:val="bottom"/>
          </w:tcPr>
          <w:p>
            <w:pPr>
              <w:spacing w:after="0"/>
              <w:rPr>
                <w:sz w:val="1"/>
                <w:szCs w:val="1"/>
                <w:color w:val="auto"/>
              </w:rPr>
            </w:pPr>
          </w:p>
        </w:tc>
      </w:tr>
      <w:tr>
        <w:trPr>
          <w:trHeight w:val="270"/>
        </w:trPr>
        <w:tc>
          <w:tcPr>
            <w:tcW w:w="4360" w:type="dxa"/>
            <w:vAlign w:val="bottom"/>
          </w:tcPr>
          <w:p>
            <w:pPr>
              <w:spacing w:after="0"/>
              <w:rPr>
                <w:sz w:val="20"/>
                <w:szCs w:val="20"/>
                <w:color w:val="auto"/>
              </w:rPr>
            </w:pPr>
            <w:r>
              <w:rPr>
                <w:rFonts w:ascii="Arial" w:cs="Arial" w:eastAsia="Arial" w:hAnsi="Arial"/>
                <w:sz w:val="18"/>
                <w:szCs w:val="18"/>
                <w:color w:val="auto"/>
              </w:rPr>
              <w:t>Program cash</w:t>
            </w:r>
          </w:p>
        </w:tc>
        <w:tc>
          <w:tcPr>
            <w:tcW w:w="60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283</w:t>
            </w:r>
          </w:p>
        </w:tc>
        <w:tc>
          <w:tcPr>
            <w:tcW w:w="380" w:type="dxa"/>
            <w:vAlign w:val="bottom"/>
          </w:tcPr>
          <w:p>
            <w:pPr>
              <w:spacing w:after="0"/>
              <w:rPr>
                <w:sz w:val="23"/>
                <w:szCs w:val="23"/>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283</w:t>
            </w:r>
          </w:p>
        </w:tc>
        <w:tc>
          <w:tcPr>
            <w:tcW w:w="1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225</w:t>
            </w:r>
          </w:p>
        </w:tc>
        <w:tc>
          <w:tcPr>
            <w:tcW w:w="4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84"/>
        </w:trPr>
        <w:tc>
          <w:tcPr>
            <w:tcW w:w="4360" w:type="dxa"/>
            <w:vAlign w:val="bottom"/>
          </w:tcPr>
          <w:p>
            <w:pPr>
              <w:spacing w:after="0"/>
              <w:rPr>
                <w:sz w:val="20"/>
                <w:szCs w:val="20"/>
                <w:color w:val="auto"/>
              </w:rPr>
            </w:pPr>
            <w:r>
              <w:rPr>
                <w:rFonts w:ascii="Arial" w:cs="Arial" w:eastAsia="Arial" w:hAnsi="Arial"/>
                <w:sz w:val="18"/>
                <w:szCs w:val="18"/>
                <w:color w:val="auto"/>
              </w:rPr>
              <w:t xml:space="preserve">Restricted cash </w:t>
            </w:r>
            <w:r>
              <w:rPr>
                <w:rFonts w:ascii="Arial" w:cs="Arial" w:eastAsia="Arial" w:hAnsi="Arial"/>
                <w:sz w:val="21"/>
                <w:szCs w:val="21"/>
                <w:color w:val="auto"/>
                <w:vertAlign w:val="superscript"/>
              </w:rPr>
              <w:t>(a)</w:t>
            </w:r>
          </w:p>
        </w:tc>
        <w:tc>
          <w:tcPr>
            <w:tcW w:w="6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3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4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9"/>
        </w:trPr>
        <w:tc>
          <w:tcPr>
            <w:tcW w:w="4360" w:type="dxa"/>
            <w:vAlign w:val="bottom"/>
          </w:tcPr>
          <w:p>
            <w:pPr>
              <w:spacing w:after="0"/>
              <w:rPr>
                <w:sz w:val="20"/>
                <w:szCs w:val="20"/>
                <w:color w:val="auto"/>
              </w:rPr>
            </w:pPr>
            <w:r>
              <w:rPr>
                <w:rFonts w:ascii="Arial" w:cs="Arial" w:eastAsia="Arial" w:hAnsi="Arial"/>
                <w:sz w:val="18"/>
                <w:szCs w:val="18"/>
                <w:color w:val="auto"/>
              </w:rPr>
              <w:t>Total cash and cash equivalents, program and</w:t>
            </w:r>
          </w:p>
        </w:tc>
        <w:tc>
          <w:tcPr>
            <w:tcW w:w="600" w:type="dxa"/>
            <w:vAlign w:val="bottom"/>
            <w:vMerge w:val="restart"/>
          </w:tcPr>
          <w:p>
            <w:pPr>
              <w:jc w:val="right"/>
              <w:ind w:right="370"/>
              <w:spacing w:after="0"/>
              <w:rPr>
                <w:sz w:val="20"/>
                <w:szCs w:val="20"/>
                <w:color w:val="auto"/>
              </w:rPr>
            </w:pPr>
            <w:r>
              <w:rPr>
                <w:rFonts w:ascii="Arial" w:cs="Arial" w:eastAsia="Arial" w:hAnsi="Arial"/>
                <w:sz w:val="18"/>
                <w:szCs w:val="18"/>
                <w:color w:val="auto"/>
              </w:rPr>
              <w:t>$</w:t>
            </w: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883</w:t>
            </w:r>
          </w:p>
        </w:tc>
        <w:tc>
          <w:tcPr>
            <w:tcW w:w="380" w:type="dxa"/>
            <w:vAlign w:val="bottom"/>
            <w:vMerge w:val="restart"/>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vMerge w:val="restart"/>
          </w:tcPr>
          <w:p>
            <w:pPr>
              <w:jc w:val="right"/>
              <w:ind w:right="10"/>
              <w:spacing w:after="0"/>
              <w:rPr>
                <w:sz w:val="20"/>
                <w:szCs w:val="20"/>
                <w:color w:val="auto"/>
              </w:rPr>
            </w:pPr>
            <w:r>
              <w:rPr>
                <w:rFonts w:ascii="Arial" w:cs="Arial" w:eastAsia="Arial" w:hAnsi="Arial"/>
                <w:sz w:val="18"/>
                <w:szCs w:val="18"/>
                <w:color w:val="auto"/>
              </w:rPr>
              <w:t>901</w:t>
            </w:r>
          </w:p>
        </w:tc>
        <w:tc>
          <w:tcPr>
            <w:tcW w:w="100" w:type="dxa"/>
            <w:vAlign w:val="bottom"/>
          </w:tcPr>
          <w:p>
            <w:pPr>
              <w:spacing w:after="0"/>
              <w:rPr>
                <w:sz w:val="18"/>
                <w:szCs w:val="18"/>
                <w:color w:val="auto"/>
              </w:rPr>
            </w:pPr>
          </w:p>
        </w:tc>
        <w:tc>
          <w:tcPr>
            <w:tcW w:w="940" w:type="dxa"/>
            <w:vAlign w:val="bottom"/>
            <w:vMerge w:val="restart"/>
          </w:tcPr>
          <w:p>
            <w:pPr>
              <w:jc w:val="right"/>
              <w:ind w:right="710"/>
              <w:spacing w:after="0"/>
              <w:rPr>
                <w:sz w:val="20"/>
                <w:szCs w:val="20"/>
                <w:color w:val="auto"/>
              </w:rPr>
            </w:pPr>
            <w:r>
              <w:rPr>
                <w:rFonts w:ascii="Arial" w:cs="Arial" w:eastAsia="Arial" w:hAnsi="Arial"/>
                <w:sz w:val="18"/>
                <w:szCs w:val="18"/>
                <w:color w:val="auto"/>
              </w:rPr>
              <w:t>$</w:t>
            </w: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705</w:t>
            </w:r>
          </w:p>
        </w:tc>
        <w:tc>
          <w:tcPr>
            <w:tcW w:w="400" w:type="dxa"/>
            <w:vAlign w:val="bottom"/>
            <w:vMerge w:val="restart"/>
          </w:tcPr>
          <w:p>
            <w:pPr>
              <w:jc w:val="right"/>
              <w:ind w:right="150"/>
              <w:spacing w:after="0"/>
              <w:rPr>
                <w:sz w:val="20"/>
                <w:szCs w:val="20"/>
                <w:color w:val="auto"/>
              </w:rPr>
            </w:pPr>
            <w:r>
              <w:rPr>
                <w:rFonts w:ascii="Arial" w:cs="Arial" w:eastAsia="Arial" w:hAnsi="Arial"/>
                <w:sz w:val="18"/>
                <w:szCs w:val="18"/>
                <w:color w:val="auto"/>
              </w:rPr>
              <w:t>$</w:t>
            </w: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720</w:t>
            </w:r>
          </w:p>
        </w:tc>
        <w:tc>
          <w:tcPr>
            <w:tcW w:w="0" w:type="dxa"/>
            <w:vAlign w:val="bottom"/>
          </w:tcPr>
          <w:p>
            <w:pPr>
              <w:spacing w:after="0"/>
              <w:rPr>
                <w:sz w:val="1"/>
                <w:szCs w:val="1"/>
                <w:color w:val="auto"/>
              </w:rPr>
            </w:pPr>
          </w:p>
        </w:tc>
      </w:tr>
      <w:tr>
        <w:trPr>
          <w:trHeight w:val="217"/>
        </w:trPr>
        <w:tc>
          <w:tcPr>
            <w:tcW w:w="4360" w:type="dxa"/>
            <w:vAlign w:val="bottom"/>
          </w:tcPr>
          <w:p>
            <w:pPr>
              <w:ind w:left="160"/>
              <w:spacing w:after="0"/>
              <w:rPr>
                <w:sz w:val="20"/>
                <w:szCs w:val="20"/>
                <w:color w:val="auto"/>
              </w:rPr>
            </w:pPr>
            <w:r>
              <w:rPr>
                <w:rFonts w:ascii="Arial" w:cs="Arial" w:eastAsia="Arial" w:hAnsi="Arial"/>
                <w:sz w:val="18"/>
                <w:szCs w:val="18"/>
                <w:color w:val="auto"/>
              </w:rPr>
              <w:t>restricted cash</w:t>
            </w:r>
          </w:p>
        </w:tc>
        <w:tc>
          <w:tcPr>
            <w:tcW w:w="600" w:type="dxa"/>
            <w:vAlign w:val="bottom"/>
            <w:vMerge w:val="continue"/>
          </w:tcPr>
          <w:p>
            <w:pPr>
              <w:spacing w:after="0"/>
              <w:rPr>
                <w:sz w:val="18"/>
                <w:szCs w:val="18"/>
                <w:color w:val="auto"/>
              </w:rPr>
            </w:pPr>
          </w:p>
        </w:tc>
        <w:tc>
          <w:tcPr>
            <w:tcW w:w="840" w:type="dxa"/>
            <w:vAlign w:val="bottom"/>
            <w:vMerge w:val="continue"/>
          </w:tcPr>
          <w:p>
            <w:pPr>
              <w:spacing w:after="0"/>
              <w:rPr>
                <w:sz w:val="18"/>
                <w:szCs w:val="18"/>
                <w:color w:val="auto"/>
              </w:rPr>
            </w:pPr>
          </w:p>
        </w:tc>
        <w:tc>
          <w:tcPr>
            <w:tcW w:w="380" w:type="dxa"/>
            <w:vAlign w:val="bottom"/>
            <w:vMerge w:val="continue"/>
          </w:tcPr>
          <w:p>
            <w:pPr>
              <w:spacing w:after="0"/>
              <w:rPr>
                <w:sz w:val="18"/>
                <w:szCs w:val="18"/>
                <w:color w:val="auto"/>
              </w:rPr>
            </w:pPr>
          </w:p>
        </w:tc>
        <w:tc>
          <w:tcPr>
            <w:tcW w:w="11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500" w:type="dxa"/>
            <w:vAlign w:val="bottom"/>
            <w:vMerge w:val="continue"/>
          </w:tcPr>
          <w:p>
            <w:pPr>
              <w:spacing w:after="0"/>
              <w:rPr>
                <w:sz w:val="18"/>
                <w:szCs w:val="18"/>
                <w:color w:val="auto"/>
              </w:rPr>
            </w:pPr>
          </w:p>
        </w:tc>
        <w:tc>
          <w:tcPr>
            <w:tcW w:w="400" w:type="dxa"/>
            <w:vAlign w:val="bottom"/>
            <w:vMerge w:val="continue"/>
          </w:tcPr>
          <w:p>
            <w:pPr>
              <w:spacing w:after="0"/>
              <w:rPr>
                <w:sz w:val="18"/>
                <w:szCs w:val="18"/>
                <w:color w:val="auto"/>
              </w:rPr>
            </w:pPr>
          </w:p>
        </w:tc>
        <w:tc>
          <w:tcPr>
            <w:tcW w:w="1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3100705</wp:posOffset>
            </wp:positionH>
            <wp:positionV relativeFrom="paragraph">
              <wp:posOffset>0</wp:posOffset>
            </wp:positionV>
            <wp:extent cx="3773170" cy="260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773170" cy="26035"/>
                    </a:xfrm>
                    <a:prstGeom prst="rect">
                      <a:avLst/>
                    </a:prstGeom>
                    <a:noFill/>
                  </pic:spPr>
                </pic:pic>
              </a:graphicData>
            </a:graphic>
          </wp:anchor>
        </w:drawing>
      </w:r>
    </w:p>
    <w:p>
      <w:pPr>
        <w:spacing w:after="0" w:line="22" w:lineRule="exact"/>
        <w:rPr>
          <w:sz w:val="20"/>
          <w:szCs w:val="20"/>
          <w:color w:val="auto"/>
        </w:rPr>
      </w:pPr>
    </w:p>
    <w:p>
      <w:pPr>
        <w:ind w:left="500"/>
        <w:spacing w:after="0"/>
        <w:rPr>
          <w:sz w:val="20"/>
          <w:szCs w:val="20"/>
          <w:color w:val="auto"/>
        </w:rPr>
      </w:pPr>
      <w:r>
        <w:rPr>
          <w:rFonts w:ascii="Arial" w:cs="Arial" w:eastAsia="Arial" w:hAnsi="Arial"/>
          <w:sz w:val="16"/>
          <w:szCs w:val="16"/>
          <w:color w:val="auto"/>
        </w:rPr>
        <w:t>_________</w:t>
      </w:r>
    </w:p>
    <w:p>
      <w:pPr>
        <w:ind w:left="820" w:hanging="326"/>
        <w:spacing w:after="0" w:line="209" w:lineRule="auto"/>
        <w:tabs>
          <w:tab w:leader="none" w:pos="820" w:val="left"/>
        </w:tabs>
        <w:numPr>
          <w:ilvl w:val="0"/>
          <w:numId w:val="106"/>
        </w:numPr>
        <w:rPr>
          <w:rFonts w:ascii="Arial" w:cs="Arial" w:eastAsia="Arial" w:hAnsi="Arial"/>
          <w:sz w:val="18"/>
          <w:szCs w:val="18"/>
          <w:color w:val="auto"/>
          <w:vertAlign w:val="superscript"/>
        </w:rPr>
      </w:pPr>
      <w:r>
        <w:rPr>
          <w:rFonts w:ascii="Arial" w:cs="Arial" w:eastAsia="Arial" w:hAnsi="Arial"/>
          <w:sz w:val="14"/>
          <w:szCs w:val="14"/>
          <w:color w:val="auto"/>
        </w:rPr>
        <w:t>Included within other current assets.</w:t>
      </w:r>
    </w:p>
    <w:p>
      <w:pPr>
        <w:spacing w:after="0" w:line="200" w:lineRule="exact"/>
        <w:rPr>
          <w:sz w:val="20"/>
          <w:szCs w:val="20"/>
          <w:color w:val="auto"/>
        </w:rPr>
      </w:pPr>
    </w:p>
    <w:p>
      <w:pPr>
        <w:spacing w:after="0" w:line="243"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F-49</w:t>
      </w:r>
    </w:p>
    <w:p>
      <w:pPr>
        <w:sectPr>
          <w:pgSz w:w="11900" w:h="16838" w:orient="portrait"/>
          <w:cols w:equalWidth="0" w:num="1">
            <w:col w:w="11120"/>
          </w:cols>
          <w:pgMar w:left="240" w:top="140" w:right="539" w:bottom="1440" w:gutter="0" w:footer="0" w:header="0"/>
        </w:sectPr>
      </w:pPr>
    </w:p>
    <w:bookmarkStart w:id="115" w:name="page116"/>
    <w:bookmarkEnd w:id="1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Consolidating Condensed Statements of Operations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For the Year Ended December 31, 2017</w:t>
      </w:r>
    </w:p>
    <w:p>
      <w:pPr>
        <w:spacing w:after="0" w:line="348"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3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Non-</w:t>
            </w: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Subsidiary</w:t>
            </w:r>
          </w:p>
        </w:tc>
        <w:tc>
          <w:tcPr>
            <w:tcW w:w="120" w:type="dxa"/>
            <w:vAlign w:val="bottom"/>
          </w:tcPr>
          <w:p>
            <w:pPr>
              <w:spacing w:after="0"/>
              <w:rPr>
                <w:sz w:val="14"/>
                <w:szCs w:val="14"/>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Guarantor</w:t>
            </w:r>
          </w:p>
        </w:tc>
        <w:tc>
          <w:tcPr>
            <w:tcW w:w="140" w:type="dxa"/>
            <w:vAlign w:val="bottom"/>
          </w:tcPr>
          <w:p>
            <w:pPr>
              <w:spacing w:after="0"/>
              <w:rPr>
                <w:sz w:val="14"/>
                <w:szCs w:val="14"/>
                <w:color w:val="auto"/>
              </w:rPr>
            </w:pPr>
          </w:p>
        </w:tc>
        <w:tc>
          <w:tcPr>
            <w:tcW w:w="1160" w:type="dxa"/>
            <w:vAlign w:val="bottom"/>
            <w:gridSpan w:val="2"/>
          </w:tcPr>
          <w:p>
            <w:pPr>
              <w:ind w:left="100"/>
              <w:spacing w:after="0"/>
              <w:rPr>
                <w:sz w:val="20"/>
                <w:szCs w:val="20"/>
                <w:color w:val="auto"/>
              </w:rPr>
            </w:pPr>
            <w:r>
              <w:rPr>
                <w:rFonts w:ascii="Arial" w:cs="Arial" w:eastAsia="Arial" w:hAnsi="Arial"/>
                <w:sz w:val="14"/>
                <w:szCs w:val="14"/>
                <w:b w:val="1"/>
                <w:bCs w:val="1"/>
                <w:color w:val="auto"/>
              </w:rPr>
              <w:t>Guarantor</w:t>
            </w: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tcPr>
          <w:p>
            <w:pPr>
              <w:ind w:left="120"/>
              <w:spacing w:after="0"/>
              <w:rPr>
                <w:sz w:val="20"/>
                <w:szCs w:val="20"/>
                <w:color w:val="auto"/>
              </w:rPr>
            </w:pPr>
            <w:r>
              <w:rPr>
                <w:rFonts w:ascii="Arial" w:cs="Arial" w:eastAsia="Arial" w:hAnsi="Arial"/>
                <w:sz w:val="14"/>
                <w:szCs w:val="14"/>
                <w:b w:val="1"/>
                <w:bCs w:val="1"/>
                <w:color w:val="auto"/>
              </w:rPr>
              <w:t>Parent</w:t>
            </w:r>
          </w:p>
        </w:tc>
        <w:tc>
          <w:tcPr>
            <w:tcW w:w="180" w:type="dxa"/>
            <w:vAlign w:val="bottom"/>
          </w:tcPr>
          <w:p>
            <w:pPr>
              <w:spacing w:after="0"/>
              <w:rPr>
                <w:sz w:val="17"/>
                <w:szCs w:val="17"/>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Issuers</w:t>
            </w:r>
          </w:p>
        </w:tc>
        <w:tc>
          <w:tcPr>
            <w:tcW w:w="120" w:type="dxa"/>
            <w:vAlign w:val="bottom"/>
          </w:tcPr>
          <w:p>
            <w:pPr>
              <w:spacing w:after="0"/>
              <w:rPr>
                <w:sz w:val="17"/>
                <w:szCs w:val="17"/>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Subsidiaries</w:t>
            </w:r>
          </w:p>
        </w:tc>
        <w:tc>
          <w:tcPr>
            <w:tcW w:w="140" w:type="dxa"/>
            <w:vAlign w:val="bottom"/>
          </w:tcPr>
          <w:p>
            <w:pPr>
              <w:spacing w:after="0"/>
              <w:rPr>
                <w:sz w:val="17"/>
                <w:szCs w:val="17"/>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Subsidiaries</w:t>
            </w:r>
          </w:p>
        </w:tc>
        <w:tc>
          <w:tcPr>
            <w:tcW w:w="140" w:type="dxa"/>
            <w:vAlign w:val="bottom"/>
          </w:tcPr>
          <w:p>
            <w:pPr>
              <w:spacing w:after="0"/>
              <w:rPr>
                <w:sz w:val="17"/>
                <w:szCs w:val="17"/>
                <w:color w:val="auto"/>
              </w:rPr>
            </w:pPr>
          </w:p>
        </w:tc>
        <w:tc>
          <w:tcPr>
            <w:tcW w:w="1160" w:type="dxa"/>
            <w:vAlign w:val="bottom"/>
            <w:gridSpan w:val="2"/>
          </w:tcPr>
          <w:p>
            <w:pPr>
              <w:ind w:left="40"/>
              <w:spacing w:after="0"/>
              <w:rPr>
                <w:sz w:val="20"/>
                <w:szCs w:val="20"/>
                <w:color w:val="auto"/>
              </w:rPr>
            </w:pPr>
            <w:r>
              <w:rPr>
                <w:rFonts w:ascii="Arial" w:cs="Arial" w:eastAsia="Arial" w:hAnsi="Arial"/>
                <w:sz w:val="14"/>
                <w:szCs w:val="14"/>
                <w:b w:val="1"/>
                <w:bCs w:val="1"/>
                <w:color w:val="auto"/>
              </w:rPr>
              <w:t>Eliminations</w:t>
            </w:r>
          </w:p>
        </w:tc>
        <w:tc>
          <w:tcPr>
            <w:tcW w:w="220" w:type="dxa"/>
            <w:vAlign w:val="bottom"/>
          </w:tcPr>
          <w:p>
            <w:pPr>
              <w:spacing w:after="0"/>
              <w:rPr>
                <w:sz w:val="17"/>
                <w:szCs w:val="17"/>
                <w:color w:val="auto"/>
              </w:rPr>
            </w:pPr>
          </w:p>
        </w:tc>
        <w:tc>
          <w:tcPr>
            <w:tcW w:w="780" w:type="dxa"/>
            <w:vAlign w:val="bottom"/>
          </w:tcPr>
          <w:p>
            <w:pPr>
              <w:jc w:val="right"/>
              <w:ind w:right="26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8"/>
        </w:trPr>
        <w:tc>
          <w:tcPr>
            <w:tcW w:w="3980" w:type="dxa"/>
            <w:vAlign w:val="bottom"/>
          </w:tcPr>
          <w:p>
            <w:pPr>
              <w:spacing w:after="0"/>
              <w:rPr>
                <w:sz w:val="20"/>
                <w:szCs w:val="20"/>
                <w:color w:val="auto"/>
              </w:rPr>
            </w:pPr>
            <w:r>
              <w:rPr>
                <w:rFonts w:ascii="Arial" w:cs="Arial" w:eastAsia="Arial" w:hAnsi="Arial"/>
                <w:sz w:val="14"/>
                <w:szCs w:val="14"/>
                <w:b w:val="1"/>
                <w:bCs w:val="1"/>
                <w:color w:val="auto"/>
              </w:rPr>
              <w:t>Revenues</w:t>
            </w:r>
          </w:p>
        </w:tc>
        <w:tc>
          <w:tcPr>
            <w:tcW w:w="22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78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3980" w:type="dxa"/>
            <w:vAlign w:val="bottom"/>
          </w:tcPr>
          <w:p>
            <w:pPr>
              <w:ind w:left="980"/>
              <w:spacing w:after="0"/>
              <w:rPr>
                <w:sz w:val="20"/>
                <w:szCs w:val="20"/>
                <w:color w:val="auto"/>
              </w:rPr>
            </w:pPr>
            <w:r>
              <w:rPr>
                <w:rFonts w:ascii="Arial" w:cs="Arial" w:eastAsia="Arial" w:hAnsi="Arial"/>
                <w:sz w:val="14"/>
                <w:szCs w:val="14"/>
                <w:color w:val="auto"/>
              </w:rPr>
              <w:t>Vehicle rental</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4,108</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2,111</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6,219</w:t>
            </w:r>
          </w:p>
        </w:tc>
        <w:tc>
          <w:tcPr>
            <w:tcW w:w="0" w:type="dxa"/>
            <w:vAlign w:val="bottom"/>
          </w:tcPr>
          <w:p>
            <w:pPr>
              <w:spacing w:after="0"/>
              <w:rPr>
                <w:sz w:val="1"/>
                <w:szCs w:val="1"/>
                <w:color w:val="auto"/>
              </w:rPr>
            </w:pPr>
          </w:p>
        </w:tc>
      </w:tr>
      <w:tr>
        <w:trPr>
          <w:trHeight w:val="276"/>
        </w:trPr>
        <w:tc>
          <w:tcPr>
            <w:tcW w:w="3980" w:type="dxa"/>
            <w:vAlign w:val="bottom"/>
          </w:tcPr>
          <w:p>
            <w:pPr>
              <w:ind w:left="980"/>
              <w:spacing w:after="0"/>
              <w:rPr>
                <w:sz w:val="20"/>
                <w:szCs w:val="20"/>
                <w:color w:val="auto"/>
              </w:rPr>
            </w:pPr>
            <w:r>
              <w:rPr>
                <w:rFonts w:ascii="Arial" w:cs="Arial" w:eastAsia="Arial" w:hAnsi="Arial"/>
                <w:sz w:val="14"/>
                <w:szCs w:val="14"/>
                <w:color w:val="auto"/>
              </w:rPr>
              <w:t>Other</w:t>
            </w: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1,204</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3,820</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(2,395)</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2,629</w:t>
            </w:r>
          </w:p>
        </w:tc>
        <w:tc>
          <w:tcPr>
            <w:tcW w:w="0" w:type="dxa"/>
            <w:vAlign w:val="bottom"/>
          </w:tcPr>
          <w:p>
            <w:pPr>
              <w:spacing w:after="0"/>
              <w:rPr>
                <w:sz w:val="1"/>
                <w:szCs w:val="1"/>
                <w:color w:val="auto"/>
              </w:rPr>
            </w:pPr>
          </w:p>
        </w:tc>
      </w:tr>
      <w:tr>
        <w:trPr>
          <w:trHeight w:val="250"/>
        </w:trPr>
        <w:tc>
          <w:tcPr>
            <w:tcW w:w="3980" w:type="dxa"/>
            <w:vAlign w:val="bottom"/>
          </w:tcPr>
          <w:p>
            <w:pPr>
              <w:spacing w:after="0"/>
              <w:rPr>
                <w:sz w:val="20"/>
                <w:szCs w:val="20"/>
                <w:color w:val="auto"/>
              </w:rPr>
            </w:pPr>
            <w:r>
              <w:rPr>
                <w:rFonts w:ascii="Arial" w:cs="Arial" w:eastAsia="Arial" w:hAnsi="Arial"/>
                <w:sz w:val="14"/>
                <w:szCs w:val="14"/>
                <w:color w:val="auto"/>
              </w:rPr>
              <w:t>Net revenues</w:t>
            </w:r>
          </w:p>
        </w:tc>
        <w:tc>
          <w:tcPr>
            <w:tcW w:w="220" w:type="dxa"/>
            <w:vAlign w:val="bottom"/>
          </w:tcPr>
          <w:p>
            <w:pPr>
              <w:spacing w:after="0"/>
              <w:rPr>
                <w:sz w:val="21"/>
                <w:szCs w:val="21"/>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5,312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5,931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(2,395)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8,848</w:t>
            </w:r>
          </w:p>
        </w:tc>
        <w:tc>
          <w:tcPr>
            <w:tcW w:w="0" w:type="dxa"/>
            <w:vAlign w:val="bottom"/>
          </w:tcPr>
          <w:p>
            <w:pPr>
              <w:spacing w:after="0"/>
              <w:rPr>
                <w:sz w:val="1"/>
                <w:szCs w:val="1"/>
                <w:color w:val="auto"/>
              </w:rPr>
            </w:pPr>
          </w:p>
        </w:tc>
      </w:tr>
      <w:tr>
        <w:trPr>
          <w:trHeight w:val="528"/>
        </w:trPr>
        <w:tc>
          <w:tcPr>
            <w:tcW w:w="3980" w:type="dxa"/>
            <w:vAlign w:val="bottom"/>
          </w:tcPr>
          <w:p>
            <w:pPr>
              <w:spacing w:after="0"/>
              <w:rPr>
                <w:sz w:val="20"/>
                <w:szCs w:val="20"/>
                <w:color w:val="auto"/>
              </w:rPr>
            </w:pPr>
            <w:r>
              <w:rPr>
                <w:rFonts w:ascii="Arial" w:cs="Arial" w:eastAsia="Arial" w:hAnsi="Arial"/>
                <w:sz w:val="14"/>
                <w:szCs w:val="14"/>
                <w:b w:val="1"/>
                <w:bCs w:val="1"/>
                <w:color w:val="auto"/>
              </w:rPr>
              <w:t>Expenses</w:t>
            </w:r>
          </w:p>
        </w:tc>
        <w:tc>
          <w:tcPr>
            <w:tcW w:w="22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980" w:type="dxa"/>
            <w:vAlign w:val="bottom"/>
          </w:tcPr>
          <w:p>
            <w:pPr>
              <w:ind w:left="980"/>
              <w:spacing w:after="0"/>
              <w:rPr>
                <w:sz w:val="20"/>
                <w:szCs w:val="20"/>
                <w:color w:val="auto"/>
              </w:rPr>
            </w:pPr>
            <w:r>
              <w:rPr>
                <w:rFonts w:ascii="Arial" w:cs="Arial" w:eastAsia="Arial" w:hAnsi="Arial"/>
                <w:sz w:val="14"/>
                <w:szCs w:val="14"/>
                <w:color w:val="auto"/>
              </w:rPr>
              <w:t>Operating</w:t>
            </w:r>
          </w:p>
        </w:tc>
        <w:tc>
          <w:tcPr>
            <w:tcW w:w="220" w:type="dxa"/>
            <w:vAlign w:val="bottom"/>
          </w:tcPr>
          <w:p>
            <w:pPr>
              <w:spacing w:after="0"/>
              <w:rPr>
                <w:sz w:val="23"/>
                <w:szCs w:val="23"/>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20</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2,598</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1,851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4,472</w:t>
            </w:r>
          </w:p>
        </w:tc>
        <w:tc>
          <w:tcPr>
            <w:tcW w:w="0" w:type="dxa"/>
            <w:vAlign w:val="bottom"/>
          </w:tcPr>
          <w:p>
            <w:pPr>
              <w:spacing w:after="0"/>
              <w:rPr>
                <w:sz w:val="1"/>
                <w:szCs w:val="1"/>
                <w:color w:val="auto"/>
              </w:rPr>
            </w:pPr>
          </w:p>
        </w:tc>
      </w:tr>
      <w:tr>
        <w:trPr>
          <w:trHeight w:val="270"/>
        </w:trPr>
        <w:tc>
          <w:tcPr>
            <w:tcW w:w="3980" w:type="dxa"/>
            <w:vAlign w:val="bottom"/>
          </w:tcPr>
          <w:p>
            <w:pPr>
              <w:ind w:left="980"/>
              <w:spacing w:after="0"/>
              <w:rPr>
                <w:sz w:val="20"/>
                <w:szCs w:val="20"/>
                <w:color w:val="auto"/>
              </w:rPr>
            </w:pPr>
            <w:r>
              <w:rPr>
                <w:rFonts w:ascii="Arial" w:cs="Arial" w:eastAsia="Arial" w:hAnsi="Arial"/>
                <w:sz w:val="14"/>
                <w:szCs w:val="14"/>
                <w:color w:val="auto"/>
              </w:rPr>
              <w:t>Vehicle depreciation and lease charges, net</w:t>
            </w:r>
          </w:p>
        </w:tc>
        <w:tc>
          <w:tcPr>
            <w:tcW w:w="220" w:type="dxa"/>
            <w:vAlign w:val="bottom"/>
          </w:tcPr>
          <w:p>
            <w:pPr>
              <w:spacing w:after="0"/>
              <w:rPr>
                <w:sz w:val="23"/>
                <w:szCs w:val="23"/>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2,226</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2,183</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(2,188)</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2,221</w:t>
            </w:r>
          </w:p>
        </w:tc>
        <w:tc>
          <w:tcPr>
            <w:tcW w:w="0" w:type="dxa"/>
            <w:vAlign w:val="bottom"/>
          </w:tcPr>
          <w:p>
            <w:pPr>
              <w:spacing w:after="0"/>
              <w:rPr>
                <w:sz w:val="1"/>
                <w:szCs w:val="1"/>
                <w:color w:val="auto"/>
              </w:rPr>
            </w:pPr>
          </w:p>
        </w:tc>
      </w:tr>
      <w:tr>
        <w:trPr>
          <w:trHeight w:val="270"/>
        </w:trPr>
        <w:tc>
          <w:tcPr>
            <w:tcW w:w="3980" w:type="dxa"/>
            <w:vAlign w:val="bottom"/>
          </w:tcPr>
          <w:p>
            <w:pPr>
              <w:ind w:left="980"/>
              <w:spacing w:after="0"/>
              <w:rPr>
                <w:sz w:val="20"/>
                <w:szCs w:val="20"/>
                <w:color w:val="auto"/>
              </w:rPr>
            </w:pPr>
            <w:r>
              <w:rPr>
                <w:rFonts w:ascii="Arial" w:cs="Arial" w:eastAsia="Arial" w:hAnsi="Arial"/>
                <w:sz w:val="14"/>
                <w:szCs w:val="14"/>
                <w:color w:val="auto"/>
              </w:rPr>
              <w:t>Selling, general and administrative</w:t>
            </w:r>
          </w:p>
        </w:tc>
        <w:tc>
          <w:tcPr>
            <w:tcW w:w="220" w:type="dxa"/>
            <w:vAlign w:val="bottom"/>
          </w:tcPr>
          <w:p>
            <w:pPr>
              <w:spacing w:after="0"/>
              <w:rPr>
                <w:sz w:val="23"/>
                <w:szCs w:val="23"/>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39</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619</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454</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1,120</w:t>
            </w:r>
          </w:p>
        </w:tc>
        <w:tc>
          <w:tcPr>
            <w:tcW w:w="0" w:type="dxa"/>
            <w:vAlign w:val="bottom"/>
          </w:tcPr>
          <w:p>
            <w:pPr>
              <w:spacing w:after="0"/>
              <w:rPr>
                <w:sz w:val="1"/>
                <w:szCs w:val="1"/>
                <w:color w:val="auto"/>
              </w:rPr>
            </w:pPr>
          </w:p>
        </w:tc>
      </w:tr>
      <w:tr>
        <w:trPr>
          <w:trHeight w:val="270"/>
        </w:trPr>
        <w:tc>
          <w:tcPr>
            <w:tcW w:w="3980" w:type="dxa"/>
            <w:vAlign w:val="bottom"/>
          </w:tcPr>
          <w:p>
            <w:pPr>
              <w:ind w:left="980"/>
              <w:spacing w:after="0"/>
              <w:rPr>
                <w:sz w:val="20"/>
                <w:szCs w:val="20"/>
                <w:color w:val="auto"/>
              </w:rPr>
            </w:pPr>
            <w:r>
              <w:rPr>
                <w:rFonts w:ascii="Arial" w:cs="Arial" w:eastAsia="Arial" w:hAnsi="Arial"/>
                <w:sz w:val="14"/>
                <w:szCs w:val="14"/>
                <w:color w:val="auto"/>
              </w:rPr>
              <w:t>Vehicle interest, net</w:t>
            </w:r>
          </w:p>
        </w:tc>
        <w:tc>
          <w:tcPr>
            <w:tcW w:w="220" w:type="dxa"/>
            <w:vAlign w:val="bottom"/>
          </w:tcPr>
          <w:p>
            <w:pPr>
              <w:spacing w:after="0"/>
              <w:rPr>
                <w:sz w:val="23"/>
                <w:szCs w:val="23"/>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199</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294</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(207)</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286</w:t>
            </w:r>
          </w:p>
        </w:tc>
        <w:tc>
          <w:tcPr>
            <w:tcW w:w="0" w:type="dxa"/>
            <w:vAlign w:val="bottom"/>
          </w:tcPr>
          <w:p>
            <w:pPr>
              <w:spacing w:after="0"/>
              <w:rPr>
                <w:sz w:val="1"/>
                <w:szCs w:val="1"/>
                <w:color w:val="auto"/>
              </w:rPr>
            </w:pPr>
          </w:p>
        </w:tc>
      </w:tr>
      <w:tr>
        <w:trPr>
          <w:trHeight w:val="206"/>
        </w:trPr>
        <w:tc>
          <w:tcPr>
            <w:tcW w:w="3980" w:type="dxa"/>
            <w:vAlign w:val="bottom"/>
          </w:tcPr>
          <w:p>
            <w:pPr>
              <w:ind w:left="980"/>
              <w:spacing w:after="0"/>
              <w:rPr>
                <w:sz w:val="20"/>
                <w:szCs w:val="20"/>
                <w:color w:val="auto"/>
              </w:rPr>
            </w:pPr>
            <w:r>
              <w:rPr>
                <w:rFonts w:ascii="Arial" w:cs="Arial" w:eastAsia="Arial" w:hAnsi="Arial"/>
                <w:sz w:val="14"/>
                <w:szCs w:val="14"/>
                <w:color w:val="auto"/>
              </w:rPr>
              <w:t>Non-vehicle related depreciation and</w:t>
            </w: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3980" w:type="dxa"/>
            <w:vAlign w:val="bottom"/>
          </w:tcPr>
          <w:p>
            <w:pPr>
              <w:ind w:left="1140"/>
              <w:spacing w:after="0"/>
              <w:rPr>
                <w:sz w:val="20"/>
                <w:szCs w:val="20"/>
                <w:color w:val="auto"/>
              </w:rPr>
            </w:pPr>
            <w:r>
              <w:rPr>
                <w:rFonts w:ascii="Arial" w:cs="Arial" w:eastAsia="Arial" w:hAnsi="Arial"/>
                <w:sz w:val="14"/>
                <w:szCs w:val="14"/>
                <w:color w:val="auto"/>
              </w:rPr>
              <w:t>amortization</w:t>
            </w:r>
          </w:p>
        </w:tc>
        <w:tc>
          <w:tcPr>
            <w:tcW w:w="220" w:type="dxa"/>
            <w:vAlign w:val="bottom"/>
          </w:tcPr>
          <w:p>
            <w:pPr>
              <w:spacing w:after="0"/>
              <w:rPr>
                <w:sz w:val="14"/>
                <w:szCs w:val="14"/>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160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98</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259</w:t>
            </w:r>
          </w:p>
        </w:tc>
        <w:tc>
          <w:tcPr>
            <w:tcW w:w="0" w:type="dxa"/>
            <w:vAlign w:val="bottom"/>
          </w:tcPr>
          <w:p>
            <w:pPr>
              <w:spacing w:after="0"/>
              <w:rPr>
                <w:sz w:val="1"/>
                <w:szCs w:val="1"/>
                <w:color w:val="auto"/>
              </w:rPr>
            </w:pPr>
          </w:p>
        </w:tc>
      </w:tr>
      <w:tr>
        <w:trPr>
          <w:trHeight w:val="206"/>
        </w:trPr>
        <w:tc>
          <w:tcPr>
            <w:tcW w:w="3980" w:type="dxa"/>
            <w:vAlign w:val="bottom"/>
          </w:tcPr>
          <w:p>
            <w:pPr>
              <w:ind w:left="980"/>
              <w:spacing w:after="0"/>
              <w:rPr>
                <w:sz w:val="20"/>
                <w:szCs w:val="20"/>
                <w:color w:val="auto"/>
              </w:rPr>
            </w:pPr>
            <w:r>
              <w:rPr>
                <w:rFonts w:ascii="Arial" w:cs="Arial" w:eastAsia="Arial" w:hAnsi="Arial"/>
                <w:sz w:val="14"/>
                <w:szCs w:val="14"/>
                <w:color w:val="auto"/>
              </w:rPr>
              <w:t>Interest expense related to corporate debt,</w:t>
            </w: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3980" w:type="dxa"/>
            <w:vAlign w:val="bottom"/>
          </w:tcPr>
          <w:p>
            <w:pPr>
              <w:ind w:left="1140"/>
              <w:spacing w:after="0"/>
              <w:rPr>
                <w:sz w:val="20"/>
                <w:szCs w:val="20"/>
                <w:color w:val="auto"/>
              </w:rPr>
            </w:pPr>
            <w:r>
              <w:rPr>
                <w:rFonts w:ascii="Arial" w:cs="Arial" w:eastAsia="Arial" w:hAnsi="Arial"/>
                <w:sz w:val="14"/>
                <w:szCs w:val="14"/>
                <w:color w:val="auto"/>
              </w:rPr>
              <w:t>net:</w:t>
            </w: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3980" w:type="dxa"/>
            <w:vAlign w:val="bottom"/>
          </w:tcPr>
          <w:p>
            <w:pPr>
              <w:ind w:left="1180"/>
              <w:spacing w:after="0"/>
              <w:rPr>
                <w:sz w:val="20"/>
                <w:szCs w:val="20"/>
                <w:color w:val="auto"/>
              </w:rPr>
            </w:pPr>
            <w:r>
              <w:rPr>
                <w:rFonts w:ascii="Arial" w:cs="Arial" w:eastAsia="Arial" w:hAnsi="Arial"/>
                <w:sz w:val="14"/>
                <w:szCs w:val="14"/>
                <w:color w:val="auto"/>
              </w:rPr>
              <w:t>Interest expense</w:t>
            </w:r>
          </w:p>
        </w:tc>
        <w:tc>
          <w:tcPr>
            <w:tcW w:w="220" w:type="dxa"/>
            <w:vAlign w:val="bottom"/>
          </w:tcPr>
          <w:p>
            <w:pPr>
              <w:spacing w:after="0"/>
              <w:rPr>
                <w:sz w:val="23"/>
                <w:szCs w:val="23"/>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157</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30</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188</w:t>
            </w:r>
          </w:p>
        </w:tc>
        <w:tc>
          <w:tcPr>
            <w:tcW w:w="0" w:type="dxa"/>
            <w:vAlign w:val="bottom"/>
          </w:tcPr>
          <w:p>
            <w:pPr>
              <w:spacing w:after="0"/>
              <w:rPr>
                <w:sz w:val="1"/>
                <w:szCs w:val="1"/>
                <w:color w:val="auto"/>
              </w:rPr>
            </w:pPr>
          </w:p>
        </w:tc>
      </w:tr>
      <w:tr>
        <w:trPr>
          <w:trHeight w:val="270"/>
        </w:trPr>
        <w:tc>
          <w:tcPr>
            <w:tcW w:w="3980" w:type="dxa"/>
            <w:vAlign w:val="bottom"/>
          </w:tcPr>
          <w:p>
            <w:pPr>
              <w:ind w:left="1180"/>
              <w:spacing w:after="0"/>
              <w:rPr>
                <w:sz w:val="20"/>
                <w:szCs w:val="20"/>
                <w:color w:val="auto"/>
              </w:rPr>
            </w:pPr>
            <w:r>
              <w:rPr>
                <w:rFonts w:ascii="Arial" w:cs="Arial" w:eastAsia="Arial" w:hAnsi="Arial"/>
                <w:sz w:val="14"/>
                <w:szCs w:val="14"/>
                <w:color w:val="auto"/>
              </w:rPr>
              <w:t>Intercompany interest expense (income)</w:t>
            </w:r>
          </w:p>
        </w:tc>
        <w:tc>
          <w:tcPr>
            <w:tcW w:w="2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95</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23</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(106)</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3980" w:type="dxa"/>
            <w:vAlign w:val="bottom"/>
          </w:tcPr>
          <w:p>
            <w:pPr>
              <w:ind w:left="1180"/>
              <w:spacing w:after="0"/>
              <w:rPr>
                <w:sz w:val="20"/>
                <w:szCs w:val="20"/>
                <w:color w:val="auto"/>
              </w:rPr>
            </w:pPr>
            <w:r>
              <w:rPr>
                <w:rFonts w:ascii="Arial" w:cs="Arial" w:eastAsia="Arial" w:hAnsi="Arial"/>
                <w:sz w:val="14"/>
                <w:szCs w:val="14"/>
                <w:color w:val="auto"/>
              </w:rPr>
              <w:t>Early extinguishment of debt</w:t>
            </w:r>
          </w:p>
        </w:tc>
        <w:tc>
          <w:tcPr>
            <w:tcW w:w="220" w:type="dxa"/>
            <w:vAlign w:val="bottom"/>
          </w:tcPr>
          <w:p>
            <w:pPr>
              <w:spacing w:after="0"/>
              <w:rPr>
                <w:sz w:val="23"/>
                <w:szCs w:val="23"/>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70"/>
        </w:trPr>
        <w:tc>
          <w:tcPr>
            <w:tcW w:w="3980" w:type="dxa"/>
            <w:vAlign w:val="bottom"/>
          </w:tcPr>
          <w:p>
            <w:pPr>
              <w:ind w:left="980"/>
              <w:spacing w:after="0"/>
              <w:rPr>
                <w:sz w:val="20"/>
                <w:szCs w:val="20"/>
                <w:color w:val="auto"/>
              </w:rPr>
            </w:pPr>
            <w:r>
              <w:rPr>
                <w:rFonts w:ascii="Arial" w:cs="Arial" w:eastAsia="Arial" w:hAnsi="Arial"/>
                <w:sz w:val="14"/>
                <w:szCs w:val="14"/>
                <w:color w:val="auto"/>
              </w:rPr>
              <w:t>Restructuring and other related charges</w:t>
            </w:r>
          </w:p>
        </w:tc>
        <w:tc>
          <w:tcPr>
            <w:tcW w:w="220" w:type="dxa"/>
            <w:vAlign w:val="bottom"/>
          </w:tcPr>
          <w:p>
            <w:pPr>
              <w:spacing w:after="0"/>
              <w:rPr>
                <w:sz w:val="23"/>
                <w:szCs w:val="23"/>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44</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63</w:t>
            </w:r>
          </w:p>
        </w:tc>
        <w:tc>
          <w:tcPr>
            <w:tcW w:w="0" w:type="dxa"/>
            <w:vAlign w:val="bottom"/>
          </w:tcPr>
          <w:p>
            <w:pPr>
              <w:spacing w:after="0"/>
              <w:rPr>
                <w:sz w:val="1"/>
                <w:szCs w:val="1"/>
                <w:color w:val="auto"/>
              </w:rPr>
            </w:pPr>
          </w:p>
        </w:tc>
      </w:tr>
      <w:tr>
        <w:trPr>
          <w:trHeight w:val="270"/>
        </w:trPr>
        <w:tc>
          <w:tcPr>
            <w:tcW w:w="3980" w:type="dxa"/>
            <w:vAlign w:val="bottom"/>
          </w:tcPr>
          <w:p>
            <w:pPr>
              <w:ind w:left="980"/>
              <w:spacing w:after="0"/>
              <w:rPr>
                <w:sz w:val="20"/>
                <w:szCs w:val="20"/>
                <w:color w:val="auto"/>
              </w:rPr>
            </w:pPr>
            <w:r>
              <w:rPr>
                <w:rFonts w:ascii="Arial" w:cs="Arial" w:eastAsia="Arial" w:hAnsi="Arial"/>
                <w:sz w:val="14"/>
                <w:szCs w:val="14"/>
                <w:color w:val="auto"/>
              </w:rPr>
              <w:t>Transaction-related costs, net</w:t>
            </w:r>
          </w:p>
        </w:tc>
        <w:tc>
          <w:tcPr>
            <w:tcW w:w="220" w:type="dxa"/>
            <w:vAlign w:val="bottom"/>
          </w:tcPr>
          <w:p>
            <w:pPr>
              <w:spacing w:after="0"/>
              <w:rPr>
                <w:sz w:val="23"/>
                <w:szCs w:val="23"/>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206"/>
        </w:trPr>
        <w:tc>
          <w:tcPr>
            <w:tcW w:w="3980" w:type="dxa"/>
            <w:vAlign w:val="bottom"/>
          </w:tcPr>
          <w:p>
            <w:pPr>
              <w:ind w:left="140"/>
              <w:spacing w:after="0"/>
              <w:rPr>
                <w:sz w:val="20"/>
                <w:szCs w:val="20"/>
                <w:color w:val="auto"/>
              </w:rPr>
            </w:pPr>
            <w:r>
              <w:rPr>
                <w:rFonts w:ascii="Arial" w:cs="Arial" w:eastAsia="Arial" w:hAnsi="Arial"/>
                <w:sz w:val="14"/>
                <w:szCs w:val="14"/>
                <w:color w:val="auto"/>
              </w:rPr>
              <w:t>Transaction-</w:t>
            </w: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3980" w:type="dxa"/>
            <w:vAlign w:val="bottom"/>
          </w:tcPr>
          <w:p>
            <w:pPr>
              <w:ind w:left="140"/>
              <w:spacing w:after="0"/>
              <w:rPr>
                <w:sz w:val="20"/>
                <w:szCs w:val="20"/>
                <w:color w:val="auto"/>
              </w:rPr>
            </w:pPr>
            <w:r>
              <w:rPr>
                <w:rFonts w:ascii="Arial" w:cs="Arial" w:eastAsia="Arial" w:hAnsi="Arial"/>
                <w:sz w:val="14"/>
                <w:szCs w:val="14"/>
                <w:color w:val="auto"/>
              </w:rPr>
              <w:t>related</w:t>
            </w: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3980" w:type="dxa"/>
            <w:vAlign w:val="bottom"/>
          </w:tcPr>
          <w:p>
            <w:pPr>
              <w:ind w:left="140"/>
              <w:spacing w:after="0"/>
              <w:rPr>
                <w:sz w:val="20"/>
                <w:szCs w:val="20"/>
                <w:color w:val="auto"/>
              </w:rPr>
            </w:pPr>
            <w:r>
              <w:rPr>
                <w:rFonts w:ascii="Arial" w:cs="Arial" w:eastAsia="Arial" w:hAnsi="Arial"/>
                <w:sz w:val="14"/>
                <w:szCs w:val="14"/>
                <w:color w:val="auto"/>
              </w:rPr>
              <w:t>costs, net   Impairment</w:t>
            </w:r>
          </w:p>
        </w:tc>
        <w:tc>
          <w:tcPr>
            <w:tcW w:w="220" w:type="dxa"/>
            <w:vAlign w:val="bottom"/>
          </w:tcPr>
          <w:p>
            <w:pPr>
              <w:spacing w:after="0"/>
              <w:rPr>
                <w:sz w:val="15"/>
                <w:szCs w:val="15"/>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50"/>
        </w:trPr>
        <w:tc>
          <w:tcPr>
            <w:tcW w:w="3980" w:type="dxa"/>
            <w:vAlign w:val="bottom"/>
          </w:tcPr>
          <w:p>
            <w:pPr>
              <w:spacing w:after="0"/>
              <w:rPr>
                <w:sz w:val="20"/>
                <w:szCs w:val="20"/>
                <w:color w:val="auto"/>
              </w:rPr>
            </w:pPr>
            <w:r>
              <w:rPr>
                <w:rFonts w:ascii="Arial" w:cs="Arial" w:eastAsia="Arial" w:hAnsi="Arial"/>
                <w:sz w:val="14"/>
                <w:szCs w:val="14"/>
                <w:color w:val="auto"/>
              </w:rPr>
              <w:t>Total expenses</w:t>
            </w:r>
          </w:p>
        </w:tc>
        <w:tc>
          <w:tcPr>
            <w:tcW w:w="22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30</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0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293</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5,875</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4,834</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(2,395)</w:t>
            </w:r>
          </w:p>
        </w:tc>
        <w:tc>
          <w:tcPr>
            <w:tcW w:w="100" w:type="dxa"/>
            <w:vAlign w:val="bottom"/>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7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8,637</w:t>
            </w:r>
          </w:p>
        </w:tc>
        <w:tc>
          <w:tcPr>
            <w:tcW w:w="0" w:type="dxa"/>
            <w:vAlign w:val="bottom"/>
          </w:tcPr>
          <w:p>
            <w:pPr>
              <w:spacing w:after="0"/>
              <w:rPr>
                <w:sz w:val="1"/>
                <w:szCs w:val="1"/>
                <w:color w:val="auto"/>
              </w:rPr>
            </w:pPr>
          </w:p>
        </w:tc>
      </w:tr>
      <w:tr>
        <w:trPr>
          <w:trHeight w:val="446"/>
        </w:trPr>
        <w:tc>
          <w:tcPr>
            <w:tcW w:w="3980" w:type="dxa"/>
            <w:vAlign w:val="bottom"/>
          </w:tcPr>
          <w:p>
            <w:pPr>
              <w:spacing w:after="0"/>
              <w:rPr>
                <w:sz w:val="20"/>
                <w:szCs w:val="20"/>
                <w:color w:val="auto"/>
              </w:rPr>
            </w:pPr>
            <w:r>
              <w:rPr>
                <w:rFonts w:ascii="Arial" w:cs="Arial" w:eastAsia="Arial" w:hAnsi="Arial"/>
                <w:sz w:val="14"/>
                <w:szCs w:val="14"/>
                <w:b w:val="1"/>
                <w:bCs w:val="1"/>
                <w:color w:val="auto"/>
              </w:rPr>
              <w:t>Income (loss) before income taxes and equity in earnings</w:t>
            </w: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3980" w:type="dxa"/>
            <w:vAlign w:val="bottom"/>
          </w:tcPr>
          <w:p>
            <w:pPr>
              <w:ind w:left="160"/>
              <w:spacing w:after="0"/>
              <w:rPr>
                <w:sz w:val="20"/>
                <w:szCs w:val="20"/>
                <w:color w:val="auto"/>
              </w:rPr>
            </w:pPr>
            <w:r>
              <w:rPr>
                <w:rFonts w:ascii="Arial" w:cs="Arial" w:eastAsia="Arial" w:hAnsi="Arial"/>
                <w:sz w:val="14"/>
                <w:szCs w:val="14"/>
                <w:b w:val="1"/>
                <w:bCs w:val="1"/>
                <w:color w:val="auto"/>
              </w:rPr>
              <w:t>of subsidiaries</w:t>
            </w:r>
          </w:p>
        </w:tc>
        <w:tc>
          <w:tcPr>
            <w:tcW w:w="2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(293)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(563)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1,097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211</w:t>
            </w:r>
          </w:p>
        </w:tc>
        <w:tc>
          <w:tcPr>
            <w:tcW w:w="0" w:type="dxa"/>
            <w:vAlign w:val="bottom"/>
          </w:tcPr>
          <w:p>
            <w:pPr>
              <w:spacing w:after="0"/>
              <w:rPr>
                <w:sz w:val="1"/>
                <w:szCs w:val="1"/>
                <w:color w:val="auto"/>
              </w:rPr>
            </w:pPr>
          </w:p>
        </w:tc>
      </w:tr>
      <w:tr>
        <w:trPr>
          <w:trHeight w:val="270"/>
        </w:trPr>
        <w:tc>
          <w:tcPr>
            <w:tcW w:w="3980" w:type="dxa"/>
            <w:vAlign w:val="bottom"/>
          </w:tcPr>
          <w:p>
            <w:pPr>
              <w:spacing w:after="0"/>
              <w:rPr>
                <w:sz w:val="20"/>
                <w:szCs w:val="20"/>
                <w:color w:val="auto"/>
              </w:rPr>
            </w:pPr>
            <w:r>
              <w:rPr>
                <w:rFonts w:ascii="Arial" w:cs="Arial" w:eastAsia="Arial" w:hAnsi="Arial"/>
                <w:sz w:val="14"/>
                <w:szCs w:val="14"/>
                <w:color w:val="auto"/>
              </w:rPr>
              <w:t>Provision for (benefit from) income taxes</w:t>
            </w:r>
          </w:p>
        </w:tc>
        <w:tc>
          <w:tcPr>
            <w:tcW w:w="2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267</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(527)</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115</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(150)</w:t>
            </w:r>
          </w:p>
        </w:tc>
        <w:tc>
          <w:tcPr>
            <w:tcW w:w="0" w:type="dxa"/>
            <w:vAlign w:val="bottom"/>
          </w:tcPr>
          <w:p>
            <w:pPr>
              <w:spacing w:after="0"/>
              <w:rPr>
                <w:sz w:val="1"/>
                <w:szCs w:val="1"/>
                <w:color w:val="auto"/>
              </w:rPr>
            </w:pPr>
          </w:p>
        </w:tc>
      </w:tr>
      <w:tr>
        <w:trPr>
          <w:trHeight w:val="276"/>
        </w:trPr>
        <w:tc>
          <w:tcPr>
            <w:tcW w:w="3980" w:type="dxa"/>
            <w:vAlign w:val="bottom"/>
          </w:tcPr>
          <w:p>
            <w:pPr>
              <w:spacing w:after="0"/>
              <w:rPr>
                <w:sz w:val="20"/>
                <w:szCs w:val="20"/>
                <w:color w:val="auto"/>
              </w:rPr>
            </w:pPr>
            <w:r>
              <w:rPr>
                <w:rFonts w:ascii="Arial" w:cs="Arial" w:eastAsia="Arial" w:hAnsi="Arial"/>
                <w:sz w:val="14"/>
                <w:szCs w:val="14"/>
                <w:color w:val="auto"/>
              </w:rPr>
              <w:t>Equity in earnings of subsidiaries</w:t>
            </w:r>
          </w:p>
        </w:tc>
        <w:tc>
          <w:tcPr>
            <w:tcW w:w="220" w:type="dxa"/>
            <w:vAlign w:val="bottom"/>
          </w:tcPr>
          <w:p>
            <w:pPr>
              <w:spacing w:after="0"/>
              <w:rPr>
                <w:sz w:val="23"/>
                <w:szCs w:val="23"/>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386</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946</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982</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(2,314)</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3980" w:type="dxa"/>
            <w:vAlign w:val="bottom"/>
          </w:tcPr>
          <w:p>
            <w:pPr>
              <w:spacing w:after="0"/>
              <w:rPr>
                <w:sz w:val="20"/>
                <w:szCs w:val="20"/>
                <w:color w:val="auto"/>
              </w:rPr>
            </w:pPr>
            <w:r>
              <w:rPr>
                <w:rFonts w:ascii="Arial" w:cs="Arial" w:eastAsia="Arial" w:hAnsi="Arial"/>
                <w:sz w:val="14"/>
                <w:szCs w:val="14"/>
                <w:b w:val="1"/>
                <w:bCs w:val="1"/>
                <w:color w:val="auto"/>
              </w:rPr>
              <w:t>Net income</w:t>
            </w: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361</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386</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946</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982</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(2,314)</w:t>
            </w:r>
          </w:p>
        </w:tc>
        <w:tc>
          <w:tcPr>
            <w:tcW w:w="10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361</w:t>
            </w:r>
          </w:p>
        </w:tc>
        <w:tc>
          <w:tcPr>
            <w:tcW w:w="0" w:type="dxa"/>
            <w:vAlign w:val="bottom"/>
          </w:tcPr>
          <w:p>
            <w:pPr>
              <w:spacing w:after="0"/>
              <w:rPr>
                <w:sz w:val="1"/>
                <w:szCs w:val="1"/>
                <w:color w:val="auto"/>
              </w:rPr>
            </w:pPr>
          </w:p>
        </w:tc>
      </w:tr>
      <w:tr>
        <w:trPr>
          <w:trHeight w:val="20"/>
        </w:trPr>
        <w:tc>
          <w:tcPr>
            <w:tcW w:w="3980" w:type="dxa"/>
            <w:vAlign w:val="bottom"/>
            <w:vMerge w:val="restart"/>
          </w:tcPr>
          <w:p>
            <w:pPr>
              <w:spacing w:after="0"/>
              <w:rPr>
                <w:sz w:val="20"/>
                <w:szCs w:val="20"/>
                <w:color w:val="auto"/>
              </w:rPr>
            </w:pPr>
            <w:r>
              <w:rPr>
                <w:rFonts w:ascii="Arial" w:cs="Arial" w:eastAsia="Arial" w:hAnsi="Arial"/>
                <w:sz w:val="14"/>
                <w:szCs w:val="14"/>
                <w:b w:val="1"/>
                <w:bCs w:val="1"/>
                <w:color w:val="auto"/>
              </w:rPr>
              <w:t>Comprehensive income</w:t>
            </w: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3980" w:type="dxa"/>
            <w:vAlign w:val="bottom"/>
            <w:vMerge w:val="continue"/>
          </w:tcPr>
          <w:p>
            <w:pPr>
              <w:spacing w:after="0"/>
              <w:rPr>
                <w:sz w:val="24"/>
                <w:szCs w:val="24"/>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491</w:t>
            </w:r>
          </w:p>
        </w:tc>
        <w:tc>
          <w:tcPr>
            <w:tcW w:w="100" w:type="dxa"/>
            <w:vAlign w:val="bottom"/>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515</w:t>
            </w:r>
          </w:p>
        </w:tc>
        <w:tc>
          <w:tcPr>
            <w:tcW w:w="120" w:type="dxa"/>
            <w:vAlign w:val="bottom"/>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1,073</w:t>
            </w:r>
          </w:p>
        </w:tc>
        <w:tc>
          <w:tcPr>
            <w:tcW w:w="100" w:type="dxa"/>
            <w:vAlign w:val="bottom"/>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1,103</w:t>
            </w:r>
          </w:p>
        </w:tc>
        <w:tc>
          <w:tcPr>
            <w:tcW w:w="100" w:type="dxa"/>
            <w:vAlign w:val="bottom"/>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(2,691)</w:t>
            </w:r>
          </w:p>
        </w:tc>
        <w:tc>
          <w:tcPr>
            <w:tcW w:w="100" w:type="dxa"/>
            <w:vAlign w:val="bottom"/>
          </w:tcPr>
          <w:p>
            <w:pPr>
              <w:spacing w:after="0"/>
              <w:rPr>
                <w:sz w:val="24"/>
                <w:szCs w:val="24"/>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491</w:t>
            </w: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F-50</w:t>
      </w:r>
    </w:p>
    <w:p>
      <w:pPr>
        <w:sectPr>
          <w:pgSz w:w="11900" w:h="16838" w:orient="portrait"/>
          <w:cols w:equalWidth="0" w:num="1">
            <w:col w:w="11420"/>
          </w:cols>
          <w:pgMar w:left="240" w:top="140" w:right="239" w:bottom="1440" w:gutter="0" w:footer="0" w:header="0"/>
        </w:sectPr>
      </w:pPr>
    </w:p>
    <w:bookmarkStart w:id="116" w:name="page117"/>
    <w:bookmarkEnd w:id="1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For the Year Ended December 31, 2016</w:t>
      </w:r>
    </w:p>
    <w:p>
      <w:pPr>
        <w:spacing w:after="0" w:line="348"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36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Subsidiary</w:t>
            </w:r>
          </w:p>
        </w:tc>
        <w:tc>
          <w:tcPr>
            <w:tcW w:w="16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Guarantor</w:t>
            </w:r>
          </w:p>
        </w:tc>
        <w:tc>
          <w:tcPr>
            <w:tcW w:w="100" w:type="dxa"/>
            <w:vAlign w:val="bottom"/>
          </w:tcPr>
          <w:p>
            <w:pPr>
              <w:spacing w:after="0"/>
              <w:rPr>
                <w:sz w:val="14"/>
                <w:szCs w:val="14"/>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Non-Guarantor</w:t>
            </w: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6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Parent</w:t>
            </w: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Issuers</w:t>
            </w:r>
          </w:p>
        </w:tc>
        <w:tc>
          <w:tcPr>
            <w:tcW w:w="16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Pr>
          <w:p>
            <w:pPr>
              <w:spacing w:after="0"/>
              <w:rPr>
                <w:sz w:val="17"/>
                <w:szCs w:val="17"/>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Subsidiaries</w:t>
            </w:r>
          </w:p>
        </w:tc>
        <w:tc>
          <w:tcPr>
            <w:tcW w:w="160" w:type="dxa"/>
            <w:vAlign w:val="bottom"/>
          </w:tcPr>
          <w:p>
            <w:pPr>
              <w:spacing w:after="0"/>
              <w:rPr>
                <w:sz w:val="17"/>
                <w:szCs w:val="17"/>
                <w:color w:val="auto"/>
              </w:rPr>
            </w:pPr>
          </w:p>
        </w:tc>
        <w:tc>
          <w:tcPr>
            <w:tcW w:w="1200" w:type="dxa"/>
            <w:vAlign w:val="bottom"/>
            <w:gridSpan w:val="2"/>
          </w:tcPr>
          <w:p>
            <w:pPr>
              <w:ind w:left="40"/>
              <w:spacing w:after="0"/>
              <w:rPr>
                <w:sz w:val="20"/>
                <w:szCs w:val="20"/>
                <w:color w:val="auto"/>
              </w:rPr>
            </w:pPr>
            <w:r>
              <w:rPr>
                <w:rFonts w:ascii="Arial" w:cs="Arial" w:eastAsia="Arial" w:hAnsi="Arial"/>
                <w:sz w:val="14"/>
                <w:szCs w:val="14"/>
                <w:b w:val="1"/>
                <w:bCs w:val="1"/>
                <w:color w:val="auto"/>
              </w:rPr>
              <w:t>Eliminations</w:t>
            </w:r>
          </w:p>
        </w:tc>
        <w:tc>
          <w:tcPr>
            <w:tcW w:w="220" w:type="dxa"/>
            <w:vAlign w:val="bottom"/>
          </w:tcPr>
          <w:p>
            <w:pPr>
              <w:spacing w:after="0"/>
              <w:rPr>
                <w:sz w:val="17"/>
                <w:szCs w:val="17"/>
                <w:color w:val="auto"/>
              </w:rPr>
            </w:pPr>
          </w:p>
        </w:tc>
        <w:tc>
          <w:tcPr>
            <w:tcW w:w="800" w:type="dxa"/>
            <w:vAlign w:val="bottom"/>
          </w:tcPr>
          <w:p>
            <w:pPr>
              <w:jc w:val="right"/>
              <w:ind w:right="26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8"/>
        </w:trPr>
        <w:tc>
          <w:tcPr>
            <w:tcW w:w="3600" w:type="dxa"/>
            <w:vAlign w:val="bottom"/>
          </w:tcPr>
          <w:p>
            <w:pPr>
              <w:spacing w:after="0"/>
              <w:rPr>
                <w:sz w:val="20"/>
                <w:szCs w:val="20"/>
                <w:color w:val="auto"/>
              </w:rPr>
            </w:pPr>
            <w:r>
              <w:rPr>
                <w:rFonts w:ascii="Arial" w:cs="Arial" w:eastAsia="Arial" w:hAnsi="Arial"/>
                <w:sz w:val="14"/>
                <w:szCs w:val="14"/>
                <w:b w:val="1"/>
                <w:bCs w:val="1"/>
                <w:color w:val="auto"/>
              </w:rPr>
              <w:t>Revenues</w:t>
            </w:r>
          </w:p>
        </w:tc>
        <w:tc>
          <w:tcPr>
            <w:tcW w:w="880" w:type="dxa"/>
            <w:vAlign w:val="bottom"/>
            <w:tcBorders>
              <w:top w:val="single" w:sz="8" w:color="auto"/>
            </w:tcBorders>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80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3600" w:type="dxa"/>
            <w:vAlign w:val="bottom"/>
          </w:tcPr>
          <w:p>
            <w:pPr>
              <w:ind w:left="100"/>
              <w:spacing w:after="0"/>
              <w:rPr>
                <w:sz w:val="20"/>
                <w:szCs w:val="20"/>
                <w:color w:val="auto"/>
              </w:rPr>
            </w:pPr>
            <w:r>
              <w:rPr>
                <w:rFonts w:ascii="Arial" w:cs="Arial" w:eastAsia="Arial" w:hAnsi="Arial"/>
                <w:sz w:val="14"/>
                <w:szCs w:val="14"/>
                <w:color w:val="auto"/>
              </w:rPr>
              <w:t>Vehicle rental</w:t>
            </w:r>
          </w:p>
        </w:tc>
        <w:tc>
          <w:tcPr>
            <w:tcW w:w="880" w:type="dxa"/>
            <w:vAlign w:val="bottom"/>
          </w:tcPr>
          <w:p>
            <w:pPr>
              <w:jc w:val="right"/>
              <w:ind w:right="708"/>
              <w:spacing w:after="0"/>
              <w:rPr>
                <w:sz w:val="20"/>
                <w:szCs w:val="20"/>
                <w:color w:val="auto"/>
              </w:rPr>
            </w:pPr>
            <w:r>
              <w:rPr>
                <w:rFonts w:ascii="Arial" w:cs="Arial" w:eastAsia="Arial" w:hAnsi="Arial"/>
                <w:sz w:val="14"/>
                <w:szCs w:val="14"/>
                <w:color w:val="auto"/>
              </w:rPr>
              <w:t>$</w:t>
            </w: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4,134</w:t>
            </w:r>
          </w:p>
        </w:tc>
        <w:tc>
          <w:tcPr>
            <w:tcW w:w="12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1,947</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6,081</w:t>
            </w:r>
          </w:p>
        </w:tc>
        <w:tc>
          <w:tcPr>
            <w:tcW w:w="0" w:type="dxa"/>
            <w:vAlign w:val="bottom"/>
          </w:tcPr>
          <w:p>
            <w:pPr>
              <w:spacing w:after="0"/>
              <w:rPr>
                <w:sz w:val="1"/>
                <w:szCs w:val="1"/>
                <w:color w:val="auto"/>
              </w:rPr>
            </w:pPr>
          </w:p>
        </w:tc>
      </w:tr>
      <w:tr>
        <w:trPr>
          <w:trHeight w:val="276"/>
        </w:trPr>
        <w:tc>
          <w:tcPr>
            <w:tcW w:w="3600" w:type="dxa"/>
            <w:vAlign w:val="bottom"/>
          </w:tcPr>
          <w:p>
            <w:pPr>
              <w:ind w:left="100"/>
              <w:spacing w:after="0"/>
              <w:rPr>
                <w:sz w:val="20"/>
                <w:szCs w:val="20"/>
                <w:color w:val="auto"/>
              </w:rPr>
            </w:pPr>
            <w:r>
              <w:rPr>
                <w:rFonts w:ascii="Arial" w:cs="Arial" w:eastAsia="Arial" w:hAnsi="Arial"/>
                <w:sz w:val="14"/>
                <w:szCs w:val="14"/>
                <w:color w:val="auto"/>
              </w:rPr>
              <w:t>Other</w:t>
            </w:r>
          </w:p>
        </w:tc>
        <w:tc>
          <w:tcPr>
            <w:tcW w:w="8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1,209</w:t>
            </w: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3,563</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(2,194)</w:t>
            </w: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2,578</w:t>
            </w:r>
          </w:p>
        </w:tc>
        <w:tc>
          <w:tcPr>
            <w:tcW w:w="0" w:type="dxa"/>
            <w:vAlign w:val="bottom"/>
          </w:tcPr>
          <w:p>
            <w:pPr>
              <w:spacing w:after="0"/>
              <w:rPr>
                <w:sz w:val="1"/>
                <w:szCs w:val="1"/>
                <w:color w:val="auto"/>
              </w:rPr>
            </w:pPr>
          </w:p>
        </w:tc>
      </w:tr>
      <w:tr>
        <w:trPr>
          <w:trHeight w:val="250"/>
        </w:trPr>
        <w:tc>
          <w:tcPr>
            <w:tcW w:w="3600" w:type="dxa"/>
            <w:vAlign w:val="bottom"/>
          </w:tcPr>
          <w:p>
            <w:pPr>
              <w:spacing w:after="0"/>
              <w:rPr>
                <w:sz w:val="20"/>
                <w:szCs w:val="20"/>
                <w:color w:val="auto"/>
              </w:rPr>
            </w:pPr>
            <w:r>
              <w:rPr>
                <w:rFonts w:ascii="Arial" w:cs="Arial" w:eastAsia="Arial" w:hAnsi="Arial"/>
                <w:sz w:val="14"/>
                <w:szCs w:val="14"/>
                <w:color w:val="auto"/>
              </w:rPr>
              <w:t>Net revenues</w:t>
            </w:r>
          </w:p>
        </w:tc>
        <w:tc>
          <w:tcPr>
            <w:tcW w:w="880" w:type="dxa"/>
            <w:vAlign w:val="bottom"/>
          </w:tcPr>
          <w:p>
            <w:pPr>
              <w:spacing w:after="0"/>
              <w:rPr>
                <w:sz w:val="21"/>
                <w:szCs w:val="21"/>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5,343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5,510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(2,194)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8,659</w:t>
            </w:r>
          </w:p>
        </w:tc>
        <w:tc>
          <w:tcPr>
            <w:tcW w:w="0" w:type="dxa"/>
            <w:vAlign w:val="bottom"/>
          </w:tcPr>
          <w:p>
            <w:pPr>
              <w:spacing w:after="0"/>
              <w:rPr>
                <w:sz w:val="1"/>
                <w:szCs w:val="1"/>
                <w:color w:val="auto"/>
              </w:rPr>
            </w:pPr>
          </w:p>
        </w:tc>
      </w:tr>
      <w:tr>
        <w:trPr>
          <w:trHeight w:val="528"/>
        </w:trPr>
        <w:tc>
          <w:tcPr>
            <w:tcW w:w="3600" w:type="dxa"/>
            <w:vAlign w:val="bottom"/>
          </w:tcPr>
          <w:p>
            <w:pPr>
              <w:spacing w:after="0"/>
              <w:rPr>
                <w:sz w:val="20"/>
                <w:szCs w:val="20"/>
                <w:color w:val="auto"/>
              </w:rPr>
            </w:pPr>
            <w:r>
              <w:rPr>
                <w:rFonts w:ascii="Arial" w:cs="Arial" w:eastAsia="Arial" w:hAnsi="Arial"/>
                <w:sz w:val="14"/>
                <w:szCs w:val="14"/>
                <w:b w:val="1"/>
                <w:bCs w:val="1"/>
                <w:color w:val="auto"/>
              </w:rPr>
              <w:t>Expenses</w:t>
            </w:r>
          </w:p>
        </w:tc>
        <w:tc>
          <w:tcPr>
            <w:tcW w:w="88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600" w:type="dxa"/>
            <w:vAlign w:val="bottom"/>
          </w:tcPr>
          <w:p>
            <w:pPr>
              <w:ind w:left="100"/>
              <w:spacing w:after="0"/>
              <w:rPr>
                <w:sz w:val="20"/>
                <w:szCs w:val="20"/>
                <w:color w:val="auto"/>
              </w:rPr>
            </w:pPr>
            <w:r>
              <w:rPr>
                <w:rFonts w:ascii="Arial" w:cs="Arial" w:eastAsia="Arial" w:hAnsi="Arial"/>
                <w:sz w:val="14"/>
                <w:szCs w:val="14"/>
                <w:color w:val="auto"/>
              </w:rPr>
              <w:t>Operating</w:t>
            </w:r>
          </w:p>
        </w:tc>
        <w:tc>
          <w:tcPr>
            <w:tcW w:w="880" w:type="dxa"/>
            <w:vAlign w:val="bottom"/>
          </w:tcPr>
          <w:p>
            <w:pPr>
              <w:spacing w:after="0"/>
              <w:rPr>
                <w:sz w:val="23"/>
                <w:szCs w:val="23"/>
                <w:color w:val="auto"/>
              </w:rPr>
            </w:pPr>
          </w:p>
        </w:tc>
        <w:tc>
          <w:tcPr>
            <w:tcW w:w="360" w:type="dxa"/>
            <w:vAlign w:val="bottom"/>
          </w:tcPr>
          <w:p>
            <w:pPr>
              <w:jc w:val="right"/>
              <w:ind w:right="28"/>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2,622</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1,738</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4,382</w:t>
            </w:r>
          </w:p>
        </w:tc>
        <w:tc>
          <w:tcPr>
            <w:tcW w:w="0" w:type="dxa"/>
            <w:vAlign w:val="bottom"/>
          </w:tcPr>
          <w:p>
            <w:pPr>
              <w:spacing w:after="0"/>
              <w:rPr>
                <w:sz w:val="1"/>
                <w:szCs w:val="1"/>
                <w:color w:val="auto"/>
              </w:rPr>
            </w:pPr>
          </w:p>
        </w:tc>
      </w:tr>
      <w:tr>
        <w:trPr>
          <w:trHeight w:val="270"/>
        </w:trPr>
        <w:tc>
          <w:tcPr>
            <w:tcW w:w="3600" w:type="dxa"/>
            <w:vAlign w:val="bottom"/>
          </w:tcPr>
          <w:p>
            <w:pPr>
              <w:ind w:left="100"/>
              <w:spacing w:after="0"/>
              <w:rPr>
                <w:sz w:val="20"/>
                <w:szCs w:val="20"/>
                <w:color w:val="auto"/>
              </w:rPr>
            </w:pPr>
            <w:r>
              <w:rPr>
                <w:rFonts w:ascii="Arial" w:cs="Arial" w:eastAsia="Arial" w:hAnsi="Arial"/>
                <w:sz w:val="14"/>
                <w:szCs w:val="14"/>
                <w:color w:val="auto"/>
              </w:rPr>
              <w:t>Vehicle depreciation and lease charges, net</w:t>
            </w:r>
          </w:p>
        </w:tc>
        <w:tc>
          <w:tcPr>
            <w:tcW w:w="880" w:type="dxa"/>
            <w:vAlign w:val="bottom"/>
          </w:tcPr>
          <w:p>
            <w:pPr>
              <w:spacing w:after="0"/>
              <w:rPr>
                <w:sz w:val="23"/>
                <w:szCs w:val="23"/>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1,993</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2,045</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(1,991)</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2,047</w:t>
            </w:r>
          </w:p>
        </w:tc>
        <w:tc>
          <w:tcPr>
            <w:tcW w:w="0" w:type="dxa"/>
            <w:vAlign w:val="bottom"/>
          </w:tcPr>
          <w:p>
            <w:pPr>
              <w:spacing w:after="0"/>
              <w:rPr>
                <w:sz w:val="1"/>
                <w:szCs w:val="1"/>
                <w:color w:val="auto"/>
              </w:rPr>
            </w:pPr>
          </w:p>
        </w:tc>
      </w:tr>
      <w:tr>
        <w:trPr>
          <w:trHeight w:val="270"/>
        </w:trPr>
        <w:tc>
          <w:tcPr>
            <w:tcW w:w="3600" w:type="dxa"/>
            <w:vAlign w:val="bottom"/>
          </w:tcPr>
          <w:p>
            <w:pPr>
              <w:ind w:left="100"/>
              <w:spacing w:after="0"/>
              <w:rPr>
                <w:sz w:val="20"/>
                <w:szCs w:val="20"/>
                <w:color w:val="auto"/>
              </w:rPr>
            </w:pPr>
            <w:r>
              <w:rPr>
                <w:rFonts w:ascii="Arial" w:cs="Arial" w:eastAsia="Arial" w:hAnsi="Arial"/>
                <w:sz w:val="14"/>
                <w:szCs w:val="14"/>
                <w:color w:val="auto"/>
              </w:rPr>
              <w:t>Selling, general and administrative</w:t>
            </w:r>
          </w:p>
        </w:tc>
        <w:tc>
          <w:tcPr>
            <w:tcW w:w="880" w:type="dxa"/>
            <w:vAlign w:val="bottom"/>
          </w:tcPr>
          <w:p>
            <w:pPr>
              <w:spacing w:after="0"/>
              <w:rPr>
                <w:sz w:val="23"/>
                <w:szCs w:val="23"/>
                <w:color w:val="auto"/>
              </w:rPr>
            </w:pPr>
          </w:p>
        </w:tc>
        <w:tc>
          <w:tcPr>
            <w:tcW w:w="360" w:type="dxa"/>
            <w:vAlign w:val="bottom"/>
          </w:tcPr>
          <w:p>
            <w:pPr>
              <w:jc w:val="right"/>
              <w:ind w:right="28"/>
              <w:spacing w:after="0"/>
              <w:rPr>
                <w:sz w:val="20"/>
                <w:szCs w:val="20"/>
                <w:color w:val="auto"/>
              </w:rPr>
            </w:pPr>
            <w:r>
              <w:rPr>
                <w:rFonts w:ascii="Arial" w:cs="Arial" w:eastAsia="Arial" w:hAnsi="Arial"/>
                <w:sz w:val="14"/>
                <w:szCs w:val="14"/>
                <w:color w:val="auto"/>
              </w:rPr>
              <w:t>38</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631</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447</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1,134</w:t>
            </w:r>
          </w:p>
        </w:tc>
        <w:tc>
          <w:tcPr>
            <w:tcW w:w="0" w:type="dxa"/>
            <w:vAlign w:val="bottom"/>
          </w:tcPr>
          <w:p>
            <w:pPr>
              <w:spacing w:after="0"/>
              <w:rPr>
                <w:sz w:val="1"/>
                <w:szCs w:val="1"/>
                <w:color w:val="auto"/>
              </w:rPr>
            </w:pPr>
          </w:p>
        </w:tc>
      </w:tr>
      <w:tr>
        <w:trPr>
          <w:trHeight w:val="270"/>
        </w:trPr>
        <w:tc>
          <w:tcPr>
            <w:tcW w:w="3600" w:type="dxa"/>
            <w:vAlign w:val="bottom"/>
          </w:tcPr>
          <w:p>
            <w:pPr>
              <w:ind w:left="100"/>
              <w:spacing w:after="0"/>
              <w:rPr>
                <w:sz w:val="20"/>
                <w:szCs w:val="20"/>
                <w:color w:val="auto"/>
              </w:rPr>
            </w:pPr>
            <w:r>
              <w:rPr>
                <w:rFonts w:ascii="Arial" w:cs="Arial" w:eastAsia="Arial" w:hAnsi="Arial"/>
                <w:sz w:val="14"/>
                <w:szCs w:val="14"/>
                <w:color w:val="auto"/>
              </w:rPr>
              <w:t>Vehicle interest, net</w:t>
            </w:r>
          </w:p>
        </w:tc>
        <w:tc>
          <w:tcPr>
            <w:tcW w:w="880" w:type="dxa"/>
            <w:vAlign w:val="bottom"/>
          </w:tcPr>
          <w:p>
            <w:pPr>
              <w:spacing w:after="0"/>
              <w:rPr>
                <w:sz w:val="23"/>
                <w:szCs w:val="23"/>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198</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289</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(203)</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284</w:t>
            </w:r>
          </w:p>
        </w:tc>
        <w:tc>
          <w:tcPr>
            <w:tcW w:w="0" w:type="dxa"/>
            <w:vAlign w:val="bottom"/>
          </w:tcPr>
          <w:p>
            <w:pPr>
              <w:spacing w:after="0"/>
              <w:rPr>
                <w:sz w:val="1"/>
                <w:szCs w:val="1"/>
                <w:color w:val="auto"/>
              </w:rPr>
            </w:pPr>
          </w:p>
        </w:tc>
      </w:tr>
      <w:tr>
        <w:trPr>
          <w:trHeight w:val="270"/>
        </w:trPr>
        <w:tc>
          <w:tcPr>
            <w:tcW w:w="3600" w:type="dxa"/>
            <w:vAlign w:val="bottom"/>
          </w:tcPr>
          <w:p>
            <w:pPr>
              <w:ind w:left="100"/>
              <w:spacing w:after="0"/>
              <w:rPr>
                <w:sz w:val="20"/>
                <w:szCs w:val="20"/>
                <w:color w:val="auto"/>
              </w:rPr>
            </w:pPr>
            <w:r>
              <w:rPr>
                <w:rFonts w:ascii="Arial" w:cs="Arial" w:eastAsia="Arial" w:hAnsi="Arial"/>
                <w:sz w:val="14"/>
                <w:szCs w:val="14"/>
                <w:color w:val="auto"/>
              </w:rPr>
              <w:t>Non-vehicle related depreciation and amortization</w:t>
            </w:r>
          </w:p>
        </w:tc>
        <w:tc>
          <w:tcPr>
            <w:tcW w:w="880" w:type="dxa"/>
            <w:vAlign w:val="bottom"/>
          </w:tcPr>
          <w:p>
            <w:pPr>
              <w:spacing w:after="0"/>
              <w:rPr>
                <w:sz w:val="23"/>
                <w:szCs w:val="23"/>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155</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96</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253</w:t>
            </w:r>
          </w:p>
        </w:tc>
        <w:tc>
          <w:tcPr>
            <w:tcW w:w="0" w:type="dxa"/>
            <w:vAlign w:val="bottom"/>
          </w:tcPr>
          <w:p>
            <w:pPr>
              <w:spacing w:after="0"/>
              <w:rPr>
                <w:sz w:val="1"/>
                <w:szCs w:val="1"/>
                <w:color w:val="auto"/>
              </w:rPr>
            </w:pPr>
          </w:p>
        </w:tc>
      </w:tr>
      <w:tr>
        <w:trPr>
          <w:trHeight w:val="270"/>
        </w:trPr>
        <w:tc>
          <w:tcPr>
            <w:tcW w:w="3600" w:type="dxa"/>
            <w:vAlign w:val="bottom"/>
          </w:tcPr>
          <w:p>
            <w:pPr>
              <w:ind w:left="100"/>
              <w:spacing w:after="0"/>
              <w:rPr>
                <w:sz w:val="20"/>
                <w:szCs w:val="20"/>
                <w:color w:val="auto"/>
              </w:rPr>
            </w:pPr>
            <w:r>
              <w:rPr>
                <w:rFonts w:ascii="Arial" w:cs="Arial" w:eastAsia="Arial" w:hAnsi="Arial"/>
                <w:sz w:val="14"/>
                <w:szCs w:val="14"/>
                <w:color w:val="auto"/>
              </w:rPr>
              <w:t>Interest expense related to corporate debt, net:</w:t>
            </w:r>
          </w:p>
        </w:tc>
        <w:tc>
          <w:tcPr>
            <w:tcW w:w="8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600" w:type="dxa"/>
            <w:vAlign w:val="bottom"/>
          </w:tcPr>
          <w:p>
            <w:pPr>
              <w:ind w:left="320"/>
              <w:spacing w:after="0"/>
              <w:rPr>
                <w:sz w:val="20"/>
                <w:szCs w:val="20"/>
                <w:color w:val="auto"/>
              </w:rPr>
            </w:pPr>
            <w:r>
              <w:rPr>
                <w:rFonts w:ascii="Arial" w:cs="Arial" w:eastAsia="Arial" w:hAnsi="Arial"/>
                <w:sz w:val="14"/>
                <w:szCs w:val="14"/>
                <w:color w:val="auto"/>
              </w:rPr>
              <w:t>Interest expense</w:t>
            </w:r>
          </w:p>
        </w:tc>
        <w:tc>
          <w:tcPr>
            <w:tcW w:w="880" w:type="dxa"/>
            <w:vAlign w:val="bottom"/>
          </w:tcPr>
          <w:p>
            <w:pPr>
              <w:spacing w:after="0"/>
              <w:rPr>
                <w:sz w:val="23"/>
                <w:szCs w:val="23"/>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141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59</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203</w:t>
            </w:r>
          </w:p>
        </w:tc>
        <w:tc>
          <w:tcPr>
            <w:tcW w:w="0" w:type="dxa"/>
            <w:vAlign w:val="bottom"/>
          </w:tcPr>
          <w:p>
            <w:pPr>
              <w:spacing w:after="0"/>
              <w:rPr>
                <w:sz w:val="1"/>
                <w:szCs w:val="1"/>
                <w:color w:val="auto"/>
              </w:rPr>
            </w:pPr>
          </w:p>
        </w:tc>
      </w:tr>
      <w:tr>
        <w:trPr>
          <w:trHeight w:val="270"/>
        </w:trPr>
        <w:tc>
          <w:tcPr>
            <w:tcW w:w="3600" w:type="dxa"/>
            <w:vAlign w:val="bottom"/>
          </w:tcPr>
          <w:p>
            <w:pPr>
              <w:ind w:left="320"/>
              <w:spacing w:after="0"/>
              <w:rPr>
                <w:sz w:val="20"/>
                <w:szCs w:val="20"/>
                <w:color w:val="auto"/>
              </w:rPr>
            </w:pPr>
            <w:r>
              <w:rPr>
                <w:rFonts w:ascii="Arial" w:cs="Arial" w:eastAsia="Arial" w:hAnsi="Arial"/>
                <w:sz w:val="14"/>
                <w:szCs w:val="14"/>
                <w:color w:val="auto"/>
              </w:rPr>
              <w:t>Intercompany interest expense (income)</w:t>
            </w:r>
          </w:p>
        </w:tc>
        <w:tc>
          <w:tcPr>
            <w:tcW w:w="880" w:type="dxa"/>
            <w:vAlign w:val="bottom"/>
          </w:tcPr>
          <w:p>
            <w:pPr>
              <w:spacing w:after="0"/>
              <w:rPr>
                <w:sz w:val="23"/>
                <w:szCs w:val="23"/>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(13)</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23</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3600" w:type="dxa"/>
            <w:vAlign w:val="bottom"/>
          </w:tcPr>
          <w:p>
            <w:pPr>
              <w:ind w:left="320"/>
              <w:spacing w:after="0"/>
              <w:rPr>
                <w:sz w:val="20"/>
                <w:szCs w:val="20"/>
                <w:color w:val="auto"/>
              </w:rPr>
            </w:pPr>
            <w:r>
              <w:rPr>
                <w:rFonts w:ascii="Arial" w:cs="Arial" w:eastAsia="Arial" w:hAnsi="Arial"/>
                <w:sz w:val="14"/>
                <w:szCs w:val="14"/>
                <w:color w:val="auto"/>
              </w:rPr>
              <w:t>Early extinguishment of debt</w:t>
            </w:r>
          </w:p>
        </w:tc>
        <w:tc>
          <w:tcPr>
            <w:tcW w:w="880" w:type="dxa"/>
            <w:vAlign w:val="bottom"/>
          </w:tcPr>
          <w:p>
            <w:pPr>
              <w:spacing w:after="0"/>
              <w:rPr>
                <w:sz w:val="23"/>
                <w:szCs w:val="23"/>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270"/>
        </w:trPr>
        <w:tc>
          <w:tcPr>
            <w:tcW w:w="3600" w:type="dxa"/>
            <w:vAlign w:val="bottom"/>
          </w:tcPr>
          <w:p>
            <w:pPr>
              <w:ind w:left="100"/>
              <w:spacing w:after="0"/>
              <w:rPr>
                <w:sz w:val="20"/>
                <w:szCs w:val="20"/>
                <w:color w:val="auto"/>
              </w:rPr>
            </w:pPr>
            <w:r>
              <w:rPr>
                <w:rFonts w:ascii="Arial" w:cs="Arial" w:eastAsia="Arial" w:hAnsi="Arial"/>
                <w:sz w:val="14"/>
                <w:szCs w:val="14"/>
                <w:color w:val="auto"/>
              </w:rPr>
              <w:t>Restructuring and other related charges</w:t>
            </w:r>
          </w:p>
        </w:tc>
        <w:tc>
          <w:tcPr>
            <w:tcW w:w="880" w:type="dxa"/>
            <w:vAlign w:val="bottom"/>
          </w:tcPr>
          <w:p>
            <w:pPr>
              <w:spacing w:after="0"/>
              <w:rPr>
                <w:sz w:val="23"/>
                <w:szCs w:val="23"/>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9</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276"/>
        </w:trPr>
        <w:tc>
          <w:tcPr>
            <w:tcW w:w="3600" w:type="dxa"/>
            <w:vAlign w:val="bottom"/>
          </w:tcPr>
          <w:p>
            <w:pPr>
              <w:ind w:left="100"/>
              <w:spacing w:after="0"/>
              <w:rPr>
                <w:sz w:val="20"/>
                <w:szCs w:val="20"/>
                <w:color w:val="auto"/>
              </w:rPr>
            </w:pPr>
            <w:r>
              <w:rPr>
                <w:rFonts w:ascii="Arial" w:cs="Arial" w:eastAsia="Arial" w:hAnsi="Arial"/>
                <w:sz w:val="14"/>
                <w:szCs w:val="14"/>
                <w:color w:val="auto"/>
              </w:rPr>
              <w:t>Transaction-related costs, net</w:t>
            </w:r>
          </w:p>
        </w:tc>
        <w:tc>
          <w:tcPr>
            <w:tcW w:w="880" w:type="dxa"/>
            <w:vAlign w:val="bottom"/>
          </w:tcPr>
          <w:p>
            <w:pPr>
              <w:spacing w:after="0"/>
              <w:rPr>
                <w:sz w:val="24"/>
                <w:szCs w:val="24"/>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250"/>
        </w:trPr>
        <w:tc>
          <w:tcPr>
            <w:tcW w:w="3600" w:type="dxa"/>
            <w:vAlign w:val="bottom"/>
          </w:tcPr>
          <w:p>
            <w:pPr>
              <w:spacing w:after="0"/>
              <w:rPr>
                <w:sz w:val="20"/>
                <w:szCs w:val="20"/>
                <w:color w:val="auto"/>
              </w:rPr>
            </w:pPr>
            <w:r>
              <w:rPr>
                <w:rFonts w:ascii="Arial" w:cs="Arial" w:eastAsia="Arial" w:hAnsi="Arial"/>
                <w:sz w:val="14"/>
                <w:szCs w:val="14"/>
                <w:color w:val="auto"/>
              </w:rPr>
              <w:t>Total expenses</w:t>
            </w:r>
          </w:p>
        </w:tc>
        <w:tc>
          <w:tcPr>
            <w:tcW w:w="880" w:type="dxa"/>
            <w:vAlign w:val="bottom"/>
            <w:tcBorders>
              <w:top w:val="single" w:sz="8" w:color="auto"/>
              <w:bottom w:val="single" w:sz="8" w:color="auto"/>
            </w:tcBorders>
          </w:tcPr>
          <w:p>
            <w:pPr>
              <w:spacing w:after="0"/>
              <w:rPr>
                <w:sz w:val="21"/>
                <w:szCs w:val="21"/>
                <w:color w:val="auto"/>
              </w:rPr>
            </w:pPr>
          </w:p>
        </w:tc>
        <w:tc>
          <w:tcPr>
            <w:tcW w:w="3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29</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184</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5,635</w:t>
            </w:r>
          </w:p>
        </w:tc>
        <w:tc>
          <w:tcPr>
            <w:tcW w:w="120" w:type="dxa"/>
            <w:vAlign w:val="bottom"/>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4,726</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(2,194)</w:t>
            </w:r>
          </w:p>
        </w:tc>
        <w:tc>
          <w:tcPr>
            <w:tcW w:w="120" w:type="dxa"/>
            <w:vAlign w:val="bottom"/>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8,380</w:t>
            </w:r>
          </w:p>
        </w:tc>
        <w:tc>
          <w:tcPr>
            <w:tcW w:w="0" w:type="dxa"/>
            <w:vAlign w:val="bottom"/>
          </w:tcPr>
          <w:p>
            <w:pPr>
              <w:spacing w:after="0"/>
              <w:rPr>
                <w:sz w:val="1"/>
                <w:szCs w:val="1"/>
                <w:color w:val="auto"/>
              </w:rPr>
            </w:pPr>
          </w:p>
        </w:tc>
      </w:tr>
      <w:tr>
        <w:trPr>
          <w:trHeight w:val="446"/>
        </w:trPr>
        <w:tc>
          <w:tcPr>
            <w:tcW w:w="3600" w:type="dxa"/>
            <w:vAlign w:val="bottom"/>
          </w:tcPr>
          <w:p>
            <w:pPr>
              <w:spacing w:after="0"/>
              <w:rPr>
                <w:sz w:val="20"/>
                <w:szCs w:val="20"/>
                <w:color w:val="auto"/>
              </w:rPr>
            </w:pPr>
            <w:r>
              <w:rPr>
                <w:rFonts w:ascii="Arial" w:cs="Arial" w:eastAsia="Arial" w:hAnsi="Arial"/>
                <w:sz w:val="14"/>
                <w:szCs w:val="14"/>
                <w:b w:val="1"/>
                <w:bCs w:val="1"/>
                <w:color w:val="auto"/>
              </w:rPr>
              <w:t>Income (loss) before income taxes and equity in</w:t>
            </w: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3600" w:type="dxa"/>
            <w:vAlign w:val="bottom"/>
          </w:tcPr>
          <w:p>
            <w:pPr>
              <w:ind w:left="160"/>
              <w:spacing w:after="0"/>
              <w:rPr>
                <w:sz w:val="20"/>
                <w:szCs w:val="20"/>
                <w:color w:val="auto"/>
              </w:rPr>
            </w:pPr>
            <w:r>
              <w:rPr>
                <w:rFonts w:ascii="Arial" w:cs="Arial" w:eastAsia="Arial" w:hAnsi="Arial"/>
                <w:sz w:val="14"/>
                <w:szCs w:val="14"/>
                <w:b w:val="1"/>
                <w:bCs w:val="1"/>
                <w:color w:val="auto"/>
              </w:rPr>
              <w:t>earnings of subsidiaries</w:t>
            </w:r>
          </w:p>
        </w:tc>
        <w:tc>
          <w:tcPr>
            <w:tcW w:w="88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(29)</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(184)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(292)</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784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279</w:t>
            </w:r>
          </w:p>
        </w:tc>
        <w:tc>
          <w:tcPr>
            <w:tcW w:w="0" w:type="dxa"/>
            <w:vAlign w:val="bottom"/>
          </w:tcPr>
          <w:p>
            <w:pPr>
              <w:spacing w:after="0"/>
              <w:rPr>
                <w:sz w:val="1"/>
                <w:szCs w:val="1"/>
                <w:color w:val="auto"/>
              </w:rPr>
            </w:pPr>
          </w:p>
        </w:tc>
      </w:tr>
      <w:tr>
        <w:trPr>
          <w:trHeight w:val="270"/>
        </w:trPr>
        <w:tc>
          <w:tcPr>
            <w:tcW w:w="3600" w:type="dxa"/>
            <w:vAlign w:val="bottom"/>
          </w:tcPr>
          <w:p>
            <w:pPr>
              <w:spacing w:after="0"/>
              <w:rPr>
                <w:sz w:val="20"/>
                <w:szCs w:val="20"/>
                <w:color w:val="auto"/>
              </w:rPr>
            </w:pPr>
            <w:r>
              <w:rPr>
                <w:rFonts w:ascii="Arial" w:cs="Arial" w:eastAsia="Arial" w:hAnsi="Arial"/>
                <w:sz w:val="14"/>
                <w:szCs w:val="14"/>
                <w:color w:val="auto"/>
              </w:rPr>
              <w:t>Provision for (benefit from) income taxes</w:t>
            </w:r>
          </w:p>
        </w:tc>
        <w:tc>
          <w:tcPr>
            <w:tcW w:w="880" w:type="dxa"/>
            <w:vAlign w:val="bottom"/>
          </w:tcPr>
          <w:p>
            <w:pPr>
              <w:spacing w:after="0"/>
              <w:rPr>
                <w:sz w:val="23"/>
                <w:szCs w:val="23"/>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(70)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123</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74</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116</w:t>
            </w:r>
          </w:p>
        </w:tc>
        <w:tc>
          <w:tcPr>
            <w:tcW w:w="0" w:type="dxa"/>
            <w:vAlign w:val="bottom"/>
          </w:tcPr>
          <w:p>
            <w:pPr>
              <w:spacing w:after="0"/>
              <w:rPr>
                <w:sz w:val="1"/>
                <w:szCs w:val="1"/>
                <w:color w:val="auto"/>
              </w:rPr>
            </w:pPr>
          </w:p>
        </w:tc>
      </w:tr>
      <w:tr>
        <w:trPr>
          <w:trHeight w:val="276"/>
        </w:trPr>
        <w:tc>
          <w:tcPr>
            <w:tcW w:w="3600" w:type="dxa"/>
            <w:vAlign w:val="bottom"/>
          </w:tcPr>
          <w:p>
            <w:pPr>
              <w:spacing w:after="0"/>
              <w:rPr>
                <w:sz w:val="20"/>
                <w:szCs w:val="20"/>
                <w:color w:val="auto"/>
              </w:rPr>
            </w:pPr>
            <w:r>
              <w:rPr>
                <w:rFonts w:ascii="Arial" w:cs="Arial" w:eastAsia="Arial" w:hAnsi="Arial"/>
                <w:sz w:val="14"/>
                <w:szCs w:val="14"/>
                <w:color w:val="auto"/>
              </w:rPr>
              <w:t>Equity in earnings of subsidiaries</w:t>
            </w:r>
          </w:p>
        </w:tc>
        <w:tc>
          <w:tcPr>
            <w:tcW w:w="880" w:type="dxa"/>
            <w:vAlign w:val="bottom"/>
          </w:tcPr>
          <w:p>
            <w:pPr>
              <w:spacing w:after="0"/>
              <w:rPr>
                <w:sz w:val="23"/>
                <w:szCs w:val="23"/>
                <w:color w:val="auto"/>
              </w:rPr>
            </w:pPr>
          </w:p>
        </w:tc>
        <w:tc>
          <w:tcPr>
            <w:tcW w:w="360" w:type="dxa"/>
            <w:vAlign w:val="bottom"/>
          </w:tcPr>
          <w:p>
            <w:pPr>
              <w:jc w:val="right"/>
              <w:ind w:right="28"/>
              <w:spacing w:after="0"/>
              <w:rPr>
                <w:sz w:val="20"/>
                <w:szCs w:val="20"/>
                <w:color w:val="auto"/>
              </w:rPr>
            </w:pPr>
            <w:r>
              <w:rPr>
                <w:rFonts w:ascii="Arial" w:cs="Arial" w:eastAsia="Arial" w:hAnsi="Arial"/>
                <w:sz w:val="14"/>
                <w:szCs w:val="14"/>
                <w:color w:val="auto"/>
              </w:rPr>
              <w:t>181</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295</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710</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(1,186)</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3600" w:type="dxa"/>
            <w:vAlign w:val="bottom"/>
          </w:tcPr>
          <w:p>
            <w:pPr>
              <w:spacing w:after="0"/>
              <w:rPr>
                <w:sz w:val="20"/>
                <w:szCs w:val="20"/>
                <w:color w:val="auto"/>
              </w:rPr>
            </w:pPr>
            <w:r>
              <w:rPr>
                <w:rFonts w:ascii="Arial" w:cs="Arial" w:eastAsia="Arial" w:hAnsi="Arial"/>
                <w:sz w:val="14"/>
                <w:szCs w:val="14"/>
                <w:b w:val="1"/>
                <w:bCs w:val="1"/>
                <w:color w:val="auto"/>
              </w:rPr>
              <w:t>Net income</w:t>
            </w:r>
          </w:p>
        </w:tc>
        <w:tc>
          <w:tcPr>
            <w:tcW w:w="880" w:type="dxa"/>
            <w:vAlign w:val="bottom"/>
            <w:tcBorders>
              <w:top w:val="single" w:sz="8" w:color="auto"/>
              <w:bottom w:val="single" w:sz="8" w:color="auto"/>
            </w:tcBorders>
          </w:tcPr>
          <w:p>
            <w:pPr>
              <w:jc w:val="right"/>
              <w:ind w:right="708"/>
              <w:spacing w:after="0"/>
              <w:rPr>
                <w:sz w:val="20"/>
                <w:szCs w:val="20"/>
                <w:color w:val="auto"/>
              </w:rPr>
            </w:pPr>
            <w:r>
              <w:rPr>
                <w:rFonts w:ascii="Arial" w:cs="Arial" w:eastAsia="Arial" w:hAnsi="Arial"/>
                <w:sz w:val="14"/>
                <w:szCs w:val="14"/>
                <w:color w:val="auto"/>
              </w:rPr>
              <w:t>$</w:t>
            </w:r>
          </w:p>
        </w:tc>
        <w:tc>
          <w:tcPr>
            <w:tcW w:w="3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163</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181</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295</w:t>
            </w:r>
          </w:p>
        </w:tc>
        <w:tc>
          <w:tcPr>
            <w:tcW w:w="12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710</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(1,186)</w:t>
            </w:r>
          </w:p>
        </w:tc>
        <w:tc>
          <w:tcPr>
            <w:tcW w:w="12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163</w:t>
            </w:r>
          </w:p>
        </w:tc>
        <w:tc>
          <w:tcPr>
            <w:tcW w:w="0" w:type="dxa"/>
            <w:vAlign w:val="bottom"/>
          </w:tcPr>
          <w:p>
            <w:pPr>
              <w:spacing w:after="0"/>
              <w:rPr>
                <w:sz w:val="1"/>
                <w:szCs w:val="1"/>
                <w:color w:val="auto"/>
              </w:rPr>
            </w:pPr>
          </w:p>
        </w:tc>
      </w:tr>
      <w:tr>
        <w:trPr>
          <w:trHeight w:val="20"/>
        </w:trPr>
        <w:tc>
          <w:tcPr>
            <w:tcW w:w="3600" w:type="dxa"/>
            <w:vAlign w:val="bottom"/>
            <w:vMerge w:val="restart"/>
          </w:tcPr>
          <w:p>
            <w:pPr>
              <w:spacing w:after="0"/>
              <w:rPr>
                <w:sz w:val="20"/>
                <w:szCs w:val="20"/>
                <w:color w:val="auto"/>
              </w:rPr>
            </w:pPr>
            <w:r>
              <w:rPr>
                <w:rFonts w:ascii="Arial" w:cs="Arial" w:eastAsia="Arial" w:hAnsi="Arial"/>
                <w:sz w:val="14"/>
                <w:szCs w:val="14"/>
                <w:b w:val="1"/>
                <w:bCs w:val="1"/>
                <w:color w:val="auto"/>
              </w:rPr>
              <w:t>Comprehensive income</w:t>
            </w: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3600" w:type="dxa"/>
            <w:vAlign w:val="bottom"/>
            <w:vMerge w:val="continue"/>
          </w:tcPr>
          <w:p>
            <w:pPr>
              <w:spacing w:after="0"/>
              <w:rPr>
                <w:sz w:val="24"/>
                <w:szCs w:val="24"/>
                <w:color w:val="auto"/>
              </w:rPr>
            </w:pPr>
          </w:p>
        </w:tc>
        <w:tc>
          <w:tcPr>
            <w:tcW w:w="880" w:type="dxa"/>
            <w:vAlign w:val="bottom"/>
            <w:tcBorders>
              <w:bottom w:val="single" w:sz="8" w:color="auto"/>
            </w:tcBorders>
          </w:tcPr>
          <w:p>
            <w:pPr>
              <w:jc w:val="right"/>
              <w:ind w:right="70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156</w:t>
            </w:r>
          </w:p>
        </w:tc>
        <w:tc>
          <w:tcPr>
            <w:tcW w:w="120" w:type="dxa"/>
            <w:vAlign w:val="bottom"/>
          </w:tcPr>
          <w:p>
            <w:pPr>
              <w:spacing w:after="0"/>
              <w:rPr>
                <w:sz w:val="24"/>
                <w:szCs w:val="24"/>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173</w:t>
            </w:r>
          </w:p>
        </w:tc>
        <w:tc>
          <w:tcPr>
            <w:tcW w:w="100" w:type="dxa"/>
            <w:vAlign w:val="bottom"/>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283</w:t>
            </w:r>
          </w:p>
        </w:tc>
        <w:tc>
          <w:tcPr>
            <w:tcW w:w="120" w:type="dxa"/>
            <w:vAlign w:val="bottom"/>
          </w:tcPr>
          <w:p>
            <w:pPr>
              <w:spacing w:after="0"/>
              <w:rPr>
                <w:sz w:val="24"/>
                <w:szCs w:val="2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712</w:t>
            </w:r>
          </w:p>
        </w:tc>
        <w:tc>
          <w:tcPr>
            <w:tcW w:w="100" w:type="dxa"/>
            <w:vAlign w:val="bottom"/>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(1,168)</w:t>
            </w:r>
          </w:p>
        </w:tc>
        <w:tc>
          <w:tcPr>
            <w:tcW w:w="120" w:type="dxa"/>
            <w:vAlign w:val="bottom"/>
          </w:tcPr>
          <w:p>
            <w:pPr>
              <w:spacing w:after="0"/>
              <w:rPr>
                <w:sz w:val="24"/>
                <w:szCs w:val="24"/>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156</w:t>
            </w: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F-51</w:t>
      </w:r>
    </w:p>
    <w:p>
      <w:pPr>
        <w:sectPr>
          <w:pgSz w:w="11900" w:h="16838" w:orient="portrait"/>
          <w:cols w:equalWidth="0" w:num="1">
            <w:col w:w="11420"/>
          </w:cols>
          <w:pgMar w:left="240" w:top="140" w:right="239" w:bottom="1440" w:gutter="0" w:footer="0" w:header="0"/>
        </w:sectPr>
      </w:pPr>
    </w:p>
    <w:bookmarkStart w:id="117" w:name="page118"/>
    <w:bookmarkEnd w:id="1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For the Year Ended December 31, 2015</w:t>
      </w:r>
    </w:p>
    <w:p>
      <w:pPr>
        <w:spacing w:after="0" w:line="348"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36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4"/>
                <w:szCs w:val="14"/>
                <w:b w:val="1"/>
                <w:bCs w:val="1"/>
                <w:color w:val="auto"/>
              </w:rPr>
              <w:t>Subsidiary</w:t>
            </w:r>
          </w:p>
        </w:tc>
        <w:tc>
          <w:tcPr>
            <w:tcW w:w="16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Guarantor</w:t>
            </w:r>
          </w:p>
        </w:tc>
        <w:tc>
          <w:tcPr>
            <w:tcW w:w="100" w:type="dxa"/>
            <w:vAlign w:val="bottom"/>
          </w:tcPr>
          <w:p>
            <w:pPr>
              <w:spacing w:after="0"/>
              <w:rPr>
                <w:sz w:val="14"/>
                <w:szCs w:val="14"/>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Non-Guarantor</w:t>
            </w: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6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Parent</w:t>
            </w: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tcPr>
          <w:p>
            <w:pPr>
              <w:ind w:left="200"/>
              <w:spacing w:after="0"/>
              <w:rPr>
                <w:sz w:val="20"/>
                <w:szCs w:val="20"/>
                <w:color w:val="auto"/>
              </w:rPr>
            </w:pPr>
            <w:r>
              <w:rPr>
                <w:rFonts w:ascii="Arial" w:cs="Arial" w:eastAsia="Arial" w:hAnsi="Arial"/>
                <w:sz w:val="14"/>
                <w:szCs w:val="14"/>
                <w:b w:val="1"/>
                <w:bCs w:val="1"/>
                <w:color w:val="auto"/>
              </w:rPr>
              <w:t>Issuers</w:t>
            </w:r>
          </w:p>
        </w:tc>
        <w:tc>
          <w:tcPr>
            <w:tcW w:w="16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Pr>
          <w:p>
            <w:pPr>
              <w:spacing w:after="0"/>
              <w:rPr>
                <w:sz w:val="17"/>
                <w:szCs w:val="17"/>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Subsidiaries</w:t>
            </w:r>
          </w:p>
        </w:tc>
        <w:tc>
          <w:tcPr>
            <w:tcW w:w="160" w:type="dxa"/>
            <w:vAlign w:val="bottom"/>
          </w:tcPr>
          <w:p>
            <w:pPr>
              <w:spacing w:after="0"/>
              <w:rPr>
                <w:sz w:val="17"/>
                <w:szCs w:val="17"/>
                <w:color w:val="auto"/>
              </w:rPr>
            </w:pPr>
          </w:p>
        </w:tc>
        <w:tc>
          <w:tcPr>
            <w:tcW w:w="1200" w:type="dxa"/>
            <w:vAlign w:val="bottom"/>
            <w:gridSpan w:val="2"/>
          </w:tcPr>
          <w:p>
            <w:pPr>
              <w:ind w:left="40"/>
              <w:spacing w:after="0"/>
              <w:rPr>
                <w:sz w:val="20"/>
                <w:szCs w:val="20"/>
                <w:color w:val="auto"/>
              </w:rPr>
            </w:pPr>
            <w:r>
              <w:rPr>
                <w:rFonts w:ascii="Arial" w:cs="Arial" w:eastAsia="Arial" w:hAnsi="Arial"/>
                <w:sz w:val="14"/>
                <w:szCs w:val="14"/>
                <w:b w:val="1"/>
                <w:bCs w:val="1"/>
                <w:color w:val="auto"/>
              </w:rPr>
              <w:t>Eliminations</w:t>
            </w:r>
          </w:p>
        </w:tc>
        <w:tc>
          <w:tcPr>
            <w:tcW w:w="220" w:type="dxa"/>
            <w:vAlign w:val="bottom"/>
          </w:tcPr>
          <w:p>
            <w:pPr>
              <w:spacing w:after="0"/>
              <w:rPr>
                <w:sz w:val="17"/>
                <w:szCs w:val="17"/>
                <w:color w:val="auto"/>
              </w:rPr>
            </w:pPr>
          </w:p>
        </w:tc>
        <w:tc>
          <w:tcPr>
            <w:tcW w:w="800" w:type="dxa"/>
            <w:vAlign w:val="bottom"/>
          </w:tcPr>
          <w:p>
            <w:pPr>
              <w:jc w:val="right"/>
              <w:ind w:right="26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8"/>
        </w:trPr>
        <w:tc>
          <w:tcPr>
            <w:tcW w:w="3600" w:type="dxa"/>
            <w:vAlign w:val="bottom"/>
          </w:tcPr>
          <w:p>
            <w:pPr>
              <w:spacing w:after="0"/>
              <w:rPr>
                <w:sz w:val="20"/>
                <w:szCs w:val="20"/>
                <w:color w:val="auto"/>
              </w:rPr>
            </w:pPr>
            <w:r>
              <w:rPr>
                <w:rFonts w:ascii="Arial" w:cs="Arial" w:eastAsia="Arial" w:hAnsi="Arial"/>
                <w:sz w:val="14"/>
                <w:szCs w:val="14"/>
                <w:b w:val="1"/>
                <w:bCs w:val="1"/>
                <w:color w:val="auto"/>
              </w:rPr>
              <w:t>Revenues</w:t>
            </w:r>
          </w:p>
        </w:tc>
        <w:tc>
          <w:tcPr>
            <w:tcW w:w="880" w:type="dxa"/>
            <w:vAlign w:val="bottom"/>
            <w:tcBorders>
              <w:top w:val="single" w:sz="8" w:color="auto"/>
            </w:tcBorders>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80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3600" w:type="dxa"/>
            <w:vAlign w:val="bottom"/>
          </w:tcPr>
          <w:p>
            <w:pPr>
              <w:ind w:left="100"/>
              <w:spacing w:after="0"/>
              <w:rPr>
                <w:sz w:val="20"/>
                <w:szCs w:val="20"/>
                <w:color w:val="auto"/>
              </w:rPr>
            </w:pPr>
            <w:r>
              <w:rPr>
                <w:rFonts w:ascii="Arial" w:cs="Arial" w:eastAsia="Arial" w:hAnsi="Arial"/>
                <w:sz w:val="14"/>
                <w:szCs w:val="14"/>
                <w:color w:val="auto"/>
              </w:rPr>
              <w:t>Vehicle rental</w:t>
            </w:r>
          </w:p>
        </w:tc>
        <w:tc>
          <w:tcPr>
            <w:tcW w:w="880" w:type="dxa"/>
            <w:vAlign w:val="bottom"/>
          </w:tcPr>
          <w:p>
            <w:pPr>
              <w:jc w:val="right"/>
              <w:ind w:right="708"/>
              <w:spacing w:after="0"/>
              <w:rPr>
                <w:sz w:val="20"/>
                <w:szCs w:val="20"/>
                <w:color w:val="auto"/>
              </w:rPr>
            </w:pPr>
            <w:r>
              <w:rPr>
                <w:rFonts w:ascii="Arial" w:cs="Arial" w:eastAsia="Arial" w:hAnsi="Arial"/>
                <w:sz w:val="14"/>
                <w:szCs w:val="14"/>
                <w:color w:val="auto"/>
              </w:rPr>
              <w:t>$</w:t>
            </w: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4,124</w:t>
            </w:r>
          </w:p>
        </w:tc>
        <w:tc>
          <w:tcPr>
            <w:tcW w:w="12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1,902</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6,026</w:t>
            </w:r>
          </w:p>
        </w:tc>
        <w:tc>
          <w:tcPr>
            <w:tcW w:w="0" w:type="dxa"/>
            <w:vAlign w:val="bottom"/>
          </w:tcPr>
          <w:p>
            <w:pPr>
              <w:spacing w:after="0"/>
              <w:rPr>
                <w:sz w:val="1"/>
                <w:szCs w:val="1"/>
                <w:color w:val="auto"/>
              </w:rPr>
            </w:pPr>
          </w:p>
        </w:tc>
      </w:tr>
      <w:tr>
        <w:trPr>
          <w:trHeight w:val="276"/>
        </w:trPr>
        <w:tc>
          <w:tcPr>
            <w:tcW w:w="3600" w:type="dxa"/>
            <w:vAlign w:val="bottom"/>
          </w:tcPr>
          <w:p>
            <w:pPr>
              <w:ind w:left="100"/>
              <w:spacing w:after="0"/>
              <w:rPr>
                <w:sz w:val="20"/>
                <w:szCs w:val="20"/>
                <w:color w:val="auto"/>
              </w:rPr>
            </w:pPr>
            <w:r>
              <w:rPr>
                <w:rFonts w:ascii="Arial" w:cs="Arial" w:eastAsia="Arial" w:hAnsi="Arial"/>
                <w:sz w:val="14"/>
                <w:szCs w:val="14"/>
                <w:color w:val="auto"/>
              </w:rPr>
              <w:t>Other</w:t>
            </w:r>
          </w:p>
        </w:tc>
        <w:tc>
          <w:tcPr>
            <w:tcW w:w="8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1,181</w:t>
            </w: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3,335</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(2,040)</w:t>
            </w: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2,476</w:t>
            </w:r>
          </w:p>
        </w:tc>
        <w:tc>
          <w:tcPr>
            <w:tcW w:w="0" w:type="dxa"/>
            <w:vAlign w:val="bottom"/>
          </w:tcPr>
          <w:p>
            <w:pPr>
              <w:spacing w:after="0"/>
              <w:rPr>
                <w:sz w:val="1"/>
                <w:szCs w:val="1"/>
                <w:color w:val="auto"/>
              </w:rPr>
            </w:pPr>
          </w:p>
        </w:tc>
      </w:tr>
      <w:tr>
        <w:trPr>
          <w:trHeight w:val="250"/>
        </w:trPr>
        <w:tc>
          <w:tcPr>
            <w:tcW w:w="3600" w:type="dxa"/>
            <w:vAlign w:val="bottom"/>
          </w:tcPr>
          <w:p>
            <w:pPr>
              <w:spacing w:after="0"/>
              <w:rPr>
                <w:sz w:val="20"/>
                <w:szCs w:val="20"/>
                <w:color w:val="auto"/>
              </w:rPr>
            </w:pPr>
            <w:r>
              <w:rPr>
                <w:rFonts w:ascii="Arial" w:cs="Arial" w:eastAsia="Arial" w:hAnsi="Arial"/>
                <w:sz w:val="14"/>
                <w:szCs w:val="14"/>
                <w:color w:val="auto"/>
              </w:rPr>
              <w:t>Net revenues</w:t>
            </w:r>
          </w:p>
        </w:tc>
        <w:tc>
          <w:tcPr>
            <w:tcW w:w="880" w:type="dxa"/>
            <w:vAlign w:val="bottom"/>
          </w:tcPr>
          <w:p>
            <w:pPr>
              <w:spacing w:after="0"/>
              <w:rPr>
                <w:sz w:val="21"/>
                <w:szCs w:val="21"/>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5,305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5,237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(2,040)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8,502</w:t>
            </w:r>
          </w:p>
        </w:tc>
        <w:tc>
          <w:tcPr>
            <w:tcW w:w="0" w:type="dxa"/>
            <w:vAlign w:val="bottom"/>
          </w:tcPr>
          <w:p>
            <w:pPr>
              <w:spacing w:after="0"/>
              <w:rPr>
                <w:sz w:val="1"/>
                <w:szCs w:val="1"/>
                <w:color w:val="auto"/>
              </w:rPr>
            </w:pPr>
          </w:p>
        </w:tc>
      </w:tr>
      <w:tr>
        <w:trPr>
          <w:trHeight w:val="528"/>
        </w:trPr>
        <w:tc>
          <w:tcPr>
            <w:tcW w:w="3600" w:type="dxa"/>
            <w:vAlign w:val="bottom"/>
          </w:tcPr>
          <w:p>
            <w:pPr>
              <w:spacing w:after="0"/>
              <w:rPr>
                <w:sz w:val="20"/>
                <w:szCs w:val="20"/>
                <w:color w:val="auto"/>
              </w:rPr>
            </w:pPr>
            <w:r>
              <w:rPr>
                <w:rFonts w:ascii="Arial" w:cs="Arial" w:eastAsia="Arial" w:hAnsi="Arial"/>
                <w:sz w:val="14"/>
                <w:szCs w:val="14"/>
                <w:b w:val="1"/>
                <w:bCs w:val="1"/>
                <w:color w:val="auto"/>
              </w:rPr>
              <w:t>Expenses</w:t>
            </w:r>
          </w:p>
        </w:tc>
        <w:tc>
          <w:tcPr>
            <w:tcW w:w="88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600" w:type="dxa"/>
            <w:vAlign w:val="bottom"/>
          </w:tcPr>
          <w:p>
            <w:pPr>
              <w:ind w:left="100"/>
              <w:spacing w:after="0"/>
              <w:rPr>
                <w:sz w:val="20"/>
                <w:szCs w:val="20"/>
                <w:color w:val="auto"/>
              </w:rPr>
            </w:pPr>
            <w:r>
              <w:rPr>
                <w:rFonts w:ascii="Arial" w:cs="Arial" w:eastAsia="Arial" w:hAnsi="Arial"/>
                <w:sz w:val="14"/>
                <w:szCs w:val="14"/>
                <w:color w:val="auto"/>
              </w:rPr>
              <w:t>Operating</w:t>
            </w:r>
          </w:p>
        </w:tc>
        <w:tc>
          <w:tcPr>
            <w:tcW w:w="880" w:type="dxa"/>
            <w:vAlign w:val="bottom"/>
          </w:tcPr>
          <w:p>
            <w:pPr>
              <w:spacing w:after="0"/>
              <w:rPr>
                <w:sz w:val="23"/>
                <w:szCs w:val="23"/>
                <w:color w:val="auto"/>
              </w:rPr>
            </w:pPr>
          </w:p>
        </w:tc>
        <w:tc>
          <w:tcPr>
            <w:tcW w:w="360" w:type="dxa"/>
            <w:vAlign w:val="bottom"/>
          </w:tcPr>
          <w:p>
            <w:pPr>
              <w:jc w:val="right"/>
              <w:ind w:right="2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2,587</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1,678</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4,284</w:t>
            </w:r>
          </w:p>
        </w:tc>
        <w:tc>
          <w:tcPr>
            <w:tcW w:w="0" w:type="dxa"/>
            <w:vAlign w:val="bottom"/>
          </w:tcPr>
          <w:p>
            <w:pPr>
              <w:spacing w:after="0"/>
              <w:rPr>
                <w:sz w:val="1"/>
                <w:szCs w:val="1"/>
                <w:color w:val="auto"/>
              </w:rPr>
            </w:pPr>
          </w:p>
        </w:tc>
      </w:tr>
      <w:tr>
        <w:trPr>
          <w:trHeight w:val="270"/>
        </w:trPr>
        <w:tc>
          <w:tcPr>
            <w:tcW w:w="3600" w:type="dxa"/>
            <w:vAlign w:val="bottom"/>
          </w:tcPr>
          <w:p>
            <w:pPr>
              <w:ind w:left="100"/>
              <w:spacing w:after="0"/>
              <w:rPr>
                <w:sz w:val="20"/>
                <w:szCs w:val="20"/>
                <w:color w:val="auto"/>
              </w:rPr>
            </w:pPr>
            <w:r>
              <w:rPr>
                <w:rFonts w:ascii="Arial" w:cs="Arial" w:eastAsia="Arial" w:hAnsi="Arial"/>
                <w:sz w:val="14"/>
                <w:szCs w:val="14"/>
                <w:color w:val="auto"/>
              </w:rPr>
              <w:t>Vehicle depreciation and lease charges, net</w:t>
            </w:r>
          </w:p>
        </w:tc>
        <w:tc>
          <w:tcPr>
            <w:tcW w:w="880" w:type="dxa"/>
            <w:vAlign w:val="bottom"/>
          </w:tcPr>
          <w:p>
            <w:pPr>
              <w:spacing w:after="0"/>
              <w:rPr>
                <w:sz w:val="23"/>
                <w:szCs w:val="23"/>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1,819</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1,936</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(1,823)</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1,933</w:t>
            </w:r>
          </w:p>
        </w:tc>
        <w:tc>
          <w:tcPr>
            <w:tcW w:w="0" w:type="dxa"/>
            <w:vAlign w:val="bottom"/>
          </w:tcPr>
          <w:p>
            <w:pPr>
              <w:spacing w:after="0"/>
              <w:rPr>
                <w:sz w:val="1"/>
                <w:szCs w:val="1"/>
                <w:color w:val="auto"/>
              </w:rPr>
            </w:pPr>
          </w:p>
        </w:tc>
      </w:tr>
      <w:tr>
        <w:trPr>
          <w:trHeight w:val="270"/>
        </w:trPr>
        <w:tc>
          <w:tcPr>
            <w:tcW w:w="3600" w:type="dxa"/>
            <w:vAlign w:val="bottom"/>
          </w:tcPr>
          <w:p>
            <w:pPr>
              <w:ind w:left="100"/>
              <w:spacing w:after="0"/>
              <w:rPr>
                <w:sz w:val="20"/>
                <w:szCs w:val="20"/>
                <w:color w:val="auto"/>
              </w:rPr>
            </w:pPr>
            <w:r>
              <w:rPr>
                <w:rFonts w:ascii="Arial" w:cs="Arial" w:eastAsia="Arial" w:hAnsi="Arial"/>
                <w:sz w:val="14"/>
                <w:szCs w:val="14"/>
                <w:color w:val="auto"/>
              </w:rPr>
              <w:t>Selling, general and administrative</w:t>
            </w:r>
          </w:p>
        </w:tc>
        <w:tc>
          <w:tcPr>
            <w:tcW w:w="880" w:type="dxa"/>
            <w:vAlign w:val="bottom"/>
          </w:tcPr>
          <w:p>
            <w:pPr>
              <w:spacing w:after="0"/>
              <w:rPr>
                <w:sz w:val="23"/>
                <w:szCs w:val="23"/>
                <w:color w:val="auto"/>
              </w:rPr>
            </w:pPr>
          </w:p>
        </w:tc>
        <w:tc>
          <w:tcPr>
            <w:tcW w:w="360" w:type="dxa"/>
            <w:vAlign w:val="bottom"/>
          </w:tcPr>
          <w:p>
            <w:pPr>
              <w:jc w:val="right"/>
              <w:ind w:right="28"/>
              <w:spacing w:after="0"/>
              <w:rPr>
                <w:sz w:val="20"/>
                <w:szCs w:val="20"/>
                <w:color w:val="auto"/>
              </w:rPr>
            </w:pPr>
            <w:r>
              <w:rPr>
                <w:rFonts w:ascii="Arial" w:cs="Arial" w:eastAsia="Arial" w:hAnsi="Arial"/>
                <w:sz w:val="14"/>
                <w:szCs w:val="14"/>
                <w:color w:val="auto"/>
              </w:rPr>
              <w:t>32</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619</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427</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1,093</w:t>
            </w:r>
          </w:p>
        </w:tc>
        <w:tc>
          <w:tcPr>
            <w:tcW w:w="0" w:type="dxa"/>
            <w:vAlign w:val="bottom"/>
          </w:tcPr>
          <w:p>
            <w:pPr>
              <w:spacing w:after="0"/>
              <w:rPr>
                <w:sz w:val="1"/>
                <w:szCs w:val="1"/>
                <w:color w:val="auto"/>
              </w:rPr>
            </w:pPr>
          </w:p>
        </w:tc>
      </w:tr>
      <w:tr>
        <w:trPr>
          <w:trHeight w:val="270"/>
        </w:trPr>
        <w:tc>
          <w:tcPr>
            <w:tcW w:w="3600" w:type="dxa"/>
            <w:vAlign w:val="bottom"/>
          </w:tcPr>
          <w:p>
            <w:pPr>
              <w:ind w:left="100"/>
              <w:spacing w:after="0"/>
              <w:rPr>
                <w:sz w:val="20"/>
                <w:szCs w:val="20"/>
                <w:color w:val="auto"/>
              </w:rPr>
            </w:pPr>
            <w:r>
              <w:rPr>
                <w:rFonts w:ascii="Arial" w:cs="Arial" w:eastAsia="Arial" w:hAnsi="Arial"/>
                <w:sz w:val="14"/>
                <w:szCs w:val="14"/>
                <w:color w:val="auto"/>
              </w:rPr>
              <w:t>Vehicle interest, net</w:t>
            </w:r>
          </w:p>
        </w:tc>
        <w:tc>
          <w:tcPr>
            <w:tcW w:w="880" w:type="dxa"/>
            <w:vAlign w:val="bottom"/>
          </w:tcPr>
          <w:p>
            <w:pPr>
              <w:spacing w:after="0"/>
              <w:rPr>
                <w:sz w:val="23"/>
                <w:szCs w:val="23"/>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204</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302</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(217)</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289</w:t>
            </w:r>
          </w:p>
        </w:tc>
        <w:tc>
          <w:tcPr>
            <w:tcW w:w="0" w:type="dxa"/>
            <w:vAlign w:val="bottom"/>
          </w:tcPr>
          <w:p>
            <w:pPr>
              <w:spacing w:after="0"/>
              <w:rPr>
                <w:sz w:val="1"/>
                <w:szCs w:val="1"/>
                <w:color w:val="auto"/>
              </w:rPr>
            </w:pPr>
          </w:p>
        </w:tc>
      </w:tr>
      <w:tr>
        <w:trPr>
          <w:trHeight w:val="270"/>
        </w:trPr>
        <w:tc>
          <w:tcPr>
            <w:tcW w:w="3600" w:type="dxa"/>
            <w:vAlign w:val="bottom"/>
          </w:tcPr>
          <w:p>
            <w:pPr>
              <w:ind w:left="100"/>
              <w:spacing w:after="0"/>
              <w:rPr>
                <w:sz w:val="20"/>
                <w:szCs w:val="20"/>
                <w:color w:val="auto"/>
              </w:rPr>
            </w:pPr>
            <w:r>
              <w:rPr>
                <w:rFonts w:ascii="Arial" w:cs="Arial" w:eastAsia="Arial" w:hAnsi="Arial"/>
                <w:sz w:val="14"/>
                <w:szCs w:val="14"/>
                <w:color w:val="auto"/>
              </w:rPr>
              <w:t>Non-vehicle related depreciation and amortization</w:t>
            </w:r>
          </w:p>
        </w:tc>
        <w:tc>
          <w:tcPr>
            <w:tcW w:w="880" w:type="dxa"/>
            <w:vAlign w:val="bottom"/>
          </w:tcPr>
          <w:p>
            <w:pPr>
              <w:spacing w:after="0"/>
              <w:rPr>
                <w:sz w:val="23"/>
                <w:szCs w:val="23"/>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133</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84</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218</w:t>
            </w:r>
          </w:p>
        </w:tc>
        <w:tc>
          <w:tcPr>
            <w:tcW w:w="0" w:type="dxa"/>
            <w:vAlign w:val="bottom"/>
          </w:tcPr>
          <w:p>
            <w:pPr>
              <w:spacing w:after="0"/>
              <w:rPr>
                <w:sz w:val="1"/>
                <w:szCs w:val="1"/>
                <w:color w:val="auto"/>
              </w:rPr>
            </w:pPr>
          </w:p>
        </w:tc>
      </w:tr>
      <w:tr>
        <w:trPr>
          <w:trHeight w:val="270"/>
        </w:trPr>
        <w:tc>
          <w:tcPr>
            <w:tcW w:w="3600" w:type="dxa"/>
            <w:vAlign w:val="bottom"/>
          </w:tcPr>
          <w:p>
            <w:pPr>
              <w:ind w:left="100"/>
              <w:spacing w:after="0"/>
              <w:rPr>
                <w:sz w:val="20"/>
                <w:szCs w:val="20"/>
                <w:color w:val="auto"/>
              </w:rPr>
            </w:pPr>
            <w:r>
              <w:rPr>
                <w:rFonts w:ascii="Arial" w:cs="Arial" w:eastAsia="Arial" w:hAnsi="Arial"/>
                <w:sz w:val="14"/>
                <w:szCs w:val="14"/>
                <w:color w:val="auto"/>
              </w:rPr>
              <w:t>Interest expense related to corporate debt, net:</w:t>
            </w:r>
          </w:p>
        </w:tc>
        <w:tc>
          <w:tcPr>
            <w:tcW w:w="8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600" w:type="dxa"/>
            <w:vAlign w:val="bottom"/>
          </w:tcPr>
          <w:p>
            <w:pPr>
              <w:ind w:left="320"/>
              <w:spacing w:after="0"/>
              <w:rPr>
                <w:sz w:val="20"/>
                <w:szCs w:val="20"/>
                <w:color w:val="auto"/>
              </w:rPr>
            </w:pPr>
            <w:r>
              <w:rPr>
                <w:rFonts w:ascii="Arial" w:cs="Arial" w:eastAsia="Arial" w:hAnsi="Arial"/>
                <w:sz w:val="14"/>
                <w:szCs w:val="14"/>
                <w:color w:val="auto"/>
              </w:rPr>
              <w:t>Interest expense</w:t>
            </w:r>
          </w:p>
        </w:tc>
        <w:tc>
          <w:tcPr>
            <w:tcW w:w="880" w:type="dxa"/>
            <w:vAlign w:val="bottom"/>
          </w:tcPr>
          <w:p>
            <w:pPr>
              <w:spacing w:after="0"/>
              <w:rPr>
                <w:sz w:val="23"/>
                <w:szCs w:val="23"/>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159</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40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194</w:t>
            </w:r>
          </w:p>
        </w:tc>
        <w:tc>
          <w:tcPr>
            <w:tcW w:w="0" w:type="dxa"/>
            <w:vAlign w:val="bottom"/>
          </w:tcPr>
          <w:p>
            <w:pPr>
              <w:spacing w:after="0"/>
              <w:rPr>
                <w:sz w:val="1"/>
                <w:szCs w:val="1"/>
                <w:color w:val="auto"/>
              </w:rPr>
            </w:pPr>
          </w:p>
        </w:tc>
      </w:tr>
      <w:tr>
        <w:trPr>
          <w:trHeight w:val="270"/>
        </w:trPr>
        <w:tc>
          <w:tcPr>
            <w:tcW w:w="3600" w:type="dxa"/>
            <w:vAlign w:val="bottom"/>
          </w:tcPr>
          <w:p>
            <w:pPr>
              <w:ind w:left="320"/>
              <w:spacing w:after="0"/>
              <w:rPr>
                <w:sz w:val="20"/>
                <w:szCs w:val="20"/>
                <w:color w:val="auto"/>
              </w:rPr>
            </w:pPr>
            <w:r>
              <w:rPr>
                <w:rFonts w:ascii="Arial" w:cs="Arial" w:eastAsia="Arial" w:hAnsi="Arial"/>
                <w:sz w:val="14"/>
                <w:szCs w:val="14"/>
                <w:color w:val="auto"/>
              </w:rPr>
              <w:t>Intercompany interest expense (income)</w:t>
            </w:r>
          </w:p>
        </w:tc>
        <w:tc>
          <w:tcPr>
            <w:tcW w:w="880" w:type="dxa"/>
            <w:vAlign w:val="bottom"/>
          </w:tcPr>
          <w:p>
            <w:pPr>
              <w:spacing w:after="0"/>
              <w:rPr>
                <w:sz w:val="23"/>
                <w:szCs w:val="23"/>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16</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3600" w:type="dxa"/>
            <w:vAlign w:val="bottom"/>
          </w:tcPr>
          <w:p>
            <w:pPr>
              <w:ind w:left="320"/>
              <w:spacing w:after="0"/>
              <w:rPr>
                <w:sz w:val="20"/>
                <w:szCs w:val="20"/>
                <w:color w:val="auto"/>
              </w:rPr>
            </w:pPr>
            <w:r>
              <w:rPr>
                <w:rFonts w:ascii="Arial" w:cs="Arial" w:eastAsia="Arial" w:hAnsi="Arial"/>
                <w:sz w:val="14"/>
                <w:szCs w:val="14"/>
                <w:color w:val="auto"/>
              </w:rPr>
              <w:t>Early extinguishment of debt</w:t>
            </w:r>
          </w:p>
        </w:tc>
        <w:tc>
          <w:tcPr>
            <w:tcW w:w="880" w:type="dxa"/>
            <w:vAlign w:val="bottom"/>
          </w:tcPr>
          <w:p>
            <w:pPr>
              <w:spacing w:after="0"/>
              <w:rPr>
                <w:sz w:val="23"/>
                <w:szCs w:val="23"/>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23</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270"/>
        </w:trPr>
        <w:tc>
          <w:tcPr>
            <w:tcW w:w="3600" w:type="dxa"/>
            <w:vAlign w:val="bottom"/>
          </w:tcPr>
          <w:p>
            <w:pPr>
              <w:ind w:left="100"/>
              <w:spacing w:after="0"/>
              <w:rPr>
                <w:sz w:val="20"/>
                <w:szCs w:val="20"/>
                <w:color w:val="auto"/>
              </w:rPr>
            </w:pPr>
            <w:r>
              <w:rPr>
                <w:rFonts w:ascii="Arial" w:cs="Arial" w:eastAsia="Arial" w:hAnsi="Arial"/>
                <w:sz w:val="14"/>
                <w:szCs w:val="14"/>
                <w:color w:val="auto"/>
              </w:rPr>
              <w:t>Transaction-related costs, net</w:t>
            </w:r>
          </w:p>
        </w:tc>
        <w:tc>
          <w:tcPr>
            <w:tcW w:w="880" w:type="dxa"/>
            <w:vAlign w:val="bottom"/>
          </w:tcPr>
          <w:p>
            <w:pPr>
              <w:spacing w:after="0"/>
              <w:rPr>
                <w:sz w:val="23"/>
                <w:szCs w:val="23"/>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22</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40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68</w:t>
            </w:r>
          </w:p>
        </w:tc>
        <w:tc>
          <w:tcPr>
            <w:tcW w:w="0" w:type="dxa"/>
            <w:vAlign w:val="bottom"/>
          </w:tcPr>
          <w:p>
            <w:pPr>
              <w:spacing w:after="0"/>
              <w:rPr>
                <w:sz w:val="1"/>
                <w:szCs w:val="1"/>
                <w:color w:val="auto"/>
              </w:rPr>
            </w:pPr>
          </w:p>
        </w:tc>
      </w:tr>
      <w:tr>
        <w:trPr>
          <w:trHeight w:val="276"/>
        </w:trPr>
        <w:tc>
          <w:tcPr>
            <w:tcW w:w="3600" w:type="dxa"/>
            <w:vAlign w:val="bottom"/>
          </w:tcPr>
          <w:p>
            <w:pPr>
              <w:ind w:left="100"/>
              <w:spacing w:after="0"/>
              <w:rPr>
                <w:sz w:val="20"/>
                <w:szCs w:val="20"/>
                <w:color w:val="auto"/>
              </w:rPr>
            </w:pPr>
            <w:r>
              <w:rPr>
                <w:rFonts w:ascii="Arial" w:cs="Arial" w:eastAsia="Arial" w:hAnsi="Arial"/>
                <w:sz w:val="14"/>
                <w:szCs w:val="14"/>
                <w:color w:val="auto"/>
              </w:rPr>
              <w:t>Restructuring and other related charges</w:t>
            </w:r>
          </w:p>
        </w:tc>
        <w:tc>
          <w:tcPr>
            <w:tcW w:w="880" w:type="dxa"/>
            <w:vAlign w:val="bottom"/>
          </w:tcPr>
          <w:p>
            <w:pPr>
              <w:spacing w:after="0"/>
              <w:rPr>
                <w:sz w:val="24"/>
                <w:szCs w:val="24"/>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250"/>
        </w:trPr>
        <w:tc>
          <w:tcPr>
            <w:tcW w:w="3600" w:type="dxa"/>
            <w:vAlign w:val="bottom"/>
          </w:tcPr>
          <w:p>
            <w:pPr>
              <w:spacing w:after="0"/>
              <w:rPr>
                <w:sz w:val="20"/>
                <w:szCs w:val="20"/>
                <w:color w:val="auto"/>
              </w:rPr>
            </w:pPr>
            <w:r>
              <w:rPr>
                <w:rFonts w:ascii="Arial" w:cs="Arial" w:eastAsia="Arial" w:hAnsi="Arial"/>
                <w:sz w:val="14"/>
                <w:szCs w:val="14"/>
                <w:color w:val="auto"/>
              </w:rPr>
              <w:t>Total expenses</w:t>
            </w:r>
          </w:p>
        </w:tc>
        <w:tc>
          <w:tcPr>
            <w:tcW w:w="880" w:type="dxa"/>
            <w:vAlign w:val="bottom"/>
            <w:tcBorders>
              <w:top w:val="single" w:sz="8" w:color="auto"/>
              <w:bottom w:val="single" w:sz="8" w:color="auto"/>
            </w:tcBorders>
          </w:tcPr>
          <w:p>
            <w:pPr>
              <w:spacing w:after="0"/>
              <w:rPr>
                <w:sz w:val="21"/>
                <w:szCs w:val="21"/>
                <w:color w:val="auto"/>
              </w:rPr>
            </w:pPr>
          </w:p>
        </w:tc>
        <w:tc>
          <w:tcPr>
            <w:tcW w:w="3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22</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227</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5,385</w:t>
            </w:r>
          </w:p>
        </w:tc>
        <w:tc>
          <w:tcPr>
            <w:tcW w:w="120" w:type="dxa"/>
            <w:vAlign w:val="bottom"/>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4,526</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(2,040)</w:t>
            </w:r>
          </w:p>
        </w:tc>
        <w:tc>
          <w:tcPr>
            <w:tcW w:w="120" w:type="dxa"/>
            <w:vAlign w:val="bottom"/>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8,120</w:t>
            </w:r>
          </w:p>
        </w:tc>
        <w:tc>
          <w:tcPr>
            <w:tcW w:w="0" w:type="dxa"/>
            <w:vAlign w:val="bottom"/>
          </w:tcPr>
          <w:p>
            <w:pPr>
              <w:spacing w:after="0"/>
              <w:rPr>
                <w:sz w:val="1"/>
                <w:szCs w:val="1"/>
                <w:color w:val="auto"/>
              </w:rPr>
            </w:pPr>
          </w:p>
        </w:tc>
      </w:tr>
      <w:tr>
        <w:trPr>
          <w:trHeight w:val="446"/>
        </w:trPr>
        <w:tc>
          <w:tcPr>
            <w:tcW w:w="3600" w:type="dxa"/>
            <w:vAlign w:val="bottom"/>
          </w:tcPr>
          <w:p>
            <w:pPr>
              <w:spacing w:after="0"/>
              <w:rPr>
                <w:sz w:val="20"/>
                <w:szCs w:val="20"/>
                <w:color w:val="auto"/>
              </w:rPr>
            </w:pPr>
            <w:r>
              <w:rPr>
                <w:rFonts w:ascii="Arial" w:cs="Arial" w:eastAsia="Arial" w:hAnsi="Arial"/>
                <w:sz w:val="14"/>
                <w:szCs w:val="14"/>
                <w:b w:val="1"/>
                <w:bCs w:val="1"/>
                <w:color w:val="auto"/>
              </w:rPr>
              <w:t>Income (loss) before income taxes and equity in</w:t>
            </w: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3600" w:type="dxa"/>
            <w:vAlign w:val="bottom"/>
          </w:tcPr>
          <w:p>
            <w:pPr>
              <w:ind w:left="160"/>
              <w:spacing w:after="0"/>
              <w:rPr>
                <w:sz w:val="20"/>
                <w:szCs w:val="20"/>
                <w:color w:val="auto"/>
              </w:rPr>
            </w:pPr>
            <w:r>
              <w:rPr>
                <w:rFonts w:ascii="Arial" w:cs="Arial" w:eastAsia="Arial" w:hAnsi="Arial"/>
                <w:sz w:val="14"/>
                <w:szCs w:val="14"/>
                <w:b w:val="1"/>
                <w:bCs w:val="1"/>
                <w:color w:val="auto"/>
              </w:rPr>
              <w:t>earnings of subsidiaries</w:t>
            </w:r>
          </w:p>
        </w:tc>
        <w:tc>
          <w:tcPr>
            <w:tcW w:w="88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(22)</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(227)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(80)</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711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382</w:t>
            </w:r>
          </w:p>
        </w:tc>
        <w:tc>
          <w:tcPr>
            <w:tcW w:w="0" w:type="dxa"/>
            <w:vAlign w:val="bottom"/>
          </w:tcPr>
          <w:p>
            <w:pPr>
              <w:spacing w:after="0"/>
              <w:rPr>
                <w:sz w:val="1"/>
                <w:szCs w:val="1"/>
                <w:color w:val="auto"/>
              </w:rPr>
            </w:pPr>
          </w:p>
        </w:tc>
      </w:tr>
      <w:tr>
        <w:trPr>
          <w:trHeight w:val="270"/>
        </w:trPr>
        <w:tc>
          <w:tcPr>
            <w:tcW w:w="3600" w:type="dxa"/>
            <w:vAlign w:val="bottom"/>
          </w:tcPr>
          <w:p>
            <w:pPr>
              <w:spacing w:after="0"/>
              <w:rPr>
                <w:sz w:val="20"/>
                <w:szCs w:val="20"/>
                <w:color w:val="auto"/>
              </w:rPr>
            </w:pPr>
            <w:r>
              <w:rPr>
                <w:rFonts w:ascii="Arial" w:cs="Arial" w:eastAsia="Arial" w:hAnsi="Arial"/>
                <w:sz w:val="14"/>
                <w:szCs w:val="14"/>
                <w:color w:val="auto"/>
              </w:rPr>
              <w:t>Provision for (benefit from) income taxes</w:t>
            </w:r>
          </w:p>
        </w:tc>
        <w:tc>
          <w:tcPr>
            <w:tcW w:w="880" w:type="dxa"/>
            <w:vAlign w:val="bottom"/>
          </w:tcPr>
          <w:p>
            <w:pPr>
              <w:spacing w:after="0"/>
              <w:rPr>
                <w:sz w:val="23"/>
                <w:szCs w:val="23"/>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(9)</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(178)</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170</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86</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69</w:t>
            </w:r>
          </w:p>
        </w:tc>
        <w:tc>
          <w:tcPr>
            <w:tcW w:w="0" w:type="dxa"/>
            <w:vAlign w:val="bottom"/>
          </w:tcPr>
          <w:p>
            <w:pPr>
              <w:spacing w:after="0"/>
              <w:rPr>
                <w:sz w:val="1"/>
                <w:szCs w:val="1"/>
                <w:color w:val="auto"/>
              </w:rPr>
            </w:pPr>
          </w:p>
        </w:tc>
      </w:tr>
      <w:tr>
        <w:trPr>
          <w:trHeight w:val="276"/>
        </w:trPr>
        <w:tc>
          <w:tcPr>
            <w:tcW w:w="3600" w:type="dxa"/>
            <w:vAlign w:val="bottom"/>
          </w:tcPr>
          <w:p>
            <w:pPr>
              <w:spacing w:after="0"/>
              <w:rPr>
                <w:sz w:val="20"/>
                <w:szCs w:val="20"/>
                <w:color w:val="auto"/>
              </w:rPr>
            </w:pPr>
            <w:r>
              <w:rPr>
                <w:rFonts w:ascii="Arial" w:cs="Arial" w:eastAsia="Arial" w:hAnsi="Arial"/>
                <w:sz w:val="14"/>
                <w:szCs w:val="14"/>
                <w:color w:val="auto"/>
              </w:rPr>
              <w:t>Equity in earnings of subsidiaries</w:t>
            </w:r>
          </w:p>
        </w:tc>
        <w:tc>
          <w:tcPr>
            <w:tcW w:w="880" w:type="dxa"/>
            <w:vAlign w:val="bottom"/>
          </w:tcPr>
          <w:p>
            <w:pPr>
              <w:spacing w:after="0"/>
              <w:rPr>
                <w:sz w:val="23"/>
                <w:szCs w:val="23"/>
                <w:color w:val="auto"/>
              </w:rPr>
            </w:pPr>
          </w:p>
        </w:tc>
        <w:tc>
          <w:tcPr>
            <w:tcW w:w="360" w:type="dxa"/>
            <w:vAlign w:val="bottom"/>
          </w:tcPr>
          <w:p>
            <w:pPr>
              <w:jc w:val="right"/>
              <w:ind w:right="28"/>
              <w:spacing w:after="0"/>
              <w:rPr>
                <w:sz w:val="20"/>
                <w:szCs w:val="20"/>
                <w:color w:val="auto"/>
              </w:rPr>
            </w:pPr>
            <w:r>
              <w:rPr>
                <w:rFonts w:ascii="Arial" w:cs="Arial" w:eastAsia="Arial" w:hAnsi="Arial"/>
                <w:sz w:val="14"/>
                <w:szCs w:val="14"/>
                <w:color w:val="auto"/>
              </w:rPr>
              <w:t>326</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375</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625</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(1,326)</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3600" w:type="dxa"/>
            <w:vAlign w:val="bottom"/>
          </w:tcPr>
          <w:p>
            <w:pPr>
              <w:spacing w:after="0"/>
              <w:rPr>
                <w:sz w:val="20"/>
                <w:szCs w:val="20"/>
                <w:color w:val="auto"/>
              </w:rPr>
            </w:pPr>
            <w:r>
              <w:rPr>
                <w:rFonts w:ascii="Arial" w:cs="Arial" w:eastAsia="Arial" w:hAnsi="Arial"/>
                <w:sz w:val="14"/>
                <w:szCs w:val="14"/>
                <w:b w:val="1"/>
                <w:bCs w:val="1"/>
                <w:color w:val="auto"/>
              </w:rPr>
              <w:t>Net income</w:t>
            </w:r>
          </w:p>
        </w:tc>
        <w:tc>
          <w:tcPr>
            <w:tcW w:w="880" w:type="dxa"/>
            <w:vAlign w:val="bottom"/>
            <w:tcBorders>
              <w:top w:val="single" w:sz="8" w:color="auto"/>
              <w:bottom w:val="single" w:sz="8" w:color="auto"/>
            </w:tcBorders>
          </w:tcPr>
          <w:p>
            <w:pPr>
              <w:jc w:val="right"/>
              <w:ind w:right="708"/>
              <w:spacing w:after="0"/>
              <w:rPr>
                <w:sz w:val="20"/>
                <w:szCs w:val="20"/>
                <w:color w:val="auto"/>
              </w:rPr>
            </w:pPr>
            <w:r>
              <w:rPr>
                <w:rFonts w:ascii="Arial" w:cs="Arial" w:eastAsia="Arial" w:hAnsi="Arial"/>
                <w:sz w:val="14"/>
                <w:szCs w:val="14"/>
                <w:color w:val="auto"/>
              </w:rPr>
              <w:t>$</w:t>
            </w:r>
          </w:p>
        </w:tc>
        <w:tc>
          <w:tcPr>
            <w:tcW w:w="3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313</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326</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375</w:t>
            </w:r>
          </w:p>
        </w:tc>
        <w:tc>
          <w:tcPr>
            <w:tcW w:w="12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625</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(1,326)</w:t>
            </w:r>
          </w:p>
        </w:tc>
        <w:tc>
          <w:tcPr>
            <w:tcW w:w="12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313</w:t>
            </w:r>
          </w:p>
        </w:tc>
        <w:tc>
          <w:tcPr>
            <w:tcW w:w="0" w:type="dxa"/>
            <w:vAlign w:val="bottom"/>
          </w:tcPr>
          <w:p>
            <w:pPr>
              <w:spacing w:after="0"/>
              <w:rPr>
                <w:sz w:val="1"/>
                <w:szCs w:val="1"/>
                <w:color w:val="auto"/>
              </w:rPr>
            </w:pPr>
          </w:p>
        </w:tc>
      </w:tr>
      <w:tr>
        <w:trPr>
          <w:trHeight w:val="20"/>
        </w:trPr>
        <w:tc>
          <w:tcPr>
            <w:tcW w:w="3600" w:type="dxa"/>
            <w:vAlign w:val="bottom"/>
            <w:vMerge w:val="restart"/>
          </w:tcPr>
          <w:p>
            <w:pPr>
              <w:spacing w:after="0"/>
              <w:rPr>
                <w:sz w:val="20"/>
                <w:szCs w:val="20"/>
                <w:color w:val="auto"/>
              </w:rPr>
            </w:pPr>
            <w:r>
              <w:rPr>
                <w:rFonts w:ascii="Arial" w:cs="Arial" w:eastAsia="Arial" w:hAnsi="Arial"/>
                <w:sz w:val="14"/>
                <w:szCs w:val="14"/>
                <w:b w:val="1"/>
                <w:bCs w:val="1"/>
                <w:color w:val="auto"/>
              </w:rPr>
              <w:t>Comprehensive income</w:t>
            </w: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3600" w:type="dxa"/>
            <w:vAlign w:val="bottom"/>
            <w:vMerge w:val="continue"/>
          </w:tcPr>
          <w:p>
            <w:pPr>
              <w:spacing w:after="0"/>
              <w:rPr>
                <w:sz w:val="24"/>
                <w:szCs w:val="24"/>
                <w:color w:val="auto"/>
              </w:rPr>
            </w:pPr>
          </w:p>
        </w:tc>
        <w:tc>
          <w:tcPr>
            <w:tcW w:w="880" w:type="dxa"/>
            <w:vAlign w:val="bottom"/>
            <w:tcBorders>
              <w:bottom w:val="single" w:sz="8" w:color="auto"/>
            </w:tcBorders>
          </w:tcPr>
          <w:p>
            <w:pPr>
              <w:jc w:val="right"/>
              <w:ind w:right="70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188</w:t>
            </w:r>
          </w:p>
        </w:tc>
        <w:tc>
          <w:tcPr>
            <w:tcW w:w="120" w:type="dxa"/>
            <w:vAlign w:val="bottom"/>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203</w:t>
            </w:r>
          </w:p>
        </w:tc>
        <w:tc>
          <w:tcPr>
            <w:tcW w:w="100" w:type="dxa"/>
            <w:vAlign w:val="bottom"/>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253</w:t>
            </w:r>
          </w:p>
        </w:tc>
        <w:tc>
          <w:tcPr>
            <w:tcW w:w="120" w:type="dxa"/>
            <w:vAlign w:val="bottom"/>
          </w:tcPr>
          <w:p>
            <w:pPr>
              <w:spacing w:after="0"/>
              <w:rPr>
                <w:sz w:val="24"/>
                <w:szCs w:val="2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504</w:t>
            </w:r>
          </w:p>
        </w:tc>
        <w:tc>
          <w:tcPr>
            <w:tcW w:w="100" w:type="dxa"/>
            <w:vAlign w:val="bottom"/>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(960)</w:t>
            </w:r>
          </w:p>
        </w:tc>
        <w:tc>
          <w:tcPr>
            <w:tcW w:w="120" w:type="dxa"/>
            <w:vAlign w:val="bottom"/>
          </w:tcPr>
          <w:p>
            <w:pPr>
              <w:spacing w:after="0"/>
              <w:rPr>
                <w:sz w:val="24"/>
                <w:szCs w:val="24"/>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188</w:t>
            </w: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F-52</w:t>
      </w:r>
    </w:p>
    <w:p>
      <w:pPr>
        <w:sectPr>
          <w:pgSz w:w="11900" w:h="16838" w:orient="portrait"/>
          <w:cols w:equalWidth="0" w:num="1">
            <w:col w:w="11420"/>
          </w:cols>
          <w:pgMar w:left="240" w:top="140" w:right="239" w:bottom="1440" w:gutter="0" w:footer="0" w:header="0"/>
        </w:sectPr>
      </w:pPr>
    </w:p>
    <w:bookmarkStart w:id="118" w:name="page119"/>
    <w:bookmarkEnd w:id="118"/>
    <w:p>
      <w:pPr>
        <w:spacing w:after="0"/>
        <w:rPr>
          <w:sz w:val="20"/>
          <w:szCs w:val="20"/>
          <w:color w:val="auto"/>
        </w:rPr>
      </w:pPr>
      <w:r>
        <w:rPr>
          <w:rFonts w:ascii="Arial" w:cs="Arial" w:eastAsia="Arial" w:hAnsi="Arial"/>
          <w:sz w:val="18"/>
          <w:szCs w:val="18"/>
          <w:b w:val="1"/>
          <w:bCs w:val="1"/>
          <w:color w:val="auto"/>
        </w:rPr>
        <w:t>Consolidating Condensed Balance Sheets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2017</w:t>
      </w:r>
    </w:p>
    <w:p>
      <w:pPr>
        <w:spacing w:after="0" w:line="348"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3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Subsidiary</w:t>
            </w:r>
          </w:p>
        </w:tc>
        <w:tc>
          <w:tcPr>
            <w:tcW w:w="14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Guarantor</w:t>
            </w:r>
          </w:p>
        </w:tc>
        <w:tc>
          <w:tcPr>
            <w:tcW w:w="13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Non-Guarantor</w:t>
            </w: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2"/>
          </w:tcPr>
          <w:p>
            <w:pPr>
              <w:ind w:left="160"/>
              <w:spacing w:after="0"/>
              <w:rPr>
                <w:sz w:val="20"/>
                <w:szCs w:val="20"/>
                <w:color w:val="auto"/>
              </w:rPr>
            </w:pPr>
            <w:r>
              <w:rPr>
                <w:rFonts w:ascii="Arial" w:cs="Arial" w:eastAsia="Arial" w:hAnsi="Arial"/>
                <w:sz w:val="14"/>
                <w:szCs w:val="14"/>
                <w:b w:val="1"/>
                <w:bCs w:val="1"/>
                <w:color w:val="auto"/>
              </w:rPr>
              <w:t>Parent</w:t>
            </w:r>
          </w:p>
        </w:tc>
        <w:tc>
          <w:tcPr>
            <w:tcW w:w="180" w:type="dxa"/>
            <w:vAlign w:val="bottom"/>
          </w:tcPr>
          <w:p>
            <w:pPr>
              <w:spacing w:after="0"/>
              <w:rPr>
                <w:sz w:val="17"/>
                <w:szCs w:val="17"/>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Issuers</w:t>
            </w:r>
          </w:p>
        </w:tc>
        <w:tc>
          <w:tcPr>
            <w:tcW w:w="14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Subsidiaries</w:t>
            </w:r>
          </w:p>
        </w:tc>
        <w:tc>
          <w:tcPr>
            <w:tcW w:w="140" w:type="dxa"/>
            <w:vAlign w:val="bottom"/>
          </w:tcPr>
          <w:p>
            <w:pPr>
              <w:spacing w:after="0"/>
              <w:rPr>
                <w:sz w:val="17"/>
                <w:szCs w:val="17"/>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Subsidiaries</w:t>
            </w:r>
          </w:p>
        </w:tc>
        <w:tc>
          <w:tcPr>
            <w:tcW w:w="160" w:type="dxa"/>
            <w:vAlign w:val="bottom"/>
          </w:tcPr>
          <w:p>
            <w:pPr>
              <w:spacing w:after="0"/>
              <w:rPr>
                <w:sz w:val="17"/>
                <w:szCs w:val="17"/>
                <w:color w:val="auto"/>
              </w:rPr>
            </w:pPr>
          </w:p>
        </w:tc>
        <w:tc>
          <w:tcPr>
            <w:tcW w:w="1180" w:type="dxa"/>
            <w:vAlign w:val="bottom"/>
            <w:gridSpan w:val="2"/>
          </w:tcPr>
          <w:p>
            <w:pPr>
              <w:ind w:left="40"/>
              <w:spacing w:after="0"/>
              <w:rPr>
                <w:sz w:val="20"/>
                <w:szCs w:val="20"/>
                <w:color w:val="auto"/>
              </w:rPr>
            </w:pPr>
            <w:r>
              <w:rPr>
                <w:rFonts w:ascii="Arial" w:cs="Arial" w:eastAsia="Arial" w:hAnsi="Arial"/>
                <w:sz w:val="14"/>
                <w:szCs w:val="14"/>
                <w:b w:val="1"/>
                <w:bCs w:val="1"/>
                <w:color w:val="auto"/>
              </w:rPr>
              <w:t>Eliminations</w:t>
            </w:r>
          </w:p>
        </w:tc>
        <w:tc>
          <w:tcPr>
            <w:tcW w:w="260" w:type="dxa"/>
            <w:vAlign w:val="bottom"/>
          </w:tcPr>
          <w:p>
            <w:pPr>
              <w:spacing w:after="0"/>
              <w:rPr>
                <w:sz w:val="17"/>
                <w:szCs w:val="17"/>
                <w:color w:val="auto"/>
              </w:rPr>
            </w:pPr>
          </w:p>
        </w:tc>
        <w:tc>
          <w:tcPr>
            <w:tcW w:w="860" w:type="dxa"/>
            <w:vAlign w:val="bottom"/>
          </w:tcPr>
          <w:p>
            <w:pPr>
              <w:jc w:val="right"/>
              <w:ind w:right="30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1"/>
        </w:trPr>
        <w:tc>
          <w:tcPr>
            <w:tcW w:w="3520" w:type="dxa"/>
            <w:vAlign w:val="bottom"/>
          </w:tcPr>
          <w:p>
            <w:pPr>
              <w:spacing w:after="0"/>
              <w:rPr>
                <w:sz w:val="20"/>
                <w:szCs w:val="20"/>
                <w:color w:val="auto"/>
              </w:rPr>
            </w:pPr>
            <w:r>
              <w:rPr>
                <w:rFonts w:ascii="Arial" w:cs="Arial" w:eastAsia="Arial" w:hAnsi="Arial"/>
                <w:sz w:val="14"/>
                <w:szCs w:val="14"/>
                <w:b w:val="1"/>
                <w:bCs w:val="1"/>
                <w:color w:val="auto"/>
              </w:rPr>
              <w:t>Assets</w:t>
            </w:r>
          </w:p>
        </w:tc>
        <w:tc>
          <w:tcPr>
            <w:tcW w:w="2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84"/>
        </w:trPr>
        <w:tc>
          <w:tcPr>
            <w:tcW w:w="3520" w:type="dxa"/>
            <w:vAlign w:val="bottom"/>
          </w:tcPr>
          <w:p>
            <w:pPr>
              <w:spacing w:after="0"/>
              <w:rPr>
                <w:sz w:val="20"/>
                <w:szCs w:val="20"/>
                <w:color w:val="auto"/>
              </w:rPr>
            </w:pPr>
            <w:r>
              <w:rPr>
                <w:rFonts w:ascii="Arial" w:cs="Arial" w:eastAsia="Arial" w:hAnsi="Arial"/>
                <w:sz w:val="14"/>
                <w:szCs w:val="14"/>
                <w:color w:val="auto"/>
              </w:rPr>
              <w:t>Current assets:</w:t>
            </w: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520" w:type="dxa"/>
            <w:vAlign w:val="bottom"/>
          </w:tcPr>
          <w:p>
            <w:pPr>
              <w:ind w:left="140"/>
              <w:spacing w:after="0"/>
              <w:rPr>
                <w:sz w:val="20"/>
                <w:szCs w:val="20"/>
                <w:color w:val="auto"/>
              </w:rPr>
            </w:pPr>
            <w:r>
              <w:rPr>
                <w:rFonts w:ascii="Arial" w:cs="Arial" w:eastAsia="Arial" w:hAnsi="Arial"/>
                <w:sz w:val="14"/>
                <w:szCs w:val="14"/>
                <w:color w:val="auto"/>
              </w:rPr>
              <w:t>Cash and cash equivalents</w:t>
            </w:r>
          </w:p>
        </w:tc>
        <w:tc>
          <w:tcPr>
            <w:tcW w:w="24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vMerge w:val="restart"/>
          </w:tcPr>
          <w:p>
            <w:pPr>
              <w:jc w:val="right"/>
              <w:ind w:right="28"/>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23"/>
                <w:szCs w:val="23"/>
                <w:color w:val="auto"/>
              </w:rPr>
            </w:pPr>
          </w:p>
        </w:tc>
        <w:tc>
          <w:tcPr>
            <w:tcW w:w="1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vMerge w:val="restart"/>
          </w:tcPr>
          <w:p>
            <w:pPr>
              <w:jc w:val="right"/>
              <w:ind w:right="28"/>
              <w:spacing w:after="0"/>
              <w:rPr>
                <w:sz w:val="20"/>
                <w:szCs w:val="20"/>
                <w:color w:val="auto"/>
              </w:rPr>
            </w:pPr>
            <w:r>
              <w:rPr>
                <w:rFonts w:ascii="Arial" w:cs="Arial" w:eastAsia="Arial" w:hAnsi="Arial"/>
                <w:sz w:val="14"/>
                <w:szCs w:val="14"/>
                <w:color w:val="auto"/>
              </w:rPr>
              <w:t>14</w:t>
            </w:r>
          </w:p>
        </w:tc>
        <w:tc>
          <w:tcPr>
            <w:tcW w:w="120" w:type="dxa"/>
            <w:vAlign w:val="bottom"/>
          </w:tcPr>
          <w:p>
            <w:pPr>
              <w:spacing w:after="0"/>
              <w:rPr>
                <w:sz w:val="23"/>
                <w:szCs w:val="23"/>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593</w:t>
            </w:r>
          </w:p>
        </w:tc>
        <w:tc>
          <w:tcPr>
            <w:tcW w:w="100" w:type="dxa"/>
            <w:vAlign w:val="bottom"/>
          </w:tcPr>
          <w:p>
            <w:pPr>
              <w:spacing w:after="0"/>
              <w:rPr>
                <w:sz w:val="23"/>
                <w:szCs w:val="23"/>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611</w:t>
            </w:r>
          </w:p>
        </w:tc>
        <w:tc>
          <w:tcPr>
            <w:tcW w:w="0" w:type="dxa"/>
            <w:vAlign w:val="bottom"/>
          </w:tcPr>
          <w:p>
            <w:pPr>
              <w:spacing w:after="0"/>
              <w:rPr>
                <w:sz w:val="1"/>
                <w:szCs w:val="1"/>
                <w:color w:val="auto"/>
              </w:rPr>
            </w:pPr>
          </w:p>
        </w:tc>
      </w:tr>
      <w:tr>
        <w:trPr>
          <w:trHeight w:val="54"/>
        </w:trPr>
        <w:tc>
          <w:tcPr>
            <w:tcW w:w="3520" w:type="dxa"/>
            <w:vAlign w:val="bottom"/>
          </w:tcPr>
          <w:p>
            <w:pPr>
              <w:spacing w:after="0"/>
              <w:rPr>
                <w:sz w:val="4"/>
                <w:szCs w:val="4"/>
                <w:color w:val="auto"/>
              </w:rPr>
            </w:pPr>
          </w:p>
        </w:tc>
        <w:tc>
          <w:tcPr>
            <w:tcW w:w="240" w:type="dxa"/>
            <w:vAlign w:val="bottom"/>
            <w:vMerge w:val="continue"/>
          </w:tcPr>
          <w:p>
            <w:pPr>
              <w:spacing w:after="0"/>
              <w:rPr>
                <w:sz w:val="4"/>
                <w:szCs w:val="4"/>
                <w:color w:val="auto"/>
              </w:rPr>
            </w:pPr>
          </w:p>
        </w:tc>
        <w:tc>
          <w:tcPr>
            <w:tcW w:w="9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vMerge w:val="continue"/>
          </w:tcPr>
          <w:p>
            <w:pPr>
              <w:spacing w:after="0"/>
              <w:rPr>
                <w:sz w:val="4"/>
                <w:szCs w:val="4"/>
                <w:color w:val="auto"/>
              </w:rPr>
            </w:pPr>
          </w:p>
        </w:tc>
        <w:tc>
          <w:tcPr>
            <w:tcW w:w="104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vMerge w:val="continue"/>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40" w:type="dxa"/>
            <w:vAlign w:val="bottom"/>
            <w:vMerge w:val="continue"/>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vMerge w:val="continue"/>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60" w:type="dxa"/>
            <w:vAlign w:val="bottom"/>
            <w:vMerge w:val="continue"/>
          </w:tcPr>
          <w:p>
            <w:pPr>
              <w:spacing w:after="0"/>
              <w:rPr>
                <w:sz w:val="4"/>
                <w:szCs w:val="4"/>
                <w:color w:val="auto"/>
              </w:rPr>
            </w:pPr>
          </w:p>
        </w:tc>
        <w:tc>
          <w:tcPr>
            <w:tcW w:w="8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520" w:type="dxa"/>
            <w:vAlign w:val="bottom"/>
          </w:tcPr>
          <w:p>
            <w:pPr>
              <w:ind w:left="140"/>
              <w:spacing w:after="0"/>
              <w:rPr>
                <w:sz w:val="20"/>
                <w:szCs w:val="20"/>
                <w:color w:val="auto"/>
              </w:rPr>
            </w:pPr>
            <w:r>
              <w:rPr>
                <w:rFonts w:ascii="Arial" w:cs="Arial" w:eastAsia="Arial" w:hAnsi="Arial"/>
                <w:sz w:val="14"/>
                <w:szCs w:val="14"/>
                <w:color w:val="auto"/>
              </w:rPr>
              <w:t>Receivables, net</w:t>
            </w:r>
          </w:p>
        </w:tc>
        <w:tc>
          <w:tcPr>
            <w:tcW w:w="240" w:type="dxa"/>
            <w:vAlign w:val="bottom"/>
          </w:tcPr>
          <w:p>
            <w:pPr>
              <w:spacing w:after="0"/>
              <w:rPr>
                <w:sz w:val="18"/>
                <w:szCs w:val="18"/>
                <w:color w:val="auto"/>
              </w:rPr>
            </w:pPr>
          </w:p>
        </w:tc>
        <w:tc>
          <w:tcPr>
            <w:tcW w:w="11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16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255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667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8"/>
                <w:szCs w:val="18"/>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922</w:t>
            </w:r>
          </w:p>
        </w:tc>
        <w:tc>
          <w:tcPr>
            <w:tcW w:w="0" w:type="dxa"/>
            <w:vAlign w:val="bottom"/>
          </w:tcPr>
          <w:p>
            <w:pPr>
              <w:spacing w:after="0"/>
              <w:rPr>
                <w:sz w:val="1"/>
                <w:szCs w:val="1"/>
                <w:color w:val="auto"/>
              </w:rPr>
            </w:pPr>
          </w:p>
        </w:tc>
      </w:tr>
      <w:tr>
        <w:trPr>
          <w:trHeight w:val="54"/>
        </w:trPr>
        <w:tc>
          <w:tcPr>
            <w:tcW w:w="35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0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16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520" w:type="dxa"/>
            <w:vAlign w:val="bottom"/>
          </w:tcPr>
          <w:p>
            <w:pPr>
              <w:ind w:left="140"/>
              <w:spacing w:after="0"/>
              <w:rPr>
                <w:sz w:val="20"/>
                <w:szCs w:val="20"/>
                <w:color w:val="auto"/>
              </w:rPr>
            </w:pPr>
            <w:r>
              <w:rPr>
                <w:rFonts w:ascii="Arial" w:cs="Arial" w:eastAsia="Arial" w:hAnsi="Arial"/>
                <w:sz w:val="14"/>
                <w:szCs w:val="14"/>
                <w:color w:val="auto"/>
              </w:rPr>
              <w:t>Other current assets</w:t>
            </w:r>
          </w:p>
        </w:tc>
        <w:tc>
          <w:tcPr>
            <w:tcW w:w="240" w:type="dxa"/>
            <w:vAlign w:val="bottom"/>
          </w:tcPr>
          <w:p>
            <w:pPr>
              <w:spacing w:after="0"/>
              <w:rPr>
                <w:sz w:val="18"/>
                <w:szCs w:val="18"/>
                <w:color w:val="auto"/>
              </w:rPr>
            </w:pPr>
          </w:p>
        </w:tc>
        <w:tc>
          <w:tcPr>
            <w:tcW w:w="980" w:type="dxa"/>
            <w:vAlign w:val="bottom"/>
            <w:vMerge w:val="restart"/>
          </w:tcPr>
          <w:p>
            <w:pPr>
              <w:jc w:val="right"/>
              <w:ind w:right="28"/>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vMerge w:val="restart"/>
          </w:tcPr>
          <w:p>
            <w:pPr>
              <w:jc w:val="right"/>
              <w:ind w:right="28"/>
              <w:spacing w:after="0"/>
              <w:rPr>
                <w:sz w:val="20"/>
                <w:szCs w:val="20"/>
                <w:color w:val="auto"/>
              </w:rPr>
            </w:pPr>
            <w:r>
              <w:rPr>
                <w:rFonts w:ascii="Arial" w:cs="Arial" w:eastAsia="Arial" w:hAnsi="Arial"/>
                <w:sz w:val="14"/>
                <w:szCs w:val="14"/>
                <w:color w:val="auto"/>
              </w:rPr>
              <w:t>89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101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339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533</w:t>
            </w:r>
          </w:p>
        </w:tc>
        <w:tc>
          <w:tcPr>
            <w:tcW w:w="0" w:type="dxa"/>
            <w:vAlign w:val="bottom"/>
          </w:tcPr>
          <w:p>
            <w:pPr>
              <w:spacing w:after="0"/>
              <w:rPr>
                <w:sz w:val="1"/>
                <w:szCs w:val="1"/>
                <w:color w:val="auto"/>
              </w:rPr>
            </w:pPr>
          </w:p>
        </w:tc>
      </w:tr>
      <w:tr>
        <w:trPr>
          <w:trHeight w:val="60"/>
        </w:trPr>
        <w:tc>
          <w:tcPr>
            <w:tcW w:w="3520" w:type="dxa"/>
            <w:vAlign w:val="bottom"/>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1"/>
        </w:trPr>
        <w:tc>
          <w:tcPr>
            <w:tcW w:w="3520" w:type="dxa"/>
            <w:vAlign w:val="bottom"/>
          </w:tcPr>
          <w:p>
            <w:pPr>
              <w:spacing w:after="0"/>
              <w:rPr>
                <w:sz w:val="20"/>
                <w:szCs w:val="20"/>
                <w:color w:val="auto"/>
              </w:rPr>
            </w:pPr>
            <w:r>
              <w:rPr>
                <w:rFonts w:ascii="Arial" w:cs="Arial" w:eastAsia="Arial" w:hAnsi="Arial"/>
                <w:sz w:val="14"/>
                <w:szCs w:val="14"/>
                <w:color w:val="auto"/>
              </w:rPr>
              <w:t>Total current assets</w:t>
            </w:r>
          </w:p>
        </w:tc>
        <w:tc>
          <w:tcPr>
            <w:tcW w:w="240" w:type="dxa"/>
            <w:vAlign w:val="bottom"/>
          </w:tcPr>
          <w:p>
            <w:pPr>
              <w:spacing w:after="0"/>
              <w:rPr>
                <w:sz w:val="16"/>
                <w:szCs w:val="16"/>
                <w:color w:val="auto"/>
              </w:rPr>
            </w:pPr>
          </w:p>
        </w:tc>
        <w:tc>
          <w:tcPr>
            <w:tcW w:w="980" w:type="dxa"/>
            <w:vAlign w:val="bottom"/>
            <w:vMerge w:val="restart"/>
          </w:tcPr>
          <w:p>
            <w:pPr>
              <w:jc w:val="right"/>
              <w:ind w:right="28"/>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vMerge w:val="restart"/>
          </w:tcPr>
          <w:p>
            <w:pPr>
              <w:jc w:val="right"/>
              <w:ind w:right="28"/>
              <w:spacing w:after="0"/>
              <w:rPr>
                <w:sz w:val="20"/>
                <w:szCs w:val="20"/>
                <w:color w:val="auto"/>
              </w:rPr>
            </w:pPr>
            <w:r>
              <w:rPr>
                <w:rFonts w:ascii="Arial" w:cs="Arial" w:eastAsia="Arial" w:hAnsi="Arial"/>
                <w:sz w:val="14"/>
                <w:szCs w:val="14"/>
                <w:color w:val="auto"/>
              </w:rPr>
              <w:t>103</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356</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1,599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2,066</w:t>
            </w:r>
          </w:p>
        </w:tc>
        <w:tc>
          <w:tcPr>
            <w:tcW w:w="0" w:type="dxa"/>
            <w:vAlign w:val="bottom"/>
          </w:tcPr>
          <w:p>
            <w:pPr>
              <w:spacing w:after="0"/>
              <w:rPr>
                <w:sz w:val="1"/>
                <w:szCs w:val="1"/>
                <w:color w:val="auto"/>
              </w:rPr>
            </w:pPr>
          </w:p>
        </w:tc>
      </w:tr>
      <w:tr>
        <w:trPr>
          <w:trHeight w:val="54"/>
        </w:trPr>
        <w:tc>
          <w:tcPr>
            <w:tcW w:w="3520" w:type="dxa"/>
            <w:vAlign w:val="bottom"/>
          </w:tcPr>
          <w:p>
            <w:pPr>
              <w:spacing w:after="0"/>
              <w:rPr>
                <w:sz w:val="4"/>
                <w:szCs w:val="4"/>
                <w:color w:val="auto"/>
              </w:rPr>
            </w:pPr>
          </w:p>
        </w:tc>
        <w:tc>
          <w:tcPr>
            <w:tcW w:w="240" w:type="dxa"/>
            <w:vAlign w:val="bottom"/>
          </w:tcPr>
          <w:p>
            <w:pPr>
              <w:spacing w:after="0"/>
              <w:rPr>
                <w:sz w:val="4"/>
                <w:szCs w:val="4"/>
                <w:color w:val="auto"/>
              </w:rPr>
            </w:pPr>
          </w:p>
        </w:tc>
        <w:tc>
          <w:tcPr>
            <w:tcW w:w="9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4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86"/>
        </w:trPr>
        <w:tc>
          <w:tcPr>
            <w:tcW w:w="3520" w:type="dxa"/>
            <w:vAlign w:val="bottom"/>
          </w:tcPr>
          <w:p>
            <w:pPr>
              <w:spacing w:after="0"/>
              <w:rPr>
                <w:sz w:val="20"/>
                <w:szCs w:val="20"/>
                <w:color w:val="auto"/>
              </w:rPr>
            </w:pPr>
            <w:r>
              <w:rPr>
                <w:rFonts w:ascii="Arial" w:cs="Arial" w:eastAsia="Arial" w:hAnsi="Arial"/>
                <w:sz w:val="14"/>
                <w:szCs w:val="14"/>
                <w:color w:val="auto"/>
              </w:rPr>
              <w:t>Property and equipment, net</w:t>
            </w:r>
          </w:p>
        </w:tc>
        <w:tc>
          <w:tcPr>
            <w:tcW w:w="240" w:type="dxa"/>
            <w:vAlign w:val="bottom"/>
          </w:tcPr>
          <w:p>
            <w:pPr>
              <w:spacing w:after="0"/>
              <w:rPr>
                <w:sz w:val="24"/>
                <w:szCs w:val="24"/>
                <w:color w:val="auto"/>
              </w:rPr>
            </w:pPr>
          </w:p>
        </w:tc>
        <w:tc>
          <w:tcPr>
            <w:tcW w:w="11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1040" w:type="dxa"/>
            <w:vAlign w:val="bottom"/>
            <w:vMerge w:val="restart"/>
          </w:tcPr>
          <w:p>
            <w:pPr>
              <w:jc w:val="right"/>
              <w:ind w:right="28"/>
              <w:spacing w:after="0"/>
              <w:rPr>
                <w:sz w:val="20"/>
                <w:szCs w:val="20"/>
                <w:color w:val="auto"/>
              </w:rPr>
            </w:pPr>
            <w:r>
              <w:rPr>
                <w:rFonts w:ascii="Arial" w:cs="Arial" w:eastAsia="Arial" w:hAnsi="Arial"/>
                <w:sz w:val="14"/>
                <w:szCs w:val="14"/>
                <w:color w:val="auto"/>
              </w:rPr>
              <w:t>167</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321</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216</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4"/>
                <w:szCs w:val="24"/>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704</w:t>
            </w:r>
          </w:p>
        </w:tc>
        <w:tc>
          <w:tcPr>
            <w:tcW w:w="0" w:type="dxa"/>
            <w:vAlign w:val="bottom"/>
          </w:tcPr>
          <w:p>
            <w:pPr>
              <w:spacing w:after="0"/>
              <w:rPr>
                <w:sz w:val="1"/>
                <w:szCs w:val="1"/>
                <w:color w:val="auto"/>
              </w:rPr>
            </w:pPr>
          </w:p>
        </w:tc>
      </w:tr>
      <w:tr>
        <w:trPr>
          <w:trHeight w:val="54"/>
        </w:trPr>
        <w:tc>
          <w:tcPr>
            <w:tcW w:w="35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0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04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520" w:type="dxa"/>
            <w:vAlign w:val="bottom"/>
          </w:tcPr>
          <w:p>
            <w:pPr>
              <w:spacing w:after="0"/>
              <w:rPr>
                <w:sz w:val="20"/>
                <w:szCs w:val="20"/>
                <w:color w:val="auto"/>
              </w:rPr>
            </w:pPr>
            <w:r>
              <w:rPr>
                <w:rFonts w:ascii="Arial" w:cs="Arial" w:eastAsia="Arial" w:hAnsi="Arial"/>
                <w:sz w:val="14"/>
                <w:szCs w:val="14"/>
                <w:color w:val="auto"/>
              </w:rPr>
              <w:t>Deferred income taxes</w:t>
            </w:r>
          </w:p>
        </w:tc>
        <w:tc>
          <w:tcPr>
            <w:tcW w:w="240" w:type="dxa"/>
            <w:vAlign w:val="bottom"/>
          </w:tcPr>
          <w:p>
            <w:pPr>
              <w:spacing w:after="0"/>
              <w:rPr>
                <w:sz w:val="18"/>
                <w:szCs w:val="18"/>
                <w:color w:val="auto"/>
              </w:rPr>
            </w:pPr>
          </w:p>
        </w:tc>
        <w:tc>
          <w:tcPr>
            <w:tcW w:w="980" w:type="dxa"/>
            <w:vAlign w:val="bottom"/>
            <w:vMerge w:val="restart"/>
          </w:tcPr>
          <w:p>
            <w:pPr>
              <w:jc w:val="right"/>
              <w:ind w:right="28"/>
              <w:spacing w:after="0"/>
              <w:rPr>
                <w:sz w:val="20"/>
                <w:szCs w:val="20"/>
                <w:color w:val="auto"/>
              </w:rPr>
            </w:pPr>
            <w:r>
              <w:rPr>
                <w:rFonts w:ascii="Arial" w:cs="Arial" w:eastAsia="Arial" w:hAnsi="Arial"/>
                <w:sz w:val="14"/>
                <w:szCs w:val="14"/>
                <w:color w:val="auto"/>
              </w:rPr>
              <w:t>14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vMerge w:val="restart"/>
          </w:tcPr>
          <w:p>
            <w:pPr>
              <w:jc w:val="right"/>
              <w:ind w:right="28"/>
              <w:spacing w:after="0"/>
              <w:rPr>
                <w:sz w:val="20"/>
                <w:szCs w:val="20"/>
                <w:color w:val="auto"/>
              </w:rPr>
            </w:pPr>
            <w:r>
              <w:rPr>
                <w:rFonts w:ascii="Arial" w:cs="Arial" w:eastAsia="Arial" w:hAnsi="Arial"/>
                <w:sz w:val="14"/>
                <w:szCs w:val="14"/>
                <w:color w:val="auto"/>
              </w:rPr>
              <w:t>704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154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59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8"/>
                <w:szCs w:val="18"/>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931</w:t>
            </w:r>
          </w:p>
        </w:tc>
        <w:tc>
          <w:tcPr>
            <w:tcW w:w="0" w:type="dxa"/>
            <w:vAlign w:val="bottom"/>
          </w:tcPr>
          <w:p>
            <w:pPr>
              <w:spacing w:after="0"/>
              <w:rPr>
                <w:sz w:val="1"/>
                <w:szCs w:val="1"/>
                <w:color w:val="auto"/>
              </w:rPr>
            </w:pPr>
          </w:p>
        </w:tc>
      </w:tr>
      <w:tr>
        <w:trPr>
          <w:trHeight w:val="54"/>
        </w:trPr>
        <w:tc>
          <w:tcPr>
            <w:tcW w:w="3520" w:type="dxa"/>
            <w:vAlign w:val="bottom"/>
          </w:tcPr>
          <w:p>
            <w:pPr>
              <w:spacing w:after="0"/>
              <w:rPr>
                <w:sz w:val="4"/>
                <w:szCs w:val="4"/>
                <w:color w:val="auto"/>
              </w:rPr>
            </w:pPr>
          </w:p>
        </w:tc>
        <w:tc>
          <w:tcPr>
            <w:tcW w:w="240" w:type="dxa"/>
            <w:vAlign w:val="bottom"/>
          </w:tcPr>
          <w:p>
            <w:pPr>
              <w:spacing w:after="0"/>
              <w:rPr>
                <w:sz w:val="4"/>
                <w:szCs w:val="4"/>
                <w:color w:val="auto"/>
              </w:rPr>
            </w:pPr>
          </w:p>
        </w:tc>
        <w:tc>
          <w:tcPr>
            <w:tcW w:w="9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4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520" w:type="dxa"/>
            <w:vAlign w:val="bottom"/>
          </w:tcPr>
          <w:p>
            <w:pPr>
              <w:spacing w:after="0"/>
              <w:rPr>
                <w:sz w:val="20"/>
                <w:szCs w:val="20"/>
                <w:color w:val="auto"/>
              </w:rPr>
            </w:pPr>
            <w:r>
              <w:rPr>
                <w:rFonts w:ascii="Arial" w:cs="Arial" w:eastAsia="Arial" w:hAnsi="Arial"/>
                <w:sz w:val="14"/>
                <w:szCs w:val="14"/>
                <w:color w:val="auto"/>
              </w:rPr>
              <w:t>Goodwill</w:t>
            </w:r>
          </w:p>
        </w:tc>
        <w:tc>
          <w:tcPr>
            <w:tcW w:w="240" w:type="dxa"/>
            <w:vAlign w:val="bottom"/>
          </w:tcPr>
          <w:p>
            <w:pPr>
              <w:spacing w:after="0"/>
              <w:rPr>
                <w:sz w:val="18"/>
                <w:szCs w:val="18"/>
                <w:color w:val="auto"/>
              </w:rPr>
            </w:pPr>
          </w:p>
        </w:tc>
        <w:tc>
          <w:tcPr>
            <w:tcW w:w="11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16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471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602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8"/>
                <w:szCs w:val="18"/>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1,073</w:t>
            </w:r>
          </w:p>
        </w:tc>
        <w:tc>
          <w:tcPr>
            <w:tcW w:w="0" w:type="dxa"/>
            <w:vAlign w:val="bottom"/>
          </w:tcPr>
          <w:p>
            <w:pPr>
              <w:spacing w:after="0"/>
              <w:rPr>
                <w:sz w:val="1"/>
                <w:szCs w:val="1"/>
                <w:color w:val="auto"/>
              </w:rPr>
            </w:pPr>
          </w:p>
        </w:tc>
      </w:tr>
      <w:tr>
        <w:trPr>
          <w:trHeight w:val="54"/>
        </w:trPr>
        <w:tc>
          <w:tcPr>
            <w:tcW w:w="35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0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16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520" w:type="dxa"/>
            <w:vAlign w:val="bottom"/>
          </w:tcPr>
          <w:p>
            <w:pPr>
              <w:spacing w:after="0"/>
              <w:rPr>
                <w:sz w:val="20"/>
                <w:szCs w:val="20"/>
                <w:color w:val="auto"/>
              </w:rPr>
            </w:pPr>
            <w:r>
              <w:rPr>
                <w:rFonts w:ascii="Arial" w:cs="Arial" w:eastAsia="Arial" w:hAnsi="Arial"/>
                <w:sz w:val="14"/>
                <w:szCs w:val="14"/>
                <w:color w:val="auto"/>
              </w:rPr>
              <w:t>Other intangibles, net</w:t>
            </w:r>
          </w:p>
        </w:tc>
        <w:tc>
          <w:tcPr>
            <w:tcW w:w="240" w:type="dxa"/>
            <w:vAlign w:val="bottom"/>
          </w:tcPr>
          <w:p>
            <w:pPr>
              <w:spacing w:after="0"/>
              <w:rPr>
                <w:sz w:val="18"/>
                <w:szCs w:val="18"/>
                <w:color w:val="auto"/>
              </w:rPr>
            </w:pPr>
          </w:p>
        </w:tc>
        <w:tc>
          <w:tcPr>
            <w:tcW w:w="11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040" w:type="dxa"/>
            <w:vAlign w:val="bottom"/>
            <w:vMerge w:val="restart"/>
          </w:tcPr>
          <w:p>
            <w:pPr>
              <w:jc w:val="right"/>
              <w:ind w:right="28"/>
              <w:spacing w:after="0"/>
              <w:rPr>
                <w:sz w:val="20"/>
                <w:szCs w:val="20"/>
                <w:color w:val="auto"/>
              </w:rPr>
            </w:pPr>
            <w:r>
              <w:rPr>
                <w:rFonts w:ascii="Arial" w:cs="Arial" w:eastAsia="Arial" w:hAnsi="Arial"/>
                <w:sz w:val="14"/>
                <w:szCs w:val="14"/>
                <w:color w:val="auto"/>
              </w:rPr>
              <w:t>27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480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343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8"/>
                <w:szCs w:val="18"/>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850</w:t>
            </w:r>
          </w:p>
        </w:tc>
        <w:tc>
          <w:tcPr>
            <w:tcW w:w="0" w:type="dxa"/>
            <w:vAlign w:val="bottom"/>
          </w:tcPr>
          <w:p>
            <w:pPr>
              <w:spacing w:after="0"/>
              <w:rPr>
                <w:sz w:val="1"/>
                <w:szCs w:val="1"/>
                <w:color w:val="auto"/>
              </w:rPr>
            </w:pPr>
          </w:p>
        </w:tc>
      </w:tr>
      <w:tr>
        <w:trPr>
          <w:trHeight w:val="54"/>
        </w:trPr>
        <w:tc>
          <w:tcPr>
            <w:tcW w:w="35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0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04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520" w:type="dxa"/>
            <w:vAlign w:val="bottom"/>
          </w:tcPr>
          <w:p>
            <w:pPr>
              <w:spacing w:after="0"/>
              <w:rPr>
                <w:sz w:val="20"/>
                <w:szCs w:val="20"/>
                <w:color w:val="auto"/>
              </w:rPr>
            </w:pPr>
            <w:r>
              <w:rPr>
                <w:rFonts w:ascii="Arial" w:cs="Arial" w:eastAsia="Arial" w:hAnsi="Arial"/>
                <w:sz w:val="14"/>
                <w:szCs w:val="14"/>
                <w:color w:val="auto"/>
              </w:rPr>
              <w:t>Other non-current assets</w:t>
            </w:r>
          </w:p>
        </w:tc>
        <w:tc>
          <w:tcPr>
            <w:tcW w:w="240" w:type="dxa"/>
            <w:vAlign w:val="bottom"/>
          </w:tcPr>
          <w:p>
            <w:pPr>
              <w:spacing w:after="0"/>
              <w:rPr>
                <w:sz w:val="18"/>
                <w:szCs w:val="18"/>
                <w:color w:val="auto"/>
              </w:rPr>
            </w:pPr>
          </w:p>
        </w:tc>
        <w:tc>
          <w:tcPr>
            <w:tcW w:w="980" w:type="dxa"/>
            <w:vAlign w:val="bottom"/>
            <w:vMerge w:val="restart"/>
          </w:tcPr>
          <w:p>
            <w:pPr>
              <w:jc w:val="right"/>
              <w:ind w:right="28"/>
              <w:spacing w:after="0"/>
              <w:rPr>
                <w:sz w:val="20"/>
                <w:szCs w:val="20"/>
                <w:color w:val="auto"/>
              </w:rPr>
            </w:pPr>
            <w:r>
              <w:rPr>
                <w:rFonts w:ascii="Arial" w:cs="Arial" w:eastAsia="Arial" w:hAnsi="Arial"/>
                <w:sz w:val="14"/>
                <w:szCs w:val="14"/>
                <w:color w:val="auto"/>
              </w:rPr>
              <w:t>46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vMerge w:val="restart"/>
          </w:tcPr>
          <w:p>
            <w:pPr>
              <w:jc w:val="right"/>
              <w:ind w:right="28"/>
              <w:spacing w:after="0"/>
              <w:rPr>
                <w:sz w:val="20"/>
                <w:szCs w:val="20"/>
                <w:color w:val="auto"/>
              </w:rPr>
            </w:pPr>
            <w:r>
              <w:rPr>
                <w:rFonts w:ascii="Arial" w:cs="Arial" w:eastAsia="Arial" w:hAnsi="Arial"/>
                <w:sz w:val="14"/>
                <w:szCs w:val="14"/>
                <w:color w:val="auto"/>
              </w:rPr>
              <w:t>29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16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105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8"/>
                <w:szCs w:val="18"/>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196</w:t>
            </w:r>
          </w:p>
        </w:tc>
        <w:tc>
          <w:tcPr>
            <w:tcW w:w="0" w:type="dxa"/>
            <w:vAlign w:val="bottom"/>
          </w:tcPr>
          <w:p>
            <w:pPr>
              <w:spacing w:after="0"/>
              <w:rPr>
                <w:sz w:val="1"/>
                <w:szCs w:val="1"/>
                <w:color w:val="auto"/>
              </w:rPr>
            </w:pPr>
          </w:p>
        </w:tc>
      </w:tr>
      <w:tr>
        <w:trPr>
          <w:trHeight w:val="54"/>
        </w:trPr>
        <w:tc>
          <w:tcPr>
            <w:tcW w:w="3520" w:type="dxa"/>
            <w:vAlign w:val="bottom"/>
          </w:tcPr>
          <w:p>
            <w:pPr>
              <w:spacing w:after="0"/>
              <w:rPr>
                <w:sz w:val="4"/>
                <w:szCs w:val="4"/>
                <w:color w:val="auto"/>
              </w:rPr>
            </w:pPr>
          </w:p>
        </w:tc>
        <w:tc>
          <w:tcPr>
            <w:tcW w:w="240" w:type="dxa"/>
            <w:vAlign w:val="bottom"/>
          </w:tcPr>
          <w:p>
            <w:pPr>
              <w:spacing w:after="0"/>
              <w:rPr>
                <w:sz w:val="4"/>
                <w:szCs w:val="4"/>
                <w:color w:val="auto"/>
              </w:rPr>
            </w:pPr>
          </w:p>
        </w:tc>
        <w:tc>
          <w:tcPr>
            <w:tcW w:w="9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4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520" w:type="dxa"/>
            <w:vAlign w:val="bottom"/>
          </w:tcPr>
          <w:p>
            <w:pPr>
              <w:spacing w:after="0"/>
              <w:rPr>
                <w:sz w:val="20"/>
                <w:szCs w:val="20"/>
                <w:color w:val="auto"/>
              </w:rPr>
            </w:pPr>
            <w:r>
              <w:rPr>
                <w:rFonts w:ascii="Arial" w:cs="Arial" w:eastAsia="Arial" w:hAnsi="Arial"/>
                <w:sz w:val="14"/>
                <w:szCs w:val="14"/>
                <w:color w:val="auto"/>
              </w:rPr>
              <w:t>Intercompany receivables</w:t>
            </w:r>
          </w:p>
        </w:tc>
        <w:tc>
          <w:tcPr>
            <w:tcW w:w="240" w:type="dxa"/>
            <w:vAlign w:val="bottom"/>
          </w:tcPr>
          <w:p>
            <w:pPr>
              <w:spacing w:after="0"/>
              <w:rPr>
                <w:sz w:val="18"/>
                <w:szCs w:val="18"/>
                <w:color w:val="auto"/>
              </w:rPr>
            </w:pPr>
          </w:p>
        </w:tc>
        <w:tc>
          <w:tcPr>
            <w:tcW w:w="980" w:type="dxa"/>
            <w:vAlign w:val="bottom"/>
            <w:vMerge w:val="restart"/>
          </w:tcPr>
          <w:p>
            <w:pPr>
              <w:jc w:val="right"/>
              <w:ind w:right="28"/>
              <w:spacing w:after="0"/>
              <w:rPr>
                <w:sz w:val="20"/>
                <w:szCs w:val="20"/>
                <w:color w:val="auto"/>
              </w:rPr>
            </w:pPr>
            <w:r>
              <w:rPr>
                <w:rFonts w:ascii="Arial" w:cs="Arial" w:eastAsia="Arial" w:hAnsi="Arial"/>
                <w:sz w:val="14"/>
                <w:szCs w:val="14"/>
                <w:color w:val="auto"/>
              </w:rPr>
              <w:t>187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vMerge w:val="restart"/>
          </w:tcPr>
          <w:p>
            <w:pPr>
              <w:jc w:val="right"/>
              <w:ind w:right="28"/>
              <w:spacing w:after="0"/>
              <w:rPr>
                <w:sz w:val="20"/>
                <w:szCs w:val="20"/>
                <w:color w:val="auto"/>
              </w:rPr>
            </w:pPr>
            <w:r>
              <w:rPr>
                <w:rFonts w:ascii="Arial" w:cs="Arial" w:eastAsia="Arial" w:hAnsi="Arial"/>
                <w:sz w:val="14"/>
                <w:szCs w:val="14"/>
                <w:color w:val="auto"/>
              </w:rPr>
              <w:t>382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1,506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824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(2,899)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54"/>
        </w:trPr>
        <w:tc>
          <w:tcPr>
            <w:tcW w:w="3520" w:type="dxa"/>
            <w:vAlign w:val="bottom"/>
          </w:tcPr>
          <w:p>
            <w:pPr>
              <w:spacing w:after="0"/>
              <w:rPr>
                <w:sz w:val="4"/>
                <w:szCs w:val="4"/>
                <w:color w:val="auto"/>
              </w:rPr>
            </w:pPr>
          </w:p>
        </w:tc>
        <w:tc>
          <w:tcPr>
            <w:tcW w:w="240" w:type="dxa"/>
            <w:vAlign w:val="bottom"/>
          </w:tcPr>
          <w:p>
            <w:pPr>
              <w:spacing w:after="0"/>
              <w:rPr>
                <w:sz w:val="4"/>
                <w:szCs w:val="4"/>
                <w:color w:val="auto"/>
              </w:rPr>
            </w:pPr>
          </w:p>
        </w:tc>
        <w:tc>
          <w:tcPr>
            <w:tcW w:w="9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4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520" w:type="dxa"/>
            <w:vAlign w:val="bottom"/>
          </w:tcPr>
          <w:p>
            <w:pPr>
              <w:spacing w:after="0"/>
              <w:rPr>
                <w:sz w:val="20"/>
                <w:szCs w:val="20"/>
                <w:color w:val="auto"/>
              </w:rPr>
            </w:pPr>
            <w:r>
              <w:rPr>
                <w:rFonts w:ascii="Arial" w:cs="Arial" w:eastAsia="Arial" w:hAnsi="Arial"/>
                <w:sz w:val="14"/>
                <w:szCs w:val="14"/>
                <w:color w:val="auto"/>
              </w:rPr>
              <w:t>Investment in subsidiaries</w:t>
            </w:r>
          </w:p>
        </w:tc>
        <w:tc>
          <w:tcPr>
            <w:tcW w:w="240" w:type="dxa"/>
            <w:vAlign w:val="bottom"/>
          </w:tcPr>
          <w:p>
            <w:pPr>
              <w:spacing w:after="0"/>
              <w:rPr>
                <w:sz w:val="18"/>
                <w:szCs w:val="18"/>
                <w:color w:val="auto"/>
              </w:rPr>
            </w:pPr>
          </w:p>
        </w:tc>
        <w:tc>
          <w:tcPr>
            <w:tcW w:w="980" w:type="dxa"/>
            <w:vAlign w:val="bottom"/>
            <w:vMerge w:val="restart"/>
          </w:tcPr>
          <w:p>
            <w:pPr>
              <w:jc w:val="right"/>
              <w:ind w:right="28"/>
              <w:spacing w:after="0"/>
              <w:rPr>
                <w:sz w:val="20"/>
                <w:szCs w:val="20"/>
                <w:color w:val="auto"/>
              </w:rPr>
            </w:pPr>
            <w:r>
              <w:rPr>
                <w:rFonts w:ascii="Arial" w:cs="Arial" w:eastAsia="Arial" w:hAnsi="Arial"/>
                <w:sz w:val="14"/>
                <w:szCs w:val="14"/>
                <w:color w:val="auto"/>
              </w:rPr>
              <w:t>381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vMerge w:val="restart"/>
          </w:tcPr>
          <w:p>
            <w:pPr>
              <w:jc w:val="right"/>
              <w:ind w:right="28"/>
              <w:spacing w:after="0"/>
              <w:rPr>
                <w:sz w:val="20"/>
                <w:szCs w:val="20"/>
                <w:color w:val="auto"/>
              </w:rPr>
            </w:pPr>
            <w:r>
              <w:rPr>
                <w:rFonts w:ascii="Arial" w:cs="Arial" w:eastAsia="Arial" w:hAnsi="Arial"/>
                <w:sz w:val="14"/>
                <w:szCs w:val="14"/>
                <w:color w:val="auto"/>
              </w:rPr>
              <w:t>4,681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3,938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(9,000)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0"/>
        </w:trPr>
        <w:tc>
          <w:tcPr>
            <w:tcW w:w="3520" w:type="dxa"/>
            <w:vAlign w:val="bottom"/>
          </w:tcPr>
          <w:p>
            <w:pPr>
              <w:spacing w:after="0"/>
              <w:rPr>
                <w:sz w:val="5"/>
                <w:szCs w:val="5"/>
                <w:color w:val="auto"/>
              </w:rPr>
            </w:pPr>
          </w:p>
        </w:tc>
        <w:tc>
          <w:tcPr>
            <w:tcW w:w="240" w:type="dxa"/>
            <w:vAlign w:val="bottom"/>
          </w:tcPr>
          <w:p>
            <w:pPr>
              <w:spacing w:after="0"/>
              <w:rPr>
                <w:sz w:val="5"/>
                <w:szCs w:val="5"/>
                <w:color w:val="auto"/>
              </w:rPr>
            </w:pPr>
          </w:p>
        </w:tc>
        <w:tc>
          <w:tcPr>
            <w:tcW w:w="9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8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3520" w:type="dxa"/>
            <w:vAlign w:val="bottom"/>
          </w:tcPr>
          <w:p>
            <w:pPr>
              <w:spacing w:after="0"/>
              <w:rPr>
                <w:sz w:val="20"/>
                <w:szCs w:val="20"/>
                <w:color w:val="auto"/>
              </w:rPr>
            </w:pPr>
            <w:r>
              <w:rPr>
                <w:rFonts w:ascii="Arial" w:cs="Arial" w:eastAsia="Arial" w:hAnsi="Arial"/>
                <w:sz w:val="14"/>
                <w:szCs w:val="14"/>
                <w:color w:val="auto"/>
              </w:rPr>
              <w:t>Total assets exclusive of assets under vehicle</w:t>
            </w:r>
          </w:p>
        </w:tc>
        <w:tc>
          <w:tcPr>
            <w:tcW w:w="24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3520" w:type="dxa"/>
            <w:vAlign w:val="bottom"/>
          </w:tcPr>
          <w:p>
            <w:pPr>
              <w:ind w:left="160"/>
              <w:spacing w:after="0"/>
              <w:rPr>
                <w:sz w:val="20"/>
                <w:szCs w:val="20"/>
                <w:color w:val="auto"/>
              </w:rPr>
            </w:pPr>
            <w:r>
              <w:rPr>
                <w:rFonts w:ascii="Arial" w:cs="Arial" w:eastAsia="Arial" w:hAnsi="Arial"/>
                <w:sz w:val="14"/>
                <w:szCs w:val="14"/>
                <w:color w:val="auto"/>
              </w:rPr>
              <w:t>programs</w:t>
            </w:r>
          </w:p>
        </w:tc>
        <w:tc>
          <w:tcPr>
            <w:tcW w:w="2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636</w:t>
            </w: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6,093</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7,242</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3,748</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(11,899)</w:t>
            </w: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5,820</w:t>
            </w:r>
          </w:p>
        </w:tc>
        <w:tc>
          <w:tcPr>
            <w:tcW w:w="0" w:type="dxa"/>
            <w:vAlign w:val="bottom"/>
          </w:tcPr>
          <w:p>
            <w:pPr>
              <w:spacing w:after="0"/>
              <w:rPr>
                <w:sz w:val="1"/>
                <w:szCs w:val="1"/>
                <w:color w:val="auto"/>
              </w:rPr>
            </w:pPr>
          </w:p>
        </w:tc>
      </w:tr>
      <w:tr>
        <w:trPr>
          <w:trHeight w:val="474"/>
        </w:trPr>
        <w:tc>
          <w:tcPr>
            <w:tcW w:w="3520" w:type="dxa"/>
            <w:vAlign w:val="bottom"/>
          </w:tcPr>
          <w:p>
            <w:pPr>
              <w:spacing w:after="0"/>
              <w:rPr>
                <w:sz w:val="20"/>
                <w:szCs w:val="20"/>
                <w:color w:val="auto"/>
              </w:rPr>
            </w:pPr>
            <w:r>
              <w:rPr>
                <w:rFonts w:ascii="Arial" w:cs="Arial" w:eastAsia="Arial" w:hAnsi="Arial"/>
                <w:sz w:val="14"/>
                <w:szCs w:val="14"/>
                <w:color w:val="auto"/>
              </w:rPr>
              <w:t>Assets under vehicle programs:</w:t>
            </w: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520" w:type="dxa"/>
            <w:vAlign w:val="bottom"/>
          </w:tcPr>
          <w:p>
            <w:pPr>
              <w:ind w:left="140"/>
              <w:spacing w:after="0"/>
              <w:rPr>
                <w:sz w:val="20"/>
                <w:szCs w:val="20"/>
                <w:color w:val="auto"/>
              </w:rPr>
            </w:pPr>
            <w:r>
              <w:rPr>
                <w:rFonts w:ascii="Arial" w:cs="Arial" w:eastAsia="Arial" w:hAnsi="Arial"/>
                <w:sz w:val="14"/>
                <w:szCs w:val="14"/>
                <w:color w:val="auto"/>
              </w:rPr>
              <w:t>Program cash</w:t>
            </w:r>
          </w:p>
        </w:tc>
        <w:tc>
          <w:tcPr>
            <w:tcW w:w="240" w:type="dxa"/>
            <w:vAlign w:val="bottom"/>
          </w:tcPr>
          <w:p>
            <w:pPr>
              <w:spacing w:after="0"/>
              <w:rPr>
                <w:sz w:val="23"/>
                <w:szCs w:val="23"/>
                <w:color w:val="auto"/>
              </w:rPr>
            </w:pPr>
          </w:p>
        </w:tc>
        <w:tc>
          <w:tcPr>
            <w:tcW w:w="11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6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283</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283</w:t>
            </w:r>
          </w:p>
        </w:tc>
        <w:tc>
          <w:tcPr>
            <w:tcW w:w="0" w:type="dxa"/>
            <w:vAlign w:val="bottom"/>
          </w:tcPr>
          <w:p>
            <w:pPr>
              <w:spacing w:after="0"/>
              <w:rPr>
                <w:sz w:val="1"/>
                <w:szCs w:val="1"/>
                <w:color w:val="auto"/>
              </w:rPr>
            </w:pPr>
          </w:p>
        </w:tc>
      </w:tr>
      <w:tr>
        <w:trPr>
          <w:trHeight w:val="54"/>
        </w:trPr>
        <w:tc>
          <w:tcPr>
            <w:tcW w:w="35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0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16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520" w:type="dxa"/>
            <w:vAlign w:val="bottom"/>
          </w:tcPr>
          <w:p>
            <w:pPr>
              <w:ind w:left="140"/>
              <w:spacing w:after="0"/>
              <w:rPr>
                <w:sz w:val="20"/>
                <w:szCs w:val="20"/>
                <w:color w:val="auto"/>
              </w:rPr>
            </w:pPr>
            <w:r>
              <w:rPr>
                <w:rFonts w:ascii="Arial" w:cs="Arial" w:eastAsia="Arial" w:hAnsi="Arial"/>
                <w:sz w:val="14"/>
                <w:szCs w:val="14"/>
                <w:color w:val="auto"/>
              </w:rPr>
              <w:t>Vehicles, net</w:t>
            </w:r>
          </w:p>
        </w:tc>
        <w:tc>
          <w:tcPr>
            <w:tcW w:w="240" w:type="dxa"/>
            <w:vAlign w:val="bottom"/>
          </w:tcPr>
          <w:p>
            <w:pPr>
              <w:spacing w:after="0"/>
              <w:rPr>
                <w:sz w:val="18"/>
                <w:szCs w:val="18"/>
                <w:color w:val="auto"/>
              </w:rPr>
            </w:pPr>
          </w:p>
        </w:tc>
        <w:tc>
          <w:tcPr>
            <w:tcW w:w="11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040" w:type="dxa"/>
            <w:vAlign w:val="bottom"/>
            <w:vMerge w:val="restart"/>
          </w:tcPr>
          <w:p>
            <w:pPr>
              <w:jc w:val="right"/>
              <w:ind w:right="28"/>
              <w:spacing w:after="0"/>
              <w:rPr>
                <w:sz w:val="20"/>
                <w:szCs w:val="20"/>
                <w:color w:val="auto"/>
              </w:rPr>
            </w:pPr>
            <w:r>
              <w:rPr>
                <w:rFonts w:ascii="Arial" w:cs="Arial" w:eastAsia="Arial" w:hAnsi="Arial"/>
                <w:sz w:val="14"/>
                <w:szCs w:val="14"/>
                <w:color w:val="auto"/>
              </w:rPr>
              <w:t>34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61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10,531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8"/>
                <w:szCs w:val="18"/>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10,626</w:t>
            </w:r>
          </w:p>
        </w:tc>
        <w:tc>
          <w:tcPr>
            <w:tcW w:w="0" w:type="dxa"/>
            <w:vAlign w:val="bottom"/>
          </w:tcPr>
          <w:p>
            <w:pPr>
              <w:spacing w:after="0"/>
              <w:rPr>
                <w:sz w:val="1"/>
                <w:szCs w:val="1"/>
                <w:color w:val="auto"/>
              </w:rPr>
            </w:pPr>
          </w:p>
        </w:tc>
      </w:tr>
      <w:tr>
        <w:trPr>
          <w:trHeight w:val="54"/>
        </w:trPr>
        <w:tc>
          <w:tcPr>
            <w:tcW w:w="35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0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04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520" w:type="dxa"/>
            <w:vAlign w:val="bottom"/>
          </w:tcPr>
          <w:p>
            <w:pPr>
              <w:ind w:left="140"/>
              <w:spacing w:after="0"/>
              <w:rPr>
                <w:sz w:val="20"/>
                <w:szCs w:val="20"/>
                <w:color w:val="auto"/>
              </w:rPr>
            </w:pPr>
            <w:r>
              <w:rPr>
                <w:rFonts w:ascii="Arial" w:cs="Arial" w:eastAsia="Arial" w:hAnsi="Arial"/>
                <w:sz w:val="14"/>
                <w:szCs w:val="14"/>
                <w:color w:val="auto"/>
              </w:rPr>
              <w:t>Receivables from vehicle manufacturers and other</w:t>
            </w:r>
          </w:p>
        </w:tc>
        <w:tc>
          <w:tcPr>
            <w:tcW w:w="240" w:type="dxa"/>
            <w:vAlign w:val="bottom"/>
          </w:tcPr>
          <w:p>
            <w:pPr>
              <w:spacing w:after="0"/>
              <w:rPr>
                <w:sz w:val="18"/>
                <w:szCs w:val="18"/>
                <w:color w:val="auto"/>
              </w:rPr>
            </w:pPr>
          </w:p>
        </w:tc>
        <w:tc>
          <w:tcPr>
            <w:tcW w:w="11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040" w:type="dxa"/>
            <w:vAlign w:val="bottom"/>
            <w:vMerge w:val="restart"/>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546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8"/>
                <w:szCs w:val="18"/>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547</w:t>
            </w:r>
          </w:p>
        </w:tc>
        <w:tc>
          <w:tcPr>
            <w:tcW w:w="0" w:type="dxa"/>
            <w:vAlign w:val="bottom"/>
          </w:tcPr>
          <w:p>
            <w:pPr>
              <w:spacing w:after="0"/>
              <w:rPr>
                <w:sz w:val="1"/>
                <w:szCs w:val="1"/>
                <w:color w:val="auto"/>
              </w:rPr>
            </w:pPr>
          </w:p>
        </w:tc>
      </w:tr>
      <w:tr>
        <w:trPr>
          <w:trHeight w:val="54"/>
        </w:trPr>
        <w:tc>
          <w:tcPr>
            <w:tcW w:w="35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0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04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6"/>
        </w:trPr>
        <w:tc>
          <w:tcPr>
            <w:tcW w:w="3520" w:type="dxa"/>
            <w:vAlign w:val="bottom"/>
          </w:tcPr>
          <w:p>
            <w:pPr>
              <w:ind w:left="140"/>
              <w:spacing w:after="0"/>
              <w:rPr>
                <w:sz w:val="20"/>
                <w:szCs w:val="20"/>
                <w:color w:val="auto"/>
              </w:rPr>
            </w:pPr>
            <w:r>
              <w:rPr>
                <w:rFonts w:ascii="Arial" w:cs="Arial" w:eastAsia="Arial" w:hAnsi="Arial"/>
                <w:sz w:val="14"/>
                <w:szCs w:val="14"/>
                <w:color w:val="auto"/>
              </w:rPr>
              <w:t>Investment in Avis Budget Rental Car Funding</w:t>
            </w: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3520" w:type="dxa"/>
            <w:vAlign w:val="bottom"/>
          </w:tcPr>
          <w:p>
            <w:pPr>
              <w:ind w:left="300"/>
              <w:spacing w:after="0"/>
              <w:rPr>
                <w:sz w:val="20"/>
                <w:szCs w:val="20"/>
                <w:color w:val="auto"/>
              </w:rPr>
            </w:pPr>
            <w:r>
              <w:rPr>
                <w:rFonts w:ascii="Arial" w:cs="Arial" w:eastAsia="Arial" w:hAnsi="Arial"/>
                <w:sz w:val="14"/>
                <w:szCs w:val="14"/>
                <w:color w:val="auto"/>
              </w:rPr>
              <w:t>(AESOP) LLC-related party</w:t>
            </w:r>
          </w:p>
        </w:tc>
        <w:tc>
          <w:tcPr>
            <w:tcW w:w="2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423</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423</w:t>
            </w:r>
          </w:p>
        </w:tc>
        <w:tc>
          <w:tcPr>
            <w:tcW w:w="0" w:type="dxa"/>
            <w:vAlign w:val="bottom"/>
          </w:tcPr>
          <w:p>
            <w:pPr>
              <w:spacing w:after="0"/>
              <w:rPr>
                <w:sz w:val="1"/>
                <w:szCs w:val="1"/>
                <w:color w:val="auto"/>
              </w:rPr>
            </w:pPr>
          </w:p>
        </w:tc>
      </w:tr>
      <w:tr>
        <w:trPr>
          <w:trHeight w:val="250"/>
        </w:trPr>
        <w:tc>
          <w:tcPr>
            <w:tcW w:w="35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35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61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11,783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11,879</w:t>
            </w:r>
          </w:p>
        </w:tc>
        <w:tc>
          <w:tcPr>
            <w:tcW w:w="0" w:type="dxa"/>
            <w:vAlign w:val="bottom"/>
          </w:tcPr>
          <w:p>
            <w:pPr>
              <w:spacing w:after="0"/>
              <w:rPr>
                <w:sz w:val="1"/>
                <w:szCs w:val="1"/>
                <w:color w:val="auto"/>
              </w:rPr>
            </w:pPr>
          </w:p>
        </w:tc>
      </w:tr>
      <w:tr>
        <w:trPr>
          <w:trHeight w:val="237"/>
        </w:trPr>
        <w:tc>
          <w:tcPr>
            <w:tcW w:w="3520" w:type="dxa"/>
            <w:vAlign w:val="bottom"/>
          </w:tcPr>
          <w:p>
            <w:pPr>
              <w:spacing w:after="0"/>
              <w:rPr>
                <w:sz w:val="20"/>
                <w:szCs w:val="20"/>
                <w:color w:val="auto"/>
              </w:rPr>
            </w:pPr>
            <w:r>
              <w:rPr>
                <w:rFonts w:ascii="Arial" w:cs="Arial" w:eastAsia="Arial" w:hAnsi="Arial"/>
                <w:sz w:val="14"/>
                <w:szCs w:val="14"/>
                <w:b w:val="1"/>
                <w:bCs w:val="1"/>
                <w:color w:val="auto"/>
              </w:rPr>
              <w:t>Total assets</w:t>
            </w: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636</w:t>
            </w:r>
          </w:p>
        </w:tc>
        <w:tc>
          <w:tcPr>
            <w:tcW w:w="12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6,128</w:t>
            </w:r>
          </w:p>
        </w:tc>
        <w:tc>
          <w:tcPr>
            <w:tcW w:w="12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7,303</w:t>
            </w:r>
          </w:p>
        </w:tc>
        <w:tc>
          <w:tcPr>
            <w:tcW w:w="12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15,531</w:t>
            </w:r>
          </w:p>
        </w:tc>
        <w:tc>
          <w:tcPr>
            <w:tcW w:w="10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(11,899)</w:t>
            </w:r>
          </w:p>
        </w:tc>
        <w:tc>
          <w:tcPr>
            <w:tcW w:w="100" w:type="dxa"/>
            <w:vAlign w:val="bottom"/>
          </w:tcPr>
          <w:p>
            <w:pPr>
              <w:spacing w:after="0"/>
              <w:rPr>
                <w:sz w:val="20"/>
                <w:szCs w:val="20"/>
                <w:color w:val="auto"/>
              </w:rPr>
            </w:pPr>
          </w:p>
        </w:tc>
        <w:tc>
          <w:tcPr>
            <w:tcW w:w="26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17,699</w:t>
            </w:r>
          </w:p>
        </w:tc>
        <w:tc>
          <w:tcPr>
            <w:tcW w:w="0" w:type="dxa"/>
            <w:vAlign w:val="bottom"/>
          </w:tcPr>
          <w:p>
            <w:pPr>
              <w:spacing w:after="0"/>
              <w:rPr>
                <w:sz w:val="1"/>
                <w:szCs w:val="1"/>
                <w:color w:val="auto"/>
              </w:rPr>
            </w:pPr>
          </w:p>
        </w:tc>
      </w:tr>
      <w:tr>
        <w:trPr>
          <w:trHeight w:val="20"/>
        </w:trPr>
        <w:tc>
          <w:tcPr>
            <w:tcW w:w="3520" w:type="dxa"/>
            <w:vAlign w:val="bottom"/>
            <w:vMerge w:val="restart"/>
          </w:tcPr>
          <w:p>
            <w:pPr>
              <w:spacing w:after="0"/>
              <w:rPr>
                <w:sz w:val="20"/>
                <w:szCs w:val="20"/>
                <w:color w:val="auto"/>
              </w:rPr>
            </w:pPr>
            <w:r>
              <w:rPr>
                <w:rFonts w:ascii="Arial" w:cs="Arial" w:eastAsia="Arial" w:hAnsi="Arial"/>
                <w:sz w:val="14"/>
                <w:szCs w:val="14"/>
                <w:b w:val="1"/>
                <w:bCs w:val="1"/>
                <w:color w:val="auto"/>
              </w:rPr>
              <w:t>Liabilities and stockholders’ equity</w:t>
            </w: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1"/>
        </w:trPr>
        <w:tc>
          <w:tcPr>
            <w:tcW w:w="35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520" w:type="dxa"/>
            <w:vAlign w:val="bottom"/>
          </w:tcPr>
          <w:p>
            <w:pPr>
              <w:spacing w:after="0"/>
              <w:rPr>
                <w:sz w:val="20"/>
                <w:szCs w:val="20"/>
                <w:color w:val="auto"/>
              </w:rPr>
            </w:pPr>
            <w:r>
              <w:rPr>
                <w:rFonts w:ascii="Arial" w:cs="Arial" w:eastAsia="Arial" w:hAnsi="Arial"/>
                <w:sz w:val="14"/>
                <w:szCs w:val="14"/>
                <w:color w:val="auto"/>
              </w:rPr>
              <w:t>Current liabilities:</w:t>
            </w:r>
          </w:p>
        </w:tc>
        <w:tc>
          <w:tcPr>
            <w:tcW w:w="2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520" w:type="dxa"/>
            <w:vAlign w:val="bottom"/>
          </w:tcPr>
          <w:p>
            <w:pPr>
              <w:ind w:left="140"/>
              <w:spacing w:after="0"/>
              <w:rPr>
                <w:sz w:val="20"/>
                <w:szCs w:val="20"/>
                <w:color w:val="auto"/>
              </w:rPr>
            </w:pPr>
            <w:r>
              <w:rPr>
                <w:rFonts w:ascii="Arial" w:cs="Arial" w:eastAsia="Arial" w:hAnsi="Arial"/>
                <w:sz w:val="14"/>
                <w:szCs w:val="14"/>
                <w:color w:val="auto"/>
              </w:rPr>
              <w:t>Accounts payable and other current liabilities</w:t>
            </w:r>
          </w:p>
        </w:tc>
        <w:tc>
          <w:tcPr>
            <w:tcW w:w="24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vMerge w:val="restart"/>
          </w:tcPr>
          <w:p>
            <w:pPr>
              <w:jc w:val="right"/>
              <w:ind w:right="28"/>
              <w:spacing w:after="0"/>
              <w:rPr>
                <w:sz w:val="20"/>
                <w:szCs w:val="20"/>
                <w:color w:val="auto"/>
              </w:rPr>
            </w:pPr>
            <w:r>
              <w:rPr>
                <w:rFonts w:ascii="Arial" w:cs="Arial" w:eastAsia="Arial" w:hAnsi="Arial"/>
                <w:sz w:val="14"/>
                <w:szCs w:val="14"/>
                <w:color w:val="auto"/>
              </w:rPr>
              <w:t>23</w:t>
            </w:r>
          </w:p>
        </w:tc>
        <w:tc>
          <w:tcPr>
            <w:tcW w:w="120" w:type="dxa"/>
            <w:vAlign w:val="bottom"/>
          </w:tcPr>
          <w:p>
            <w:pPr>
              <w:spacing w:after="0"/>
              <w:rPr>
                <w:sz w:val="23"/>
                <w:szCs w:val="23"/>
                <w:color w:val="auto"/>
              </w:rPr>
            </w:pPr>
          </w:p>
        </w:tc>
        <w:tc>
          <w:tcPr>
            <w:tcW w:w="1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vMerge w:val="restart"/>
          </w:tcPr>
          <w:p>
            <w:pPr>
              <w:jc w:val="right"/>
              <w:ind w:right="28"/>
              <w:spacing w:after="0"/>
              <w:rPr>
                <w:sz w:val="20"/>
                <w:szCs w:val="20"/>
                <w:color w:val="auto"/>
              </w:rPr>
            </w:pPr>
            <w:r>
              <w:rPr>
                <w:rFonts w:ascii="Arial" w:cs="Arial" w:eastAsia="Arial" w:hAnsi="Arial"/>
                <w:sz w:val="14"/>
                <w:szCs w:val="14"/>
                <w:color w:val="auto"/>
              </w:rPr>
              <w:t>207</w:t>
            </w:r>
          </w:p>
        </w:tc>
        <w:tc>
          <w:tcPr>
            <w:tcW w:w="120" w:type="dxa"/>
            <w:vAlign w:val="bottom"/>
          </w:tcPr>
          <w:p>
            <w:pPr>
              <w:spacing w:after="0"/>
              <w:rPr>
                <w:sz w:val="23"/>
                <w:szCs w:val="23"/>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552</w:t>
            </w:r>
          </w:p>
        </w:tc>
        <w:tc>
          <w:tcPr>
            <w:tcW w:w="120" w:type="dxa"/>
            <w:vAlign w:val="bottom"/>
          </w:tcPr>
          <w:p>
            <w:pPr>
              <w:spacing w:after="0"/>
              <w:rPr>
                <w:sz w:val="23"/>
                <w:szCs w:val="23"/>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837</w:t>
            </w:r>
          </w:p>
        </w:tc>
        <w:tc>
          <w:tcPr>
            <w:tcW w:w="100" w:type="dxa"/>
            <w:vAlign w:val="bottom"/>
          </w:tcPr>
          <w:p>
            <w:pPr>
              <w:spacing w:after="0"/>
              <w:rPr>
                <w:sz w:val="23"/>
                <w:szCs w:val="23"/>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1,619</w:t>
            </w:r>
          </w:p>
        </w:tc>
        <w:tc>
          <w:tcPr>
            <w:tcW w:w="0" w:type="dxa"/>
            <w:vAlign w:val="bottom"/>
          </w:tcPr>
          <w:p>
            <w:pPr>
              <w:spacing w:after="0"/>
              <w:rPr>
                <w:sz w:val="1"/>
                <w:szCs w:val="1"/>
                <w:color w:val="auto"/>
              </w:rPr>
            </w:pPr>
          </w:p>
        </w:tc>
      </w:tr>
      <w:tr>
        <w:trPr>
          <w:trHeight w:val="54"/>
        </w:trPr>
        <w:tc>
          <w:tcPr>
            <w:tcW w:w="3520" w:type="dxa"/>
            <w:vAlign w:val="bottom"/>
          </w:tcPr>
          <w:p>
            <w:pPr>
              <w:spacing w:after="0"/>
              <w:rPr>
                <w:sz w:val="4"/>
                <w:szCs w:val="4"/>
                <w:color w:val="auto"/>
              </w:rPr>
            </w:pPr>
          </w:p>
        </w:tc>
        <w:tc>
          <w:tcPr>
            <w:tcW w:w="240" w:type="dxa"/>
            <w:vAlign w:val="bottom"/>
            <w:vMerge w:val="continue"/>
          </w:tcPr>
          <w:p>
            <w:pPr>
              <w:spacing w:after="0"/>
              <w:rPr>
                <w:sz w:val="4"/>
                <w:szCs w:val="4"/>
                <w:color w:val="auto"/>
              </w:rPr>
            </w:pPr>
          </w:p>
        </w:tc>
        <w:tc>
          <w:tcPr>
            <w:tcW w:w="9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vMerge w:val="continue"/>
          </w:tcPr>
          <w:p>
            <w:pPr>
              <w:spacing w:after="0"/>
              <w:rPr>
                <w:sz w:val="4"/>
                <w:szCs w:val="4"/>
                <w:color w:val="auto"/>
              </w:rPr>
            </w:pPr>
          </w:p>
        </w:tc>
        <w:tc>
          <w:tcPr>
            <w:tcW w:w="104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vMerge w:val="continue"/>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vMerge w:val="continue"/>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vMerge w:val="continue"/>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60" w:type="dxa"/>
            <w:vAlign w:val="bottom"/>
            <w:vMerge w:val="continue"/>
          </w:tcPr>
          <w:p>
            <w:pPr>
              <w:spacing w:after="0"/>
              <w:rPr>
                <w:sz w:val="4"/>
                <w:szCs w:val="4"/>
                <w:color w:val="auto"/>
              </w:rPr>
            </w:pPr>
          </w:p>
        </w:tc>
        <w:tc>
          <w:tcPr>
            <w:tcW w:w="8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6"/>
        </w:trPr>
        <w:tc>
          <w:tcPr>
            <w:tcW w:w="3520" w:type="dxa"/>
            <w:vAlign w:val="bottom"/>
          </w:tcPr>
          <w:p>
            <w:pPr>
              <w:ind w:left="140"/>
              <w:spacing w:after="0"/>
              <w:rPr>
                <w:sz w:val="20"/>
                <w:szCs w:val="20"/>
                <w:color w:val="auto"/>
              </w:rPr>
            </w:pPr>
            <w:r>
              <w:rPr>
                <w:rFonts w:ascii="Arial" w:cs="Arial" w:eastAsia="Arial" w:hAnsi="Arial"/>
                <w:sz w:val="14"/>
                <w:szCs w:val="14"/>
                <w:color w:val="auto"/>
              </w:rPr>
              <w:t>Short-term debt and current portion of long-term</w:t>
            </w: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3520" w:type="dxa"/>
            <w:vAlign w:val="bottom"/>
          </w:tcPr>
          <w:p>
            <w:pPr>
              <w:ind w:left="300"/>
              <w:spacing w:after="0"/>
              <w:rPr>
                <w:sz w:val="20"/>
                <w:szCs w:val="20"/>
                <w:color w:val="auto"/>
              </w:rPr>
            </w:pPr>
            <w:r>
              <w:rPr>
                <w:rFonts w:ascii="Arial" w:cs="Arial" w:eastAsia="Arial" w:hAnsi="Arial"/>
                <w:sz w:val="14"/>
                <w:szCs w:val="14"/>
                <w:color w:val="auto"/>
              </w:rPr>
              <w:t>debt</w:t>
            </w:r>
          </w:p>
        </w:tc>
        <w:tc>
          <w:tcPr>
            <w:tcW w:w="2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17</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191"/>
        </w:trPr>
        <w:tc>
          <w:tcPr>
            <w:tcW w:w="3520" w:type="dxa"/>
            <w:vAlign w:val="bottom"/>
          </w:tcPr>
          <w:p>
            <w:pPr>
              <w:spacing w:after="0"/>
              <w:rPr>
                <w:sz w:val="20"/>
                <w:szCs w:val="20"/>
                <w:color w:val="auto"/>
              </w:rPr>
            </w:pPr>
            <w:r>
              <w:rPr>
                <w:rFonts w:ascii="Arial" w:cs="Arial" w:eastAsia="Arial" w:hAnsi="Arial"/>
                <w:sz w:val="14"/>
                <w:szCs w:val="14"/>
                <w:color w:val="auto"/>
              </w:rPr>
              <w:t>Total current liabilities</w:t>
            </w:r>
          </w:p>
        </w:tc>
        <w:tc>
          <w:tcPr>
            <w:tcW w:w="240" w:type="dxa"/>
            <w:vAlign w:val="bottom"/>
          </w:tcPr>
          <w:p>
            <w:pPr>
              <w:spacing w:after="0"/>
              <w:rPr>
                <w:sz w:val="16"/>
                <w:szCs w:val="16"/>
                <w:color w:val="auto"/>
              </w:rPr>
            </w:pPr>
          </w:p>
        </w:tc>
        <w:tc>
          <w:tcPr>
            <w:tcW w:w="980" w:type="dxa"/>
            <w:vAlign w:val="bottom"/>
            <w:vMerge w:val="restart"/>
          </w:tcPr>
          <w:p>
            <w:pPr>
              <w:jc w:val="right"/>
              <w:ind w:right="28"/>
              <w:spacing w:after="0"/>
              <w:rPr>
                <w:sz w:val="20"/>
                <w:szCs w:val="20"/>
                <w:color w:val="auto"/>
              </w:rPr>
            </w:pPr>
            <w:r>
              <w:rPr>
                <w:rFonts w:ascii="Arial" w:cs="Arial" w:eastAsia="Arial" w:hAnsi="Arial"/>
                <w:sz w:val="14"/>
                <w:szCs w:val="14"/>
                <w:color w:val="auto"/>
              </w:rPr>
              <w:t>23</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vMerge w:val="restart"/>
          </w:tcPr>
          <w:p>
            <w:pPr>
              <w:jc w:val="right"/>
              <w:ind w:right="28"/>
              <w:spacing w:after="0"/>
              <w:rPr>
                <w:sz w:val="20"/>
                <w:szCs w:val="20"/>
                <w:color w:val="auto"/>
              </w:rPr>
            </w:pPr>
            <w:r>
              <w:rPr>
                <w:rFonts w:ascii="Arial" w:cs="Arial" w:eastAsia="Arial" w:hAnsi="Arial"/>
                <w:sz w:val="14"/>
                <w:szCs w:val="14"/>
                <w:color w:val="auto"/>
              </w:rPr>
              <w:t>224</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555</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843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1,645</w:t>
            </w:r>
          </w:p>
        </w:tc>
        <w:tc>
          <w:tcPr>
            <w:tcW w:w="0" w:type="dxa"/>
            <w:vAlign w:val="bottom"/>
          </w:tcPr>
          <w:p>
            <w:pPr>
              <w:spacing w:after="0"/>
              <w:rPr>
                <w:sz w:val="1"/>
                <w:szCs w:val="1"/>
                <w:color w:val="auto"/>
              </w:rPr>
            </w:pPr>
          </w:p>
        </w:tc>
      </w:tr>
      <w:tr>
        <w:trPr>
          <w:trHeight w:val="54"/>
        </w:trPr>
        <w:tc>
          <w:tcPr>
            <w:tcW w:w="3520" w:type="dxa"/>
            <w:vAlign w:val="bottom"/>
          </w:tcPr>
          <w:p>
            <w:pPr>
              <w:spacing w:after="0"/>
              <w:rPr>
                <w:sz w:val="4"/>
                <w:szCs w:val="4"/>
                <w:color w:val="auto"/>
              </w:rPr>
            </w:pPr>
          </w:p>
        </w:tc>
        <w:tc>
          <w:tcPr>
            <w:tcW w:w="240" w:type="dxa"/>
            <w:vAlign w:val="bottom"/>
          </w:tcPr>
          <w:p>
            <w:pPr>
              <w:spacing w:after="0"/>
              <w:rPr>
                <w:sz w:val="4"/>
                <w:szCs w:val="4"/>
                <w:color w:val="auto"/>
              </w:rPr>
            </w:pPr>
          </w:p>
        </w:tc>
        <w:tc>
          <w:tcPr>
            <w:tcW w:w="9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4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86"/>
        </w:trPr>
        <w:tc>
          <w:tcPr>
            <w:tcW w:w="3520" w:type="dxa"/>
            <w:vAlign w:val="bottom"/>
          </w:tcPr>
          <w:p>
            <w:pPr>
              <w:spacing w:after="0"/>
              <w:rPr>
                <w:sz w:val="20"/>
                <w:szCs w:val="20"/>
                <w:color w:val="auto"/>
              </w:rPr>
            </w:pPr>
            <w:r>
              <w:rPr>
                <w:rFonts w:ascii="Arial" w:cs="Arial" w:eastAsia="Arial" w:hAnsi="Arial"/>
                <w:sz w:val="14"/>
                <w:szCs w:val="14"/>
                <w:color w:val="auto"/>
              </w:rPr>
              <w:t>Long-term debt</w:t>
            </w:r>
          </w:p>
        </w:tc>
        <w:tc>
          <w:tcPr>
            <w:tcW w:w="240" w:type="dxa"/>
            <w:vAlign w:val="bottom"/>
          </w:tcPr>
          <w:p>
            <w:pPr>
              <w:spacing w:after="0"/>
              <w:rPr>
                <w:sz w:val="24"/>
                <w:szCs w:val="24"/>
                <w:color w:val="auto"/>
              </w:rPr>
            </w:pPr>
          </w:p>
        </w:tc>
        <w:tc>
          <w:tcPr>
            <w:tcW w:w="11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1040" w:type="dxa"/>
            <w:vAlign w:val="bottom"/>
            <w:vMerge w:val="restart"/>
          </w:tcPr>
          <w:p>
            <w:pPr>
              <w:jc w:val="right"/>
              <w:ind w:right="28"/>
              <w:spacing w:after="0"/>
              <w:rPr>
                <w:sz w:val="20"/>
                <w:szCs w:val="20"/>
                <w:color w:val="auto"/>
              </w:rPr>
            </w:pPr>
            <w:r>
              <w:rPr>
                <w:rFonts w:ascii="Arial" w:cs="Arial" w:eastAsia="Arial" w:hAnsi="Arial"/>
                <w:sz w:val="14"/>
                <w:szCs w:val="14"/>
                <w:color w:val="auto"/>
              </w:rPr>
              <w:t>2,910</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660</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4"/>
                <w:szCs w:val="24"/>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3,573</w:t>
            </w:r>
          </w:p>
        </w:tc>
        <w:tc>
          <w:tcPr>
            <w:tcW w:w="0" w:type="dxa"/>
            <w:vAlign w:val="bottom"/>
          </w:tcPr>
          <w:p>
            <w:pPr>
              <w:spacing w:after="0"/>
              <w:rPr>
                <w:sz w:val="1"/>
                <w:szCs w:val="1"/>
                <w:color w:val="auto"/>
              </w:rPr>
            </w:pPr>
          </w:p>
        </w:tc>
      </w:tr>
      <w:tr>
        <w:trPr>
          <w:trHeight w:val="54"/>
        </w:trPr>
        <w:tc>
          <w:tcPr>
            <w:tcW w:w="35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0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04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520" w:type="dxa"/>
            <w:vAlign w:val="bottom"/>
          </w:tcPr>
          <w:p>
            <w:pPr>
              <w:spacing w:after="0"/>
              <w:rPr>
                <w:sz w:val="20"/>
                <w:szCs w:val="20"/>
                <w:color w:val="auto"/>
              </w:rPr>
            </w:pPr>
            <w:r>
              <w:rPr>
                <w:rFonts w:ascii="Arial" w:cs="Arial" w:eastAsia="Arial" w:hAnsi="Arial"/>
                <w:sz w:val="14"/>
                <w:szCs w:val="14"/>
                <w:color w:val="auto"/>
              </w:rPr>
              <w:t>Other non-current liabilities</w:t>
            </w:r>
          </w:p>
        </w:tc>
        <w:tc>
          <w:tcPr>
            <w:tcW w:w="240" w:type="dxa"/>
            <w:vAlign w:val="bottom"/>
          </w:tcPr>
          <w:p>
            <w:pPr>
              <w:spacing w:after="0"/>
              <w:rPr>
                <w:sz w:val="18"/>
                <w:szCs w:val="18"/>
                <w:color w:val="auto"/>
              </w:rPr>
            </w:pPr>
          </w:p>
        </w:tc>
        <w:tc>
          <w:tcPr>
            <w:tcW w:w="980" w:type="dxa"/>
            <w:vAlign w:val="bottom"/>
            <w:vMerge w:val="restart"/>
          </w:tcPr>
          <w:p>
            <w:pPr>
              <w:jc w:val="right"/>
              <w:ind w:right="28"/>
              <w:spacing w:after="0"/>
              <w:rPr>
                <w:sz w:val="20"/>
                <w:szCs w:val="20"/>
                <w:color w:val="auto"/>
              </w:rPr>
            </w:pPr>
            <w:r>
              <w:rPr>
                <w:rFonts w:ascii="Arial" w:cs="Arial" w:eastAsia="Arial" w:hAnsi="Arial"/>
                <w:sz w:val="14"/>
                <w:szCs w:val="14"/>
                <w:color w:val="auto"/>
              </w:rPr>
              <w:t>40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vMerge w:val="restart"/>
          </w:tcPr>
          <w:p>
            <w:pPr>
              <w:jc w:val="right"/>
              <w:ind w:right="28"/>
              <w:spacing w:after="0"/>
              <w:rPr>
                <w:sz w:val="20"/>
                <w:szCs w:val="20"/>
                <w:color w:val="auto"/>
              </w:rPr>
            </w:pPr>
            <w:r>
              <w:rPr>
                <w:rFonts w:ascii="Arial" w:cs="Arial" w:eastAsia="Arial" w:hAnsi="Arial"/>
                <w:sz w:val="14"/>
                <w:szCs w:val="14"/>
                <w:color w:val="auto"/>
              </w:rPr>
              <w:t>83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216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378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8"/>
                <w:szCs w:val="18"/>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717</w:t>
            </w:r>
          </w:p>
        </w:tc>
        <w:tc>
          <w:tcPr>
            <w:tcW w:w="0" w:type="dxa"/>
            <w:vAlign w:val="bottom"/>
          </w:tcPr>
          <w:p>
            <w:pPr>
              <w:spacing w:after="0"/>
              <w:rPr>
                <w:sz w:val="1"/>
                <w:szCs w:val="1"/>
                <w:color w:val="auto"/>
              </w:rPr>
            </w:pPr>
          </w:p>
        </w:tc>
      </w:tr>
      <w:tr>
        <w:trPr>
          <w:trHeight w:val="54"/>
        </w:trPr>
        <w:tc>
          <w:tcPr>
            <w:tcW w:w="3520" w:type="dxa"/>
            <w:vAlign w:val="bottom"/>
          </w:tcPr>
          <w:p>
            <w:pPr>
              <w:spacing w:after="0"/>
              <w:rPr>
                <w:sz w:val="4"/>
                <w:szCs w:val="4"/>
                <w:color w:val="auto"/>
              </w:rPr>
            </w:pPr>
          </w:p>
        </w:tc>
        <w:tc>
          <w:tcPr>
            <w:tcW w:w="240" w:type="dxa"/>
            <w:vAlign w:val="bottom"/>
          </w:tcPr>
          <w:p>
            <w:pPr>
              <w:spacing w:after="0"/>
              <w:rPr>
                <w:sz w:val="4"/>
                <w:szCs w:val="4"/>
                <w:color w:val="auto"/>
              </w:rPr>
            </w:pPr>
          </w:p>
        </w:tc>
        <w:tc>
          <w:tcPr>
            <w:tcW w:w="9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4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520" w:type="dxa"/>
            <w:vAlign w:val="bottom"/>
          </w:tcPr>
          <w:p>
            <w:pPr>
              <w:spacing w:after="0"/>
              <w:rPr>
                <w:sz w:val="20"/>
                <w:szCs w:val="20"/>
                <w:color w:val="auto"/>
              </w:rPr>
            </w:pPr>
            <w:r>
              <w:rPr>
                <w:rFonts w:ascii="Arial" w:cs="Arial" w:eastAsia="Arial" w:hAnsi="Arial"/>
                <w:sz w:val="14"/>
                <w:szCs w:val="14"/>
                <w:color w:val="auto"/>
              </w:rPr>
              <w:t>Intercompany payables</w:t>
            </w:r>
          </w:p>
        </w:tc>
        <w:tc>
          <w:tcPr>
            <w:tcW w:w="240" w:type="dxa"/>
            <w:vAlign w:val="bottom"/>
          </w:tcPr>
          <w:p>
            <w:pPr>
              <w:spacing w:after="0"/>
              <w:rPr>
                <w:sz w:val="18"/>
                <w:szCs w:val="18"/>
                <w:color w:val="auto"/>
              </w:rPr>
            </w:pPr>
          </w:p>
        </w:tc>
        <w:tc>
          <w:tcPr>
            <w:tcW w:w="11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040" w:type="dxa"/>
            <w:vAlign w:val="bottom"/>
            <w:vMerge w:val="restart"/>
          </w:tcPr>
          <w:p>
            <w:pPr>
              <w:jc w:val="right"/>
              <w:ind w:right="28"/>
              <w:spacing w:after="0"/>
              <w:rPr>
                <w:sz w:val="20"/>
                <w:szCs w:val="20"/>
                <w:color w:val="auto"/>
              </w:rPr>
            </w:pPr>
            <w:r>
              <w:rPr>
                <w:rFonts w:ascii="Arial" w:cs="Arial" w:eastAsia="Arial" w:hAnsi="Arial"/>
                <w:sz w:val="14"/>
                <w:szCs w:val="14"/>
                <w:color w:val="auto"/>
              </w:rPr>
              <w:t>2,515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382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(2,899)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0"/>
        </w:trPr>
        <w:tc>
          <w:tcPr>
            <w:tcW w:w="35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10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8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3520" w:type="dxa"/>
            <w:vAlign w:val="bottom"/>
          </w:tcPr>
          <w:p>
            <w:pPr>
              <w:spacing w:after="0"/>
              <w:rPr>
                <w:sz w:val="20"/>
                <w:szCs w:val="20"/>
                <w:color w:val="auto"/>
              </w:rPr>
            </w:pPr>
            <w:r>
              <w:rPr>
                <w:rFonts w:ascii="Arial" w:cs="Arial" w:eastAsia="Arial" w:hAnsi="Arial"/>
                <w:sz w:val="14"/>
                <w:szCs w:val="14"/>
                <w:color w:val="auto"/>
              </w:rPr>
              <w:t>Total liabilities exclusive of liabilities under vehicle</w:t>
            </w:r>
          </w:p>
        </w:tc>
        <w:tc>
          <w:tcPr>
            <w:tcW w:w="24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3520" w:type="dxa"/>
            <w:vAlign w:val="bottom"/>
          </w:tcPr>
          <w:p>
            <w:pPr>
              <w:ind w:left="160"/>
              <w:spacing w:after="0"/>
              <w:rPr>
                <w:sz w:val="20"/>
                <w:szCs w:val="20"/>
                <w:color w:val="auto"/>
              </w:rPr>
            </w:pPr>
            <w:r>
              <w:rPr>
                <w:rFonts w:ascii="Arial" w:cs="Arial" w:eastAsia="Arial" w:hAnsi="Arial"/>
                <w:sz w:val="14"/>
                <w:szCs w:val="14"/>
                <w:color w:val="auto"/>
              </w:rPr>
              <w:t>programs</w:t>
            </w:r>
          </w:p>
        </w:tc>
        <w:tc>
          <w:tcPr>
            <w:tcW w:w="2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63</w:t>
            </w: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5,732</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1,156</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1,883</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(2,899)</w:t>
            </w: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5,935</w:t>
            </w:r>
          </w:p>
        </w:tc>
        <w:tc>
          <w:tcPr>
            <w:tcW w:w="0" w:type="dxa"/>
            <w:vAlign w:val="bottom"/>
          </w:tcPr>
          <w:p>
            <w:pPr>
              <w:spacing w:after="0"/>
              <w:rPr>
                <w:sz w:val="1"/>
                <w:szCs w:val="1"/>
                <w:color w:val="auto"/>
              </w:rPr>
            </w:pPr>
          </w:p>
        </w:tc>
      </w:tr>
      <w:tr>
        <w:trPr>
          <w:trHeight w:val="191"/>
        </w:trPr>
        <w:tc>
          <w:tcPr>
            <w:tcW w:w="3520" w:type="dxa"/>
            <w:vAlign w:val="bottom"/>
          </w:tcPr>
          <w:p>
            <w:pPr>
              <w:spacing w:after="0"/>
              <w:rPr>
                <w:sz w:val="20"/>
                <w:szCs w:val="20"/>
                <w:color w:val="auto"/>
              </w:rPr>
            </w:pPr>
            <w:r>
              <w:rPr>
                <w:rFonts w:ascii="Arial" w:cs="Arial" w:eastAsia="Arial" w:hAnsi="Arial"/>
                <w:sz w:val="14"/>
                <w:szCs w:val="14"/>
                <w:color w:val="auto"/>
              </w:rPr>
              <w:t>Liabilities under vehicle programs:</w:t>
            </w: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4"/>
        </w:trPr>
        <w:tc>
          <w:tcPr>
            <w:tcW w:w="3520" w:type="dxa"/>
            <w:vAlign w:val="bottom"/>
          </w:tcPr>
          <w:p>
            <w:pPr>
              <w:ind w:left="140"/>
              <w:spacing w:after="0"/>
              <w:rPr>
                <w:sz w:val="20"/>
                <w:szCs w:val="20"/>
                <w:color w:val="auto"/>
              </w:rPr>
            </w:pPr>
            <w:r>
              <w:rPr>
                <w:rFonts w:ascii="Arial" w:cs="Arial" w:eastAsia="Arial" w:hAnsi="Arial"/>
                <w:sz w:val="14"/>
                <w:szCs w:val="14"/>
                <w:color w:val="auto"/>
              </w:rPr>
              <w:t>Debt</w:t>
            </w:r>
          </w:p>
        </w:tc>
        <w:tc>
          <w:tcPr>
            <w:tcW w:w="240" w:type="dxa"/>
            <w:vAlign w:val="bottom"/>
          </w:tcPr>
          <w:p>
            <w:pPr>
              <w:spacing w:after="0"/>
              <w:rPr>
                <w:sz w:val="24"/>
                <w:szCs w:val="24"/>
                <w:color w:val="auto"/>
              </w:rPr>
            </w:pPr>
          </w:p>
        </w:tc>
        <w:tc>
          <w:tcPr>
            <w:tcW w:w="11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1040" w:type="dxa"/>
            <w:vAlign w:val="bottom"/>
            <w:vMerge w:val="restart"/>
          </w:tcPr>
          <w:p>
            <w:pPr>
              <w:jc w:val="right"/>
              <w:ind w:right="28"/>
              <w:spacing w:after="0"/>
              <w:rPr>
                <w:sz w:val="20"/>
                <w:szCs w:val="20"/>
                <w:color w:val="auto"/>
              </w:rPr>
            </w:pPr>
            <w:r>
              <w:rPr>
                <w:rFonts w:ascii="Arial" w:cs="Arial" w:eastAsia="Arial" w:hAnsi="Arial"/>
                <w:sz w:val="14"/>
                <w:szCs w:val="14"/>
                <w:color w:val="auto"/>
              </w:rPr>
              <w:t>15</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57</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2,669</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4"/>
                <w:szCs w:val="24"/>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2,741</w:t>
            </w:r>
          </w:p>
        </w:tc>
        <w:tc>
          <w:tcPr>
            <w:tcW w:w="0" w:type="dxa"/>
            <w:vAlign w:val="bottom"/>
          </w:tcPr>
          <w:p>
            <w:pPr>
              <w:spacing w:after="0"/>
              <w:rPr>
                <w:sz w:val="1"/>
                <w:szCs w:val="1"/>
                <w:color w:val="auto"/>
              </w:rPr>
            </w:pPr>
          </w:p>
        </w:tc>
      </w:tr>
      <w:tr>
        <w:trPr>
          <w:trHeight w:val="54"/>
        </w:trPr>
        <w:tc>
          <w:tcPr>
            <w:tcW w:w="35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0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04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6"/>
        </w:trPr>
        <w:tc>
          <w:tcPr>
            <w:tcW w:w="3520" w:type="dxa"/>
            <w:vAlign w:val="bottom"/>
          </w:tcPr>
          <w:p>
            <w:pPr>
              <w:ind w:left="140"/>
              <w:spacing w:after="0"/>
              <w:rPr>
                <w:sz w:val="20"/>
                <w:szCs w:val="20"/>
                <w:color w:val="auto"/>
              </w:rPr>
            </w:pPr>
            <w:r>
              <w:rPr>
                <w:rFonts w:ascii="Arial" w:cs="Arial" w:eastAsia="Arial" w:hAnsi="Arial"/>
                <w:sz w:val="14"/>
                <w:szCs w:val="14"/>
                <w:color w:val="auto"/>
              </w:rPr>
              <w:t>Due to Avis Budget Rental Car Funding (AESOP)</w:t>
            </w: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3520" w:type="dxa"/>
            <w:vAlign w:val="bottom"/>
          </w:tcPr>
          <w:p>
            <w:pPr>
              <w:ind w:left="300"/>
              <w:spacing w:after="0"/>
              <w:rPr>
                <w:sz w:val="20"/>
                <w:szCs w:val="20"/>
                <w:color w:val="auto"/>
              </w:rPr>
            </w:pPr>
            <w:r>
              <w:rPr>
                <w:rFonts w:ascii="Arial" w:cs="Arial" w:eastAsia="Arial" w:hAnsi="Arial"/>
                <w:sz w:val="14"/>
                <w:szCs w:val="14"/>
                <w:color w:val="auto"/>
              </w:rPr>
              <w:t>LLC-related party</w:t>
            </w:r>
          </w:p>
        </w:tc>
        <w:tc>
          <w:tcPr>
            <w:tcW w:w="240" w:type="dxa"/>
            <w:vAlign w:val="bottom"/>
          </w:tcPr>
          <w:p>
            <w:pPr>
              <w:spacing w:after="0"/>
              <w:rPr>
                <w:sz w:val="14"/>
                <w:szCs w:val="14"/>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6,480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6,480</w:t>
            </w:r>
          </w:p>
        </w:tc>
        <w:tc>
          <w:tcPr>
            <w:tcW w:w="0" w:type="dxa"/>
            <w:vAlign w:val="bottom"/>
          </w:tcPr>
          <w:p>
            <w:pPr>
              <w:spacing w:after="0"/>
              <w:rPr>
                <w:sz w:val="1"/>
                <w:szCs w:val="1"/>
                <w:color w:val="auto"/>
              </w:rPr>
            </w:pPr>
          </w:p>
        </w:tc>
      </w:tr>
      <w:tr>
        <w:trPr>
          <w:trHeight w:val="216"/>
        </w:trPr>
        <w:tc>
          <w:tcPr>
            <w:tcW w:w="3520" w:type="dxa"/>
            <w:vAlign w:val="bottom"/>
          </w:tcPr>
          <w:p>
            <w:pPr>
              <w:ind w:left="140"/>
              <w:spacing w:after="0"/>
              <w:rPr>
                <w:sz w:val="20"/>
                <w:szCs w:val="20"/>
                <w:color w:val="auto"/>
              </w:rPr>
            </w:pPr>
            <w:r>
              <w:rPr>
                <w:rFonts w:ascii="Arial" w:cs="Arial" w:eastAsia="Arial" w:hAnsi="Arial"/>
                <w:sz w:val="14"/>
                <w:szCs w:val="14"/>
                <w:color w:val="auto"/>
              </w:rPr>
              <w:t>Deferred income taxes</w:t>
            </w:r>
          </w:p>
        </w:tc>
        <w:tc>
          <w:tcPr>
            <w:tcW w:w="240" w:type="dxa"/>
            <w:vAlign w:val="bottom"/>
          </w:tcPr>
          <w:p>
            <w:pPr>
              <w:spacing w:after="0"/>
              <w:rPr>
                <w:sz w:val="18"/>
                <w:szCs w:val="18"/>
                <w:color w:val="auto"/>
              </w:rPr>
            </w:pPr>
          </w:p>
        </w:tc>
        <w:tc>
          <w:tcPr>
            <w:tcW w:w="11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16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1,407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187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8"/>
                <w:szCs w:val="18"/>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1,594</w:t>
            </w:r>
          </w:p>
        </w:tc>
        <w:tc>
          <w:tcPr>
            <w:tcW w:w="0" w:type="dxa"/>
            <w:vAlign w:val="bottom"/>
          </w:tcPr>
          <w:p>
            <w:pPr>
              <w:spacing w:after="0"/>
              <w:rPr>
                <w:sz w:val="1"/>
                <w:szCs w:val="1"/>
                <w:color w:val="auto"/>
              </w:rPr>
            </w:pPr>
          </w:p>
        </w:tc>
      </w:tr>
      <w:tr>
        <w:trPr>
          <w:trHeight w:val="54"/>
        </w:trPr>
        <w:tc>
          <w:tcPr>
            <w:tcW w:w="35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0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16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520" w:type="dxa"/>
            <w:vAlign w:val="bottom"/>
          </w:tcPr>
          <w:p>
            <w:pPr>
              <w:ind w:left="140"/>
              <w:spacing w:after="0"/>
              <w:rPr>
                <w:sz w:val="20"/>
                <w:szCs w:val="20"/>
                <w:color w:val="auto"/>
              </w:rPr>
            </w:pPr>
            <w:r>
              <w:rPr>
                <w:rFonts w:ascii="Arial" w:cs="Arial" w:eastAsia="Arial" w:hAnsi="Arial"/>
                <w:sz w:val="14"/>
                <w:szCs w:val="14"/>
                <w:color w:val="auto"/>
              </w:rPr>
              <w:t>Other</w:t>
            </w:r>
          </w:p>
        </w:tc>
        <w:tc>
          <w:tcPr>
            <w:tcW w:w="240" w:type="dxa"/>
            <w:vAlign w:val="bottom"/>
          </w:tcPr>
          <w:p>
            <w:pPr>
              <w:spacing w:after="0"/>
              <w:rPr>
                <w:sz w:val="18"/>
                <w:szCs w:val="18"/>
                <w:color w:val="auto"/>
              </w:rPr>
            </w:pPr>
          </w:p>
        </w:tc>
        <w:tc>
          <w:tcPr>
            <w:tcW w:w="98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374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376</w:t>
            </w:r>
          </w:p>
        </w:tc>
        <w:tc>
          <w:tcPr>
            <w:tcW w:w="0" w:type="dxa"/>
            <w:vAlign w:val="bottom"/>
          </w:tcPr>
          <w:p>
            <w:pPr>
              <w:spacing w:after="0"/>
              <w:rPr>
                <w:sz w:val="1"/>
                <w:szCs w:val="1"/>
                <w:color w:val="auto"/>
              </w:rPr>
            </w:pPr>
          </w:p>
        </w:tc>
      </w:tr>
      <w:tr>
        <w:trPr>
          <w:trHeight w:val="60"/>
        </w:trPr>
        <w:tc>
          <w:tcPr>
            <w:tcW w:w="3520" w:type="dxa"/>
            <w:vAlign w:val="bottom"/>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35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1,466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9,710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11,191</w:t>
            </w:r>
          </w:p>
        </w:tc>
        <w:tc>
          <w:tcPr>
            <w:tcW w:w="0" w:type="dxa"/>
            <w:vAlign w:val="bottom"/>
          </w:tcPr>
          <w:p>
            <w:pPr>
              <w:spacing w:after="0"/>
              <w:rPr>
                <w:sz w:val="1"/>
                <w:szCs w:val="1"/>
                <w:color w:val="auto"/>
              </w:rPr>
            </w:pPr>
          </w:p>
        </w:tc>
      </w:tr>
      <w:tr>
        <w:trPr>
          <w:trHeight w:val="191"/>
        </w:trPr>
        <w:tc>
          <w:tcPr>
            <w:tcW w:w="3520" w:type="dxa"/>
            <w:vAlign w:val="bottom"/>
          </w:tcPr>
          <w:p>
            <w:pPr>
              <w:spacing w:after="0"/>
              <w:rPr>
                <w:sz w:val="20"/>
                <w:szCs w:val="20"/>
                <w:color w:val="auto"/>
              </w:rPr>
            </w:pPr>
            <w:r>
              <w:rPr>
                <w:rFonts w:ascii="Arial" w:cs="Arial" w:eastAsia="Arial" w:hAnsi="Arial"/>
                <w:sz w:val="14"/>
                <w:szCs w:val="14"/>
                <w:color w:val="auto"/>
              </w:rPr>
              <w:t>Total stockholders’ equity</w:t>
            </w:r>
          </w:p>
        </w:tc>
        <w:tc>
          <w:tcPr>
            <w:tcW w:w="2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vMerge w:val="restart"/>
          </w:tcPr>
          <w:p>
            <w:pPr>
              <w:jc w:val="right"/>
              <w:ind w:right="28"/>
              <w:spacing w:after="0"/>
              <w:rPr>
                <w:sz w:val="20"/>
                <w:szCs w:val="20"/>
                <w:color w:val="auto"/>
              </w:rPr>
            </w:pPr>
            <w:r>
              <w:rPr>
                <w:rFonts w:ascii="Arial" w:cs="Arial" w:eastAsia="Arial" w:hAnsi="Arial"/>
                <w:sz w:val="14"/>
                <w:szCs w:val="14"/>
                <w:color w:val="auto"/>
              </w:rPr>
              <w:t>573</w:t>
            </w:r>
          </w:p>
        </w:tc>
        <w:tc>
          <w:tcPr>
            <w:tcW w:w="1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vMerge w:val="restart"/>
          </w:tcPr>
          <w:p>
            <w:pPr>
              <w:jc w:val="right"/>
              <w:ind w:right="28"/>
              <w:spacing w:after="0"/>
              <w:rPr>
                <w:sz w:val="20"/>
                <w:szCs w:val="20"/>
                <w:color w:val="auto"/>
              </w:rPr>
            </w:pPr>
            <w:r>
              <w:rPr>
                <w:rFonts w:ascii="Arial" w:cs="Arial" w:eastAsia="Arial" w:hAnsi="Arial"/>
                <w:sz w:val="14"/>
                <w:szCs w:val="14"/>
                <w:color w:val="auto"/>
              </w:rPr>
              <w:t>381</w:t>
            </w: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vMerge w:val="restart"/>
          </w:tcPr>
          <w:p>
            <w:pPr>
              <w:jc w:val="right"/>
              <w:ind w:right="28"/>
              <w:spacing w:after="0"/>
              <w:rPr>
                <w:sz w:val="20"/>
                <w:szCs w:val="20"/>
                <w:color w:val="auto"/>
              </w:rPr>
            </w:pPr>
            <w:r>
              <w:rPr>
                <w:rFonts w:ascii="Arial" w:cs="Arial" w:eastAsia="Arial" w:hAnsi="Arial"/>
                <w:sz w:val="14"/>
                <w:szCs w:val="14"/>
                <w:color w:val="auto"/>
              </w:rPr>
              <w:t>4,681</w:t>
            </w: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vMerge w:val="restart"/>
          </w:tcPr>
          <w:p>
            <w:pPr>
              <w:jc w:val="right"/>
              <w:ind w:right="28"/>
              <w:spacing w:after="0"/>
              <w:rPr>
                <w:sz w:val="20"/>
                <w:szCs w:val="20"/>
                <w:color w:val="auto"/>
              </w:rPr>
            </w:pPr>
            <w:r>
              <w:rPr>
                <w:rFonts w:ascii="Arial" w:cs="Arial" w:eastAsia="Arial" w:hAnsi="Arial"/>
                <w:sz w:val="14"/>
                <w:szCs w:val="14"/>
                <w:color w:val="auto"/>
              </w:rPr>
              <w:t>3,938</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(9,000)</w:t>
            </w: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573</w:t>
            </w:r>
          </w:p>
        </w:tc>
        <w:tc>
          <w:tcPr>
            <w:tcW w:w="0" w:type="dxa"/>
            <w:vAlign w:val="bottom"/>
          </w:tcPr>
          <w:p>
            <w:pPr>
              <w:spacing w:after="0"/>
              <w:rPr>
                <w:sz w:val="1"/>
                <w:szCs w:val="1"/>
                <w:color w:val="auto"/>
              </w:rPr>
            </w:pPr>
          </w:p>
        </w:tc>
      </w:tr>
      <w:tr>
        <w:trPr>
          <w:trHeight w:val="60"/>
        </w:trPr>
        <w:tc>
          <w:tcPr>
            <w:tcW w:w="3520" w:type="dxa"/>
            <w:vAlign w:val="bottom"/>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3520" w:type="dxa"/>
            <w:vAlign w:val="bottom"/>
          </w:tcPr>
          <w:p>
            <w:pPr>
              <w:spacing w:after="0"/>
              <w:rPr>
                <w:sz w:val="20"/>
                <w:szCs w:val="20"/>
                <w:color w:val="auto"/>
              </w:rPr>
            </w:pPr>
            <w:r>
              <w:rPr>
                <w:rFonts w:ascii="Arial" w:cs="Arial" w:eastAsia="Arial" w:hAnsi="Arial"/>
                <w:sz w:val="14"/>
                <w:szCs w:val="14"/>
                <w:b w:val="1"/>
                <w:bCs w:val="1"/>
                <w:color w:val="auto"/>
              </w:rPr>
              <w:t>Total liabilities and stockholders’ equity</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636</w:t>
            </w:r>
          </w:p>
        </w:tc>
        <w:tc>
          <w:tcPr>
            <w:tcW w:w="120" w:type="dxa"/>
            <w:vAlign w:val="bottom"/>
          </w:tcPr>
          <w:p>
            <w:pPr>
              <w:spacing w:after="0"/>
              <w:rPr>
                <w:sz w:val="21"/>
                <w:szCs w:val="21"/>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6,128</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7,303</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15,531</w:t>
            </w:r>
          </w:p>
        </w:tc>
        <w:tc>
          <w:tcPr>
            <w:tcW w:w="10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(11,899)</w:t>
            </w:r>
          </w:p>
        </w:tc>
        <w:tc>
          <w:tcPr>
            <w:tcW w:w="100" w:type="dxa"/>
            <w:vAlign w:val="bottom"/>
          </w:tcPr>
          <w:p>
            <w:pPr>
              <w:spacing w:after="0"/>
              <w:rPr>
                <w:sz w:val="21"/>
                <w:szCs w:val="21"/>
                <w:color w:val="auto"/>
              </w:rPr>
            </w:pPr>
          </w:p>
        </w:tc>
        <w:tc>
          <w:tcPr>
            <w:tcW w:w="2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17,699</w:t>
            </w: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360"/>
          </w:cols>
          <w:pgMar w:left="240" w:top="792" w:right="299" w:bottom="1440" w:gutter="0" w:footer="0" w:header="0"/>
        </w:sectPr>
      </w:pPr>
    </w:p>
    <w:p>
      <w:pPr>
        <w:spacing w:after="0" w:line="4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F-53</w:t>
      </w:r>
    </w:p>
    <w:p>
      <w:pPr>
        <w:sectPr>
          <w:pgSz w:w="11900" w:h="16838" w:orient="portrait"/>
          <w:cols w:equalWidth="0" w:num="1">
            <w:col w:w="11360"/>
          </w:cols>
          <w:pgMar w:left="240" w:top="792" w:right="299" w:bottom="1440" w:gutter="0" w:footer="0" w:header="0"/>
          <w:type w:val="continuous"/>
        </w:sectPr>
      </w:pPr>
    </w:p>
    <w:bookmarkStart w:id="119" w:name="page120"/>
    <w:bookmarkEnd w:id="119"/>
    <w:p>
      <w:pPr>
        <w:spacing w:after="0"/>
        <w:rPr>
          <w:sz w:val="20"/>
          <w:szCs w:val="20"/>
          <w:color w:val="auto"/>
        </w:rPr>
      </w:pPr>
      <w:r>
        <w:rPr>
          <w:rFonts w:ascii="Arial" w:cs="Arial" w:eastAsia="Arial" w:hAnsi="Arial"/>
          <w:sz w:val="18"/>
          <w:szCs w:val="18"/>
          <w:color w:val="auto"/>
        </w:rPr>
        <w:t>As of December 31, 2016</w:t>
      </w:r>
    </w:p>
    <w:p>
      <w:pPr>
        <w:spacing w:after="0" w:line="348"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3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Subsidiary</w:t>
            </w:r>
          </w:p>
        </w:tc>
        <w:tc>
          <w:tcPr>
            <w:tcW w:w="14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Guarantor</w:t>
            </w:r>
          </w:p>
        </w:tc>
        <w:tc>
          <w:tcPr>
            <w:tcW w:w="13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Non-Guarantor</w:t>
            </w: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2"/>
          </w:tcPr>
          <w:p>
            <w:pPr>
              <w:ind w:left="160"/>
              <w:spacing w:after="0"/>
              <w:rPr>
                <w:sz w:val="20"/>
                <w:szCs w:val="20"/>
                <w:color w:val="auto"/>
              </w:rPr>
            </w:pPr>
            <w:r>
              <w:rPr>
                <w:rFonts w:ascii="Arial" w:cs="Arial" w:eastAsia="Arial" w:hAnsi="Arial"/>
                <w:sz w:val="14"/>
                <w:szCs w:val="14"/>
                <w:b w:val="1"/>
                <w:bCs w:val="1"/>
                <w:color w:val="auto"/>
              </w:rPr>
              <w:t>Parent</w:t>
            </w:r>
          </w:p>
        </w:tc>
        <w:tc>
          <w:tcPr>
            <w:tcW w:w="180" w:type="dxa"/>
            <w:vAlign w:val="bottom"/>
          </w:tcPr>
          <w:p>
            <w:pPr>
              <w:spacing w:after="0"/>
              <w:rPr>
                <w:sz w:val="17"/>
                <w:szCs w:val="17"/>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Issuers</w:t>
            </w:r>
          </w:p>
        </w:tc>
        <w:tc>
          <w:tcPr>
            <w:tcW w:w="14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Subsidiaries</w:t>
            </w:r>
          </w:p>
        </w:tc>
        <w:tc>
          <w:tcPr>
            <w:tcW w:w="140" w:type="dxa"/>
            <w:vAlign w:val="bottom"/>
          </w:tcPr>
          <w:p>
            <w:pPr>
              <w:spacing w:after="0"/>
              <w:rPr>
                <w:sz w:val="17"/>
                <w:szCs w:val="17"/>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Subsidiaries</w:t>
            </w:r>
          </w:p>
        </w:tc>
        <w:tc>
          <w:tcPr>
            <w:tcW w:w="160" w:type="dxa"/>
            <w:vAlign w:val="bottom"/>
          </w:tcPr>
          <w:p>
            <w:pPr>
              <w:spacing w:after="0"/>
              <w:rPr>
                <w:sz w:val="17"/>
                <w:szCs w:val="17"/>
                <w:color w:val="auto"/>
              </w:rPr>
            </w:pPr>
          </w:p>
        </w:tc>
        <w:tc>
          <w:tcPr>
            <w:tcW w:w="1180" w:type="dxa"/>
            <w:vAlign w:val="bottom"/>
            <w:gridSpan w:val="2"/>
          </w:tcPr>
          <w:p>
            <w:pPr>
              <w:ind w:left="40"/>
              <w:spacing w:after="0"/>
              <w:rPr>
                <w:sz w:val="20"/>
                <w:szCs w:val="20"/>
                <w:color w:val="auto"/>
              </w:rPr>
            </w:pPr>
            <w:r>
              <w:rPr>
                <w:rFonts w:ascii="Arial" w:cs="Arial" w:eastAsia="Arial" w:hAnsi="Arial"/>
                <w:sz w:val="14"/>
                <w:szCs w:val="14"/>
                <w:b w:val="1"/>
                <w:bCs w:val="1"/>
                <w:color w:val="auto"/>
              </w:rPr>
              <w:t>Eliminations</w:t>
            </w:r>
          </w:p>
        </w:tc>
        <w:tc>
          <w:tcPr>
            <w:tcW w:w="260" w:type="dxa"/>
            <w:vAlign w:val="bottom"/>
          </w:tcPr>
          <w:p>
            <w:pPr>
              <w:spacing w:after="0"/>
              <w:rPr>
                <w:sz w:val="17"/>
                <w:szCs w:val="17"/>
                <w:color w:val="auto"/>
              </w:rPr>
            </w:pPr>
          </w:p>
        </w:tc>
        <w:tc>
          <w:tcPr>
            <w:tcW w:w="860" w:type="dxa"/>
            <w:vAlign w:val="bottom"/>
          </w:tcPr>
          <w:p>
            <w:pPr>
              <w:jc w:val="right"/>
              <w:ind w:right="30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1"/>
        </w:trPr>
        <w:tc>
          <w:tcPr>
            <w:tcW w:w="3520" w:type="dxa"/>
            <w:vAlign w:val="bottom"/>
          </w:tcPr>
          <w:p>
            <w:pPr>
              <w:spacing w:after="0"/>
              <w:rPr>
                <w:sz w:val="20"/>
                <w:szCs w:val="20"/>
                <w:color w:val="auto"/>
              </w:rPr>
            </w:pPr>
            <w:r>
              <w:rPr>
                <w:rFonts w:ascii="Arial" w:cs="Arial" w:eastAsia="Arial" w:hAnsi="Arial"/>
                <w:sz w:val="14"/>
                <w:szCs w:val="14"/>
                <w:b w:val="1"/>
                <w:bCs w:val="1"/>
                <w:color w:val="auto"/>
              </w:rPr>
              <w:t>Assets</w:t>
            </w:r>
          </w:p>
        </w:tc>
        <w:tc>
          <w:tcPr>
            <w:tcW w:w="2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84"/>
        </w:trPr>
        <w:tc>
          <w:tcPr>
            <w:tcW w:w="3520" w:type="dxa"/>
            <w:vAlign w:val="bottom"/>
          </w:tcPr>
          <w:p>
            <w:pPr>
              <w:spacing w:after="0"/>
              <w:rPr>
                <w:sz w:val="20"/>
                <w:szCs w:val="20"/>
                <w:color w:val="auto"/>
              </w:rPr>
            </w:pPr>
            <w:r>
              <w:rPr>
                <w:rFonts w:ascii="Arial" w:cs="Arial" w:eastAsia="Arial" w:hAnsi="Arial"/>
                <w:sz w:val="14"/>
                <w:szCs w:val="14"/>
                <w:color w:val="auto"/>
              </w:rPr>
              <w:t>Current assets:</w:t>
            </w: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520" w:type="dxa"/>
            <w:vAlign w:val="bottom"/>
          </w:tcPr>
          <w:p>
            <w:pPr>
              <w:ind w:left="140"/>
              <w:spacing w:after="0"/>
              <w:rPr>
                <w:sz w:val="20"/>
                <w:szCs w:val="20"/>
                <w:color w:val="auto"/>
              </w:rPr>
            </w:pPr>
            <w:r>
              <w:rPr>
                <w:rFonts w:ascii="Arial" w:cs="Arial" w:eastAsia="Arial" w:hAnsi="Arial"/>
                <w:sz w:val="14"/>
                <w:szCs w:val="14"/>
                <w:color w:val="auto"/>
              </w:rPr>
              <w:t>Cash and cash equivalents</w:t>
            </w:r>
          </w:p>
        </w:tc>
        <w:tc>
          <w:tcPr>
            <w:tcW w:w="24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vMerge w:val="restart"/>
          </w:tcPr>
          <w:p>
            <w:pPr>
              <w:jc w:val="right"/>
              <w:ind w:right="2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3"/>
                <w:szCs w:val="23"/>
                <w:color w:val="auto"/>
              </w:rPr>
            </w:pPr>
          </w:p>
        </w:tc>
        <w:tc>
          <w:tcPr>
            <w:tcW w:w="1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vMerge w:val="restart"/>
          </w:tcPr>
          <w:p>
            <w:pPr>
              <w:jc w:val="right"/>
              <w:ind w:right="28"/>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23"/>
                <w:szCs w:val="23"/>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475</w:t>
            </w:r>
          </w:p>
        </w:tc>
        <w:tc>
          <w:tcPr>
            <w:tcW w:w="100" w:type="dxa"/>
            <w:vAlign w:val="bottom"/>
          </w:tcPr>
          <w:p>
            <w:pPr>
              <w:spacing w:after="0"/>
              <w:rPr>
                <w:sz w:val="23"/>
                <w:szCs w:val="23"/>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490</w:t>
            </w:r>
          </w:p>
        </w:tc>
        <w:tc>
          <w:tcPr>
            <w:tcW w:w="0" w:type="dxa"/>
            <w:vAlign w:val="bottom"/>
          </w:tcPr>
          <w:p>
            <w:pPr>
              <w:spacing w:after="0"/>
              <w:rPr>
                <w:sz w:val="1"/>
                <w:szCs w:val="1"/>
                <w:color w:val="auto"/>
              </w:rPr>
            </w:pPr>
          </w:p>
        </w:tc>
      </w:tr>
      <w:tr>
        <w:trPr>
          <w:trHeight w:val="54"/>
        </w:trPr>
        <w:tc>
          <w:tcPr>
            <w:tcW w:w="3520" w:type="dxa"/>
            <w:vAlign w:val="bottom"/>
          </w:tcPr>
          <w:p>
            <w:pPr>
              <w:spacing w:after="0"/>
              <w:rPr>
                <w:sz w:val="4"/>
                <w:szCs w:val="4"/>
                <w:color w:val="auto"/>
              </w:rPr>
            </w:pPr>
          </w:p>
        </w:tc>
        <w:tc>
          <w:tcPr>
            <w:tcW w:w="240" w:type="dxa"/>
            <w:vAlign w:val="bottom"/>
            <w:vMerge w:val="continue"/>
          </w:tcPr>
          <w:p>
            <w:pPr>
              <w:spacing w:after="0"/>
              <w:rPr>
                <w:sz w:val="4"/>
                <w:szCs w:val="4"/>
                <w:color w:val="auto"/>
              </w:rPr>
            </w:pPr>
          </w:p>
        </w:tc>
        <w:tc>
          <w:tcPr>
            <w:tcW w:w="9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vMerge w:val="continue"/>
          </w:tcPr>
          <w:p>
            <w:pPr>
              <w:spacing w:after="0"/>
              <w:rPr>
                <w:sz w:val="4"/>
                <w:szCs w:val="4"/>
                <w:color w:val="auto"/>
              </w:rPr>
            </w:pPr>
          </w:p>
        </w:tc>
        <w:tc>
          <w:tcPr>
            <w:tcW w:w="104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vMerge w:val="continue"/>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40" w:type="dxa"/>
            <w:vAlign w:val="bottom"/>
            <w:vMerge w:val="continue"/>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vMerge w:val="continue"/>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60" w:type="dxa"/>
            <w:vAlign w:val="bottom"/>
            <w:vMerge w:val="continue"/>
          </w:tcPr>
          <w:p>
            <w:pPr>
              <w:spacing w:after="0"/>
              <w:rPr>
                <w:sz w:val="4"/>
                <w:szCs w:val="4"/>
                <w:color w:val="auto"/>
              </w:rPr>
            </w:pPr>
          </w:p>
        </w:tc>
        <w:tc>
          <w:tcPr>
            <w:tcW w:w="8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520" w:type="dxa"/>
            <w:vAlign w:val="bottom"/>
          </w:tcPr>
          <w:p>
            <w:pPr>
              <w:ind w:left="140"/>
              <w:spacing w:after="0"/>
              <w:rPr>
                <w:sz w:val="20"/>
                <w:szCs w:val="20"/>
                <w:color w:val="auto"/>
              </w:rPr>
            </w:pPr>
            <w:r>
              <w:rPr>
                <w:rFonts w:ascii="Arial" w:cs="Arial" w:eastAsia="Arial" w:hAnsi="Arial"/>
                <w:sz w:val="14"/>
                <w:szCs w:val="14"/>
                <w:color w:val="auto"/>
              </w:rPr>
              <w:t>Receivables, net</w:t>
            </w:r>
          </w:p>
        </w:tc>
        <w:tc>
          <w:tcPr>
            <w:tcW w:w="240" w:type="dxa"/>
            <w:vAlign w:val="bottom"/>
          </w:tcPr>
          <w:p>
            <w:pPr>
              <w:spacing w:after="0"/>
              <w:rPr>
                <w:sz w:val="18"/>
                <w:szCs w:val="18"/>
                <w:color w:val="auto"/>
              </w:rPr>
            </w:pPr>
          </w:p>
        </w:tc>
        <w:tc>
          <w:tcPr>
            <w:tcW w:w="11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16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231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577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8"/>
                <w:szCs w:val="18"/>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808</w:t>
            </w:r>
          </w:p>
        </w:tc>
        <w:tc>
          <w:tcPr>
            <w:tcW w:w="0" w:type="dxa"/>
            <w:vAlign w:val="bottom"/>
          </w:tcPr>
          <w:p>
            <w:pPr>
              <w:spacing w:after="0"/>
              <w:rPr>
                <w:sz w:val="1"/>
                <w:szCs w:val="1"/>
                <w:color w:val="auto"/>
              </w:rPr>
            </w:pPr>
          </w:p>
        </w:tc>
      </w:tr>
      <w:tr>
        <w:trPr>
          <w:trHeight w:val="54"/>
        </w:trPr>
        <w:tc>
          <w:tcPr>
            <w:tcW w:w="35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0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16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520" w:type="dxa"/>
            <w:vAlign w:val="bottom"/>
          </w:tcPr>
          <w:p>
            <w:pPr>
              <w:ind w:left="140"/>
              <w:spacing w:after="0"/>
              <w:rPr>
                <w:sz w:val="20"/>
                <w:szCs w:val="20"/>
                <w:color w:val="auto"/>
              </w:rPr>
            </w:pPr>
            <w:r>
              <w:rPr>
                <w:rFonts w:ascii="Arial" w:cs="Arial" w:eastAsia="Arial" w:hAnsi="Arial"/>
                <w:sz w:val="14"/>
                <w:szCs w:val="14"/>
                <w:color w:val="auto"/>
              </w:rPr>
              <w:t>Other current assets</w:t>
            </w:r>
          </w:p>
        </w:tc>
        <w:tc>
          <w:tcPr>
            <w:tcW w:w="240" w:type="dxa"/>
            <w:vAlign w:val="bottom"/>
          </w:tcPr>
          <w:p>
            <w:pPr>
              <w:spacing w:after="0"/>
              <w:rPr>
                <w:sz w:val="18"/>
                <w:szCs w:val="18"/>
                <w:color w:val="auto"/>
              </w:rPr>
            </w:pPr>
          </w:p>
        </w:tc>
        <w:tc>
          <w:tcPr>
            <w:tcW w:w="980" w:type="dxa"/>
            <w:vAlign w:val="bottom"/>
            <w:vMerge w:val="restart"/>
          </w:tcPr>
          <w:p>
            <w:pPr>
              <w:jc w:val="right"/>
              <w:ind w:right="2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vMerge w:val="restart"/>
          </w:tcPr>
          <w:p>
            <w:pPr>
              <w:jc w:val="right"/>
              <w:ind w:right="28"/>
              <w:spacing w:after="0"/>
              <w:rPr>
                <w:sz w:val="20"/>
                <w:szCs w:val="20"/>
                <w:color w:val="auto"/>
              </w:rPr>
            </w:pPr>
            <w:r>
              <w:rPr>
                <w:rFonts w:ascii="Arial" w:cs="Arial" w:eastAsia="Arial" w:hAnsi="Arial"/>
                <w:sz w:val="14"/>
                <w:szCs w:val="14"/>
                <w:color w:val="auto"/>
              </w:rPr>
              <w:t>101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90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326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519</w:t>
            </w:r>
          </w:p>
        </w:tc>
        <w:tc>
          <w:tcPr>
            <w:tcW w:w="0" w:type="dxa"/>
            <w:vAlign w:val="bottom"/>
          </w:tcPr>
          <w:p>
            <w:pPr>
              <w:spacing w:after="0"/>
              <w:rPr>
                <w:sz w:val="1"/>
                <w:szCs w:val="1"/>
                <w:color w:val="auto"/>
              </w:rPr>
            </w:pPr>
          </w:p>
        </w:tc>
      </w:tr>
      <w:tr>
        <w:trPr>
          <w:trHeight w:val="60"/>
        </w:trPr>
        <w:tc>
          <w:tcPr>
            <w:tcW w:w="3520" w:type="dxa"/>
            <w:vAlign w:val="bottom"/>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1"/>
        </w:trPr>
        <w:tc>
          <w:tcPr>
            <w:tcW w:w="3520" w:type="dxa"/>
            <w:vAlign w:val="bottom"/>
          </w:tcPr>
          <w:p>
            <w:pPr>
              <w:spacing w:after="0"/>
              <w:rPr>
                <w:sz w:val="20"/>
                <w:szCs w:val="20"/>
                <w:color w:val="auto"/>
              </w:rPr>
            </w:pPr>
            <w:r>
              <w:rPr>
                <w:rFonts w:ascii="Arial" w:cs="Arial" w:eastAsia="Arial" w:hAnsi="Arial"/>
                <w:sz w:val="14"/>
                <w:szCs w:val="14"/>
                <w:color w:val="auto"/>
              </w:rPr>
              <w:t>Total current assets</w:t>
            </w:r>
          </w:p>
        </w:tc>
        <w:tc>
          <w:tcPr>
            <w:tcW w:w="240" w:type="dxa"/>
            <w:vAlign w:val="bottom"/>
          </w:tcPr>
          <w:p>
            <w:pPr>
              <w:spacing w:after="0"/>
              <w:rPr>
                <w:sz w:val="16"/>
                <w:szCs w:val="16"/>
                <w:color w:val="auto"/>
              </w:rPr>
            </w:pPr>
          </w:p>
        </w:tc>
        <w:tc>
          <w:tcPr>
            <w:tcW w:w="980" w:type="dxa"/>
            <w:vAlign w:val="bottom"/>
            <w:vMerge w:val="restart"/>
          </w:tcPr>
          <w:p>
            <w:pPr>
              <w:jc w:val="right"/>
              <w:ind w:right="28"/>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vMerge w:val="restart"/>
          </w:tcPr>
          <w:p>
            <w:pPr>
              <w:jc w:val="right"/>
              <w:ind w:right="28"/>
              <w:spacing w:after="0"/>
              <w:rPr>
                <w:sz w:val="20"/>
                <w:szCs w:val="20"/>
                <w:color w:val="auto"/>
              </w:rPr>
            </w:pPr>
            <w:r>
              <w:rPr>
                <w:rFonts w:ascii="Arial" w:cs="Arial" w:eastAsia="Arial" w:hAnsi="Arial"/>
                <w:sz w:val="14"/>
                <w:szCs w:val="14"/>
                <w:color w:val="auto"/>
              </w:rPr>
              <w:t>113</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321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1,378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1,817</w:t>
            </w:r>
          </w:p>
        </w:tc>
        <w:tc>
          <w:tcPr>
            <w:tcW w:w="0" w:type="dxa"/>
            <w:vAlign w:val="bottom"/>
          </w:tcPr>
          <w:p>
            <w:pPr>
              <w:spacing w:after="0"/>
              <w:rPr>
                <w:sz w:val="1"/>
                <w:szCs w:val="1"/>
                <w:color w:val="auto"/>
              </w:rPr>
            </w:pPr>
          </w:p>
        </w:tc>
      </w:tr>
      <w:tr>
        <w:trPr>
          <w:trHeight w:val="54"/>
        </w:trPr>
        <w:tc>
          <w:tcPr>
            <w:tcW w:w="3520" w:type="dxa"/>
            <w:vAlign w:val="bottom"/>
          </w:tcPr>
          <w:p>
            <w:pPr>
              <w:spacing w:after="0"/>
              <w:rPr>
                <w:sz w:val="4"/>
                <w:szCs w:val="4"/>
                <w:color w:val="auto"/>
              </w:rPr>
            </w:pPr>
          </w:p>
        </w:tc>
        <w:tc>
          <w:tcPr>
            <w:tcW w:w="240" w:type="dxa"/>
            <w:vAlign w:val="bottom"/>
          </w:tcPr>
          <w:p>
            <w:pPr>
              <w:spacing w:after="0"/>
              <w:rPr>
                <w:sz w:val="4"/>
                <w:szCs w:val="4"/>
                <w:color w:val="auto"/>
              </w:rPr>
            </w:pPr>
          </w:p>
        </w:tc>
        <w:tc>
          <w:tcPr>
            <w:tcW w:w="9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4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86"/>
        </w:trPr>
        <w:tc>
          <w:tcPr>
            <w:tcW w:w="3520" w:type="dxa"/>
            <w:vAlign w:val="bottom"/>
          </w:tcPr>
          <w:p>
            <w:pPr>
              <w:spacing w:after="0"/>
              <w:rPr>
                <w:sz w:val="20"/>
                <w:szCs w:val="20"/>
                <w:color w:val="auto"/>
              </w:rPr>
            </w:pPr>
            <w:r>
              <w:rPr>
                <w:rFonts w:ascii="Arial" w:cs="Arial" w:eastAsia="Arial" w:hAnsi="Arial"/>
                <w:sz w:val="14"/>
                <w:szCs w:val="14"/>
                <w:color w:val="auto"/>
              </w:rPr>
              <w:t>Property and equipment, net</w:t>
            </w:r>
          </w:p>
        </w:tc>
        <w:tc>
          <w:tcPr>
            <w:tcW w:w="240" w:type="dxa"/>
            <w:vAlign w:val="bottom"/>
          </w:tcPr>
          <w:p>
            <w:pPr>
              <w:spacing w:after="0"/>
              <w:rPr>
                <w:sz w:val="24"/>
                <w:szCs w:val="24"/>
                <w:color w:val="auto"/>
              </w:rPr>
            </w:pPr>
          </w:p>
        </w:tc>
        <w:tc>
          <w:tcPr>
            <w:tcW w:w="11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1040" w:type="dxa"/>
            <w:vAlign w:val="bottom"/>
            <w:vMerge w:val="restart"/>
          </w:tcPr>
          <w:p>
            <w:pPr>
              <w:jc w:val="right"/>
              <w:ind w:right="28"/>
              <w:spacing w:after="0"/>
              <w:rPr>
                <w:sz w:val="20"/>
                <w:szCs w:val="20"/>
                <w:color w:val="auto"/>
              </w:rPr>
            </w:pPr>
            <w:r>
              <w:rPr>
                <w:rFonts w:ascii="Arial" w:cs="Arial" w:eastAsia="Arial" w:hAnsi="Arial"/>
                <w:sz w:val="14"/>
                <w:szCs w:val="14"/>
                <w:color w:val="auto"/>
              </w:rPr>
              <w:t>148</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341</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196</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4"/>
                <w:szCs w:val="24"/>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685</w:t>
            </w:r>
          </w:p>
        </w:tc>
        <w:tc>
          <w:tcPr>
            <w:tcW w:w="0" w:type="dxa"/>
            <w:vAlign w:val="bottom"/>
          </w:tcPr>
          <w:p>
            <w:pPr>
              <w:spacing w:after="0"/>
              <w:rPr>
                <w:sz w:val="1"/>
                <w:szCs w:val="1"/>
                <w:color w:val="auto"/>
              </w:rPr>
            </w:pPr>
          </w:p>
        </w:tc>
      </w:tr>
      <w:tr>
        <w:trPr>
          <w:trHeight w:val="54"/>
        </w:trPr>
        <w:tc>
          <w:tcPr>
            <w:tcW w:w="35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0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04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520" w:type="dxa"/>
            <w:vAlign w:val="bottom"/>
          </w:tcPr>
          <w:p>
            <w:pPr>
              <w:spacing w:after="0"/>
              <w:rPr>
                <w:sz w:val="20"/>
                <w:szCs w:val="20"/>
                <w:color w:val="auto"/>
              </w:rPr>
            </w:pPr>
            <w:r>
              <w:rPr>
                <w:rFonts w:ascii="Arial" w:cs="Arial" w:eastAsia="Arial" w:hAnsi="Arial"/>
                <w:sz w:val="14"/>
                <w:szCs w:val="14"/>
                <w:color w:val="auto"/>
              </w:rPr>
              <w:t>Deferred income taxes</w:t>
            </w:r>
          </w:p>
        </w:tc>
        <w:tc>
          <w:tcPr>
            <w:tcW w:w="240" w:type="dxa"/>
            <w:vAlign w:val="bottom"/>
          </w:tcPr>
          <w:p>
            <w:pPr>
              <w:spacing w:after="0"/>
              <w:rPr>
                <w:sz w:val="18"/>
                <w:szCs w:val="18"/>
                <w:color w:val="auto"/>
              </w:rPr>
            </w:pPr>
          </w:p>
        </w:tc>
        <w:tc>
          <w:tcPr>
            <w:tcW w:w="980" w:type="dxa"/>
            <w:vAlign w:val="bottom"/>
            <w:vMerge w:val="restart"/>
          </w:tcPr>
          <w:p>
            <w:pPr>
              <w:jc w:val="right"/>
              <w:ind w:right="28"/>
              <w:spacing w:after="0"/>
              <w:rPr>
                <w:sz w:val="20"/>
                <w:szCs w:val="20"/>
                <w:color w:val="auto"/>
              </w:rPr>
            </w:pPr>
            <w:r>
              <w:rPr>
                <w:rFonts w:ascii="Arial" w:cs="Arial" w:eastAsia="Arial" w:hAnsi="Arial"/>
                <w:sz w:val="14"/>
                <w:szCs w:val="14"/>
                <w:color w:val="auto"/>
              </w:rPr>
              <w:t>20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vMerge w:val="restart"/>
          </w:tcPr>
          <w:p>
            <w:pPr>
              <w:jc w:val="right"/>
              <w:ind w:right="28"/>
              <w:spacing w:after="0"/>
              <w:rPr>
                <w:sz w:val="20"/>
                <w:szCs w:val="20"/>
                <w:color w:val="auto"/>
              </w:rPr>
            </w:pPr>
            <w:r>
              <w:rPr>
                <w:rFonts w:ascii="Arial" w:cs="Arial" w:eastAsia="Arial" w:hAnsi="Arial"/>
                <w:sz w:val="14"/>
                <w:szCs w:val="14"/>
                <w:color w:val="auto"/>
              </w:rPr>
              <w:t>1,219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268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1,493</w:t>
            </w:r>
          </w:p>
        </w:tc>
        <w:tc>
          <w:tcPr>
            <w:tcW w:w="0" w:type="dxa"/>
            <w:vAlign w:val="bottom"/>
          </w:tcPr>
          <w:p>
            <w:pPr>
              <w:spacing w:after="0"/>
              <w:rPr>
                <w:sz w:val="1"/>
                <w:szCs w:val="1"/>
                <w:color w:val="auto"/>
              </w:rPr>
            </w:pPr>
          </w:p>
        </w:tc>
      </w:tr>
      <w:tr>
        <w:trPr>
          <w:trHeight w:val="54"/>
        </w:trPr>
        <w:tc>
          <w:tcPr>
            <w:tcW w:w="3520" w:type="dxa"/>
            <w:vAlign w:val="bottom"/>
          </w:tcPr>
          <w:p>
            <w:pPr>
              <w:spacing w:after="0"/>
              <w:rPr>
                <w:sz w:val="4"/>
                <w:szCs w:val="4"/>
                <w:color w:val="auto"/>
              </w:rPr>
            </w:pPr>
          </w:p>
        </w:tc>
        <w:tc>
          <w:tcPr>
            <w:tcW w:w="240" w:type="dxa"/>
            <w:vAlign w:val="bottom"/>
          </w:tcPr>
          <w:p>
            <w:pPr>
              <w:spacing w:after="0"/>
              <w:rPr>
                <w:sz w:val="4"/>
                <w:szCs w:val="4"/>
                <w:color w:val="auto"/>
              </w:rPr>
            </w:pPr>
          </w:p>
        </w:tc>
        <w:tc>
          <w:tcPr>
            <w:tcW w:w="9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4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520" w:type="dxa"/>
            <w:vAlign w:val="bottom"/>
          </w:tcPr>
          <w:p>
            <w:pPr>
              <w:spacing w:after="0"/>
              <w:rPr>
                <w:sz w:val="20"/>
                <w:szCs w:val="20"/>
                <w:color w:val="auto"/>
              </w:rPr>
            </w:pPr>
            <w:r>
              <w:rPr>
                <w:rFonts w:ascii="Arial" w:cs="Arial" w:eastAsia="Arial" w:hAnsi="Arial"/>
                <w:sz w:val="14"/>
                <w:szCs w:val="14"/>
                <w:color w:val="auto"/>
              </w:rPr>
              <w:t>Goodwill</w:t>
            </w:r>
          </w:p>
        </w:tc>
        <w:tc>
          <w:tcPr>
            <w:tcW w:w="240" w:type="dxa"/>
            <w:vAlign w:val="bottom"/>
          </w:tcPr>
          <w:p>
            <w:pPr>
              <w:spacing w:after="0"/>
              <w:rPr>
                <w:sz w:val="18"/>
                <w:szCs w:val="18"/>
                <w:color w:val="auto"/>
              </w:rPr>
            </w:pPr>
          </w:p>
        </w:tc>
        <w:tc>
          <w:tcPr>
            <w:tcW w:w="11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16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489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518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8"/>
                <w:szCs w:val="18"/>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1,007</w:t>
            </w:r>
          </w:p>
        </w:tc>
        <w:tc>
          <w:tcPr>
            <w:tcW w:w="0" w:type="dxa"/>
            <w:vAlign w:val="bottom"/>
          </w:tcPr>
          <w:p>
            <w:pPr>
              <w:spacing w:after="0"/>
              <w:rPr>
                <w:sz w:val="1"/>
                <w:szCs w:val="1"/>
                <w:color w:val="auto"/>
              </w:rPr>
            </w:pPr>
          </w:p>
        </w:tc>
      </w:tr>
      <w:tr>
        <w:trPr>
          <w:trHeight w:val="54"/>
        </w:trPr>
        <w:tc>
          <w:tcPr>
            <w:tcW w:w="35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0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16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520" w:type="dxa"/>
            <w:vAlign w:val="bottom"/>
          </w:tcPr>
          <w:p>
            <w:pPr>
              <w:spacing w:after="0"/>
              <w:rPr>
                <w:sz w:val="20"/>
                <w:szCs w:val="20"/>
                <w:color w:val="auto"/>
              </w:rPr>
            </w:pPr>
            <w:r>
              <w:rPr>
                <w:rFonts w:ascii="Arial" w:cs="Arial" w:eastAsia="Arial" w:hAnsi="Arial"/>
                <w:sz w:val="14"/>
                <w:szCs w:val="14"/>
                <w:color w:val="auto"/>
              </w:rPr>
              <w:t>Other intangibles, net</w:t>
            </w:r>
          </w:p>
        </w:tc>
        <w:tc>
          <w:tcPr>
            <w:tcW w:w="240" w:type="dxa"/>
            <w:vAlign w:val="bottom"/>
          </w:tcPr>
          <w:p>
            <w:pPr>
              <w:spacing w:after="0"/>
              <w:rPr>
                <w:sz w:val="18"/>
                <w:szCs w:val="18"/>
                <w:color w:val="auto"/>
              </w:rPr>
            </w:pPr>
          </w:p>
        </w:tc>
        <w:tc>
          <w:tcPr>
            <w:tcW w:w="11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040" w:type="dxa"/>
            <w:vAlign w:val="bottom"/>
            <w:vMerge w:val="restart"/>
          </w:tcPr>
          <w:p>
            <w:pPr>
              <w:jc w:val="right"/>
              <w:ind w:right="28"/>
              <w:spacing w:after="0"/>
              <w:rPr>
                <w:sz w:val="20"/>
                <w:szCs w:val="20"/>
                <w:color w:val="auto"/>
              </w:rPr>
            </w:pPr>
            <w:r>
              <w:rPr>
                <w:rFonts w:ascii="Arial" w:cs="Arial" w:eastAsia="Arial" w:hAnsi="Arial"/>
                <w:sz w:val="14"/>
                <w:szCs w:val="14"/>
                <w:color w:val="auto"/>
              </w:rPr>
              <w:t>28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502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340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8"/>
                <w:szCs w:val="18"/>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870</w:t>
            </w:r>
          </w:p>
        </w:tc>
        <w:tc>
          <w:tcPr>
            <w:tcW w:w="0" w:type="dxa"/>
            <w:vAlign w:val="bottom"/>
          </w:tcPr>
          <w:p>
            <w:pPr>
              <w:spacing w:after="0"/>
              <w:rPr>
                <w:sz w:val="1"/>
                <w:szCs w:val="1"/>
                <w:color w:val="auto"/>
              </w:rPr>
            </w:pPr>
          </w:p>
        </w:tc>
      </w:tr>
      <w:tr>
        <w:trPr>
          <w:trHeight w:val="54"/>
        </w:trPr>
        <w:tc>
          <w:tcPr>
            <w:tcW w:w="35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0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04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520" w:type="dxa"/>
            <w:vAlign w:val="bottom"/>
          </w:tcPr>
          <w:p>
            <w:pPr>
              <w:spacing w:after="0"/>
              <w:rPr>
                <w:sz w:val="20"/>
                <w:szCs w:val="20"/>
                <w:color w:val="auto"/>
              </w:rPr>
            </w:pPr>
            <w:r>
              <w:rPr>
                <w:rFonts w:ascii="Arial" w:cs="Arial" w:eastAsia="Arial" w:hAnsi="Arial"/>
                <w:sz w:val="14"/>
                <w:szCs w:val="14"/>
                <w:color w:val="auto"/>
              </w:rPr>
              <w:t>Other non-current assets</w:t>
            </w:r>
          </w:p>
        </w:tc>
        <w:tc>
          <w:tcPr>
            <w:tcW w:w="240" w:type="dxa"/>
            <w:vAlign w:val="bottom"/>
          </w:tcPr>
          <w:p>
            <w:pPr>
              <w:spacing w:after="0"/>
              <w:rPr>
                <w:sz w:val="18"/>
                <w:szCs w:val="18"/>
                <w:color w:val="auto"/>
              </w:rPr>
            </w:pPr>
          </w:p>
        </w:tc>
        <w:tc>
          <w:tcPr>
            <w:tcW w:w="980" w:type="dxa"/>
            <w:vAlign w:val="bottom"/>
            <w:vMerge w:val="restart"/>
          </w:tcPr>
          <w:p>
            <w:pPr>
              <w:jc w:val="right"/>
              <w:ind w:right="28"/>
              <w:spacing w:after="0"/>
              <w:rPr>
                <w:sz w:val="20"/>
                <w:szCs w:val="20"/>
                <w:color w:val="auto"/>
              </w:rPr>
            </w:pPr>
            <w:r>
              <w:rPr>
                <w:rFonts w:ascii="Arial" w:cs="Arial" w:eastAsia="Arial" w:hAnsi="Arial"/>
                <w:sz w:val="14"/>
                <w:szCs w:val="14"/>
                <w:color w:val="auto"/>
              </w:rPr>
              <w:t>75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vMerge w:val="restart"/>
          </w:tcPr>
          <w:p>
            <w:pPr>
              <w:jc w:val="right"/>
              <w:ind w:right="28"/>
              <w:spacing w:after="0"/>
              <w:rPr>
                <w:sz w:val="20"/>
                <w:szCs w:val="20"/>
                <w:color w:val="auto"/>
              </w:rPr>
            </w:pPr>
            <w:r>
              <w:rPr>
                <w:rFonts w:ascii="Arial" w:cs="Arial" w:eastAsia="Arial" w:hAnsi="Arial"/>
                <w:sz w:val="14"/>
                <w:szCs w:val="14"/>
                <w:color w:val="auto"/>
              </w:rPr>
              <w:t>24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16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78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8"/>
                <w:szCs w:val="18"/>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193</w:t>
            </w:r>
          </w:p>
        </w:tc>
        <w:tc>
          <w:tcPr>
            <w:tcW w:w="0" w:type="dxa"/>
            <w:vAlign w:val="bottom"/>
          </w:tcPr>
          <w:p>
            <w:pPr>
              <w:spacing w:after="0"/>
              <w:rPr>
                <w:sz w:val="1"/>
                <w:szCs w:val="1"/>
                <w:color w:val="auto"/>
              </w:rPr>
            </w:pPr>
          </w:p>
        </w:tc>
      </w:tr>
      <w:tr>
        <w:trPr>
          <w:trHeight w:val="54"/>
        </w:trPr>
        <w:tc>
          <w:tcPr>
            <w:tcW w:w="3520" w:type="dxa"/>
            <w:vAlign w:val="bottom"/>
          </w:tcPr>
          <w:p>
            <w:pPr>
              <w:spacing w:after="0"/>
              <w:rPr>
                <w:sz w:val="4"/>
                <w:szCs w:val="4"/>
                <w:color w:val="auto"/>
              </w:rPr>
            </w:pPr>
          </w:p>
        </w:tc>
        <w:tc>
          <w:tcPr>
            <w:tcW w:w="240" w:type="dxa"/>
            <w:vAlign w:val="bottom"/>
          </w:tcPr>
          <w:p>
            <w:pPr>
              <w:spacing w:after="0"/>
              <w:rPr>
                <w:sz w:val="4"/>
                <w:szCs w:val="4"/>
                <w:color w:val="auto"/>
              </w:rPr>
            </w:pPr>
          </w:p>
        </w:tc>
        <w:tc>
          <w:tcPr>
            <w:tcW w:w="9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4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520" w:type="dxa"/>
            <w:vAlign w:val="bottom"/>
          </w:tcPr>
          <w:p>
            <w:pPr>
              <w:spacing w:after="0"/>
              <w:rPr>
                <w:sz w:val="20"/>
                <w:szCs w:val="20"/>
                <w:color w:val="auto"/>
              </w:rPr>
            </w:pPr>
            <w:r>
              <w:rPr>
                <w:rFonts w:ascii="Arial" w:cs="Arial" w:eastAsia="Arial" w:hAnsi="Arial"/>
                <w:sz w:val="14"/>
                <w:szCs w:val="14"/>
                <w:color w:val="auto"/>
              </w:rPr>
              <w:t>Intercompany receivables</w:t>
            </w:r>
          </w:p>
        </w:tc>
        <w:tc>
          <w:tcPr>
            <w:tcW w:w="240" w:type="dxa"/>
            <w:vAlign w:val="bottom"/>
          </w:tcPr>
          <w:p>
            <w:pPr>
              <w:spacing w:after="0"/>
              <w:rPr>
                <w:sz w:val="18"/>
                <w:szCs w:val="18"/>
                <w:color w:val="auto"/>
              </w:rPr>
            </w:pPr>
          </w:p>
        </w:tc>
        <w:tc>
          <w:tcPr>
            <w:tcW w:w="980" w:type="dxa"/>
            <w:vAlign w:val="bottom"/>
            <w:vMerge w:val="restart"/>
          </w:tcPr>
          <w:p>
            <w:pPr>
              <w:jc w:val="right"/>
              <w:ind w:right="28"/>
              <w:spacing w:after="0"/>
              <w:rPr>
                <w:sz w:val="20"/>
                <w:szCs w:val="20"/>
                <w:color w:val="auto"/>
              </w:rPr>
            </w:pPr>
            <w:r>
              <w:rPr>
                <w:rFonts w:ascii="Arial" w:cs="Arial" w:eastAsia="Arial" w:hAnsi="Arial"/>
                <w:sz w:val="14"/>
                <w:szCs w:val="14"/>
                <w:color w:val="auto"/>
              </w:rPr>
              <w:t>171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vMerge w:val="restart"/>
          </w:tcPr>
          <w:p>
            <w:pPr>
              <w:jc w:val="right"/>
              <w:ind w:right="28"/>
              <w:spacing w:after="0"/>
              <w:rPr>
                <w:sz w:val="20"/>
                <w:szCs w:val="20"/>
                <w:color w:val="auto"/>
              </w:rPr>
            </w:pPr>
            <w:r>
              <w:rPr>
                <w:rFonts w:ascii="Arial" w:cs="Arial" w:eastAsia="Arial" w:hAnsi="Arial"/>
                <w:sz w:val="14"/>
                <w:szCs w:val="14"/>
                <w:color w:val="auto"/>
              </w:rPr>
              <w:t>359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1,466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670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(2,666)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54"/>
        </w:trPr>
        <w:tc>
          <w:tcPr>
            <w:tcW w:w="3520" w:type="dxa"/>
            <w:vAlign w:val="bottom"/>
          </w:tcPr>
          <w:p>
            <w:pPr>
              <w:spacing w:after="0"/>
              <w:rPr>
                <w:sz w:val="4"/>
                <w:szCs w:val="4"/>
                <w:color w:val="auto"/>
              </w:rPr>
            </w:pPr>
          </w:p>
        </w:tc>
        <w:tc>
          <w:tcPr>
            <w:tcW w:w="240" w:type="dxa"/>
            <w:vAlign w:val="bottom"/>
          </w:tcPr>
          <w:p>
            <w:pPr>
              <w:spacing w:after="0"/>
              <w:rPr>
                <w:sz w:val="4"/>
                <w:szCs w:val="4"/>
                <w:color w:val="auto"/>
              </w:rPr>
            </w:pPr>
          </w:p>
        </w:tc>
        <w:tc>
          <w:tcPr>
            <w:tcW w:w="9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4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520" w:type="dxa"/>
            <w:vAlign w:val="bottom"/>
          </w:tcPr>
          <w:p>
            <w:pPr>
              <w:spacing w:after="0"/>
              <w:rPr>
                <w:sz w:val="20"/>
                <w:szCs w:val="20"/>
                <w:color w:val="auto"/>
              </w:rPr>
            </w:pPr>
            <w:r>
              <w:rPr>
                <w:rFonts w:ascii="Arial" w:cs="Arial" w:eastAsia="Arial" w:hAnsi="Arial"/>
                <w:sz w:val="14"/>
                <w:szCs w:val="14"/>
                <w:color w:val="auto"/>
              </w:rPr>
              <w:t>Investment in subsidiaries</w:t>
            </w:r>
          </w:p>
        </w:tc>
        <w:tc>
          <w:tcPr>
            <w:tcW w:w="240" w:type="dxa"/>
            <w:vAlign w:val="bottom"/>
          </w:tcPr>
          <w:p>
            <w:pPr>
              <w:spacing w:after="0"/>
              <w:rPr>
                <w:sz w:val="18"/>
                <w:szCs w:val="18"/>
                <w:color w:val="auto"/>
              </w:rPr>
            </w:pPr>
          </w:p>
        </w:tc>
        <w:tc>
          <w:tcPr>
            <w:tcW w:w="980" w:type="dxa"/>
            <w:vAlign w:val="bottom"/>
            <w:vMerge w:val="restart"/>
          </w:tcPr>
          <w:p>
            <w:pPr>
              <w:jc w:val="right"/>
              <w:ind w:right="28"/>
              <w:spacing w:after="0"/>
              <w:rPr>
                <w:sz w:val="20"/>
                <w:szCs w:val="20"/>
                <w:color w:val="auto"/>
              </w:rPr>
            </w:pPr>
            <w:r>
              <w:rPr>
                <w:rFonts w:ascii="Arial" w:cs="Arial" w:eastAsia="Arial" w:hAnsi="Arial"/>
                <w:sz w:val="14"/>
                <w:szCs w:val="14"/>
                <w:color w:val="auto"/>
              </w:rPr>
              <w:t>42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vMerge w:val="restart"/>
          </w:tcPr>
          <w:p>
            <w:pPr>
              <w:jc w:val="right"/>
              <w:ind w:right="28"/>
              <w:spacing w:after="0"/>
              <w:rPr>
                <w:sz w:val="20"/>
                <w:szCs w:val="20"/>
                <w:color w:val="auto"/>
              </w:rPr>
            </w:pPr>
            <w:r>
              <w:rPr>
                <w:rFonts w:ascii="Arial" w:cs="Arial" w:eastAsia="Arial" w:hAnsi="Arial"/>
                <w:sz w:val="14"/>
                <w:szCs w:val="14"/>
                <w:color w:val="auto"/>
              </w:rPr>
              <w:t>3,717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3,698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(7,457)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0"/>
        </w:trPr>
        <w:tc>
          <w:tcPr>
            <w:tcW w:w="3520" w:type="dxa"/>
            <w:vAlign w:val="bottom"/>
          </w:tcPr>
          <w:p>
            <w:pPr>
              <w:spacing w:after="0"/>
              <w:rPr>
                <w:sz w:val="5"/>
                <w:szCs w:val="5"/>
                <w:color w:val="auto"/>
              </w:rPr>
            </w:pPr>
          </w:p>
        </w:tc>
        <w:tc>
          <w:tcPr>
            <w:tcW w:w="240" w:type="dxa"/>
            <w:vAlign w:val="bottom"/>
          </w:tcPr>
          <w:p>
            <w:pPr>
              <w:spacing w:after="0"/>
              <w:rPr>
                <w:sz w:val="5"/>
                <w:szCs w:val="5"/>
                <w:color w:val="auto"/>
              </w:rPr>
            </w:pPr>
          </w:p>
        </w:tc>
        <w:tc>
          <w:tcPr>
            <w:tcW w:w="9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8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3520" w:type="dxa"/>
            <w:vAlign w:val="bottom"/>
          </w:tcPr>
          <w:p>
            <w:pPr>
              <w:spacing w:after="0"/>
              <w:rPr>
                <w:sz w:val="20"/>
                <w:szCs w:val="20"/>
                <w:color w:val="auto"/>
              </w:rPr>
            </w:pPr>
            <w:r>
              <w:rPr>
                <w:rFonts w:ascii="Arial" w:cs="Arial" w:eastAsia="Arial" w:hAnsi="Arial"/>
                <w:sz w:val="14"/>
                <w:szCs w:val="14"/>
                <w:color w:val="auto"/>
              </w:rPr>
              <w:t>Total assets exclusive of assets under vehicle</w:t>
            </w:r>
          </w:p>
        </w:tc>
        <w:tc>
          <w:tcPr>
            <w:tcW w:w="24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3520" w:type="dxa"/>
            <w:vAlign w:val="bottom"/>
          </w:tcPr>
          <w:p>
            <w:pPr>
              <w:ind w:left="160"/>
              <w:spacing w:after="0"/>
              <w:rPr>
                <w:sz w:val="20"/>
                <w:szCs w:val="20"/>
                <w:color w:val="auto"/>
              </w:rPr>
            </w:pPr>
            <w:r>
              <w:rPr>
                <w:rFonts w:ascii="Arial" w:cs="Arial" w:eastAsia="Arial" w:hAnsi="Arial"/>
                <w:sz w:val="14"/>
                <w:szCs w:val="14"/>
                <w:color w:val="auto"/>
              </w:rPr>
              <w:t>programs</w:t>
            </w:r>
          </w:p>
        </w:tc>
        <w:tc>
          <w:tcPr>
            <w:tcW w:w="2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313</w:t>
            </w: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5,608</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7,101</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3,180</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(10,137)</w:t>
            </w: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6,065</w:t>
            </w:r>
          </w:p>
        </w:tc>
        <w:tc>
          <w:tcPr>
            <w:tcW w:w="0" w:type="dxa"/>
            <w:vAlign w:val="bottom"/>
          </w:tcPr>
          <w:p>
            <w:pPr>
              <w:spacing w:after="0"/>
              <w:rPr>
                <w:sz w:val="1"/>
                <w:szCs w:val="1"/>
                <w:color w:val="auto"/>
              </w:rPr>
            </w:pPr>
          </w:p>
        </w:tc>
      </w:tr>
      <w:tr>
        <w:trPr>
          <w:trHeight w:val="474"/>
        </w:trPr>
        <w:tc>
          <w:tcPr>
            <w:tcW w:w="3520" w:type="dxa"/>
            <w:vAlign w:val="bottom"/>
          </w:tcPr>
          <w:p>
            <w:pPr>
              <w:spacing w:after="0"/>
              <w:rPr>
                <w:sz w:val="20"/>
                <w:szCs w:val="20"/>
                <w:color w:val="auto"/>
              </w:rPr>
            </w:pPr>
            <w:r>
              <w:rPr>
                <w:rFonts w:ascii="Arial" w:cs="Arial" w:eastAsia="Arial" w:hAnsi="Arial"/>
                <w:sz w:val="14"/>
                <w:szCs w:val="14"/>
                <w:color w:val="auto"/>
              </w:rPr>
              <w:t>Assets under vehicle programs:</w:t>
            </w: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520" w:type="dxa"/>
            <w:vAlign w:val="bottom"/>
          </w:tcPr>
          <w:p>
            <w:pPr>
              <w:ind w:left="140"/>
              <w:spacing w:after="0"/>
              <w:rPr>
                <w:sz w:val="20"/>
                <w:szCs w:val="20"/>
                <w:color w:val="auto"/>
              </w:rPr>
            </w:pPr>
            <w:r>
              <w:rPr>
                <w:rFonts w:ascii="Arial" w:cs="Arial" w:eastAsia="Arial" w:hAnsi="Arial"/>
                <w:sz w:val="14"/>
                <w:szCs w:val="14"/>
                <w:color w:val="auto"/>
              </w:rPr>
              <w:t>Program cash</w:t>
            </w:r>
          </w:p>
        </w:tc>
        <w:tc>
          <w:tcPr>
            <w:tcW w:w="240" w:type="dxa"/>
            <w:vAlign w:val="bottom"/>
          </w:tcPr>
          <w:p>
            <w:pPr>
              <w:spacing w:after="0"/>
              <w:rPr>
                <w:sz w:val="23"/>
                <w:szCs w:val="23"/>
                <w:color w:val="auto"/>
              </w:rPr>
            </w:pPr>
          </w:p>
        </w:tc>
        <w:tc>
          <w:tcPr>
            <w:tcW w:w="11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6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225</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225</w:t>
            </w:r>
          </w:p>
        </w:tc>
        <w:tc>
          <w:tcPr>
            <w:tcW w:w="0" w:type="dxa"/>
            <w:vAlign w:val="bottom"/>
          </w:tcPr>
          <w:p>
            <w:pPr>
              <w:spacing w:after="0"/>
              <w:rPr>
                <w:sz w:val="1"/>
                <w:szCs w:val="1"/>
                <w:color w:val="auto"/>
              </w:rPr>
            </w:pPr>
          </w:p>
        </w:tc>
      </w:tr>
      <w:tr>
        <w:trPr>
          <w:trHeight w:val="54"/>
        </w:trPr>
        <w:tc>
          <w:tcPr>
            <w:tcW w:w="35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0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16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520" w:type="dxa"/>
            <w:vAlign w:val="bottom"/>
          </w:tcPr>
          <w:p>
            <w:pPr>
              <w:ind w:left="140"/>
              <w:spacing w:after="0"/>
              <w:rPr>
                <w:sz w:val="20"/>
                <w:szCs w:val="20"/>
                <w:color w:val="auto"/>
              </w:rPr>
            </w:pPr>
            <w:r>
              <w:rPr>
                <w:rFonts w:ascii="Arial" w:cs="Arial" w:eastAsia="Arial" w:hAnsi="Arial"/>
                <w:sz w:val="14"/>
                <w:szCs w:val="14"/>
                <w:color w:val="auto"/>
              </w:rPr>
              <w:t>Vehicles, net</w:t>
            </w:r>
          </w:p>
        </w:tc>
        <w:tc>
          <w:tcPr>
            <w:tcW w:w="240" w:type="dxa"/>
            <w:vAlign w:val="bottom"/>
          </w:tcPr>
          <w:p>
            <w:pPr>
              <w:spacing w:after="0"/>
              <w:rPr>
                <w:sz w:val="18"/>
                <w:szCs w:val="18"/>
                <w:color w:val="auto"/>
              </w:rPr>
            </w:pPr>
          </w:p>
        </w:tc>
        <w:tc>
          <w:tcPr>
            <w:tcW w:w="11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040" w:type="dxa"/>
            <w:vAlign w:val="bottom"/>
            <w:vMerge w:val="restart"/>
          </w:tcPr>
          <w:p>
            <w:pPr>
              <w:jc w:val="right"/>
              <w:ind w:right="28"/>
              <w:spacing w:after="0"/>
              <w:rPr>
                <w:sz w:val="20"/>
                <w:szCs w:val="20"/>
                <w:color w:val="auto"/>
              </w:rPr>
            </w:pPr>
            <w:r>
              <w:rPr>
                <w:rFonts w:ascii="Arial" w:cs="Arial" w:eastAsia="Arial" w:hAnsi="Arial"/>
                <w:sz w:val="14"/>
                <w:szCs w:val="14"/>
                <w:color w:val="auto"/>
              </w:rPr>
              <w:t>24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70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10,370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8"/>
                <w:szCs w:val="18"/>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10,464</w:t>
            </w:r>
          </w:p>
        </w:tc>
        <w:tc>
          <w:tcPr>
            <w:tcW w:w="0" w:type="dxa"/>
            <w:vAlign w:val="bottom"/>
          </w:tcPr>
          <w:p>
            <w:pPr>
              <w:spacing w:after="0"/>
              <w:rPr>
                <w:sz w:val="1"/>
                <w:szCs w:val="1"/>
                <w:color w:val="auto"/>
              </w:rPr>
            </w:pPr>
          </w:p>
        </w:tc>
      </w:tr>
      <w:tr>
        <w:trPr>
          <w:trHeight w:val="54"/>
        </w:trPr>
        <w:tc>
          <w:tcPr>
            <w:tcW w:w="35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0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04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520" w:type="dxa"/>
            <w:vAlign w:val="bottom"/>
          </w:tcPr>
          <w:p>
            <w:pPr>
              <w:ind w:left="140"/>
              <w:spacing w:after="0"/>
              <w:rPr>
                <w:sz w:val="20"/>
                <w:szCs w:val="20"/>
                <w:color w:val="auto"/>
              </w:rPr>
            </w:pPr>
            <w:r>
              <w:rPr>
                <w:rFonts w:ascii="Arial" w:cs="Arial" w:eastAsia="Arial" w:hAnsi="Arial"/>
                <w:sz w:val="14"/>
                <w:szCs w:val="14"/>
                <w:color w:val="auto"/>
              </w:rPr>
              <w:t>Receivables from vehicle manufacturers and other</w:t>
            </w:r>
          </w:p>
        </w:tc>
        <w:tc>
          <w:tcPr>
            <w:tcW w:w="240" w:type="dxa"/>
            <w:vAlign w:val="bottom"/>
          </w:tcPr>
          <w:p>
            <w:pPr>
              <w:spacing w:after="0"/>
              <w:rPr>
                <w:sz w:val="18"/>
                <w:szCs w:val="18"/>
                <w:color w:val="auto"/>
              </w:rPr>
            </w:pPr>
          </w:p>
        </w:tc>
        <w:tc>
          <w:tcPr>
            <w:tcW w:w="11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040" w:type="dxa"/>
            <w:vAlign w:val="bottom"/>
            <w:vMerge w:val="restart"/>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526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8"/>
                <w:szCs w:val="18"/>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527</w:t>
            </w:r>
          </w:p>
        </w:tc>
        <w:tc>
          <w:tcPr>
            <w:tcW w:w="0" w:type="dxa"/>
            <w:vAlign w:val="bottom"/>
          </w:tcPr>
          <w:p>
            <w:pPr>
              <w:spacing w:after="0"/>
              <w:rPr>
                <w:sz w:val="1"/>
                <w:szCs w:val="1"/>
                <w:color w:val="auto"/>
              </w:rPr>
            </w:pPr>
          </w:p>
        </w:tc>
      </w:tr>
      <w:tr>
        <w:trPr>
          <w:trHeight w:val="54"/>
        </w:trPr>
        <w:tc>
          <w:tcPr>
            <w:tcW w:w="35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0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04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6"/>
        </w:trPr>
        <w:tc>
          <w:tcPr>
            <w:tcW w:w="3520" w:type="dxa"/>
            <w:vAlign w:val="bottom"/>
          </w:tcPr>
          <w:p>
            <w:pPr>
              <w:ind w:left="140"/>
              <w:spacing w:after="0"/>
              <w:rPr>
                <w:sz w:val="20"/>
                <w:szCs w:val="20"/>
                <w:color w:val="auto"/>
              </w:rPr>
            </w:pPr>
            <w:r>
              <w:rPr>
                <w:rFonts w:ascii="Arial" w:cs="Arial" w:eastAsia="Arial" w:hAnsi="Arial"/>
                <w:sz w:val="14"/>
                <w:szCs w:val="14"/>
                <w:color w:val="auto"/>
              </w:rPr>
              <w:t>Investment in Avis Budget Rental Car Funding</w:t>
            </w: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3520" w:type="dxa"/>
            <w:vAlign w:val="bottom"/>
          </w:tcPr>
          <w:p>
            <w:pPr>
              <w:ind w:left="300"/>
              <w:spacing w:after="0"/>
              <w:rPr>
                <w:sz w:val="20"/>
                <w:szCs w:val="20"/>
                <w:color w:val="auto"/>
              </w:rPr>
            </w:pPr>
            <w:r>
              <w:rPr>
                <w:rFonts w:ascii="Arial" w:cs="Arial" w:eastAsia="Arial" w:hAnsi="Arial"/>
                <w:sz w:val="14"/>
                <w:szCs w:val="14"/>
                <w:color w:val="auto"/>
              </w:rPr>
              <w:t>(AESOP) LLC-related party</w:t>
            </w:r>
          </w:p>
        </w:tc>
        <w:tc>
          <w:tcPr>
            <w:tcW w:w="2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362</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362</w:t>
            </w:r>
          </w:p>
        </w:tc>
        <w:tc>
          <w:tcPr>
            <w:tcW w:w="0" w:type="dxa"/>
            <w:vAlign w:val="bottom"/>
          </w:tcPr>
          <w:p>
            <w:pPr>
              <w:spacing w:after="0"/>
              <w:rPr>
                <w:sz w:val="1"/>
                <w:szCs w:val="1"/>
                <w:color w:val="auto"/>
              </w:rPr>
            </w:pPr>
          </w:p>
        </w:tc>
      </w:tr>
      <w:tr>
        <w:trPr>
          <w:trHeight w:val="250"/>
        </w:trPr>
        <w:tc>
          <w:tcPr>
            <w:tcW w:w="35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25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70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11,483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11,578</w:t>
            </w:r>
          </w:p>
        </w:tc>
        <w:tc>
          <w:tcPr>
            <w:tcW w:w="0" w:type="dxa"/>
            <w:vAlign w:val="bottom"/>
          </w:tcPr>
          <w:p>
            <w:pPr>
              <w:spacing w:after="0"/>
              <w:rPr>
                <w:sz w:val="1"/>
                <w:szCs w:val="1"/>
                <w:color w:val="auto"/>
              </w:rPr>
            </w:pPr>
          </w:p>
        </w:tc>
      </w:tr>
      <w:tr>
        <w:trPr>
          <w:trHeight w:val="237"/>
        </w:trPr>
        <w:tc>
          <w:tcPr>
            <w:tcW w:w="3520" w:type="dxa"/>
            <w:vAlign w:val="bottom"/>
          </w:tcPr>
          <w:p>
            <w:pPr>
              <w:spacing w:after="0"/>
              <w:rPr>
                <w:sz w:val="20"/>
                <w:szCs w:val="20"/>
                <w:color w:val="auto"/>
              </w:rPr>
            </w:pPr>
            <w:r>
              <w:rPr>
                <w:rFonts w:ascii="Arial" w:cs="Arial" w:eastAsia="Arial" w:hAnsi="Arial"/>
                <w:sz w:val="14"/>
                <w:szCs w:val="14"/>
                <w:b w:val="1"/>
                <w:bCs w:val="1"/>
                <w:color w:val="auto"/>
              </w:rPr>
              <w:t>Total assets</w:t>
            </w: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313</w:t>
            </w:r>
          </w:p>
        </w:tc>
        <w:tc>
          <w:tcPr>
            <w:tcW w:w="12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5,633</w:t>
            </w:r>
          </w:p>
        </w:tc>
        <w:tc>
          <w:tcPr>
            <w:tcW w:w="12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7,171</w:t>
            </w:r>
          </w:p>
        </w:tc>
        <w:tc>
          <w:tcPr>
            <w:tcW w:w="12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14,663</w:t>
            </w:r>
          </w:p>
        </w:tc>
        <w:tc>
          <w:tcPr>
            <w:tcW w:w="10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(10,137)</w:t>
            </w:r>
          </w:p>
        </w:tc>
        <w:tc>
          <w:tcPr>
            <w:tcW w:w="100" w:type="dxa"/>
            <w:vAlign w:val="bottom"/>
          </w:tcPr>
          <w:p>
            <w:pPr>
              <w:spacing w:after="0"/>
              <w:rPr>
                <w:sz w:val="20"/>
                <w:szCs w:val="20"/>
                <w:color w:val="auto"/>
              </w:rPr>
            </w:pPr>
          </w:p>
        </w:tc>
        <w:tc>
          <w:tcPr>
            <w:tcW w:w="26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17,643</w:t>
            </w:r>
          </w:p>
        </w:tc>
        <w:tc>
          <w:tcPr>
            <w:tcW w:w="0" w:type="dxa"/>
            <w:vAlign w:val="bottom"/>
          </w:tcPr>
          <w:p>
            <w:pPr>
              <w:spacing w:after="0"/>
              <w:rPr>
                <w:sz w:val="1"/>
                <w:szCs w:val="1"/>
                <w:color w:val="auto"/>
              </w:rPr>
            </w:pPr>
          </w:p>
        </w:tc>
      </w:tr>
      <w:tr>
        <w:trPr>
          <w:trHeight w:val="20"/>
        </w:trPr>
        <w:tc>
          <w:tcPr>
            <w:tcW w:w="3520" w:type="dxa"/>
            <w:vAlign w:val="bottom"/>
            <w:vMerge w:val="restart"/>
          </w:tcPr>
          <w:p>
            <w:pPr>
              <w:spacing w:after="0"/>
              <w:rPr>
                <w:sz w:val="20"/>
                <w:szCs w:val="20"/>
                <w:color w:val="auto"/>
              </w:rPr>
            </w:pPr>
            <w:r>
              <w:rPr>
                <w:rFonts w:ascii="Arial" w:cs="Arial" w:eastAsia="Arial" w:hAnsi="Arial"/>
                <w:sz w:val="14"/>
                <w:szCs w:val="14"/>
                <w:b w:val="1"/>
                <w:bCs w:val="1"/>
                <w:color w:val="auto"/>
              </w:rPr>
              <w:t>Liabilities and stockholders’ equity</w:t>
            </w: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1"/>
        </w:trPr>
        <w:tc>
          <w:tcPr>
            <w:tcW w:w="35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520" w:type="dxa"/>
            <w:vAlign w:val="bottom"/>
          </w:tcPr>
          <w:p>
            <w:pPr>
              <w:spacing w:after="0"/>
              <w:rPr>
                <w:sz w:val="20"/>
                <w:szCs w:val="20"/>
                <w:color w:val="auto"/>
              </w:rPr>
            </w:pPr>
            <w:r>
              <w:rPr>
                <w:rFonts w:ascii="Arial" w:cs="Arial" w:eastAsia="Arial" w:hAnsi="Arial"/>
                <w:sz w:val="14"/>
                <w:szCs w:val="14"/>
                <w:color w:val="auto"/>
              </w:rPr>
              <w:t>Current liabilities:</w:t>
            </w:r>
          </w:p>
        </w:tc>
        <w:tc>
          <w:tcPr>
            <w:tcW w:w="2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520" w:type="dxa"/>
            <w:vAlign w:val="bottom"/>
          </w:tcPr>
          <w:p>
            <w:pPr>
              <w:ind w:left="140"/>
              <w:spacing w:after="0"/>
              <w:rPr>
                <w:sz w:val="20"/>
                <w:szCs w:val="20"/>
                <w:color w:val="auto"/>
              </w:rPr>
            </w:pPr>
            <w:r>
              <w:rPr>
                <w:rFonts w:ascii="Arial" w:cs="Arial" w:eastAsia="Arial" w:hAnsi="Arial"/>
                <w:sz w:val="14"/>
                <w:szCs w:val="14"/>
                <w:color w:val="auto"/>
              </w:rPr>
              <w:t>Accounts payable and other current liabilities</w:t>
            </w:r>
          </w:p>
        </w:tc>
        <w:tc>
          <w:tcPr>
            <w:tcW w:w="24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vMerge w:val="restart"/>
          </w:tcPr>
          <w:p>
            <w:pPr>
              <w:jc w:val="right"/>
              <w:ind w:right="28"/>
              <w:spacing w:after="0"/>
              <w:rPr>
                <w:sz w:val="20"/>
                <w:szCs w:val="20"/>
                <w:color w:val="auto"/>
              </w:rPr>
            </w:pPr>
            <w:r>
              <w:rPr>
                <w:rFonts w:ascii="Arial" w:cs="Arial" w:eastAsia="Arial" w:hAnsi="Arial"/>
                <w:sz w:val="14"/>
                <w:szCs w:val="14"/>
                <w:color w:val="auto"/>
              </w:rPr>
              <w:t>23</w:t>
            </w:r>
          </w:p>
        </w:tc>
        <w:tc>
          <w:tcPr>
            <w:tcW w:w="120" w:type="dxa"/>
            <w:vAlign w:val="bottom"/>
          </w:tcPr>
          <w:p>
            <w:pPr>
              <w:spacing w:after="0"/>
              <w:rPr>
                <w:sz w:val="23"/>
                <w:szCs w:val="23"/>
                <w:color w:val="auto"/>
              </w:rPr>
            </w:pPr>
          </w:p>
        </w:tc>
        <w:tc>
          <w:tcPr>
            <w:tcW w:w="1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vMerge w:val="restart"/>
          </w:tcPr>
          <w:p>
            <w:pPr>
              <w:jc w:val="right"/>
              <w:ind w:right="28"/>
              <w:spacing w:after="0"/>
              <w:rPr>
                <w:sz w:val="20"/>
                <w:szCs w:val="20"/>
                <w:color w:val="auto"/>
              </w:rPr>
            </w:pPr>
            <w:r>
              <w:rPr>
                <w:rFonts w:ascii="Arial" w:cs="Arial" w:eastAsia="Arial" w:hAnsi="Arial"/>
                <w:sz w:val="14"/>
                <w:szCs w:val="14"/>
                <w:color w:val="auto"/>
              </w:rPr>
              <w:t>189</w:t>
            </w:r>
          </w:p>
        </w:tc>
        <w:tc>
          <w:tcPr>
            <w:tcW w:w="120" w:type="dxa"/>
            <w:vAlign w:val="bottom"/>
          </w:tcPr>
          <w:p>
            <w:pPr>
              <w:spacing w:after="0"/>
              <w:rPr>
                <w:sz w:val="23"/>
                <w:szCs w:val="23"/>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512</w:t>
            </w:r>
          </w:p>
        </w:tc>
        <w:tc>
          <w:tcPr>
            <w:tcW w:w="120" w:type="dxa"/>
            <w:vAlign w:val="bottom"/>
          </w:tcPr>
          <w:p>
            <w:pPr>
              <w:spacing w:after="0"/>
              <w:rPr>
                <w:sz w:val="23"/>
                <w:szCs w:val="23"/>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764</w:t>
            </w:r>
          </w:p>
        </w:tc>
        <w:tc>
          <w:tcPr>
            <w:tcW w:w="100" w:type="dxa"/>
            <w:vAlign w:val="bottom"/>
          </w:tcPr>
          <w:p>
            <w:pPr>
              <w:spacing w:after="0"/>
              <w:rPr>
                <w:sz w:val="23"/>
                <w:szCs w:val="23"/>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1,488</w:t>
            </w:r>
          </w:p>
        </w:tc>
        <w:tc>
          <w:tcPr>
            <w:tcW w:w="0" w:type="dxa"/>
            <w:vAlign w:val="bottom"/>
          </w:tcPr>
          <w:p>
            <w:pPr>
              <w:spacing w:after="0"/>
              <w:rPr>
                <w:sz w:val="1"/>
                <w:szCs w:val="1"/>
                <w:color w:val="auto"/>
              </w:rPr>
            </w:pPr>
          </w:p>
        </w:tc>
      </w:tr>
      <w:tr>
        <w:trPr>
          <w:trHeight w:val="54"/>
        </w:trPr>
        <w:tc>
          <w:tcPr>
            <w:tcW w:w="3520" w:type="dxa"/>
            <w:vAlign w:val="bottom"/>
          </w:tcPr>
          <w:p>
            <w:pPr>
              <w:spacing w:after="0"/>
              <w:rPr>
                <w:sz w:val="4"/>
                <w:szCs w:val="4"/>
                <w:color w:val="auto"/>
              </w:rPr>
            </w:pPr>
          </w:p>
        </w:tc>
        <w:tc>
          <w:tcPr>
            <w:tcW w:w="240" w:type="dxa"/>
            <w:vAlign w:val="bottom"/>
            <w:vMerge w:val="continue"/>
          </w:tcPr>
          <w:p>
            <w:pPr>
              <w:spacing w:after="0"/>
              <w:rPr>
                <w:sz w:val="4"/>
                <w:szCs w:val="4"/>
                <w:color w:val="auto"/>
              </w:rPr>
            </w:pPr>
          </w:p>
        </w:tc>
        <w:tc>
          <w:tcPr>
            <w:tcW w:w="9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vMerge w:val="continue"/>
          </w:tcPr>
          <w:p>
            <w:pPr>
              <w:spacing w:after="0"/>
              <w:rPr>
                <w:sz w:val="4"/>
                <w:szCs w:val="4"/>
                <w:color w:val="auto"/>
              </w:rPr>
            </w:pPr>
          </w:p>
        </w:tc>
        <w:tc>
          <w:tcPr>
            <w:tcW w:w="104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vMerge w:val="continue"/>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vMerge w:val="continue"/>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vMerge w:val="continue"/>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60" w:type="dxa"/>
            <w:vAlign w:val="bottom"/>
            <w:vMerge w:val="continue"/>
          </w:tcPr>
          <w:p>
            <w:pPr>
              <w:spacing w:after="0"/>
              <w:rPr>
                <w:sz w:val="4"/>
                <w:szCs w:val="4"/>
                <w:color w:val="auto"/>
              </w:rPr>
            </w:pPr>
          </w:p>
        </w:tc>
        <w:tc>
          <w:tcPr>
            <w:tcW w:w="8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6"/>
        </w:trPr>
        <w:tc>
          <w:tcPr>
            <w:tcW w:w="3520" w:type="dxa"/>
            <w:vAlign w:val="bottom"/>
          </w:tcPr>
          <w:p>
            <w:pPr>
              <w:ind w:left="140"/>
              <w:spacing w:after="0"/>
              <w:rPr>
                <w:sz w:val="20"/>
                <w:szCs w:val="20"/>
                <w:color w:val="auto"/>
              </w:rPr>
            </w:pPr>
            <w:r>
              <w:rPr>
                <w:rFonts w:ascii="Arial" w:cs="Arial" w:eastAsia="Arial" w:hAnsi="Arial"/>
                <w:sz w:val="14"/>
                <w:szCs w:val="14"/>
                <w:color w:val="auto"/>
              </w:rPr>
              <w:t>Short-term debt and current portion of long-term</w:t>
            </w: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3520" w:type="dxa"/>
            <w:vAlign w:val="bottom"/>
          </w:tcPr>
          <w:p>
            <w:pPr>
              <w:ind w:left="300"/>
              <w:spacing w:after="0"/>
              <w:rPr>
                <w:sz w:val="20"/>
                <w:szCs w:val="20"/>
                <w:color w:val="auto"/>
              </w:rPr>
            </w:pPr>
            <w:r>
              <w:rPr>
                <w:rFonts w:ascii="Arial" w:cs="Arial" w:eastAsia="Arial" w:hAnsi="Arial"/>
                <w:sz w:val="14"/>
                <w:szCs w:val="14"/>
                <w:color w:val="auto"/>
              </w:rPr>
              <w:t>debt</w:t>
            </w:r>
          </w:p>
        </w:tc>
        <w:tc>
          <w:tcPr>
            <w:tcW w:w="2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264</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279</w:t>
            </w:r>
          </w:p>
        </w:tc>
        <w:tc>
          <w:tcPr>
            <w:tcW w:w="0" w:type="dxa"/>
            <w:vAlign w:val="bottom"/>
          </w:tcPr>
          <w:p>
            <w:pPr>
              <w:spacing w:after="0"/>
              <w:rPr>
                <w:sz w:val="1"/>
                <w:szCs w:val="1"/>
                <w:color w:val="auto"/>
              </w:rPr>
            </w:pPr>
          </w:p>
        </w:tc>
      </w:tr>
      <w:tr>
        <w:trPr>
          <w:trHeight w:val="191"/>
        </w:trPr>
        <w:tc>
          <w:tcPr>
            <w:tcW w:w="3520" w:type="dxa"/>
            <w:vAlign w:val="bottom"/>
          </w:tcPr>
          <w:p>
            <w:pPr>
              <w:spacing w:after="0"/>
              <w:rPr>
                <w:sz w:val="20"/>
                <w:szCs w:val="20"/>
                <w:color w:val="auto"/>
              </w:rPr>
            </w:pPr>
            <w:r>
              <w:rPr>
                <w:rFonts w:ascii="Arial" w:cs="Arial" w:eastAsia="Arial" w:hAnsi="Arial"/>
                <w:sz w:val="14"/>
                <w:szCs w:val="14"/>
                <w:color w:val="auto"/>
              </w:rPr>
              <w:t>Total current liabilities</w:t>
            </w:r>
          </w:p>
        </w:tc>
        <w:tc>
          <w:tcPr>
            <w:tcW w:w="240" w:type="dxa"/>
            <w:vAlign w:val="bottom"/>
          </w:tcPr>
          <w:p>
            <w:pPr>
              <w:spacing w:after="0"/>
              <w:rPr>
                <w:sz w:val="16"/>
                <w:szCs w:val="16"/>
                <w:color w:val="auto"/>
              </w:rPr>
            </w:pPr>
          </w:p>
        </w:tc>
        <w:tc>
          <w:tcPr>
            <w:tcW w:w="980" w:type="dxa"/>
            <w:vAlign w:val="bottom"/>
            <w:vMerge w:val="restart"/>
          </w:tcPr>
          <w:p>
            <w:pPr>
              <w:jc w:val="right"/>
              <w:ind w:right="28"/>
              <w:spacing w:after="0"/>
              <w:rPr>
                <w:sz w:val="20"/>
                <w:szCs w:val="20"/>
                <w:color w:val="auto"/>
              </w:rPr>
            </w:pPr>
            <w:r>
              <w:rPr>
                <w:rFonts w:ascii="Arial" w:cs="Arial" w:eastAsia="Arial" w:hAnsi="Arial"/>
                <w:sz w:val="14"/>
                <w:szCs w:val="14"/>
                <w:color w:val="auto"/>
              </w:rPr>
              <w:t>23</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vMerge w:val="restart"/>
          </w:tcPr>
          <w:p>
            <w:pPr>
              <w:jc w:val="right"/>
              <w:ind w:right="28"/>
              <w:spacing w:after="0"/>
              <w:rPr>
                <w:sz w:val="20"/>
                <w:szCs w:val="20"/>
                <w:color w:val="auto"/>
              </w:rPr>
            </w:pPr>
            <w:r>
              <w:rPr>
                <w:rFonts w:ascii="Arial" w:cs="Arial" w:eastAsia="Arial" w:hAnsi="Arial"/>
                <w:sz w:val="14"/>
                <w:szCs w:val="14"/>
                <w:color w:val="auto"/>
              </w:rPr>
              <w:t>453</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515</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776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1,767</w:t>
            </w:r>
          </w:p>
        </w:tc>
        <w:tc>
          <w:tcPr>
            <w:tcW w:w="0" w:type="dxa"/>
            <w:vAlign w:val="bottom"/>
          </w:tcPr>
          <w:p>
            <w:pPr>
              <w:spacing w:after="0"/>
              <w:rPr>
                <w:sz w:val="1"/>
                <w:szCs w:val="1"/>
                <w:color w:val="auto"/>
              </w:rPr>
            </w:pPr>
          </w:p>
        </w:tc>
      </w:tr>
      <w:tr>
        <w:trPr>
          <w:trHeight w:val="54"/>
        </w:trPr>
        <w:tc>
          <w:tcPr>
            <w:tcW w:w="3520" w:type="dxa"/>
            <w:vAlign w:val="bottom"/>
          </w:tcPr>
          <w:p>
            <w:pPr>
              <w:spacing w:after="0"/>
              <w:rPr>
                <w:sz w:val="4"/>
                <w:szCs w:val="4"/>
                <w:color w:val="auto"/>
              </w:rPr>
            </w:pPr>
          </w:p>
        </w:tc>
        <w:tc>
          <w:tcPr>
            <w:tcW w:w="240" w:type="dxa"/>
            <w:vAlign w:val="bottom"/>
          </w:tcPr>
          <w:p>
            <w:pPr>
              <w:spacing w:after="0"/>
              <w:rPr>
                <w:sz w:val="4"/>
                <w:szCs w:val="4"/>
                <w:color w:val="auto"/>
              </w:rPr>
            </w:pPr>
          </w:p>
        </w:tc>
        <w:tc>
          <w:tcPr>
            <w:tcW w:w="9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4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86"/>
        </w:trPr>
        <w:tc>
          <w:tcPr>
            <w:tcW w:w="3520" w:type="dxa"/>
            <w:vAlign w:val="bottom"/>
          </w:tcPr>
          <w:p>
            <w:pPr>
              <w:spacing w:after="0"/>
              <w:rPr>
                <w:sz w:val="20"/>
                <w:szCs w:val="20"/>
                <w:color w:val="auto"/>
              </w:rPr>
            </w:pPr>
            <w:r>
              <w:rPr>
                <w:rFonts w:ascii="Arial" w:cs="Arial" w:eastAsia="Arial" w:hAnsi="Arial"/>
                <w:sz w:val="14"/>
                <w:szCs w:val="14"/>
                <w:color w:val="auto"/>
              </w:rPr>
              <w:t>Long-term debt</w:t>
            </w:r>
          </w:p>
        </w:tc>
        <w:tc>
          <w:tcPr>
            <w:tcW w:w="240" w:type="dxa"/>
            <w:vAlign w:val="bottom"/>
          </w:tcPr>
          <w:p>
            <w:pPr>
              <w:spacing w:after="0"/>
              <w:rPr>
                <w:sz w:val="24"/>
                <w:szCs w:val="24"/>
                <w:color w:val="auto"/>
              </w:rPr>
            </w:pPr>
          </w:p>
        </w:tc>
        <w:tc>
          <w:tcPr>
            <w:tcW w:w="11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1040" w:type="dxa"/>
            <w:vAlign w:val="bottom"/>
            <w:vMerge w:val="restart"/>
          </w:tcPr>
          <w:p>
            <w:pPr>
              <w:jc w:val="right"/>
              <w:ind w:right="28"/>
              <w:spacing w:after="0"/>
              <w:rPr>
                <w:sz w:val="20"/>
                <w:szCs w:val="20"/>
                <w:color w:val="auto"/>
              </w:rPr>
            </w:pPr>
            <w:r>
              <w:rPr>
                <w:rFonts w:ascii="Arial" w:cs="Arial" w:eastAsia="Arial" w:hAnsi="Arial"/>
                <w:sz w:val="14"/>
                <w:szCs w:val="14"/>
                <w:color w:val="auto"/>
              </w:rPr>
              <w:t>2,730</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511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4"/>
                <w:szCs w:val="24"/>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3,244</w:t>
            </w:r>
          </w:p>
        </w:tc>
        <w:tc>
          <w:tcPr>
            <w:tcW w:w="0" w:type="dxa"/>
            <w:vAlign w:val="bottom"/>
          </w:tcPr>
          <w:p>
            <w:pPr>
              <w:spacing w:after="0"/>
              <w:rPr>
                <w:sz w:val="1"/>
                <w:szCs w:val="1"/>
                <w:color w:val="auto"/>
              </w:rPr>
            </w:pPr>
          </w:p>
        </w:tc>
      </w:tr>
      <w:tr>
        <w:trPr>
          <w:trHeight w:val="54"/>
        </w:trPr>
        <w:tc>
          <w:tcPr>
            <w:tcW w:w="35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0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04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520" w:type="dxa"/>
            <w:vAlign w:val="bottom"/>
          </w:tcPr>
          <w:p>
            <w:pPr>
              <w:spacing w:after="0"/>
              <w:rPr>
                <w:sz w:val="20"/>
                <w:szCs w:val="20"/>
                <w:color w:val="auto"/>
              </w:rPr>
            </w:pPr>
            <w:r>
              <w:rPr>
                <w:rFonts w:ascii="Arial" w:cs="Arial" w:eastAsia="Arial" w:hAnsi="Arial"/>
                <w:sz w:val="14"/>
                <w:szCs w:val="14"/>
                <w:color w:val="auto"/>
              </w:rPr>
              <w:t>Other non-current liabilities</w:t>
            </w:r>
          </w:p>
        </w:tc>
        <w:tc>
          <w:tcPr>
            <w:tcW w:w="240" w:type="dxa"/>
            <w:vAlign w:val="bottom"/>
          </w:tcPr>
          <w:p>
            <w:pPr>
              <w:spacing w:after="0"/>
              <w:rPr>
                <w:sz w:val="18"/>
                <w:szCs w:val="18"/>
                <w:color w:val="auto"/>
              </w:rPr>
            </w:pPr>
          </w:p>
        </w:tc>
        <w:tc>
          <w:tcPr>
            <w:tcW w:w="980" w:type="dxa"/>
            <w:vAlign w:val="bottom"/>
            <w:vMerge w:val="restart"/>
          </w:tcPr>
          <w:p>
            <w:pPr>
              <w:jc w:val="right"/>
              <w:ind w:right="28"/>
              <w:spacing w:after="0"/>
              <w:rPr>
                <w:sz w:val="20"/>
                <w:szCs w:val="20"/>
                <w:color w:val="auto"/>
              </w:rPr>
            </w:pPr>
            <w:r>
              <w:rPr>
                <w:rFonts w:ascii="Arial" w:cs="Arial" w:eastAsia="Arial" w:hAnsi="Arial"/>
                <w:sz w:val="14"/>
                <w:szCs w:val="14"/>
                <w:color w:val="auto"/>
              </w:rPr>
              <w:t>69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vMerge w:val="restart"/>
          </w:tcPr>
          <w:p>
            <w:pPr>
              <w:jc w:val="right"/>
              <w:ind w:right="28"/>
              <w:spacing w:after="0"/>
              <w:rPr>
                <w:sz w:val="20"/>
                <w:szCs w:val="20"/>
                <w:color w:val="auto"/>
              </w:rPr>
            </w:pPr>
            <w:r>
              <w:rPr>
                <w:rFonts w:ascii="Arial" w:cs="Arial" w:eastAsia="Arial" w:hAnsi="Arial"/>
                <w:sz w:val="14"/>
                <w:szCs w:val="14"/>
                <w:color w:val="auto"/>
              </w:rPr>
              <w:t>88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253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368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764</w:t>
            </w:r>
          </w:p>
        </w:tc>
        <w:tc>
          <w:tcPr>
            <w:tcW w:w="0" w:type="dxa"/>
            <w:vAlign w:val="bottom"/>
          </w:tcPr>
          <w:p>
            <w:pPr>
              <w:spacing w:after="0"/>
              <w:rPr>
                <w:sz w:val="1"/>
                <w:szCs w:val="1"/>
                <w:color w:val="auto"/>
              </w:rPr>
            </w:pPr>
          </w:p>
        </w:tc>
      </w:tr>
      <w:tr>
        <w:trPr>
          <w:trHeight w:val="54"/>
        </w:trPr>
        <w:tc>
          <w:tcPr>
            <w:tcW w:w="3520" w:type="dxa"/>
            <w:vAlign w:val="bottom"/>
          </w:tcPr>
          <w:p>
            <w:pPr>
              <w:spacing w:after="0"/>
              <w:rPr>
                <w:sz w:val="4"/>
                <w:szCs w:val="4"/>
                <w:color w:val="auto"/>
              </w:rPr>
            </w:pPr>
          </w:p>
        </w:tc>
        <w:tc>
          <w:tcPr>
            <w:tcW w:w="240" w:type="dxa"/>
            <w:vAlign w:val="bottom"/>
          </w:tcPr>
          <w:p>
            <w:pPr>
              <w:spacing w:after="0"/>
              <w:rPr>
                <w:sz w:val="4"/>
                <w:szCs w:val="4"/>
                <w:color w:val="auto"/>
              </w:rPr>
            </w:pPr>
          </w:p>
        </w:tc>
        <w:tc>
          <w:tcPr>
            <w:tcW w:w="9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4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520" w:type="dxa"/>
            <w:vAlign w:val="bottom"/>
          </w:tcPr>
          <w:p>
            <w:pPr>
              <w:spacing w:after="0"/>
              <w:rPr>
                <w:sz w:val="20"/>
                <w:szCs w:val="20"/>
                <w:color w:val="auto"/>
              </w:rPr>
            </w:pPr>
            <w:r>
              <w:rPr>
                <w:rFonts w:ascii="Arial" w:cs="Arial" w:eastAsia="Arial" w:hAnsi="Arial"/>
                <w:sz w:val="14"/>
                <w:szCs w:val="14"/>
                <w:color w:val="auto"/>
              </w:rPr>
              <w:t>Intercompany payables</w:t>
            </w:r>
          </w:p>
        </w:tc>
        <w:tc>
          <w:tcPr>
            <w:tcW w:w="240" w:type="dxa"/>
            <w:vAlign w:val="bottom"/>
          </w:tcPr>
          <w:p>
            <w:pPr>
              <w:spacing w:after="0"/>
              <w:rPr>
                <w:sz w:val="18"/>
                <w:szCs w:val="18"/>
                <w:color w:val="auto"/>
              </w:rPr>
            </w:pPr>
          </w:p>
        </w:tc>
        <w:tc>
          <w:tcPr>
            <w:tcW w:w="11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040" w:type="dxa"/>
            <w:vAlign w:val="bottom"/>
            <w:vMerge w:val="restart"/>
          </w:tcPr>
          <w:p>
            <w:pPr>
              <w:jc w:val="right"/>
              <w:ind w:right="28"/>
              <w:spacing w:after="0"/>
              <w:rPr>
                <w:sz w:val="20"/>
                <w:szCs w:val="20"/>
                <w:color w:val="auto"/>
              </w:rPr>
            </w:pPr>
            <w:r>
              <w:rPr>
                <w:rFonts w:ascii="Arial" w:cs="Arial" w:eastAsia="Arial" w:hAnsi="Arial"/>
                <w:sz w:val="14"/>
                <w:szCs w:val="14"/>
                <w:color w:val="auto"/>
              </w:rPr>
              <w:t>2,306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359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(2,666)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0"/>
        </w:trPr>
        <w:tc>
          <w:tcPr>
            <w:tcW w:w="35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10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8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3520" w:type="dxa"/>
            <w:vAlign w:val="bottom"/>
          </w:tcPr>
          <w:p>
            <w:pPr>
              <w:spacing w:after="0"/>
              <w:rPr>
                <w:sz w:val="20"/>
                <w:szCs w:val="20"/>
                <w:color w:val="auto"/>
              </w:rPr>
            </w:pPr>
            <w:r>
              <w:rPr>
                <w:rFonts w:ascii="Arial" w:cs="Arial" w:eastAsia="Arial" w:hAnsi="Arial"/>
                <w:sz w:val="14"/>
                <w:szCs w:val="14"/>
                <w:color w:val="auto"/>
              </w:rPr>
              <w:t>Total liabilities exclusive of liabilities under vehicle</w:t>
            </w:r>
          </w:p>
        </w:tc>
        <w:tc>
          <w:tcPr>
            <w:tcW w:w="24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3520" w:type="dxa"/>
            <w:vAlign w:val="bottom"/>
          </w:tcPr>
          <w:p>
            <w:pPr>
              <w:ind w:left="160"/>
              <w:spacing w:after="0"/>
              <w:rPr>
                <w:sz w:val="20"/>
                <w:szCs w:val="20"/>
                <w:color w:val="auto"/>
              </w:rPr>
            </w:pPr>
            <w:r>
              <w:rPr>
                <w:rFonts w:ascii="Arial" w:cs="Arial" w:eastAsia="Arial" w:hAnsi="Arial"/>
                <w:sz w:val="14"/>
                <w:szCs w:val="14"/>
                <w:color w:val="auto"/>
              </w:rPr>
              <w:t>programs</w:t>
            </w:r>
          </w:p>
        </w:tc>
        <w:tc>
          <w:tcPr>
            <w:tcW w:w="2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92</w:t>
            </w: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5,577</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1,130</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1,656</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(2,680)</w:t>
            </w: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5,775</w:t>
            </w:r>
          </w:p>
        </w:tc>
        <w:tc>
          <w:tcPr>
            <w:tcW w:w="0" w:type="dxa"/>
            <w:vAlign w:val="bottom"/>
          </w:tcPr>
          <w:p>
            <w:pPr>
              <w:spacing w:after="0"/>
              <w:rPr>
                <w:sz w:val="1"/>
                <w:szCs w:val="1"/>
                <w:color w:val="auto"/>
              </w:rPr>
            </w:pPr>
          </w:p>
        </w:tc>
      </w:tr>
      <w:tr>
        <w:trPr>
          <w:trHeight w:val="191"/>
        </w:trPr>
        <w:tc>
          <w:tcPr>
            <w:tcW w:w="3520" w:type="dxa"/>
            <w:vAlign w:val="bottom"/>
          </w:tcPr>
          <w:p>
            <w:pPr>
              <w:spacing w:after="0"/>
              <w:rPr>
                <w:sz w:val="20"/>
                <w:szCs w:val="20"/>
                <w:color w:val="auto"/>
              </w:rPr>
            </w:pPr>
            <w:r>
              <w:rPr>
                <w:rFonts w:ascii="Arial" w:cs="Arial" w:eastAsia="Arial" w:hAnsi="Arial"/>
                <w:sz w:val="14"/>
                <w:szCs w:val="14"/>
                <w:color w:val="auto"/>
              </w:rPr>
              <w:t>Liabilities under vehicle programs:</w:t>
            </w: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4"/>
        </w:trPr>
        <w:tc>
          <w:tcPr>
            <w:tcW w:w="3520" w:type="dxa"/>
            <w:vAlign w:val="bottom"/>
          </w:tcPr>
          <w:p>
            <w:pPr>
              <w:ind w:left="140"/>
              <w:spacing w:after="0"/>
              <w:rPr>
                <w:sz w:val="20"/>
                <w:szCs w:val="20"/>
                <w:color w:val="auto"/>
              </w:rPr>
            </w:pPr>
            <w:r>
              <w:rPr>
                <w:rFonts w:ascii="Arial" w:cs="Arial" w:eastAsia="Arial" w:hAnsi="Arial"/>
                <w:sz w:val="14"/>
                <w:szCs w:val="14"/>
                <w:color w:val="auto"/>
              </w:rPr>
              <w:t>Debt</w:t>
            </w:r>
          </w:p>
        </w:tc>
        <w:tc>
          <w:tcPr>
            <w:tcW w:w="240" w:type="dxa"/>
            <w:vAlign w:val="bottom"/>
          </w:tcPr>
          <w:p>
            <w:pPr>
              <w:spacing w:after="0"/>
              <w:rPr>
                <w:sz w:val="24"/>
                <w:szCs w:val="24"/>
                <w:color w:val="auto"/>
              </w:rPr>
            </w:pPr>
          </w:p>
        </w:tc>
        <w:tc>
          <w:tcPr>
            <w:tcW w:w="11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1040" w:type="dxa"/>
            <w:vAlign w:val="bottom"/>
            <w:vMerge w:val="restart"/>
          </w:tcPr>
          <w:p>
            <w:pPr>
              <w:jc w:val="right"/>
              <w:ind w:right="28"/>
              <w:spacing w:after="0"/>
              <w:rPr>
                <w:sz w:val="20"/>
                <w:szCs w:val="20"/>
                <w:color w:val="auto"/>
              </w:rPr>
            </w:pPr>
            <w:r>
              <w:rPr>
                <w:rFonts w:ascii="Arial" w:cs="Arial" w:eastAsia="Arial" w:hAnsi="Arial"/>
                <w:sz w:val="14"/>
                <w:szCs w:val="14"/>
                <w:color w:val="auto"/>
              </w:rPr>
              <w:t>14</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66</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2,103</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4"/>
                <w:szCs w:val="24"/>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2,183</w:t>
            </w:r>
          </w:p>
        </w:tc>
        <w:tc>
          <w:tcPr>
            <w:tcW w:w="0" w:type="dxa"/>
            <w:vAlign w:val="bottom"/>
          </w:tcPr>
          <w:p>
            <w:pPr>
              <w:spacing w:after="0"/>
              <w:rPr>
                <w:sz w:val="1"/>
                <w:szCs w:val="1"/>
                <w:color w:val="auto"/>
              </w:rPr>
            </w:pPr>
          </w:p>
        </w:tc>
      </w:tr>
      <w:tr>
        <w:trPr>
          <w:trHeight w:val="54"/>
        </w:trPr>
        <w:tc>
          <w:tcPr>
            <w:tcW w:w="35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0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04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6"/>
        </w:trPr>
        <w:tc>
          <w:tcPr>
            <w:tcW w:w="3520" w:type="dxa"/>
            <w:vAlign w:val="bottom"/>
          </w:tcPr>
          <w:p>
            <w:pPr>
              <w:ind w:left="140"/>
              <w:spacing w:after="0"/>
              <w:rPr>
                <w:sz w:val="20"/>
                <w:szCs w:val="20"/>
                <w:color w:val="auto"/>
              </w:rPr>
            </w:pPr>
            <w:r>
              <w:rPr>
                <w:rFonts w:ascii="Arial" w:cs="Arial" w:eastAsia="Arial" w:hAnsi="Arial"/>
                <w:sz w:val="14"/>
                <w:szCs w:val="14"/>
                <w:color w:val="auto"/>
              </w:rPr>
              <w:t>Due to Avis Budget Rental Car Funding (AESOP)</w:t>
            </w: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3520" w:type="dxa"/>
            <w:vAlign w:val="bottom"/>
          </w:tcPr>
          <w:p>
            <w:pPr>
              <w:ind w:left="300"/>
              <w:spacing w:after="0"/>
              <w:rPr>
                <w:sz w:val="20"/>
                <w:szCs w:val="20"/>
                <w:color w:val="auto"/>
              </w:rPr>
            </w:pPr>
            <w:r>
              <w:rPr>
                <w:rFonts w:ascii="Arial" w:cs="Arial" w:eastAsia="Arial" w:hAnsi="Arial"/>
                <w:sz w:val="14"/>
                <w:szCs w:val="14"/>
                <w:color w:val="auto"/>
              </w:rPr>
              <w:t>LLC-related party</w:t>
            </w:r>
          </w:p>
        </w:tc>
        <w:tc>
          <w:tcPr>
            <w:tcW w:w="240" w:type="dxa"/>
            <w:vAlign w:val="bottom"/>
          </w:tcPr>
          <w:p>
            <w:pPr>
              <w:spacing w:after="0"/>
              <w:rPr>
                <w:sz w:val="14"/>
                <w:szCs w:val="14"/>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6,695</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6,695</w:t>
            </w:r>
          </w:p>
        </w:tc>
        <w:tc>
          <w:tcPr>
            <w:tcW w:w="0" w:type="dxa"/>
            <w:vAlign w:val="bottom"/>
          </w:tcPr>
          <w:p>
            <w:pPr>
              <w:spacing w:after="0"/>
              <w:rPr>
                <w:sz w:val="1"/>
                <w:szCs w:val="1"/>
                <w:color w:val="auto"/>
              </w:rPr>
            </w:pPr>
          </w:p>
        </w:tc>
      </w:tr>
      <w:tr>
        <w:trPr>
          <w:trHeight w:val="216"/>
        </w:trPr>
        <w:tc>
          <w:tcPr>
            <w:tcW w:w="3520" w:type="dxa"/>
            <w:vAlign w:val="bottom"/>
          </w:tcPr>
          <w:p>
            <w:pPr>
              <w:ind w:left="140"/>
              <w:spacing w:after="0"/>
              <w:rPr>
                <w:sz w:val="20"/>
                <w:szCs w:val="20"/>
                <w:color w:val="auto"/>
              </w:rPr>
            </w:pPr>
            <w:r>
              <w:rPr>
                <w:rFonts w:ascii="Arial" w:cs="Arial" w:eastAsia="Arial" w:hAnsi="Arial"/>
                <w:sz w:val="14"/>
                <w:szCs w:val="14"/>
                <w:color w:val="auto"/>
              </w:rPr>
              <w:t>Deferred income taxes</w:t>
            </w:r>
          </w:p>
        </w:tc>
        <w:tc>
          <w:tcPr>
            <w:tcW w:w="240" w:type="dxa"/>
            <w:vAlign w:val="bottom"/>
          </w:tcPr>
          <w:p>
            <w:pPr>
              <w:spacing w:after="0"/>
              <w:rPr>
                <w:sz w:val="18"/>
                <w:szCs w:val="18"/>
                <w:color w:val="auto"/>
              </w:rPr>
            </w:pPr>
          </w:p>
        </w:tc>
        <w:tc>
          <w:tcPr>
            <w:tcW w:w="11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16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2,258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171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8"/>
                <w:szCs w:val="18"/>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2,429</w:t>
            </w:r>
          </w:p>
        </w:tc>
        <w:tc>
          <w:tcPr>
            <w:tcW w:w="0" w:type="dxa"/>
            <w:vAlign w:val="bottom"/>
          </w:tcPr>
          <w:p>
            <w:pPr>
              <w:spacing w:after="0"/>
              <w:rPr>
                <w:sz w:val="1"/>
                <w:szCs w:val="1"/>
                <w:color w:val="auto"/>
              </w:rPr>
            </w:pPr>
          </w:p>
        </w:tc>
      </w:tr>
      <w:tr>
        <w:trPr>
          <w:trHeight w:val="54"/>
        </w:trPr>
        <w:tc>
          <w:tcPr>
            <w:tcW w:w="35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0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16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520" w:type="dxa"/>
            <w:vAlign w:val="bottom"/>
          </w:tcPr>
          <w:p>
            <w:pPr>
              <w:ind w:left="140"/>
              <w:spacing w:after="0"/>
              <w:rPr>
                <w:sz w:val="20"/>
                <w:szCs w:val="20"/>
                <w:color w:val="auto"/>
              </w:rPr>
            </w:pPr>
            <w:r>
              <w:rPr>
                <w:rFonts w:ascii="Arial" w:cs="Arial" w:eastAsia="Arial" w:hAnsi="Arial"/>
                <w:sz w:val="14"/>
                <w:szCs w:val="14"/>
                <w:color w:val="auto"/>
              </w:rPr>
              <w:t>Other</w:t>
            </w:r>
          </w:p>
        </w:tc>
        <w:tc>
          <w:tcPr>
            <w:tcW w:w="240" w:type="dxa"/>
            <w:vAlign w:val="bottom"/>
          </w:tcPr>
          <w:p>
            <w:pPr>
              <w:spacing w:after="0"/>
              <w:rPr>
                <w:sz w:val="18"/>
                <w:szCs w:val="18"/>
                <w:color w:val="auto"/>
              </w:rPr>
            </w:pPr>
          </w:p>
        </w:tc>
        <w:tc>
          <w:tcPr>
            <w:tcW w:w="98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340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340</w:t>
            </w:r>
          </w:p>
        </w:tc>
        <w:tc>
          <w:tcPr>
            <w:tcW w:w="0" w:type="dxa"/>
            <w:vAlign w:val="bottom"/>
          </w:tcPr>
          <w:p>
            <w:pPr>
              <w:spacing w:after="0"/>
              <w:rPr>
                <w:sz w:val="1"/>
                <w:szCs w:val="1"/>
                <w:color w:val="auto"/>
              </w:rPr>
            </w:pPr>
          </w:p>
        </w:tc>
      </w:tr>
      <w:tr>
        <w:trPr>
          <w:trHeight w:val="60"/>
        </w:trPr>
        <w:tc>
          <w:tcPr>
            <w:tcW w:w="3520" w:type="dxa"/>
            <w:vAlign w:val="bottom"/>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35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2,324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9,309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11,647</w:t>
            </w:r>
          </w:p>
        </w:tc>
        <w:tc>
          <w:tcPr>
            <w:tcW w:w="0" w:type="dxa"/>
            <w:vAlign w:val="bottom"/>
          </w:tcPr>
          <w:p>
            <w:pPr>
              <w:spacing w:after="0"/>
              <w:rPr>
                <w:sz w:val="1"/>
                <w:szCs w:val="1"/>
                <w:color w:val="auto"/>
              </w:rPr>
            </w:pPr>
          </w:p>
        </w:tc>
      </w:tr>
      <w:tr>
        <w:trPr>
          <w:trHeight w:val="191"/>
        </w:trPr>
        <w:tc>
          <w:tcPr>
            <w:tcW w:w="3520" w:type="dxa"/>
            <w:vAlign w:val="bottom"/>
          </w:tcPr>
          <w:p>
            <w:pPr>
              <w:spacing w:after="0"/>
              <w:rPr>
                <w:sz w:val="20"/>
                <w:szCs w:val="20"/>
                <w:color w:val="auto"/>
              </w:rPr>
            </w:pPr>
            <w:r>
              <w:rPr>
                <w:rFonts w:ascii="Arial" w:cs="Arial" w:eastAsia="Arial" w:hAnsi="Arial"/>
                <w:sz w:val="14"/>
                <w:szCs w:val="14"/>
                <w:color w:val="auto"/>
              </w:rPr>
              <w:t>Total stockholders’ equity</w:t>
            </w:r>
          </w:p>
        </w:tc>
        <w:tc>
          <w:tcPr>
            <w:tcW w:w="2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vMerge w:val="restart"/>
          </w:tcPr>
          <w:p>
            <w:pPr>
              <w:jc w:val="right"/>
              <w:ind w:right="28"/>
              <w:spacing w:after="0"/>
              <w:rPr>
                <w:sz w:val="20"/>
                <w:szCs w:val="20"/>
                <w:color w:val="auto"/>
              </w:rPr>
            </w:pPr>
            <w:r>
              <w:rPr>
                <w:rFonts w:ascii="Arial" w:cs="Arial" w:eastAsia="Arial" w:hAnsi="Arial"/>
                <w:sz w:val="14"/>
                <w:szCs w:val="14"/>
                <w:color w:val="auto"/>
              </w:rPr>
              <w:t>221</w:t>
            </w:r>
          </w:p>
        </w:tc>
        <w:tc>
          <w:tcPr>
            <w:tcW w:w="1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vMerge w:val="restart"/>
          </w:tcPr>
          <w:p>
            <w:pPr>
              <w:jc w:val="right"/>
              <w:ind w:right="28"/>
              <w:spacing w:after="0"/>
              <w:rPr>
                <w:sz w:val="20"/>
                <w:szCs w:val="20"/>
                <w:color w:val="auto"/>
              </w:rPr>
            </w:pPr>
            <w:r>
              <w:rPr>
                <w:rFonts w:ascii="Arial" w:cs="Arial" w:eastAsia="Arial" w:hAnsi="Arial"/>
                <w:sz w:val="14"/>
                <w:szCs w:val="14"/>
                <w:color w:val="auto"/>
              </w:rPr>
              <w:t>42</w:t>
            </w: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vMerge w:val="restart"/>
          </w:tcPr>
          <w:p>
            <w:pPr>
              <w:jc w:val="right"/>
              <w:ind w:right="28"/>
              <w:spacing w:after="0"/>
              <w:rPr>
                <w:sz w:val="20"/>
                <w:szCs w:val="20"/>
                <w:color w:val="auto"/>
              </w:rPr>
            </w:pPr>
            <w:r>
              <w:rPr>
                <w:rFonts w:ascii="Arial" w:cs="Arial" w:eastAsia="Arial" w:hAnsi="Arial"/>
                <w:sz w:val="14"/>
                <w:szCs w:val="14"/>
                <w:color w:val="auto"/>
              </w:rPr>
              <w:t>3,717</w:t>
            </w: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vMerge w:val="restart"/>
          </w:tcPr>
          <w:p>
            <w:pPr>
              <w:jc w:val="right"/>
              <w:ind w:right="28"/>
              <w:spacing w:after="0"/>
              <w:rPr>
                <w:sz w:val="20"/>
                <w:szCs w:val="20"/>
                <w:color w:val="auto"/>
              </w:rPr>
            </w:pPr>
            <w:r>
              <w:rPr>
                <w:rFonts w:ascii="Arial" w:cs="Arial" w:eastAsia="Arial" w:hAnsi="Arial"/>
                <w:sz w:val="14"/>
                <w:szCs w:val="14"/>
                <w:color w:val="auto"/>
              </w:rPr>
              <w:t>3,698</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(7,457)</w:t>
            </w: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221</w:t>
            </w:r>
          </w:p>
        </w:tc>
        <w:tc>
          <w:tcPr>
            <w:tcW w:w="0" w:type="dxa"/>
            <w:vAlign w:val="bottom"/>
          </w:tcPr>
          <w:p>
            <w:pPr>
              <w:spacing w:after="0"/>
              <w:rPr>
                <w:sz w:val="1"/>
                <w:szCs w:val="1"/>
                <w:color w:val="auto"/>
              </w:rPr>
            </w:pPr>
          </w:p>
        </w:tc>
      </w:tr>
      <w:tr>
        <w:trPr>
          <w:trHeight w:val="60"/>
        </w:trPr>
        <w:tc>
          <w:tcPr>
            <w:tcW w:w="3520" w:type="dxa"/>
            <w:vAlign w:val="bottom"/>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3520" w:type="dxa"/>
            <w:vAlign w:val="bottom"/>
          </w:tcPr>
          <w:p>
            <w:pPr>
              <w:spacing w:after="0"/>
              <w:rPr>
                <w:sz w:val="20"/>
                <w:szCs w:val="20"/>
                <w:color w:val="auto"/>
              </w:rPr>
            </w:pPr>
            <w:r>
              <w:rPr>
                <w:rFonts w:ascii="Arial" w:cs="Arial" w:eastAsia="Arial" w:hAnsi="Arial"/>
                <w:sz w:val="14"/>
                <w:szCs w:val="14"/>
                <w:b w:val="1"/>
                <w:bCs w:val="1"/>
                <w:color w:val="auto"/>
              </w:rPr>
              <w:t>Total liabilities and stockholders’ equity</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313</w:t>
            </w:r>
          </w:p>
        </w:tc>
        <w:tc>
          <w:tcPr>
            <w:tcW w:w="120" w:type="dxa"/>
            <w:vAlign w:val="bottom"/>
          </w:tcPr>
          <w:p>
            <w:pPr>
              <w:spacing w:after="0"/>
              <w:rPr>
                <w:sz w:val="21"/>
                <w:szCs w:val="21"/>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5,633</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7,171</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14,663</w:t>
            </w:r>
          </w:p>
        </w:tc>
        <w:tc>
          <w:tcPr>
            <w:tcW w:w="10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(10,137)</w:t>
            </w:r>
          </w:p>
        </w:tc>
        <w:tc>
          <w:tcPr>
            <w:tcW w:w="100" w:type="dxa"/>
            <w:vAlign w:val="bottom"/>
          </w:tcPr>
          <w:p>
            <w:pPr>
              <w:spacing w:after="0"/>
              <w:rPr>
                <w:sz w:val="21"/>
                <w:szCs w:val="21"/>
                <w:color w:val="auto"/>
              </w:rPr>
            </w:pPr>
          </w:p>
        </w:tc>
        <w:tc>
          <w:tcPr>
            <w:tcW w:w="2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17,643</w:t>
            </w: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360"/>
          </w:cols>
          <w:pgMar w:left="240" w:top="895" w:right="299" w:bottom="1440" w:gutter="0" w:footer="0" w:header="0"/>
        </w:sectPr>
      </w:pPr>
    </w:p>
    <w:p>
      <w:pPr>
        <w:spacing w:after="0" w:line="2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F-54</w:t>
      </w:r>
    </w:p>
    <w:p>
      <w:pPr>
        <w:sectPr>
          <w:pgSz w:w="11900" w:h="16838" w:orient="portrait"/>
          <w:cols w:equalWidth="0" w:num="1">
            <w:col w:w="11360"/>
          </w:cols>
          <w:pgMar w:left="240" w:top="895" w:right="299" w:bottom="1440" w:gutter="0" w:footer="0" w:header="0"/>
          <w:type w:val="continuous"/>
        </w:sectPr>
      </w:pPr>
    </w:p>
    <w:bookmarkStart w:id="120" w:name="page121"/>
    <w:bookmarkEnd w:id="1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Consolidating Condensed Statements of Cash Flows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For the Year Ended December 31, 2017</w:t>
      </w:r>
    </w:p>
    <w:p>
      <w:pPr>
        <w:spacing w:after="0" w:line="348"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3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Subsidiary</w:t>
            </w:r>
          </w:p>
        </w:tc>
        <w:tc>
          <w:tcPr>
            <w:tcW w:w="16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Guarantor</w:t>
            </w:r>
          </w:p>
        </w:tc>
        <w:tc>
          <w:tcPr>
            <w:tcW w:w="100" w:type="dxa"/>
            <w:vAlign w:val="bottom"/>
          </w:tcPr>
          <w:p>
            <w:pPr>
              <w:spacing w:after="0"/>
              <w:rPr>
                <w:sz w:val="14"/>
                <w:szCs w:val="14"/>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Non-Guarantor</w:t>
            </w: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gridSpan w:val="2"/>
          </w:tcPr>
          <w:p>
            <w:pPr>
              <w:ind w:left="140"/>
              <w:spacing w:after="0"/>
              <w:rPr>
                <w:sz w:val="20"/>
                <w:szCs w:val="20"/>
                <w:color w:val="auto"/>
              </w:rPr>
            </w:pPr>
            <w:r>
              <w:rPr>
                <w:rFonts w:ascii="Arial" w:cs="Arial" w:eastAsia="Arial" w:hAnsi="Arial"/>
                <w:sz w:val="14"/>
                <w:szCs w:val="14"/>
                <w:b w:val="1"/>
                <w:bCs w:val="1"/>
                <w:color w:val="auto"/>
              </w:rPr>
              <w:t>Parent</w:t>
            </w:r>
          </w:p>
        </w:tc>
        <w:tc>
          <w:tcPr>
            <w:tcW w:w="180" w:type="dxa"/>
            <w:vAlign w:val="bottom"/>
          </w:tcPr>
          <w:p>
            <w:pPr>
              <w:spacing w:after="0"/>
              <w:rPr>
                <w:sz w:val="17"/>
                <w:szCs w:val="17"/>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Issuers</w:t>
            </w:r>
          </w:p>
        </w:tc>
        <w:tc>
          <w:tcPr>
            <w:tcW w:w="16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Pr>
          <w:p>
            <w:pPr>
              <w:spacing w:after="0"/>
              <w:rPr>
                <w:sz w:val="17"/>
                <w:szCs w:val="17"/>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Subsidiaries</w:t>
            </w:r>
          </w:p>
        </w:tc>
        <w:tc>
          <w:tcPr>
            <w:tcW w:w="160" w:type="dxa"/>
            <w:vAlign w:val="bottom"/>
          </w:tcPr>
          <w:p>
            <w:pPr>
              <w:spacing w:after="0"/>
              <w:rPr>
                <w:sz w:val="17"/>
                <w:szCs w:val="17"/>
                <w:color w:val="auto"/>
              </w:rPr>
            </w:pPr>
          </w:p>
        </w:tc>
        <w:tc>
          <w:tcPr>
            <w:tcW w:w="1200" w:type="dxa"/>
            <w:vAlign w:val="bottom"/>
            <w:gridSpan w:val="2"/>
          </w:tcPr>
          <w:p>
            <w:pPr>
              <w:ind w:left="40"/>
              <w:spacing w:after="0"/>
              <w:rPr>
                <w:sz w:val="20"/>
                <w:szCs w:val="20"/>
                <w:color w:val="auto"/>
              </w:rPr>
            </w:pPr>
            <w:r>
              <w:rPr>
                <w:rFonts w:ascii="Arial" w:cs="Arial" w:eastAsia="Arial" w:hAnsi="Arial"/>
                <w:sz w:val="14"/>
                <w:szCs w:val="14"/>
                <w:b w:val="1"/>
                <w:bCs w:val="1"/>
                <w:color w:val="auto"/>
              </w:rPr>
              <w:t>Eliminations</w:t>
            </w:r>
          </w:p>
        </w:tc>
        <w:tc>
          <w:tcPr>
            <w:tcW w:w="280" w:type="dxa"/>
            <w:vAlign w:val="bottom"/>
          </w:tcPr>
          <w:p>
            <w:pPr>
              <w:spacing w:after="0"/>
              <w:rPr>
                <w:sz w:val="17"/>
                <w:szCs w:val="17"/>
                <w:color w:val="auto"/>
              </w:rPr>
            </w:pPr>
          </w:p>
        </w:tc>
        <w:tc>
          <w:tcPr>
            <w:tcW w:w="960" w:type="dxa"/>
            <w:vAlign w:val="bottom"/>
          </w:tcPr>
          <w:p>
            <w:pPr>
              <w:jc w:val="right"/>
              <w:ind w:right="38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2"/>
        </w:trPr>
        <w:tc>
          <w:tcPr>
            <w:tcW w:w="3300" w:type="dxa"/>
            <w:vAlign w:val="bottom"/>
          </w:tcPr>
          <w:p>
            <w:pPr>
              <w:spacing w:after="0"/>
              <w:rPr>
                <w:sz w:val="20"/>
                <w:szCs w:val="20"/>
                <w:color w:val="auto"/>
              </w:rPr>
            </w:pPr>
            <w:r>
              <w:rPr>
                <w:rFonts w:ascii="Arial" w:cs="Arial" w:eastAsia="Arial" w:hAnsi="Arial"/>
                <w:sz w:val="14"/>
                <w:szCs w:val="14"/>
                <w:b w:val="1"/>
                <w:bCs w:val="1"/>
                <w:color w:val="auto"/>
              </w:rPr>
              <w:t>Net cash provided by (used in) operating</w:t>
            </w:r>
          </w:p>
        </w:tc>
        <w:tc>
          <w:tcPr>
            <w:tcW w:w="26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300" w:type="dxa"/>
            <w:vAlign w:val="bottom"/>
          </w:tcPr>
          <w:p>
            <w:pPr>
              <w:ind w:left="160"/>
              <w:spacing w:after="0"/>
              <w:rPr>
                <w:sz w:val="20"/>
                <w:szCs w:val="20"/>
                <w:color w:val="auto"/>
              </w:rPr>
            </w:pPr>
            <w:r>
              <w:rPr>
                <w:rFonts w:ascii="Arial" w:cs="Arial" w:eastAsia="Arial" w:hAnsi="Arial"/>
                <w:sz w:val="14"/>
                <w:szCs w:val="14"/>
                <w:b w:val="1"/>
                <w:bCs w:val="1"/>
                <w:color w:val="auto"/>
              </w:rPr>
              <w:t>activities</w:t>
            </w: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110</w:t>
            </w:r>
          </w:p>
        </w:tc>
        <w:tc>
          <w:tcPr>
            <w:tcW w:w="120" w:type="dxa"/>
            <w:vAlign w:val="bottom"/>
          </w:tcPr>
          <w:p>
            <w:pPr>
              <w:spacing w:after="0"/>
              <w:rPr>
                <w:sz w:val="17"/>
                <w:szCs w:val="17"/>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(89)</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97</w:t>
            </w:r>
          </w:p>
        </w:tc>
        <w:tc>
          <w:tcPr>
            <w:tcW w:w="12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2,697</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(167)</w:t>
            </w:r>
          </w:p>
        </w:tc>
        <w:tc>
          <w:tcPr>
            <w:tcW w:w="120" w:type="dxa"/>
            <w:vAlign w:val="bottom"/>
          </w:tcPr>
          <w:p>
            <w:pPr>
              <w:spacing w:after="0"/>
              <w:rPr>
                <w:sz w:val="17"/>
                <w:szCs w:val="17"/>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2,648</w:t>
            </w:r>
          </w:p>
        </w:tc>
        <w:tc>
          <w:tcPr>
            <w:tcW w:w="0" w:type="dxa"/>
            <w:vAlign w:val="bottom"/>
          </w:tcPr>
          <w:p>
            <w:pPr>
              <w:spacing w:after="0"/>
              <w:rPr>
                <w:sz w:val="1"/>
                <w:szCs w:val="1"/>
                <w:color w:val="auto"/>
              </w:rPr>
            </w:pPr>
          </w:p>
        </w:tc>
      </w:tr>
      <w:tr>
        <w:trPr>
          <w:trHeight w:val="474"/>
        </w:trPr>
        <w:tc>
          <w:tcPr>
            <w:tcW w:w="3300" w:type="dxa"/>
            <w:vAlign w:val="bottom"/>
          </w:tcPr>
          <w:p>
            <w:pPr>
              <w:spacing w:after="0"/>
              <w:rPr>
                <w:sz w:val="20"/>
                <w:szCs w:val="20"/>
                <w:color w:val="auto"/>
              </w:rPr>
            </w:pPr>
            <w:r>
              <w:rPr>
                <w:rFonts w:ascii="Arial" w:cs="Arial" w:eastAsia="Arial" w:hAnsi="Arial"/>
                <w:sz w:val="14"/>
                <w:szCs w:val="14"/>
                <w:b w:val="1"/>
                <w:bCs w:val="1"/>
                <w:color w:val="auto"/>
              </w:rPr>
              <w:t>Investing activities</w:t>
            </w: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300" w:type="dxa"/>
            <w:vAlign w:val="bottom"/>
          </w:tcPr>
          <w:p>
            <w:pPr>
              <w:spacing w:after="0"/>
              <w:rPr>
                <w:sz w:val="20"/>
                <w:szCs w:val="20"/>
                <w:color w:val="auto"/>
              </w:rPr>
            </w:pPr>
            <w:r>
              <w:rPr>
                <w:rFonts w:ascii="Arial" w:cs="Arial" w:eastAsia="Arial" w:hAnsi="Arial"/>
                <w:sz w:val="14"/>
                <w:szCs w:val="14"/>
                <w:color w:val="auto"/>
              </w:rPr>
              <w:t>Property and equipment additions</w:t>
            </w:r>
          </w:p>
        </w:tc>
        <w:tc>
          <w:tcPr>
            <w:tcW w:w="260" w:type="dxa"/>
            <w:vAlign w:val="bottom"/>
          </w:tcPr>
          <w:p>
            <w:pPr>
              <w:spacing w:after="0"/>
              <w:rPr>
                <w:sz w:val="23"/>
                <w:szCs w:val="23"/>
                <w:color w:val="auto"/>
              </w:rPr>
            </w:pPr>
          </w:p>
        </w:tc>
        <w:tc>
          <w:tcPr>
            <w:tcW w:w="11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00" w:type="dxa"/>
            <w:vAlign w:val="bottom"/>
            <w:vMerge w:val="restart"/>
          </w:tcPr>
          <w:p>
            <w:pPr>
              <w:jc w:val="right"/>
              <w:ind w:right="8"/>
              <w:spacing w:after="0"/>
              <w:rPr>
                <w:sz w:val="20"/>
                <w:szCs w:val="20"/>
                <w:color w:val="auto"/>
              </w:rPr>
            </w:pPr>
            <w:r>
              <w:rPr>
                <w:rFonts w:ascii="Arial" w:cs="Arial" w:eastAsia="Arial" w:hAnsi="Arial"/>
                <w:sz w:val="14"/>
                <w:szCs w:val="14"/>
                <w:color w:val="auto"/>
              </w:rPr>
              <w:t>(49)</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(81)</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(67)</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(197)</w:t>
            </w:r>
          </w:p>
        </w:tc>
        <w:tc>
          <w:tcPr>
            <w:tcW w:w="0" w:type="dxa"/>
            <w:vAlign w:val="bottom"/>
          </w:tcPr>
          <w:p>
            <w:pPr>
              <w:spacing w:after="0"/>
              <w:rPr>
                <w:sz w:val="1"/>
                <w:szCs w:val="1"/>
                <w:color w:val="auto"/>
              </w:rPr>
            </w:pPr>
          </w:p>
        </w:tc>
      </w:tr>
      <w:tr>
        <w:trPr>
          <w:trHeight w:val="54"/>
        </w:trPr>
        <w:tc>
          <w:tcPr>
            <w:tcW w:w="3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4"/>
                <w:szCs w:val="14"/>
                <w:color w:val="auto"/>
              </w:rPr>
              <w:t>Proceeds received on asset sales</w:t>
            </w:r>
          </w:p>
        </w:tc>
        <w:tc>
          <w:tcPr>
            <w:tcW w:w="260" w:type="dxa"/>
            <w:vAlign w:val="bottom"/>
          </w:tcPr>
          <w:p>
            <w:pPr>
              <w:spacing w:after="0"/>
              <w:rPr>
                <w:sz w:val="18"/>
                <w:szCs w:val="18"/>
                <w:color w:val="auto"/>
              </w:rPr>
            </w:pPr>
          </w:p>
        </w:tc>
        <w:tc>
          <w:tcPr>
            <w:tcW w:w="11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100" w:type="dxa"/>
            <w:vAlign w:val="bottom"/>
            <w:vMerge w:val="restart"/>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140" w:type="dxa"/>
            <w:vAlign w:val="bottom"/>
            <w:vMerge w:val="restart"/>
          </w:tcPr>
          <w:p>
            <w:pPr>
              <w:jc w:val="right"/>
              <w:ind w:right="28"/>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60" w:type="dxa"/>
            <w:vAlign w:val="bottom"/>
            <w:vMerge w:val="restart"/>
          </w:tcPr>
          <w:p>
            <w:pPr>
              <w:jc w:val="right"/>
              <w:ind w:right="28"/>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54"/>
        </w:trPr>
        <w:tc>
          <w:tcPr>
            <w:tcW w:w="3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4"/>
                <w:szCs w:val="14"/>
                <w:color w:val="auto"/>
              </w:rPr>
              <w:t>Net assets acquired (net of cash acquired)</w:t>
            </w:r>
          </w:p>
        </w:tc>
        <w:tc>
          <w:tcPr>
            <w:tcW w:w="260" w:type="dxa"/>
            <w:vAlign w:val="bottom"/>
          </w:tcPr>
          <w:p>
            <w:pPr>
              <w:spacing w:after="0"/>
              <w:rPr>
                <w:sz w:val="18"/>
                <w:szCs w:val="18"/>
                <w:color w:val="auto"/>
              </w:rPr>
            </w:pPr>
          </w:p>
        </w:tc>
        <w:tc>
          <w:tcPr>
            <w:tcW w:w="11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100" w:type="dxa"/>
            <w:vAlign w:val="bottom"/>
            <w:vMerge w:val="restart"/>
          </w:tcPr>
          <w:p>
            <w:pPr>
              <w:jc w:val="right"/>
              <w:ind w:right="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54"/>
        </w:trPr>
        <w:tc>
          <w:tcPr>
            <w:tcW w:w="3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4"/>
                <w:szCs w:val="14"/>
                <w:color w:val="auto"/>
              </w:rPr>
              <w:t>Intercompany loan receipts (advances)</w:t>
            </w:r>
          </w:p>
        </w:tc>
        <w:tc>
          <w:tcPr>
            <w:tcW w:w="260" w:type="dxa"/>
            <w:vAlign w:val="bottom"/>
          </w:tcPr>
          <w:p>
            <w:pPr>
              <w:spacing w:after="0"/>
              <w:rPr>
                <w:sz w:val="18"/>
                <w:szCs w:val="18"/>
                <w:color w:val="auto"/>
              </w:rPr>
            </w:pPr>
          </w:p>
        </w:tc>
        <w:tc>
          <w:tcPr>
            <w:tcW w:w="11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(264)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264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54"/>
        </w:trPr>
        <w:tc>
          <w:tcPr>
            <w:tcW w:w="3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4"/>
                <w:szCs w:val="14"/>
                <w:color w:val="auto"/>
              </w:rPr>
              <w:t>Other, net</w:t>
            </w:r>
          </w:p>
        </w:tc>
        <w:tc>
          <w:tcPr>
            <w:tcW w:w="260" w:type="dxa"/>
            <w:vAlign w:val="bottom"/>
          </w:tcPr>
          <w:p>
            <w:pPr>
              <w:spacing w:after="0"/>
              <w:rPr>
                <w:sz w:val="18"/>
                <w:szCs w:val="18"/>
                <w:color w:val="auto"/>
              </w:rPr>
            </w:pPr>
          </w:p>
        </w:tc>
        <w:tc>
          <w:tcPr>
            <w:tcW w:w="1020" w:type="dxa"/>
            <w:vAlign w:val="bottom"/>
            <w:vMerge w:val="restart"/>
          </w:tcPr>
          <w:p>
            <w:pPr>
              <w:jc w:val="right"/>
              <w:ind w:right="48"/>
              <w:spacing w:after="0"/>
              <w:rPr>
                <w:sz w:val="20"/>
                <w:szCs w:val="20"/>
                <w:color w:val="auto"/>
              </w:rPr>
            </w:pPr>
            <w:r>
              <w:rPr>
                <w:rFonts w:ascii="Arial" w:cs="Arial" w:eastAsia="Arial" w:hAnsi="Arial"/>
                <w:sz w:val="14"/>
                <w:szCs w:val="14"/>
                <w:color w:val="auto"/>
              </w:rPr>
              <w:t>100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vMerge w:val="restart"/>
          </w:tcPr>
          <w:p>
            <w:pPr>
              <w:jc w:val="right"/>
              <w:ind w:right="48"/>
              <w:spacing w:after="0"/>
              <w:rPr>
                <w:sz w:val="20"/>
                <w:szCs w:val="20"/>
                <w:color w:val="auto"/>
              </w:rPr>
            </w:pPr>
            <w:r>
              <w:rPr>
                <w:rFonts w:ascii="Arial" w:cs="Arial" w:eastAsia="Arial" w:hAnsi="Arial"/>
                <w:sz w:val="14"/>
                <w:szCs w:val="14"/>
                <w:color w:val="auto"/>
              </w:rPr>
              <w:t>110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110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vMerge w:val="restart"/>
          </w:tcPr>
          <w:p>
            <w:pPr>
              <w:jc w:val="right"/>
              <w:ind w:right="28"/>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(320)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vMerge w:val="restart"/>
          </w:tcPr>
          <w:p>
            <w:pPr>
              <w:jc w:val="right"/>
              <w:ind w:right="28"/>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60"/>
        </w:trPr>
        <w:tc>
          <w:tcPr>
            <w:tcW w:w="3300" w:type="dxa"/>
            <w:vAlign w:val="bottom"/>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3300" w:type="dxa"/>
            <w:vAlign w:val="bottom"/>
          </w:tcPr>
          <w:p>
            <w:pPr>
              <w:spacing w:after="0"/>
              <w:rPr>
                <w:sz w:val="20"/>
                <w:szCs w:val="20"/>
                <w:color w:val="auto"/>
              </w:rPr>
            </w:pPr>
            <w:r>
              <w:rPr>
                <w:rFonts w:ascii="Arial" w:cs="Arial" w:eastAsia="Arial" w:hAnsi="Arial"/>
                <w:sz w:val="14"/>
                <w:szCs w:val="14"/>
                <w:b w:val="1"/>
                <w:bCs w:val="1"/>
                <w:color w:val="auto"/>
              </w:rPr>
              <w:t>Net cash provided by (used in) investing</w:t>
            </w: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300" w:type="dxa"/>
            <w:vAlign w:val="bottom"/>
          </w:tcPr>
          <w:p>
            <w:pPr>
              <w:ind w:left="160"/>
              <w:spacing w:after="0"/>
              <w:rPr>
                <w:sz w:val="20"/>
                <w:szCs w:val="20"/>
                <w:color w:val="auto"/>
              </w:rPr>
            </w:pPr>
            <w:r>
              <w:rPr>
                <w:rFonts w:ascii="Arial" w:cs="Arial" w:eastAsia="Arial" w:hAnsi="Arial"/>
                <w:sz w:val="14"/>
                <w:szCs w:val="14"/>
                <w:b w:val="1"/>
                <w:bCs w:val="1"/>
                <w:color w:val="auto"/>
              </w:rPr>
              <w:t>activities exclusive of vehicle programs</w:t>
            </w:r>
          </w:p>
        </w:tc>
        <w:tc>
          <w:tcPr>
            <w:tcW w:w="2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100</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61</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24</w:t>
            </w: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(334)</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w:t>
            </w: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(205)</w:t>
            </w:r>
          </w:p>
        </w:tc>
        <w:tc>
          <w:tcPr>
            <w:tcW w:w="0" w:type="dxa"/>
            <w:vAlign w:val="bottom"/>
          </w:tcPr>
          <w:p>
            <w:pPr>
              <w:spacing w:after="0"/>
              <w:rPr>
                <w:sz w:val="1"/>
                <w:szCs w:val="1"/>
                <w:color w:val="auto"/>
              </w:rPr>
            </w:pPr>
          </w:p>
        </w:tc>
      </w:tr>
      <w:tr>
        <w:trPr>
          <w:trHeight w:val="474"/>
        </w:trPr>
        <w:tc>
          <w:tcPr>
            <w:tcW w:w="3300" w:type="dxa"/>
            <w:vAlign w:val="bottom"/>
          </w:tcPr>
          <w:p>
            <w:pPr>
              <w:spacing w:after="0"/>
              <w:rPr>
                <w:sz w:val="20"/>
                <w:szCs w:val="20"/>
                <w:color w:val="auto"/>
              </w:rPr>
            </w:pPr>
            <w:r>
              <w:rPr>
                <w:rFonts w:ascii="Arial" w:cs="Arial" w:eastAsia="Arial" w:hAnsi="Arial"/>
                <w:sz w:val="14"/>
                <w:szCs w:val="14"/>
                <w:i w:val="1"/>
                <w:iCs w:val="1"/>
                <w:color w:val="auto"/>
              </w:rPr>
              <w:t>Vehicle programs:</w:t>
            </w: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300" w:type="dxa"/>
            <w:vAlign w:val="bottom"/>
          </w:tcPr>
          <w:p>
            <w:pPr>
              <w:spacing w:after="0"/>
              <w:rPr>
                <w:sz w:val="20"/>
                <w:szCs w:val="20"/>
                <w:color w:val="auto"/>
              </w:rPr>
            </w:pPr>
            <w:r>
              <w:rPr>
                <w:rFonts w:ascii="Arial" w:cs="Arial" w:eastAsia="Arial" w:hAnsi="Arial"/>
                <w:sz w:val="14"/>
                <w:szCs w:val="14"/>
                <w:color w:val="auto"/>
              </w:rPr>
              <w:t>Investment in vehicles</w:t>
            </w:r>
          </w:p>
        </w:tc>
        <w:tc>
          <w:tcPr>
            <w:tcW w:w="260" w:type="dxa"/>
            <w:vAlign w:val="bottom"/>
          </w:tcPr>
          <w:p>
            <w:pPr>
              <w:spacing w:after="0"/>
              <w:rPr>
                <w:sz w:val="23"/>
                <w:szCs w:val="23"/>
                <w:color w:val="auto"/>
              </w:rPr>
            </w:pPr>
          </w:p>
        </w:tc>
        <w:tc>
          <w:tcPr>
            <w:tcW w:w="11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00" w:type="dxa"/>
            <w:vAlign w:val="bottom"/>
            <w:vMerge w:val="restart"/>
          </w:tcPr>
          <w:p>
            <w:pPr>
              <w:jc w:val="right"/>
              <w:ind w:right="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(11,537)</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(11,538)</w:t>
            </w:r>
          </w:p>
        </w:tc>
        <w:tc>
          <w:tcPr>
            <w:tcW w:w="0" w:type="dxa"/>
            <w:vAlign w:val="bottom"/>
          </w:tcPr>
          <w:p>
            <w:pPr>
              <w:spacing w:after="0"/>
              <w:rPr>
                <w:sz w:val="1"/>
                <w:szCs w:val="1"/>
                <w:color w:val="auto"/>
              </w:rPr>
            </w:pPr>
          </w:p>
        </w:tc>
      </w:tr>
      <w:tr>
        <w:trPr>
          <w:trHeight w:val="54"/>
        </w:trPr>
        <w:tc>
          <w:tcPr>
            <w:tcW w:w="3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4"/>
                <w:szCs w:val="14"/>
                <w:color w:val="auto"/>
              </w:rPr>
              <w:t>Proceeds received on disposition of vehicles</w:t>
            </w:r>
          </w:p>
        </w:tc>
        <w:tc>
          <w:tcPr>
            <w:tcW w:w="260" w:type="dxa"/>
            <w:vAlign w:val="bottom"/>
          </w:tcPr>
          <w:p>
            <w:pPr>
              <w:spacing w:after="0"/>
              <w:rPr>
                <w:sz w:val="18"/>
                <w:szCs w:val="18"/>
                <w:color w:val="auto"/>
              </w:rPr>
            </w:pPr>
          </w:p>
        </w:tc>
        <w:tc>
          <w:tcPr>
            <w:tcW w:w="11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100" w:type="dxa"/>
            <w:vAlign w:val="bottom"/>
            <w:vMerge w:val="restart"/>
          </w:tcPr>
          <w:p>
            <w:pPr>
              <w:jc w:val="right"/>
              <w:ind w:right="48"/>
              <w:spacing w:after="0"/>
              <w:rPr>
                <w:sz w:val="20"/>
                <w:szCs w:val="20"/>
                <w:color w:val="auto"/>
              </w:rPr>
            </w:pPr>
            <w:r>
              <w:rPr>
                <w:rFonts w:ascii="Arial" w:cs="Arial" w:eastAsia="Arial" w:hAnsi="Arial"/>
                <w:sz w:val="14"/>
                <w:szCs w:val="14"/>
                <w:color w:val="auto"/>
              </w:rPr>
              <w:t>46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140" w:type="dxa"/>
            <w:vAlign w:val="bottom"/>
            <w:vMerge w:val="restart"/>
          </w:tcPr>
          <w:p>
            <w:pPr>
              <w:jc w:val="right"/>
              <w:ind w:right="28"/>
              <w:spacing w:after="0"/>
              <w:rPr>
                <w:sz w:val="20"/>
                <w:szCs w:val="20"/>
                <w:color w:val="auto"/>
              </w:rPr>
            </w:pPr>
            <w:r>
              <w:rPr>
                <w:rFonts w:ascii="Arial" w:cs="Arial" w:eastAsia="Arial" w:hAnsi="Arial"/>
                <w:sz w:val="14"/>
                <w:szCs w:val="14"/>
                <w:color w:val="auto"/>
              </w:rPr>
              <w:t>9,554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60" w:type="dxa"/>
            <w:vAlign w:val="bottom"/>
            <w:vMerge w:val="restart"/>
          </w:tcPr>
          <w:p>
            <w:pPr>
              <w:jc w:val="right"/>
              <w:ind w:right="28"/>
              <w:spacing w:after="0"/>
              <w:rPr>
                <w:sz w:val="20"/>
                <w:szCs w:val="20"/>
                <w:color w:val="auto"/>
              </w:rPr>
            </w:pPr>
            <w:r>
              <w:rPr>
                <w:rFonts w:ascii="Arial" w:cs="Arial" w:eastAsia="Arial" w:hAnsi="Arial"/>
                <w:sz w:val="14"/>
                <w:szCs w:val="14"/>
                <w:color w:val="auto"/>
              </w:rPr>
              <w:t>9,600</w:t>
            </w:r>
          </w:p>
        </w:tc>
        <w:tc>
          <w:tcPr>
            <w:tcW w:w="0" w:type="dxa"/>
            <w:vAlign w:val="bottom"/>
          </w:tcPr>
          <w:p>
            <w:pPr>
              <w:spacing w:after="0"/>
              <w:rPr>
                <w:sz w:val="1"/>
                <w:szCs w:val="1"/>
                <w:color w:val="auto"/>
              </w:rPr>
            </w:pPr>
          </w:p>
        </w:tc>
      </w:tr>
      <w:tr>
        <w:trPr>
          <w:trHeight w:val="54"/>
        </w:trPr>
        <w:tc>
          <w:tcPr>
            <w:tcW w:w="3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6"/>
        </w:trPr>
        <w:tc>
          <w:tcPr>
            <w:tcW w:w="3300" w:type="dxa"/>
            <w:vAlign w:val="bottom"/>
          </w:tcPr>
          <w:p>
            <w:pPr>
              <w:spacing w:after="0"/>
              <w:rPr>
                <w:sz w:val="20"/>
                <w:szCs w:val="20"/>
                <w:color w:val="auto"/>
              </w:rPr>
            </w:pPr>
            <w:r>
              <w:rPr>
                <w:rFonts w:ascii="Arial" w:cs="Arial" w:eastAsia="Arial" w:hAnsi="Arial"/>
                <w:sz w:val="14"/>
                <w:szCs w:val="14"/>
                <w:color w:val="auto"/>
              </w:rPr>
              <w:t>Investment in debt securities of Avis Budget Rental</w:t>
            </w: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3300" w:type="dxa"/>
            <w:vAlign w:val="bottom"/>
          </w:tcPr>
          <w:p>
            <w:pPr>
              <w:spacing w:after="0"/>
              <w:rPr>
                <w:sz w:val="20"/>
                <w:szCs w:val="20"/>
                <w:color w:val="auto"/>
              </w:rPr>
            </w:pPr>
            <w:r>
              <w:rPr>
                <w:rFonts w:ascii="Arial" w:cs="Arial" w:eastAsia="Arial" w:hAnsi="Arial"/>
                <w:sz w:val="14"/>
                <w:szCs w:val="14"/>
                <w:color w:val="auto"/>
              </w:rPr>
              <w:t>Car Funding (AESOP) LLC — related party</w:t>
            </w:r>
          </w:p>
        </w:tc>
        <w:tc>
          <w:tcPr>
            <w:tcW w:w="2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w:t>
            </w:r>
          </w:p>
        </w:tc>
        <w:tc>
          <w:tcPr>
            <w:tcW w:w="0" w:type="dxa"/>
            <w:vAlign w:val="bottom"/>
          </w:tcPr>
          <w:p>
            <w:pPr>
              <w:spacing w:after="0"/>
              <w:rPr>
                <w:sz w:val="1"/>
                <w:szCs w:val="1"/>
                <w:color w:val="auto"/>
              </w:rPr>
            </w:pPr>
          </w:p>
        </w:tc>
      </w:tr>
      <w:tr>
        <w:trPr>
          <w:trHeight w:val="250"/>
        </w:trPr>
        <w:tc>
          <w:tcPr>
            <w:tcW w:w="3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45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(2,044)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(1,999)</w:t>
            </w:r>
          </w:p>
        </w:tc>
        <w:tc>
          <w:tcPr>
            <w:tcW w:w="0" w:type="dxa"/>
            <w:vAlign w:val="bottom"/>
          </w:tcPr>
          <w:p>
            <w:pPr>
              <w:spacing w:after="0"/>
              <w:rPr>
                <w:sz w:val="1"/>
                <w:szCs w:val="1"/>
                <w:color w:val="auto"/>
              </w:rPr>
            </w:pPr>
          </w:p>
        </w:tc>
      </w:tr>
      <w:tr>
        <w:trPr>
          <w:trHeight w:val="162"/>
        </w:trPr>
        <w:tc>
          <w:tcPr>
            <w:tcW w:w="3300" w:type="dxa"/>
            <w:vAlign w:val="bottom"/>
          </w:tcPr>
          <w:p>
            <w:pPr>
              <w:spacing w:after="0"/>
              <w:rPr>
                <w:sz w:val="20"/>
                <w:szCs w:val="20"/>
                <w:color w:val="auto"/>
              </w:rPr>
            </w:pPr>
            <w:r>
              <w:rPr>
                <w:rFonts w:ascii="Arial" w:cs="Arial" w:eastAsia="Arial" w:hAnsi="Arial"/>
                <w:sz w:val="14"/>
                <w:szCs w:val="14"/>
                <w:b w:val="1"/>
                <w:bCs w:val="1"/>
                <w:color w:val="auto"/>
              </w:rPr>
              <w:t>Net cash provided by (used in) investing</w:t>
            </w:r>
          </w:p>
        </w:tc>
        <w:tc>
          <w:tcPr>
            <w:tcW w:w="26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300" w:type="dxa"/>
            <w:vAlign w:val="bottom"/>
          </w:tcPr>
          <w:p>
            <w:pPr>
              <w:ind w:left="160"/>
              <w:spacing w:after="0"/>
              <w:rPr>
                <w:sz w:val="20"/>
                <w:szCs w:val="20"/>
                <w:color w:val="auto"/>
              </w:rPr>
            </w:pPr>
            <w:r>
              <w:rPr>
                <w:rFonts w:ascii="Arial" w:cs="Arial" w:eastAsia="Arial" w:hAnsi="Arial"/>
                <w:sz w:val="14"/>
                <w:szCs w:val="14"/>
                <w:b w:val="1"/>
                <w:bCs w:val="1"/>
                <w:color w:val="auto"/>
              </w:rPr>
              <w:t>activities</w:t>
            </w:r>
          </w:p>
        </w:tc>
        <w:tc>
          <w:tcPr>
            <w:tcW w:w="2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100</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106</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24</w:t>
            </w: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(2,378)</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w:t>
            </w: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(2,204)</w:t>
            </w:r>
          </w:p>
        </w:tc>
        <w:tc>
          <w:tcPr>
            <w:tcW w:w="0" w:type="dxa"/>
            <w:vAlign w:val="bottom"/>
          </w:tcPr>
          <w:p>
            <w:pPr>
              <w:spacing w:after="0"/>
              <w:rPr>
                <w:sz w:val="1"/>
                <w:szCs w:val="1"/>
                <w:color w:val="auto"/>
              </w:rPr>
            </w:pPr>
          </w:p>
        </w:tc>
      </w:tr>
      <w:tr>
        <w:trPr>
          <w:trHeight w:val="474"/>
        </w:trPr>
        <w:tc>
          <w:tcPr>
            <w:tcW w:w="3300" w:type="dxa"/>
            <w:vAlign w:val="bottom"/>
          </w:tcPr>
          <w:p>
            <w:pPr>
              <w:spacing w:after="0"/>
              <w:rPr>
                <w:sz w:val="20"/>
                <w:szCs w:val="20"/>
                <w:color w:val="auto"/>
              </w:rPr>
            </w:pPr>
            <w:r>
              <w:rPr>
                <w:rFonts w:ascii="Arial" w:cs="Arial" w:eastAsia="Arial" w:hAnsi="Arial"/>
                <w:sz w:val="14"/>
                <w:szCs w:val="14"/>
                <w:b w:val="1"/>
                <w:bCs w:val="1"/>
                <w:color w:val="auto"/>
              </w:rPr>
              <w:t>Financing activities</w:t>
            </w: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300" w:type="dxa"/>
            <w:vAlign w:val="bottom"/>
          </w:tcPr>
          <w:p>
            <w:pPr>
              <w:spacing w:after="0"/>
              <w:rPr>
                <w:sz w:val="20"/>
                <w:szCs w:val="20"/>
                <w:color w:val="auto"/>
              </w:rPr>
            </w:pPr>
            <w:r>
              <w:rPr>
                <w:rFonts w:ascii="Arial" w:cs="Arial" w:eastAsia="Arial" w:hAnsi="Arial"/>
                <w:sz w:val="14"/>
                <w:szCs w:val="14"/>
                <w:color w:val="auto"/>
              </w:rPr>
              <w:t>Proceeds from long-term borrowings</w:t>
            </w:r>
          </w:p>
        </w:tc>
        <w:tc>
          <w:tcPr>
            <w:tcW w:w="260" w:type="dxa"/>
            <w:vAlign w:val="bottom"/>
          </w:tcPr>
          <w:p>
            <w:pPr>
              <w:spacing w:after="0"/>
              <w:rPr>
                <w:sz w:val="23"/>
                <w:szCs w:val="23"/>
                <w:color w:val="auto"/>
              </w:rPr>
            </w:pPr>
          </w:p>
        </w:tc>
        <w:tc>
          <w:tcPr>
            <w:tcW w:w="11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00" w:type="dxa"/>
            <w:vAlign w:val="bottom"/>
            <w:vMerge w:val="restart"/>
          </w:tcPr>
          <w:p>
            <w:pPr>
              <w:jc w:val="right"/>
              <w:ind w:right="48"/>
              <w:spacing w:after="0"/>
              <w:rPr>
                <w:sz w:val="20"/>
                <w:szCs w:val="20"/>
                <w:color w:val="auto"/>
              </w:rPr>
            </w:pPr>
            <w:r>
              <w:rPr>
                <w:rFonts w:ascii="Arial" w:cs="Arial" w:eastAsia="Arial" w:hAnsi="Arial"/>
                <w:sz w:val="14"/>
                <w:szCs w:val="14"/>
                <w:color w:val="auto"/>
              </w:rPr>
              <w:t>325</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1140" w:type="dxa"/>
            <w:vAlign w:val="bottom"/>
            <w:vMerge w:val="restart"/>
          </w:tcPr>
          <w:p>
            <w:pPr>
              <w:jc w:val="right"/>
              <w:ind w:right="28"/>
              <w:spacing w:after="0"/>
              <w:rPr>
                <w:sz w:val="20"/>
                <w:szCs w:val="20"/>
                <w:color w:val="auto"/>
              </w:rPr>
            </w:pPr>
            <w:r>
              <w:rPr>
                <w:rFonts w:ascii="Arial" w:cs="Arial" w:eastAsia="Arial" w:hAnsi="Arial"/>
                <w:sz w:val="14"/>
                <w:szCs w:val="14"/>
                <w:color w:val="auto"/>
              </w:rPr>
              <w:t>264</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960" w:type="dxa"/>
            <w:vAlign w:val="bottom"/>
            <w:vMerge w:val="restart"/>
          </w:tcPr>
          <w:p>
            <w:pPr>
              <w:jc w:val="right"/>
              <w:ind w:right="28"/>
              <w:spacing w:after="0"/>
              <w:rPr>
                <w:sz w:val="20"/>
                <w:szCs w:val="20"/>
                <w:color w:val="auto"/>
              </w:rPr>
            </w:pPr>
            <w:r>
              <w:rPr>
                <w:rFonts w:ascii="Arial" w:cs="Arial" w:eastAsia="Arial" w:hAnsi="Arial"/>
                <w:sz w:val="14"/>
                <w:szCs w:val="14"/>
                <w:color w:val="auto"/>
              </w:rPr>
              <w:t>589</w:t>
            </w:r>
          </w:p>
        </w:tc>
        <w:tc>
          <w:tcPr>
            <w:tcW w:w="0" w:type="dxa"/>
            <w:vAlign w:val="bottom"/>
          </w:tcPr>
          <w:p>
            <w:pPr>
              <w:spacing w:after="0"/>
              <w:rPr>
                <w:sz w:val="1"/>
                <w:szCs w:val="1"/>
                <w:color w:val="auto"/>
              </w:rPr>
            </w:pPr>
          </w:p>
        </w:tc>
      </w:tr>
      <w:tr>
        <w:trPr>
          <w:trHeight w:val="54"/>
        </w:trPr>
        <w:tc>
          <w:tcPr>
            <w:tcW w:w="3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4"/>
                <w:szCs w:val="14"/>
                <w:color w:val="auto"/>
              </w:rPr>
              <w:t>Payments on long-term borrowings</w:t>
            </w:r>
          </w:p>
        </w:tc>
        <w:tc>
          <w:tcPr>
            <w:tcW w:w="260" w:type="dxa"/>
            <w:vAlign w:val="bottom"/>
          </w:tcPr>
          <w:p>
            <w:pPr>
              <w:spacing w:after="0"/>
              <w:rPr>
                <w:sz w:val="18"/>
                <w:szCs w:val="18"/>
                <w:color w:val="auto"/>
              </w:rPr>
            </w:pPr>
          </w:p>
        </w:tc>
        <w:tc>
          <w:tcPr>
            <w:tcW w:w="11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100" w:type="dxa"/>
            <w:vAlign w:val="bottom"/>
            <w:vMerge w:val="restart"/>
          </w:tcPr>
          <w:p>
            <w:pPr>
              <w:jc w:val="right"/>
              <w:ind w:right="8"/>
              <w:spacing w:after="0"/>
              <w:rPr>
                <w:sz w:val="20"/>
                <w:szCs w:val="20"/>
                <w:color w:val="auto"/>
              </w:rPr>
            </w:pPr>
            <w:r>
              <w:rPr>
                <w:rFonts w:ascii="Arial" w:cs="Arial" w:eastAsia="Arial" w:hAnsi="Arial"/>
                <w:sz w:val="14"/>
                <w:szCs w:val="14"/>
                <w:color w:val="auto"/>
              </w:rPr>
              <w:t>(406)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(194)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(602)</w:t>
            </w:r>
          </w:p>
        </w:tc>
        <w:tc>
          <w:tcPr>
            <w:tcW w:w="0" w:type="dxa"/>
            <w:vAlign w:val="bottom"/>
          </w:tcPr>
          <w:p>
            <w:pPr>
              <w:spacing w:after="0"/>
              <w:rPr>
                <w:sz w:val="1"/>
                <w:szCs w:val="1"/>
                <w:color w:val="auto"/>
              </w:rPr>
            </w:pPr>
          </w:p>
        </w:tc>
      </w:tr>
      <w:tr>
        <w:trPr>
          <w:trHeight w:val="54"/>
        </w:trPr>
        <w:tc>
          <w:tcPr>
            <w:tcW w:w="3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4"/>
                <w:szCs w:val="14"/>
                <w:color w:val="auto"/>
              </w:rPr>
              <w:t>Net change in short-term borrowings</w:t>
            </w:r>
          </w:p>
        </w:tc>
        <w:tc>
          <w:tcPr>
            <w:tcW w:w="260" w:type="dxa"/>
            <w:vAlign w:val="bottom"/>
          </w:tcPr>
          <w:p>
            <w:pPr>
              <w:spacing w:after="0"/>
              <w:rPr>
                <w:sz w:val="18"/>
                <w:szCs w:val="18"/>
                <w:color w:val="auto"/>
              </w:rPr>
            </w:pPr>
          </w:p>
        </w:tc>
        <w:tc>
          <w:tcPr>
            <w:tcW w:w="11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54"/>
        </w:trPr>
        <w:tc>
          <w:tcPr>
            <w:tcW w:w="3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4"/>
                <w:szCs w:val="14"/>
                <w:color w:val="auto"/>
              </w:rPr>
              <w:t>Debt financing fees</w:t>
            </w:r>
          </w:p>
        </w:tc>
        <w:tc>
          <w:tcPr>
            <w:tcW w:w="260" w:type="dxa"/>
            <w:vAlign w:val="bottom"/>
          </w:tcPr>
          <w:p>
            <w:pPr>
              <w:spacing w:after="0"/>
              <w:rPr>
                <w:sz w:val="18"/>
                <w:szCs w:val="18"/>
                <w:color w:val="auto"/>
              </w:rPr>
            </w:pPr>
          </w:p>
        </w:tc>
        <w:tc>
          <w:tcPr>
            <w:tcW w:w="11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100" w:type="dxa"/>
            <w:vAlign w:val="bottom"/>
            <w:vMerge w:val="restart"/>
          </w:tcPr>
          <w:p>
            <w:pPr>
              <w:jc w:val="right"/>
              <w:ind w:right="8"/>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54"/>
        </w:trPr>
        <w:tc>
          <w:tcPr>
            <w:tcW w:w="3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4"/>
                <w:szCs w:val="14"/>
                <w:color w:val="auto"/>
              </w:rPr>
              <w:t>Repurchases of common stock</w:t>
            </w:r>
          </w:p>
        </w:tc>
        <w:tc>
          <w:tcPr>
            <w:tcW w:w="260" w:type="dxa"/>
            <w:vAlign w:val="bottom"/>
          </w:tcPr>
          <w:p>
            <w:pPr>
              <w:spacing w:after="0"/>
              <w:rPr>
                <w:sz w:val="18"/>
                <w:szCs w:val="18"/>
                <w:color w:val="auto"/>
              </w:rPr>
            </w:pPr>
          </w:p>
        </w:tc>
        <w:tc>
          <w:tcPr>
            <w:tcW w:w="1020" w:type="dxa"/>
            <w:vAlign w:val="bottom"/>
            <w:vMerge w:val="restart"/>
          </w:tcPr>
          <w:p>
            <w:pPr>
              <w:jc w:val="right"/>
              <w:ind w:right="8"/>
              <w:spacing w:after="0"/>
              <w:rPr>
                <w:sz w:val="20"/>
                <w:szCs w:val="20"/>
                <w:color w:val="auto"/>
              </w:rPr>
            </w:pPr>
            <w:r>
              <w:rPr>
                <w:rFonts w:ascii="Arial" w:cs="Arial" w:eastAsia="Arial" w:hAnsi="Arial"/>
                <w:sz w:val="14"/>
                <w:szCs w:val="14"/>
                <w:color w:val="auto"/>
              </w:rPr>
              <w:t>(210)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24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(210)</w:t>
            </w:r>
          </w:p>
        </w:tc>
        <w:tc>
          <w:tcPr>
            <w:tcW w:w="0" w:type="dxa"/>
            <w:vAlign w:val="bottom"/>
          </w:tcPr>
          <w:p>
            <w:pPr>
              <w:spacing w:after="0"/>
              <w:rPr>
                <w:sz w:val="1"/>
                <w:szCs w:val="1"/>
                <w:color w:val="auto"/>
              </w:rPr>
            </w:pPr>
          </w:p>
        </w:tc>
      </w:tr>
      <w:tr>
        <w:trPr>
          <w:trHeight w:val="54"/>
        </w:trPr>
        <w:tc>
          <w:tcPr>
            <w:tcW w:w="3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2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4"/>
                <w:szCs w:val="14"/>
                <w:color w:val="auto"/>
              </w:rPr>
              <w:t>Intercompany loan borrowings (payments)</w:t>
            </w:r>
          </w:p>
        </w:tc>
        <w:tc>
          <w:tcPr>
            <w:tcW w:w="260" w:type="dxa"/>
            <w:vAlign w:val="bottom"/>
          </w:tcPr>
          <w:p>
            <w:pPr>
              <w:spacing w:after="0"/>
              <w:rPr>
                <w:sz w:val="18"/>
                <w:szCs w:val="18"/>
                <w:color w:val="auto"/>
              </w:rPr>
            </w:pPr>
          </w:p>
        </w:tc>
        <w:tc>
          <w:tcPr>
            <w:tcW w:w="11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100" w:type="dxa"/>
            <w:vAlign w:val="bottom"/>
            <w:vMerge w:val="restart"/>
          </w:tcPr>
          <w:p>
            <w:pPr>
              <w:jc w:val="right"/>
              <w:ind w:right="48"/>
              <w:spacing w:after="0"/>
              <w:rPr>
                <w:sz w:val="20"/>
                <w:szCs w:val="20"/>
                <w:color w:val="auto"/>
              </w:rPr>
            </w:pPr>
            <w:r>
              <w:rPr>
                <w:rFonts w:ascii="Arial" w:cs="Arial" w:eastAsia="Arial" w:hAnsi="Arial"/>
                <w:sz w:val="14"/>
                <w:szCs w:val="14"/>
                <w:color w:val="auto"/>
              </w:rPr>
              <w:t>264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24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(264)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54"/>
        </w:trPr>
        <w:tc>
          <w:tcPr>
            <w:tcW w:w="3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4"/>
                <w:szCs w:val="14"/>
                <w:color w:val="auto"/>
              </w:rPr>
              <w:t>Other, net</w:t>
            </w:r>
          </w:p>
        </w:tc>
        <w:tc>
          <w:tcPr>
            <w:tcW w:w="260" w:type="dxa"/>
            <w:vAlign w:val="bottom"/>
          </w:tcPr>
          <w:p>
            <w:pPr>
              <w:spacing w:after="0"/>
              <w:rPr>
                <w:sz w:val="18"/>
                <w:szCs w:val="18"/>
                <w:color w:val="auto"/>
              </w:rPr>
            </w:pPr>
          </w:p>
        </w:tc>
        <w:tc>
          <w:tcPr>
            <w:tcW w:w="1020" w:type="dxa"/>
            <w:vAlign w:val="bottom"/>
            <w:vMerge w:val="restart"/>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vMerge w:val="restart"/>
          </w:tcPr>
          <w:p>
            <w:pPr>
              <w:jc w:val="right"/>
              <w:ind w:right="8"/>
              <w:spacing w:after="0"/>
              <w:rPr>
                <w:sz w:val="20"/>
                <w:szCs w:val="20"/>
                <w:color w:val="auto"/>
              </w:rPr>
            </w:pPr>
            <w:r>
              <w:rPr>
                <w:rFonts w:ascii="Arial" w:cs="Arial" w:eastAsia="Arial" w:hAnsi="Arial"/>
                <w:sz w:val="14"/>
                <w:szCs w:val="14"/>
                <w:color w:val="auto"/>
              </w:rPr>
              <w:t>(192)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(110)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(185)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487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vMerge w:val="restart"/>
          </w:tcPr>
          <w:p>
            <w:pPr>
              <w:jc w:val="right"/>
              <w:ind w:right="28"/>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60"/>
        </w:trPr>
        <w:tc>
          <w:tcPr>
            <w:tcW w:w="3300" w:type="dxa"/>
            <w:vAlign w:val="bottom"/>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3300" w:type="dxa"/>
            <w:vAlign w:val="bottom"/>
          </w:tcPr>
          <w:p>
            <w:pPr>
              <w:spacing w:after="0"/>
              <w:rPr>
                <w:sz w:val="20"/>
                <w:szCs w:val="20"/>
                <w:color w:val="auto"/>
              </w:rPr>
            </w:pPr>
            <w:r>
              <w:rPr>
                <w:rFonts w:ascii="Arial" w:cs="Arial" w:eastAsia="Arial" w:hAnsi="Arial"/>
                <w:sz w:val="14"/>
                <w:szCs w:val="14"/>
                <w:b w:val="1"/>
                <w:bCs w:val="1"/>
                <w:color w:val="auto"/>
              </w:rPr>
              <w:t>Net cash provided by (used in) financing</w:t>
            </w: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300" w:type="dxa"/>
            <w:vAlign w:val="bottom"/>
          </w:tcPr>
          <w:p>
            <w:pPr>
              <w:ind w:left="160"/>
              <w:spacing w:after="0"/>
              <w:rPr>
                <w:sz w:val="20"/>
                <w:szCs w:val="20"/>
                <w:color w:val="auto"/>
              </w:rPr>
            </w:pPr>
            <w:r>
              <w:rPr>
                <w:rFonts w:ascii="Arial" w:cs="Arial" w:eastAsia="Arial" w:hAnsi="Arial"/>
                <w:sz w:val="14"/>
                <w:szCs w:val="14"/>
                <w:b w:val="1"/>
                <w:bCs w:val="1"/>
                <w:color w:val="auto"/>
              </w:rPr>
              <w:t>activities exclusive of vehicle programs</w:t>
            </w:r>
          </w:p>
        </w:tc>
        <w:tc>
          <w:tcPr>
            <w:tcW w:w="2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(209)</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(112)</w:t>
            </w: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(123)</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223</w:t>
            </w: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(235)</w:t>
            </w:r>
          </w:p>
        </w:tc>
        <w:tc>
          <w:tcPr>
            <w:tcW w:w="0" w:type="dxa"/>
            <w:vAlign w:val="bottom"/>
          </w:tcPr>
          <w:p>
            <w:pPr>
              <w:spacing w:after="0"/>
              <w:rPr>
                <w:sz w:val="1"/>
                <w:szCs w:val="1"/>
                <w:color w:val="auto"/>
              </w:rPr>
            </w:pPr>
          </w:p>
        </w:tc>
      </w:tr>
      <w:tr>
        <w:trPr>
          <w:trHeight w:val="474"/>
        </w:trPr>
        <w:tc>
          <w:tcPr>
            <w:tcW w:w="3300" w:type="dxa"/>
            <w:vAlign w:val="bottom"/>
          </w:tcPr>
          <w:p>
            <w:pPr>
              <w:spacing w:after="0"/>
              <w:rPr>
                <w:sz w:val="20"/>
                <w:szCs w:val="20"/>
                <w:color w:val="auto"/>
              </w:rPr>
            </w:pPr>
            <w:r>
              <w:rPr>
                <w:rFonts w:ascii="Arial" w:cs="Arial" w:eastAsia="Arial" w:hAnsi="Arial"/>
                <w:sz w:val="14"/>
                <w:szCs w:val="14"/>
                <w:i w:val="1"/>
                <w:iCs w:val="1"/>
                <w:color w:val="auto"/>
              </w:rPr>
              <w:t>Vehicle programs:</w:t>
            </w: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300" w:type="dxa"/>
            <w:vAlign w:val="bottom"/>
          </w:tcPr>
          <w:p>
            <w:pPr>
              <w:spacing w:after="0"/>
              <w:rPr>
                <w:sz w:val="20"/>
                <w:szCs w:val="20"/>
                <w:color w:val="auto"/>
              </w:rPr>
            </w:pPr>
            <w:r>
              <w:rPr>
                <w:rFonts w:ascii="Arial" w:cs="Arial" w:eastAsia="Arial" w:hAnsi="Arial"/>
                <w:sz w:val="14"/>
                <w:szCs w:val="14"/>
                <w:color w:val="auto"/>
              </w:rPr>
              <w:t>Proceeds from borrowings</w:t>
            </w:r>
          </w:p>
        </w:tc>
        <w:tc>
          <w:tcPr>
            <w:tcW w:w="260" w:type="dxa"/>
            <w:vAlign w:val="bottom"/>
          </w:tcPr>
          <w:p>
            <w:pPr>
              <w:spacing w:after="0"/>
              <w:rPr>
                <w:sz w:val="23"/>
                <w:szCs w:val="23"/>
                <w:color w:val="auto"/>
              </w:rPr>
            </w:pPr>
          </w:p>
        </w:tc>
        <w:tc>
          <w:tcPr>
            <w:tcW w:w="11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1140" w:type="dxa"/>
            <w:vAlign w:val="bottom"/>
            <w:vMerge w:val="restart"/>
          </w:tcPr>
          <w:p>
            <w:pPr>
              <w:jc w:val="right"/>
              <w:ind w:right="28"/>
              <w:spacing w:after="0"/>
              <w:rPr>
                <w:sz w:val="20"/>
                <w:szCs w:val="20"/>
                <w:color w:val="auto"/>
              </w:rPr>
            </w:pPr>
            <w:r>
              <w:rPr>
                <w:rFonts w:ascii="Arial" w:cs="Arial" w:eastAsia="Arial" w:hAnsi="Arial"/>
                <w:sz w:val="14"/>
                <w:szCs w:val="14"/>
                <w:color w:val="auto"/>
              </w:rPr>
              <w:t>17,212</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960" w:type="dxa"/>
            <w:vAlign w:val="bottom"/>
            <w:vMerge w:val="restart"/>
          </w:tcPr>
          <w:p>
            <w:pPr>
              <w:jc w:val="right"/>
              <w:ind w:right="28"/>
              <w:spacing w:after="0"/>
              <w:rPr>
                <w:sz w:val="20"/>
                <w:szCs w:val="20"/>
                <w:color w:val="auto"/>
              </w:rPr>
            </w:pPr>
            <w:r>
              <w:rPr>
                <w:rFonts w:ascii="Arial" w:cs="Arial" w:eastAsia="Arial" w:hAnsi="Arial"/>
                <w:sz w:val="14"/>
                <w:szCs w:val="14"/>
                <w:color w:val="auto"/>
              </w:rPr>
              <w:t>17,212</w:t>
            </w:r>
          </w:p>
        </w:tc>
        <w:tc>
          <w:tcPr>
            <w:tcW w:w="0" w:type="dxa"/>
            <w:vAlign w:val="bottom"/>
          </w:tcPr>
          <w:p>
            <w:pPr>
              <w:spacing w:after="0"/>
              <w:rPr>
                <w:sz w:val="1"/>
                <w:szCs w:val="1"/>
                <w:color w:val="auto"/>
              </w:rPr>
            </w:pPr>
          </w:p>
        </w:tc>
      </w:tr>
      <w:tr>
        <w:trPr>
          <w:trHeight w:val="54"/>
        </w:trPr>
        <w:tc>
          <w:tcPr>
            <w:tcW w:w="3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4"/>
                <w:szCs w:val="14"/>
                <w:color w:val="auto"/>
              </w:rPr>
              <w:t>Payments on borrowings</w:t>
            </w:r>
          </w:p>
        </w:tc>
        <w:tc>
          <w:tcPr>
            <w:tcW w:w="260" w:type="dxa"/>
            <w:vAlign w:val="bottom"/>
          </w:tcPr>
          <w:p>
            <w:pPr>
              <w:spacing w:after="0"/>
              <w:rPr>
                <w:sz w:val="18"/>
                <w:szCs w:val="18"/>
                <w:color w:val="auto"/>
              </w:rPr>
            </w:pPr>
          </w:p>
        </w:tc>
        <w:tc>
          <w:tcPr>
            <w:tcW w:w="11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100" w:type="dxa"/>
            <w:vAlign w:val="bottom"/>
            <w:vMerge w:val="restart"/>
          </w:tcPr>
          <w:p>
            <w:pPr>
              <w:jc w:val="right"/>
              <w:ind w:right="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(17,259)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(17,269)</w:t>
            </w:r>
          </w:p>
        </w:tc>
        <w:tc>
          <w:tcPr>
            <w:tcW w:w="0" w:type="dxa"/>
            <w:vAlign w:val="bottom"/>
          </w:tcPr>
          <w:p>
            <w:pPr>
              <w:spacing w:after="0"/>
              <w:rPr>
                <w:sz w:val="1"/>
                <w:szCs w:val="1"/>
                <w:color w:val="auto"/>
              </w:rPr>
            </w:pPr>
          </w:p>
        </w:tc>
      </w:tr>
      <w:tr>
        <w:trPr>
          <w:trHeight w:val="54"/>
        </w:trPr>
        <w:tc>
          <w:tcPr>
            <w:tcW w:w="3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4"/>
                <w:szCs w:val="14"/>
                <w:color w:val="auto"/>
              </w:rPr>
              <w:t>Debt financing fees</w:t>
            </w:r>
          </w:p>
        </w:tc>
        <w:tc>
          <w:tcPr>
            <w:tcW w:w="260" w:type="dxa"/>
            <w:vAlign w:val="bottom"/>
          </w:tcPr>
          <w:p>
            <w:pPr>
              <w:spacing w:after="0"/>
              <w:rPr>
                <w:sz w:val="18"/>
                <w:szCs w:val="18"/>
                <w:color w:val="auto"/>
              </w:rPr>
            </w:pPr>
          </w:p>
        </w:tc>
        <w:tc>
          <w:tcPr>
            <w:tcW w:w="102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60"/>
        </w:trPr>
        <w:tc>
          <w:tcPr>
            <w:tcW w:w="3300" w:type="dxa"/>
            <w:vAlign w:val="bottom"/>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3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(9)</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(63)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(73)</w:t>
            </w:r>
          </w:p>
        </w:tc>
        <w:tc>
          <w:tcPr>
            <w:tcW w:w="0" w:type="dxa"/>
            <w:vAlign w:val="bottom"/>
          </w:tcPr>
          <w:p>
            <w:pPr>
              <w:spacing w:after="0"/>
              <w:rPr>
                <w:sz w:val="1"/>
                <w:szCs w:val="1"/>
                <w:color w:val="auto"/>
              </w:rPr>
            </w:pPr>
          </w:p>
        </w:tc>
      </w:tr>
      <w:tr>
        <w:trPr>
          <w:trHeight w:val="162"/>
        </w:trPr>
        <w:tc>
          <w:tcPr>
            <w:tcW w:w="3300" w:type="dxa"/>
            <w:vAlign w:val="bottom"/>
          </w:tcPr>
          <w:p>
            <w:pPr>
              <w:spacing w:after="0"/>
              <w:rPr>
                <w:sz w:val="20"/>
                <w:szCs w:val="20"/>
                <w:color w:val="auto"/>
              </w:rPr>
            </w:pPr>
            <w:r>
              <w:rPr>
                <w:rFonts w:ascii="Arial" w:cs="Arial" w:eastAsia="Arial" w:hAnsi="Arial"/>
                <w:sz w:val="14"/>
                <w:szCs w:val="14"/>
                <w:b w:val="1"/>
                <w:bCs w:val="1"/>
                <w:color w:val="auto"/>
              </w:rPr>
              <w:t>Net cash provided by (used in) financing</w:t>
            </w:r>
          </w:p>
        </w:tc>
        <w:tc>
          <w:tcPr>
            <w:tcW w:w="26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300" w:type="dxa"/>
            <w:vAlign w:val="bottom"/>
          </w:tcPr>
          <w:p>
            <w:pPr>
              <w:ind w:left="160"/>
              <w:spacing w:after="0"/>
              <w:rPr>
                <w:sz w:val="20"/>
                <w:szCs w:val="20"/>
                <w:color w:val="auto"/>
              </w:rPr>
            </w:pPr>
            <w:r>
              <w:rPr>
                <w:rFonts w:ascii="Arial" w:cs="Arial" w:eastAsia="Arial" w:hAnsi="Arial"/>
                <w:sz w:val="14"/>
                <w:szCs w:val="14"/>
                <w:b w:val="1"/>
                <w:bCs w:val="1"/>
                <w:color w:val="auto"/>
              </w:rPr>
              <w:t>activities</w:t>
            </w:r>
          </w:p>
        </w:tc>
        <w:tc>
          <w:tcPr>
            <w:tcW w:w="2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(209)</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(121)</w:t>
            </w: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(186)</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223</w:t>
            </w: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(308)</w:t>
            </w:r>
          </w:p>
        </w:tc>
        <w:tc>
          <w:tcPr>
            <w:tcW w:w="0" w:type="dxa"/>
            <w:vAlign w:val="bottom"/>
          </w:tcPr>
          <w:p>
            <w:pPr>
              <w:spacing w:after="0"/>
              <w:rPr>
                <w:sz w:val="1"/>
                <w:szCs w:val="1"/>
                <w:color w:val="auto"/>
              </w:rPr>
            </w:pPr>
          </w:p>
        </w:tc>
      </w:tr>
      <w:tr>
        <w:trPr>
          <w:trHeight w:val="180"/>
        </w:trPr>
        <w:tc>
          <w:tcPr>
            <w:tcW w:w="3300" w:type="dxa"/>
            <w:vAlign w:val="bottom"/>
          </w:tcPr>
          <w:p>
            <w:pPr>
              <w:spacing w:after="0"/>
              <w:rPr>
                <w:sz w:val="20"/>
                <w:szCs w:val="20"/>
                <w:color w:val="auto"/>
              </w:rPr>
            </w:pPr>
            <w:r>
              <w:rPr>
                <w:rFonts w:ascii="Arial" w:cs="Arial" w:eastAsia="Arial" w:hAnsi="Arial"/>
                <w:sz w:val="14"/>
                <w:szCs w:val="14"/>
                <w:color w:val="auto"/>
              </w:rPr>
              <w:t>Effect of changes in exchange rates on cash and</w:t>
            </w: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3300" w:type="dxa"/>
            <w:vAlign w:val="bottom"/>
          </w:tcPr>
          <w:p>
            <w:pPr>
              <w:ind w:left="160"/>
              <w:spacing w:after="0"/>
              <w:rPr>
                <w:sz w:val="20"/>
                <w:szCs w:val="20"/>
                <w:color w:val="auto"/>
              </w:rPr>
            </w:pPr>
            <w:r>
              <w:rPr>
                <w:rFonts w:ascii="Arial" w:cs="Arial" w:eastAsia="Arial" w:hAnsi="Arial"/>
                <w:sz w:val="14"/>
                <w:szCs w:val="14"/>
                <w:color w:val="auto"/>
              </w:rPr>
              <w:t>cash equivalents, program and restricted cash</w:t>
            </w:r>
          </w:p>
        </w:tc>
        <w:tc>
          <w:tcPr>
            <w:tcW w:w="260" w:type="dxa"/>
            <w:vAlign w:val="bottom"/>
          </w:tcPr>
          <w:p>
            <w:pPr>
              <w:spacing w:after="0"/>
              <w:rPr>
                <w:sz w:val="15"/>
                <w:szCs w:val="15"/>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45</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r>
        <w:trPr>
          <w:trHeight w:val="180"/>
        </w:trPr>
        <w:tc>
          <w:tcPr>
            <w:tcW w:w="3300" w:type="dxa"/>
            <w:vAlign w:val="bottom"/>
          </w:tcPr>
          <w:p>
            <w:pPr>
              <w:spacing w:after="0"/>
              <w:rPr>
                <w:sz w:val="20"/>
                <w:szCs w:val="20"/>
                <w:color w:val="auto"/>
              </w:rPr>
            </w:pPr>
            <w:r>
              <w:rPr>
                <w:rFonts w:ascii="Arial" w:cs="Arial" w:eastAsia="Arial" w:hAnsi="Arial"/>
                <w:sz w:val="14"/>
                <w:szCs w:val="14"/>
                <w:color w:val="auto"/>
              </w:rPr>
              <w:t>Net increase in cash and cash equivalents,</w:t>
            </w:r>
          </w:p>
        </w:tc>
        <w:tc>
          <w:tcPr>
            <w:tcW w:w="26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3300" w:type="dxa"/>
            <w:vAlign w:val="bottom"/>
          </w:tcPr>
          <w:p>
            <w:pPr>
              <w:ind w:left="160"/>
              <w:spacing w:after="0"/>
              <w:rPr>
                <w:sz w:val="20"/>
                <w:szCs w:val="20"/>
                <w:color w:val="auto"/>
              </w:rPr>
            </w:pPr>
            <w:r>
              <w:rPr>
                <w:rFonts w:ascii="Arial" w:cs="Arial" w:eastAsia="Arial" w:hAnsi="Arial"/>
                <w:sz w:val="14"/>
                <w:szCs w:val="14"/>
                <w:color w:val="auto"/>
              </w:rPr>
              <w:t>program and restricted cash</w:t>
            </w:r>
          </w:p>
        </w:tc>
        <w:tc>
          <w:tcPr>
            <w:tcW w:w="260" w:type="dxa"/>
            <w:vAlign w:val="bottom"/>
          </w:tcPr>
          <w:p>
            <w:pPr>
              <w:spacing w:after="0"/>
              <w:rPr>
                <w:sz w:val="14"/>
                <w:szCs w:val="14"/>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178</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181</w:t>
            </w:r>
          </w:p>
        </w:tc>
        <w:tc>
          <w:tcPr>
            <w:tcW w:w="0" w:type="dxa"/>
            <w:vAlign w:val="bottom"/>
          </w:tcPr>
          <w:p>
            <w:pPr>
              <w:spacing w:after="0"/>
              <w:rPr>
                <w:sz w:val="1"/>
                <w:szCs w:val="1"/>
                <w:color w:val="auto"/>
              </w:rPr>
            </w:pPr>
          </w:p>
        </w:tc>
      </w:tr>
      <w:tr>
        <w:trPr>
          <w:trHeight w:val="206"/>
        </w:trPr>
        <w:tc>
          <w:tcPr>
            <w:tcW w:w="3300" w:type="dxa"/>
            <w:vAlign w:val="bottom"/>
          </w:tcPr>
          <w:p>
            <w:pPr>
              <w:spacing w:after="0"/>
              <w:rPr>
                <w:sz w:val="20"/>
                <w:szCs w:val="20"/>
                <w:color w:val="auto"/>
              </w:rPr>
            </w:pPr>
            <w:r>
              <w:rPr>
                <w:rFonts w:ascii="Arial" w:cs="Arial" w:eastAsia="Arial" w:hAnsi="Arial"/>
                <w:sz w:val="14"/>
                <w:szCs w:val="14"/>
                <w:color w:val="auto"/>
              </w:rPr>
              <w:t>Cash and cash equivalents, program and restricted</w:t>
            </w: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3300" w:type="dxa"/>
            <w:vAlign w:val="bottom"/>
          </w:tcPr>
          <w:p>
            <w:pPr>
              <w:ind w:left="160"/>
              <w:spacing w:after="0"/>
              <w:rPr>
                <w:sz w:val="20"/>
                <w:szCs w:val="20"/>
                <w:color w:val="auto"/>
              </w:rPr>
            </w:pPr>
            <w:r>
              <w:rPr>
                <w:rFonts w:ascii="Arial" w:cs="Arial" w:eastAsia="Arial" w:hAnsi="Arial"/>
                <w:sz w:val="14"/>
                <w:szCs w:val="14"/>
                <w:color w:val="auto"/>
              </w:rPr>
              <w:t>cash, beginning of period</w:t>
            </w:r>
          </w:p>
        </w:tc>
        <w:tc>
          <w:tcPr>
            <w:tcW w:w="260" w:type="dxa"/>
            <w:vAlign w:val="bottom"/>
          </w:tcPr>
          <w:p>
            <w:pPr>
              <w:spacing w:after="0"/>
              <w:rPr>
                <w:sz w:val="15"/>
                <w:szCs w:val="15"/>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705</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720</w:t>
            </w:r>
          </w:p>
        </w:tc>
        <w:tc>
          <w:tcPr>
            <w:tcW w:w="0" w:type="dxa"/>
            <w:vAlign w:val="bottom"/>
          </w:tcPr>
          <w:p>
            <w:pPr>
              <w:spacing w:after="0"/>
              <w:rPr>
                <w:sz w:val="1"/>
                <w:szCs w:val="1"/>
                <w:color w:val="auto"/>
              </w:rPr>
            </w:pPr>
          </w:p>
        </w:tc>
      </w:tr>
      <w:tr>
        <w:trPr>
          <w:trHeight w:val="162"/>
        </w:trPr>
        <w:tc>
          <w:tcPr>
            <w:tcW w:w="3300" w:type="dxa"/>
            <w:vAlign w:val="bottom"/>
          </w:tcPr>
          <w:p>
            <w:pPr>
              <w:spacing w:after="0"/>
              <w:rPr>
                <w:sz w:val="20"/>
                <w:szCs w:val="20"/>
                <w:color w:val="auto"/>
              </w:rPr>
            </w:pPr>
            <w:r>
              <w:rPr>
                <w:rFonts w:ascii="Arial" w:cs="Arial" w:eastAsia="Arial" w:hAnsi="Arial"/>
                <w:sz w:val="14"/>
                <w:szCs w:val="14"/>
                <w:b w:val="1"/>
                <w:bCs w:val="1"/>
                <w:color w:val="auto"/>
              </w:rPr>
              <w:t>Cash and cash equivalents, program and</w:t>
            </w:r>
          </w:p>
        </w:tc>
        <w:tc>
          <w:tcPr>
            <w:tcW w:w="26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300" w:type="dxa"/>
            <w:vAlign w:val="bottom"/>
          </w:tcPr>
          <w:p>
            <w:pPr>
              <w:ind w:left="160"/>
              <w:spacing w:after="0"/>
              <w:rPr>
                <w:sz w:val="20"/>
                <w:szCs w:val="20"/>
                <w:color w:val="auto"/>
              </w:rPr>
            </w:pPr>
            <w:r>
              <w:rPr>
                <w:rFonts w:ascii="Arial" w:cs="Arial" w:eastAsia="Arial" w:hAnsi="Arial"/>
                <w:sz w:val="14"/>
                <w:szCs w:val="14"/>
                <w:b w:val="1"/>
                <w:bCs w:val="1"/>
                <w:color w:val="auto"/>
              </w:rPr>
              <w:t>restricted cash, end of period</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883</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901</w:t>
            </w: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F-55</w:t>
      </w:r>
    </w:p>
    <w:p>
      <w:pPr>
        <w:sectPr>
          <w:pgSz w:w="11900" w:h="16838" w:orient="portrait"/>
          <w:cols w:equalWidth="0" w:num="1">
            <w:col w:w="11420"/>
          </w:cols>
          <w:pgMar w:left="240" w:top="140" w:right="239" w:bottom="1440" w:gutter="0" w:footer="0" w:header="0"/>
        </w:sectPr>
      </w:pPr>
    </w:p>
    <w:bookmarkStart w:id="121" w:name="page122"/>
    <w:bookmarkEnd w:id="1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auto"/>
        </w:rPr>
        <w:t>For the Year Ended December 31, 2016</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Net cash provided by (used in) operating</w:t>
      </w:r>
    </w:p>
    <w:p>
      <w:pPr>
        <w:spacing w:after="0" w:line="19" w:lineRule="exact"/>
        <w:rPr>
          <w:sz w:val="20"/>
          <w:szCs w:val="20"/>
          <w:color w:val="auto"/>
        </w:rPr>
      </w:pPr>
    </w:p>
    <w:p>
      <w:pPr>
        <w:ind w:left="200"/>
        <w:spacing w:after="0"/>
        <w:tabs>
          <w:tab w:leader="none" w:pos="3340" w:val="left"/>
        </w:tabs>
        <w:rPr>
          <w:sz w:val="20"/>
          <w:szCs w:val="20"/>
          <w:color w:val="auto"/>
        </w:rPr>
      </w:pPr>
      <w:r>
        <w:rPr>
          <w:rFonts w:ascii="Arial" w:cs="Arial" w:eastAsia="Arial" w:hAnsi="Arial"/>
          <w:sz w:val="14"/>
          <w:szCs w:val="14"/>
          <w:b w:val="1"/>
          <w:bCs w:val="1"/>
          <w:color w:val="auto"/>
        </w:rPr>
        <w:t>activities</w:t>
      </w:r>
      <w:r>
        <w:rPr>
          <w:sz w:val="20"/>
          <w:szCs w:val="20"/>
          <w:color w:val="auto"/>
        </w:rPr>
        <w:tab/>
      </w:r>
      <w:r>
        <w:rPr>
          <w:rFonts w:ascii="Arial" w:cs="Arial" w:eastAsia="Arial" w:hAnsi="Arial"/>
          <w:sz w:val="14"/>
          <w:szCs w:val="14"/>
          <w:color w:val="auto"/>
        </w:rPr>
        <w:t>$</w:t>
      </w:r>
    </w:p>
    <w:p>
      <w:pPr>
        <w:spacing w:after="0" w:line="321"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Investing activities</w:t>
      </w:r>
    </w:p>
    <w:p>
      <w:pPr>
        <w:spacing w:after="0" w:line="127" w:lineRule="exact"/>
        <w:rPr>
          <w:sz w:val="20"/>
          <w:szCs w:val="20"/>
          <w:color w:val="auto"/>
        </w:rPr>
      </w:pPr>
    </w:p>
    <w:p>
      <w:pPr>
        <w:ind w:left="40" w:right="1260"/>
        <w:spacing w:after="0" w:line="402" w:lineRule="auto"/>
        <w:rPr>
          <w:sz w:val="20"/>
          <w:szCs w:val="20"/>
          <w:color w:val="auto"/>
        </w:rPr>
      </w:pPr>
      <w:r>
        <w:rPr>
          <w:rFonts w:ascii="Arial" w:cs="Arial" w:eastAsia="Arial" w:hAnsi="Arial"/>
          <w:sz w:val="14"/>
          <w:szCs w:val="14"/>
          <w:color w:val="auto"/>
        </w:rPr>
        <w:t>Property and equipment additions Proceeds received on asset sales</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4"/>
          <w:szCs w:val="14"/>
          <w:color w:val="auto"/>
        </w:rPr>
        <w:t>Net assets acquired (net of cash acquired)</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Intercompany loan receipts (advances)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Other, net</w:t>
      </w:r>
    </w:p>
    <w:p>
      <w:pPr>
        <w:spacing w:after="0" w:line="91" w:lineRule="exact"/>
        <w:rPr>
          <w:sz w:val="20"/>
          <w:szCs w:val="20"/>
          <w:color w:val="auto"/>
        </w:rPr>
      </w:pPr>
    </w:p>
    <w:p>
      <w:pPr>
        <w:ind w:left="200" w:right="540" w:hanging="161"/>
        <w:spacing w:after="0" w:line="285" w:lineRule="auto"/>
        <w:rPr>
          <w:sz w:val="20"/>
          <w:szCs w:val="20"/>
          <w:color w:val="auto"/>
        </w:rPr>
      </w:pPr>
      <w:r>
        <w:rPr>
          <w:rFonts w:ascii="Arial" w:cs="Arial" w:eastAsia="Arial" w:hAnsi="Arial"/>
          <w:sz w:val="14"/>
          <w:szCs w:val="14"/>
          <w:b w:val="1"/>
          <w:bCs w:val="1"/>
          <w:color w:val="auto"/>
        </w:rPr>
        <w:t>Net cash provided by (used in) investing activities exclusive of vehicle programs</w:t>
      </w:r>
    </w:p>
    <w:p>
      <w:pPr>
        <w:spacing w:after="0" w:line="283" w:lineRule="exact"/>
        <w:rPr>
          <w:sz w:val="20"/>
          <w:szCs w:val="20"/>
          <w:color w:val="auto"/>
        </w:rPr>
      </w:pPr>
    </w:p>
    <w:p>
      <w:pPr>
        <w:ind w:left="40"/>
        <w:spacing w:after="0"/>
        <w:rPr>
          <w:sz w:val="20"/>
          <w:szCs w:val="20"/>
          <w:color w:val="auto"/>
        </w:rPr>
      </w:pPr>
      <w:r>
        <w:rPr>
          <w:rFonts w:ascii="Arial" w:cs="Arial" w:eastAsia="Arial" w:hAnsi="Arial"/>
          <w:sz w:val="14"/>
          <w:szCs w:val="14"/>
          <w:i w:val="1"/>
          <w:iCs w:val="1"/>
          <w:color w:val="auto"/>
        </w:rPr>
        <w:t>Vehicle programs:</w:t>
      </w:r>
    </w:p>
    <w:p>
      <w:pPr>
        <w:spacing w:after="0" w:line="123" w:lineRule="exact"/>
        <w:rPr>
          <w:sz w:val="20"/>
          <w:szCs w:val="20"/>
          <w:color w:val="auto"/>
        </w:rPr>
      </w:pPr>
    </w:p>
    <w:p>
      <w:pPr>
        <w:ind w:left="40"/>
        <w:spacing w:after="0"/>
        <w:rPr>
          <w:sz w:val="20"/>
          <w:szCs w:val="20"/>
          <w:color w:val="auto"/>
        </w:rPr>
      </w:pPr>
      <w:r>
        <w:rPr>
          <w:rFonts w:ascii="Arial" w:cs="Arial" w:eastAsia="Arial" w:hAnsi="Arial"/>
          <w:sz w:val="14"/>
          <w:szCs w:val="14"/>
          <w:color w:val="auto"/>
        </w:rPr>
        <w:t>Investment in vehicles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Proceeds received on disposition of vehicles</w:t>
      </w:r>
    </w:p>
    <w:p>
      <w:pPr>
        <w:spacing w:after="0" w:line="361" w:lineRule="exact"/>
        <w:rPr>
          <w:sz w:val="20"/>
          <w:szCs w:val="20"/>
          <w:color w:val="auto"/>
        </w:rPr>
      </w:pPr>
    </w:p>
    <w:p>
      <w:pPr>
        <w:ind w:left="200" w:right="640" w:hanging="161"/>
        <w:spacing w:after="0" w:line="285" w:lineRule="auto"/>
        <w:rPr>
          <w:sz w:val="20"/>
          <w:szCs w:val="20"/>
          <w:color w:val="auto"/>
        </w:rPr>
      </w:pPr>
      <w:r>
        <w:rPr>
          <w:rFonts w:ascii="Arial" w:cs="Arial" w:eastAsia="Arial" w:hAnsi="Arial"/>
          <w:sz w:val="14"/>
          <w:szCs w:val="14"/>
          <w:b w:val="1"/>
          <w:bCs w:val="1"/>
          <w:color w:val="auto"/>
        </w:rPr>
        <w:t>Net cash provided by (used in) investing activities</w:t>
      </w:r>
    </w:p>
    <w:p>
      <w:pPr>
        <w:spacing w:after="0" w:line="279"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Financing activities</w:t>
      </w:r>
    </w:p>
    <w:p>
      <w:pPr>
        <w:spacing w:after="0" w:line="127" w:lineRule="exact"/>
        <w:rPr>
          <w:sz w:val="20"/>
          <w:szCs w:val="20"/>
          <w:color w:val="auto"/>
        </w:rPr>
      </w:pPr>
    </w:p>
    <w:p>
      <w:pPr>
        <w:ind w:left="40"/>
        <w:spacing w:after="0"/>
        <w:rPr>
          <w:sz w:val="20"/>
          <w:szCs w:val="20"/>
          <w:color w:val="auto"/>
        </w:rPr>
      </w:pPr>
      <w:r>
        <w:rPr>
          <w:rFonts w:ascii="Arial" w:cs="Arial" w:eastAsia="Arial" w:hAnsi="Arial"/>
          <w:sz w:val="14"/>
          <w:szCs w:val="14"/>
          <w:color w:val="auto"/>
        </w:rPr>
        <w:t>Proceeds from long-term borrowings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Payments on long-term borrowings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Net change in short-term borrowings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Debt financing fees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Repurchases of common stock</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Intercompany loan borrowings (payments)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Other, net</w:t>
      </w:r>
    </w:p>
    <w:p>
      <w:pPr>
        <w:spacing w:after="0" w:line="91" w:lineRule="exact"/>
        <w:rPr>
          <w:sz w:val="20"/>
          <w:szCs w:val="20"/>
          <w:color w:val="auto"/>
        </w:rPr>
      </w:pPr>
    </w:p>
    <w:p>
      <w:pPr>
        <w:ind w:left="200" w:right="540" w:hanging="161"/>
        <w:spacing w:after="0" w:line="285" w:lineRule="auto"/>
        <w:rPr>
          <w:sz w:val="20"/>
          <w:szCs w:val="20"/>
          <w:color w:val="auto"/>
        </w:rPr>
      </w:pPr>
      <w:r>
        <w:rPr>
          <w:rFonts w:ascii="Arial" w:cs="Arial" w:eastAsia="Arial" w:hAnsi="Arial"/>
          <w:sz w:val="14"/>
          <w:szCs w:val="14"/>
          <w:b w:val="1"/>
          <w:bCs w:val="1"/>
          <w:color w:val="auto"/>
        </w:rPr>
        <w:t>Net cash provided by (used in) financing activities exclusive of vehicle programs</w:t>
      </w:r>
    </w:p>
    <w:p>
      <w:pPr>
        <w:spacing w:after="0" w:line="283" w:lineRule="exact"/>
        <w:rPr>
          <w:sz w:val="20"/>
          <w:szCs w:val="20"/>
          <w:color w:val="auto"/>
        </w:rPr>
      </w:pPr>
    </w:p>
    <w:p>
      <w:pPr>
        <w:ind w:left="40"/>
        <w:spacing w:after="0"/>
        <w:rPr>
          <w:sz w:val="20"/>
          <w:szCs w:val="20"/>
          <w:color w:val="auto"/>
        </w:rPr>
      </w:pPr>
      <w:r>
        <w:rPr>
          <w:rFonts w:ascii="Arial" w:cs="Arial" w:eastAsia="Arial" w:hAnsi="Arial"/>
          <w:sz w:val="14"/>
          <w:szCs w:val="14"/>
          <w:i w:val="1"/>
          <w:iCs w:val="1"/>
          <w:color w:val="auto"/>
        </w:rPr>
        <w:t>Vehicle programs:</w:t>
      </w:r>
    </w:p>
    <w:p>
      <w:pPr>
        <w:spacing w:after="0" w:line="123" w:lineRule="exact"/>
        <w:rPr>
          <w:sz w:val="20"/>
          <w:szCs w:val="20"/>
          <w:color w:val="auto"/>
        </w:rPr>
      </w:pPr>
    </w:p>
    <w:p>
      <w:pPr>
        <w:ind w:left="40"/>
        <w:spacing w:after="0"/>
        <w:rPr>
          <w:sz w:val="20"/>
          <w:szCs w:val="20"/>
          <w:color w:val="auto"/>
        </w:rPr>
      </w:pPr>
      <w:r>
        <w:rPr>
          <w:rFonts w:ascii="Arial" w:cs="Arial" w:eastAsia="Arial" w:hAnsi="Arial"/>
          <w:sz w:val="14"/>
          <w:szCs w:val="14"/>
          <w:color w:val="auto"/>
        </w:rPr>
        <w:t>Proceeds from borrowings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Payments on borrowings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Debt financing fees</w:t>
      </w:r>
    </w:p>
    <w:p>
      <w:pPr>
        <w:spacing w:after="0" w:line="361" w:lineRule="exact"/>
        <w:rPr>
          <w:sz w:val="20"/>
          <w:szCs w:val="20"/>
          <w:color w:val="auto"/>
        </w:rPr>
      </w:pPr>
    </w:p>
    <w:p>
      <w:pPr>
        <w:ind w:left="200" w:right="640" w:hanging="161"/>
        <w:spacing w:after="0" w:line="285" w:lineRule="auto"/>
        <w:rPr>
          <w:sz w:val="20"/>
          <w:szCs w:val="20"/>
          <w:color w:val="auto"/>
        </w:rPr>
      </w:pPr>
      <w:r>
        <w:rPr>
          <w:rFonts w:ascii="Arial" w:cs="Arial" w:eastAsia="Arial" w:hAnsi="Arial"/>
          <w:sz w:val="14"/>
          <w:szCs w:val="14"/>
          <w:b w:val="1"/>
          <w:bCs w:val="1"/>
          <w:color w:val="auto"/>
        </w:rPr>
        <w:t>Net cash provided by (used in) financing activities</w:t>
      </w:r>
    </w:p>
    <w:p>
      <w:pPr>
        <w:spacing w:after="0" w:line="14" w:lineRule="exact"/>
        <w:rPr>
          <w:sz w:val="20"/>
          <w:szCs w:val="20"/>
          <w:color w:val="auto"/>
        </w:rPr>
      </w:pPr>
    </w:p>
    <w:p>
      <w:pPr>
        <w:jc w:val="right"/>
        <w:ind w:left="40" w:right="300"/>
        <w:spacing w:after="0" w:line="258" w:lineRule="auto"/>
        <w:rPr>
          <w:sz w:val="20"/>
          <w:szCs w:val="20"/>
          <w:color w:val="auto"/>
        </w:rPr>
      </w:pPr>
      <w:r>
        <w:rPr>
          <w:rFonts w:ascii="Arial" w:cs="Arial" w:eastAsia="Arial" w:hAnsi="Arial"/>
          <w:sz w:val="14"/>
          <w:szCs w:val="14"/>
          <w:color w:val="auto"/>
        </w:rPr>
        <w:t>Effect of changes in exchange rates on cash and cash equivalents, program and restricted cash</w:t>
      </w:r>
    </w:p>
    <w:p>
      <w:pPr>
        <w:spacing w:after="0" w:line="32" w:lineRule="exact"/>
        <w:rPr>
          <w:sz w:val="20"/>
          <w:szCs w:val="20"/>
          <w:color w:val="auto"/>
        </w:rPr>
      </w:pPr>
    </w:p>
    <w:p>
      <w:pPr>
        <w:ind w:left="200" w:right="640" w:hanging="161"/>
        <w:spacing w:after="0" w:line="258" w:lineRule="auto"/>
        <w:rPr>
          <w:sz w:val="20"/>
          <w:szCs w:val="20"/>
          <w:color w:val="auto"/>
        </w:rPr>
      </w:pPr>
      <w:r>
        <w:rPr>
          <w:rFonts w:ascii="Arial" w:cs="Arial" w:eastAsia="Arial" w:hAnsi="Arial"/>
          <w:sz w:val="14"/>
          <w:szCs w:val="14"/>
          <w:color w:val="auto"/>
        </w:rPr>
        <w:t>Net increase (decrease) in cash and cash equivalents, program and restricted cash</w:t>
      </w:r>
    </w:p>
    <w:p>
      <w:pPr>
        <w:spacing w:after="0" w:line="32" w:lineRule="exact"/>
        <w:rPr>
          <w:sz w:val="20"/>
          <w:szCs w:val="20"/>
          <w:color w:val="auto"/>
        </w:rPr>
      </w:pPr>
    </w:p>
    <w:p>
      <w:pPr>
        <w:ind w:left="200" w:right="140" w:hanging="161"/>
        <w:spacing w:after="0" w:line="258" w:lineRule="auto"/>
        <w:rPr>
          <w:sz w:val="20"/>
          <w:szCs w:val="20"/>
          <w:color w:val="auto"/>
        </w:rPr>
      </w:pPr>
      <w:r>
        <w:rPr>
          <w:rFonts w:ascii="Arial" w:cs="Arial" w:eastAsia="Arial" w:hAnsi="Arial"/>
          <w:sz w:val="14"/>
          <w:szCs w:val="14"/>
          <w:color w:val="auto"/>
        </w:rPr>
        <w:t>Cash and cash equivalents, program and restricted cash, beginning of period</w:t>
      </w:r>
    </w:p>
    <w:p>
      <w:pPr>
        <w:spacing w:after="0" w:line="14"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Cash and cash equivalents, program and</w:t>
      </w:r>
    </w:p>
    <w:p>
      <w:pPr>
        <w:spacing w:after="0" w:line="6" w:lineRule="exact"/>
        <w:rPr>
          <w:sz w:val="20"/>
          <w:szCs w:val="20"/>
          <w:color w:val="auto"/>
        </w:rPr>
      </w:pPr>
    </w:p>
    <w:p>
      <w:pPr>
        <w:ind w:left="200"/>
        <w:spacing w:after="0"/>
        <w:tabs>
          <w:tab w:leader="none" w:pos="3340" w:val="left"/>
        </w:tabs>
        <w:rPr>
          <w:sz w:val="20"/>
          <w:szCs w:val="20"/>
          <w:color w:val="auto"/>
        </w:rPr>
      </w:pPr>
      <w:r>
        <w:rPr>
          <w:rFonts w:ascii="Arial" w:cs="Arial" w:eastAsia="Arial" w:hAnsi="Arial"/>
          <w:sz w:val="14"/>
          <w:szCs w:val="14"/>
          <w:b w:val="1"/>
          <w:bCs w:val="1"/>
          <w:color w:val="auto"/>
        </w:rPr>
        <w:t>restricted cash, end of period</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Subsidiary</w:t>
            </w:r>
          </w:p>
        </w:tc>
        <w:tc>
          <w:tcPr>
            <w:tcW w:w="16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Guarantor</w:t>
            </w:r>
          </w:p>
        </w:tc>
        <w:tc>
          <w:tcPr>
            <w:tcW w:w="100" w:type="dxa"/>
            <w:vAlign w:val="bottom"/>
          </w:tcPr>
          <w:p>
            <w:pPr>
              <w:spacing w:after="0"/>
              <w:rPr>
                <w:sz w:val="14"/>
                <w:szCs w:val="14"/>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Non-Guarantor</w:t>
            </w: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96"/>
        </w:trPr>
        <w:tc>
          <w:tcPr>
            <w:tcW w:w="1000" w:type="dxa"/>
            <w:vAlign w:val="bottom"/>
          </w:tcPr>
          <w:p>
            <w:pPr>
              <w:jc w:val="right"/>
              <w:ind w:right="468"/>
              <w:spacing w:after="0"/>
              <w:rPr>
                <w:sz w:val="20"/>
                <w:szCs w:val="20"/>
                <w:color w:val="auto"/>
              </w:rPr>
            </w:pPr>
            <w:r>
              <w:rPr>
                <w:rFonts w:ascii="Arial" w:cs="Arial" w:eastAsia="Arial" w:hAnsi="Arial"/>
                <w:sz w:val="14"/>
                <w:szCs w:val="14"/>
                <w:b w:val="1"/>
                <w:bCs w:val="1"/>
                <w:color w:val="auto"/>
              </w:rPr>
              <w:t>Parent</w:t>
            </w:r>
          </w:p>
        </w:tc>
        <w:tc>
          <w:tcPr>
            <w:tcW w:w="180" w:type="dxa"/>
            <w:vAlign w:val="bottom"/>
          </w:tcPr>
          <w:p>
            <w:pPr>
              <w:spacing w:after="0"/>
              <w:rPr>
                <w:sz w:val="17"/>
                <w:szCs w:val="17"/>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Issuers</w:t>
            </w:r>
          </w:p>
        </w:tc>
        <w:tc>
          <w:tcPr>
            <w:tcW w:w="16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Pr>
          <w:p>
            <w:pPr>
              <w:spacing w:after="0"/>
              <w:rPr>
                <w:sz w:val="17"/>
                <w:szCs w:val="17"/>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Subsidiaries</w:t>
            </w:r>
          </w:p>
        </w:tc>
        <w:tc>
          <w:tcPr>
            <w:tcW w:w="160" w:type="dxa"/>
            <w:vAlign w:val="bottom"/>
          </w:tcPr>
          <w:p>
            <w:pPr>
              <w:spacing w:after="0"/>
              <w:rPr>
                <w:sz w:val="17"/>
                <w:szCs w:val="17"/>
                <w:color w:val="auto"/>
              </w:rPr>
            </w:pPr>
          </w:p>
        </w:tc>
        <w:tc>
          <w:tcPr>
            <w:tcW w:w="1200" w:type="dxa"/>
            <w:vAlign w:val="bottom"/>
            <w:gridSpan w:val="2"/>
          </w:tcPr>
          <w:p>
            <w:pPr>
              <w:ind w:left="40"/>
              <w:spacing w:after="0"/>
              <w:rPr>
                <w:sz w:val="20"/>
                <w:szCs w:val="20"/>
                <w:color w:val="auto"/>
              </w:rPr>
            </w:pPr>
            <w:r>
              <w:rPr>
                <w:rFonts w:ascii="Arial" w:cs="Arial" w:eastAsia="Arial" w:hAnsi="Arial"/>
                <w:sz w:val="14"/>
                <w:szCs w:val="14"/>
                <w:b w:val="1"/>
                <w:bCs w:val="1"/>
                <w:color w:val="auto"/>
              </w:rPr>
              <w:t>Eliminations</w:t>
            </w:r>
          </w:p>
        </w:tc>
        <w:tc>
          <w:tcPr>
            <w:tcW w:w="280" w:type="dxa"/>
            <w:vAlign w:val="bottom"/>
          </w:tcPr>
          <w:p>
            <w:pPr>
              <w:spacing w:after="0"/>
              <w:rPr>
                <w:sz w:val="17"/>
                <w:szCs w:val="17"/>
                <w:color w:val="auto"/>
              </w:rPr>
            </w:pPr>
          </w:p>
        </w:tc>
        <w:tc>
          <w:tcPr>
            <w:tcW w:w="960" w:type="dxa"/>
            <w:vAlign w:val="bottom"/>
          </w:tcPr>
          <w:p>
            <w:pPr>
              <w:jc w:val="right"/>
              <w:ind w:right="388"/>
              <w:spacing w:after="0"/>
              <w:rPr>
                <w:sz w:val="20"/>
                <w:szCs w:val="20"/>
                <w:color w:val="auto"/>
              </w:rPr>
            </w:pPr>
            <w:r>
              <w:rPr>
                <w:rFonts w:ascii="Arial" w:cs="Arial" w:eastAsia="Arial" w:hAnsi="Arial"/>
                <w:sz w:val="14"/>
                <w:szCs w:val="14"/>
                <w:b w:val="1"/>
                <w:bCs w:val="1"/>
                <w:color w:val="auto"/>
              </w:rPr>
              <w:t>Total</w:t>
            </w:r>
          </w:p>
        </w:tc>
      </w:tr>
      <w:tr>
        <w:trPr>
          <w:trHeight w:val="358"/>
        </w:trPr>
        <w:tc>
          <w:tcPr>
            <w:tcW w:w="1000" w:type="dxa"/>
            <w:vAlign w:val="bottom"/>
          </w:tcPr>
          <w:p>
            <w:pPr>
              <w:jc w:val="right"/>
              <w:ind w:right="168"/>
              <w:spacing w:after="0"/>
              <w:rPr>
                <w:sz w:val="20"/>
                <w:szCs w:val="20"/>
                <w:color w:val="auto"/>
              </w:rPr>
            </w:pPr>
            <w:r>
              <w:rPr>
                <w:rFonts w:ascii="Arial" w:cs="Arial" w:eastAsia="Arial" w:hAnsi="Arial"/>
                <w:sz w:val="14"/>
                <w:szCs w:val="14"/>
                <w:color w:val="auto"/>
              </w:rPr>
              <w:t>279</w:t>
            </w: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80</w:t>
            </w:r>
          </w:p>
        </w:tc>
        <w:tc>
          <w:tcPr>
            <w:tcW w:w="120" w:type="dxa"/>
            <w:vAlign w:val="bottom"/>
          </w:tcPr>
          <w:p>
            <w:pPr>
              <w:spacing w:after="0"/>
              <w:rPr>
                <w:sz w:val="24"/>
                <w:szCs w:val="2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2,633</w:t>
            </w:r>
          </w:p>
        </w:tc>
        <w:tc>
          <w:tcPr>
            <w:tcW w:w="100" w:type="dxa"/>
            <w:vAlign w:val="bottom"/>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(342)</w:t>
            </w:r>
          </w:p>
        </w:tc>
        <w:tc>
          <w:tcPr>
            <w:tcW w:w="120" w:type="dxa"/>
            <w:vAlign w:val="bottom"/>
          </w:tcPr>
          <w:p>
            <w:pPr>
              <w:spacing w:after="0"/>
              <w:rPr>
                <w:sz w:val="24"/>
                <w:szCs w:val="24"/>
                <w:color w:val="auto"/>
              </w:rPr>
            </w:pPr>
          </w:p>
        </w:tc>
        <w:tc>
          <w:tcPr>
            <w:tcW w:w="28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2,640</w:t>
            </w:r>
          </w:p>
        </w:tc>
      </w:tr>
      <w:tr>
        <w:trPr>
          <w:trHeight w:val="798"/>
        </w:trPr>
        <w:tc>
          <w:tcPr>
            <w:tcW w:w="100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(32)</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(89)</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(69)</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(190)</w:t>
            </w:r>
          </w:p>
        </w:tc>
      </w:tr>
      <w:tr>
        <w:trPr>
          <w:trHeight w:val="270"/>
        </w:trPr>
        <w:tc>
          <w:tcPr>
            <w:tcW w:w="100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19</w:t>
            </w:r>
          </w:p>
        </w:tc>
      </w:tr>
      <w:tr>
        <w:trPr>
          <w:trHeight w:val="270"/>
        </w:trPr>
        <w:tc>
          <w:tcPr>
            <w:tcW w:w="100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(51)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(55)</w:t>
            </w:r>
          </w:p>
        </w:tc>
      </w:tr>
      <w:tr>
        <w:trPr>
          <w:trHeight w:val="270"/>
        </w:trPr>
        <w:tc>
          <w:tcPr>
            <w:tcW w:w="100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28</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(316)</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288</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1000" w:type="dxa"/>
            <w:vAlign w:val="bottom"/>
          </w:tcPr>
          <w:p>
            <w:pPr>
              <w:jc w:val="right"/>
              <w:ind w:right="168"/>
              <w:spacing w:after="0"/>
              <w:rPr>
                <w:sz w:val="20"/>
                <w:szCs w:val="20"/>
                <w:color w:val="auto"/>
              </w:rPr>
            </w:pPr>
            <w:r>
              <w:rPr>
                <w:rFonts w:ascii="Arial" w:cs="Arial" w:eastAsia="Arial" w:hAnsi="Arial"/>
                <w:sz w:val="14"/>
                <w:szCs w:val="14"/>
                <w:color w:val="auto"/>
              </w:rPr>
              <w:t>118</w:t>
            </w:r>
          </w:p>
        </w:tc>
        <w:tc>
          <w:tcPr>
            <w:tcW w:w="180" w:type="dxa"/>
            <w:vAlign w:val="bottom"/>
          </w:tcPr>
          <w:p>
            <w:pPr>
              <w:spacing w:after="0"/>
              <w:rPr>
                <w:sz w:val="24"/>
                <w:szCs w:val="24"/>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(118)</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w:t>
            </w:r>
          </w:p>
        </w:tc>
      </w:tr>
      <w:tr>
        <w:trPr>
          <w:trHeight w:val="358"/>
        </w:trPr>
        <w:tc>
          <w:tcPr>
            <w:tcW w:w="1000" w:type="dxa"/>
            <w:vAlign w:val="bottom"/>
          </w:tcPr>
          <w:p>
            <w:pPr>
              <w:jc w:val="right"/>
              <w:ind w:right="168"/>
              <w:spacing w:after="0"/>
              <w:rPr>
                <w:sz w:val="20"/>
                <w:szCs w:val="20"/>
                <w:color w:val="auto"/>
              </w:rPr>
            </w:pPr>
            <w:r>
              <w:rPr>
                <w:rFonts w:ascii="Arial" w:cs="Arial" w:eastAsia="Arial" w:hAnsi="Arial"/>
                <w:sz w:val="14"/>
                <w:szCs w:val="14"/>
                <w:color w:val="auto"/>
              </w:rPr>
              <w:t>118</w:t>
            </w:r>
          </w:p>
        </w:tc>
        <w:tc>
          <w:tcPr>
            <w:tcW w:w="180" w:type="dxa"/>
            <w:vAlign w:val="bottom"/>
            <w:tcBorders>
              <w:top w:val="single" w:sz="8" w:color="auto"/>
              <w:bottom w:val="single" w:sz="8" w:color="auto"/>
            </w:tcBorders>
          </w:tcPr>
          <w:p>
            <w:pPr>
              <w:spacing w:after="0"/>
              <w:rPr>
                <w:sz w:val="24"/>
                <w:szCs w:val="24"/>
                <w:color w:val="auto"/>
              </w:rPr>
            </w:pPr>
          </w:p>
        </w:tc>
        <w:tc>
          <w:tcPr>
            <w:tcW w:w="11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(26)</w:t>
            </w:r>
          </w:p>
        </w:tc>
        <w:tc>
          <w:tcPr>
            <w:tcW w:w="100" w:type="dxa"/>
            <w:vAlign w:val="bottom"/>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(61)</w:t>
            </w:r>
          </w:p>
        </w:tc>
        <w:tc>
          <w:tcPr>
            <w:tcW w:w="120" w:type="dxa"/>
            <w:vAlign w:val="bottom"/>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(426)</w:t>
            </w:r>
          </w:p>
        </w:tc>
        <w:tc>
          <w:tcPr>
            <w:tcW w:w="100" w:type="dxa"/>
            <w:vAlign w:val="bottom"/>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170</w:t>
            </w:r>
          </w:p>
        </w:tc>
        <w:tc>
          <w:tcPr>
            <w:tcW w:w="120" w:type="dxa"/>
            <w:vAlign w:val="bottom"/>
          </w:tcPr>
          <w:p>
            <w:pPr>
              <w:spacing w:after="0"/>
              <w:rPr>
                <w:sz w:val="24"/>
                <w:szCs w:val="24"/>
                <w:color w:val="auto"/>
              </w:rPr>
            </w:pPr>
          </w:p>
        </w:tc>
        <w:tc>
          <w:tcPr>
            <w:tcW w:w="280" w:type="dxa"/>
            <w:vAlign w:val="bottom"/>
            <w:tcBorders>
              <w:top w:val="single" w:sz="8" w:color="auto"/>
              <w:bottom w:val="single" w:sz="8" w:color="auto"/>
            </w:tcBorders>
          </w:tcPr>
          <w:p>
            <w:pPr>
              <w:spacing w:after="0"/>
              <w:rPr>
                <w:sz w:val="24"/>
                <w:szCs w:val="24"/>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(225)</w:t>
            </w:r>
          </w:p>
        </w:tc>
      </w:tr>
      <w:tr>
        <w:trPr>
          <w:trHeight w:val="798"/>
        </w:trPr>
        <w:tc>
          <w:tcPr>
            <w:tcW w:w="100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(12,448)</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(12,461)</w:t>
            </w:r>
          </w:p>
        </w:tc>
      </w:tr>
      <w:tr>
        <w:trPr>
          <w:trHeight w:val="276"/>
        </w:trPr>
        <w:tc>
          <w:tcPr>
            <w:tcW w:w="100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31</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10,473</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10,504</w:t>
            </w:r>
          </w:p>
        </w:tc>
      </w:tr>
      <w:tr>
        <w:trPr>
          <w:trHeight w:val="250"/>
        </w:trPr>
        <w:tc>
          <w:tcPr>
            <w:tcW w:w="100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22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(1,975)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(1,957)</w:t>
            </w:r>
          </w:p>
        </w:tc>
      </w:tr>
      <w:tr>
        <w:trPr>
          <w:trHeight w:val="358"/>
        </w:trPr>
        <w:tc>
          <w:tcPr>
            <w:tcW w:w="1000" w:type="dxa"/>
            <w:vAlign w:val="bottom"/>
          </w:tcPr>
          <w:p>
            <w:pPr>
              <w:jc w:val="right"/>
              <w:ind w:right="168"/>
              <w:spacing w:after="0"/>
              <w:rPr>
                <w:sz w:val="20"/>
                <w:szCs w:val="20"/>
                <w:color w:val="auto"/>
              </w:rPr>
            </w:pPr>
            <w:r>
              <w:rPr>
                <w:rFonts w:ascii="Arial" w:cs="Arial" w:eastAsia="Arial" w:hAnsi="Arial"/>
                <w:sz w:val="14"/>
                <w:szCs w:val="14"/>
                <w:color w:val="auto"/>
              </w:rPr>
              <w:t>118</w:t>
            </w:r>
          </w:p>
        </w:tc>
        <w:tc>
          <w:tcPr>
            <w:tcW w:w="180" w:type="dxa"/>
            <w:vAlign w:val="bottom"/>
            <w:tcBorders>
              <w:top w:val="single" w:sz="8" w:color="auto"/>
              <w:bottom w:val="single" w:sz="8" w:color="auto"/>
            </w:tcBorders>
          </w:tcPr>
          <w:p>
            <w:pPr>
              <w:spacing w:after="0"/>
              <w:rPr>
                <w:sz w:val="24"/>
                <w:szCs w:val="24"/>
                <w:color w:val="auto"/>
              </w:rPr>
            </w:pPr>
          </w:p>
        </w:tc>
        <w:tc>
          <w:tcPr>
            <w:tcW w:w="11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(65)</w:t>
            </w:r>
          </w:p>
        </w:tc>
        <w:tc>
          <w:tcPr>
            <w:tcW w:w="120" w:type="dxa"/>
            <w:vAlign w:val="bottom"/>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(2,401)</w:t>
            </w:r>
          </w:p>
        </w:tc>
        <w:tc>
          <w:tcPr>
            <w:tcW w:w="100" w:type="dxa"/>
            <w:vAlign w:val="bottom"/>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170</w:t>
            </w:r>
          </w:p>
        </w:tc>
        <w:tc>
          <w:tcPr>
            <w:tcW w:w="120" w:type="dxa"/>
            <w:vAlign w:val="bottom"/>
          </w:tcPr>
          <w:p>
            <w:pPr>
              <w:spacing w:after="0"/>
              <w:rPr>
                <w:sz w:val="24"/>
                <w:szCs w:val="24"/>
                <w:color w:val="auto"/>
              </w:rPr>
            </w:pPr>
          </w:p>
        </w:tc>
        <w:tc>
          <w:tcPr>
            <w:tcW w:w="280" w:type="dxa"/>
            <w:vAlign w:val="bottom"/>
            <w:tcBorders>
              <w:top w:val="single" w:sz="8" w:color="auto"/>
              <w:bottom w:val="single" w:sz="8" w:color="auto"/>
            </w:tcBorders>
          </w:tcPr>
          <w:p>
            <w:pPr>
              <w:spacing w:after="0"/>
              <w:rPr>
                <w:sz w:val="24"/>
                <w:szCs w:val="24"/>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(2,182)</w:t>
            </w:r>
          </w:p>
        </w:tc>
      </w:tr>
      <w:tr>
        <w:trPr>
          <w:trHeight w:val="798"/>
        </w:trPr>
        <w:tc>
          <w:tcPr>
            <w:tcW w:w="100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557</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337</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4"/>
                <w:szCs w:val="24"/>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894</w:t>
            </w:r>
          </w:p>
        </w:tc>
      </w:tr>
      <w:tr>
        <w:trPr>
          <w:trHeight w:val="270"/>
        </w:trPr>
        <w:tc>
          <w:tcPr>
            <w:tcW w:w="100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(525)</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(317)</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(847)</w:t>
            </w:r>
          </w:p>
        </w:tc>
      </w:tr>
      <w:tr>
        <w:trPr>
          <w:trHeight w:val="270"/>
        </w:trPr>
        <w:tc>
          <w:tcPr>
            <w:tcW w:w="100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4</w:t>
            </w:r>
          </w:p>
        </w:tc>
      </w:tr>
      <w:tr>
        <w:trPr>
          <w:trHeight w:val="270"/>
        </w:trPr>
        <w:tc>
          <w:tcPr>
            <w:tcW w:w="100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(20)</w:t>
            </w:r>
          </w:p>
        </w:tc>
      </w:tr>
      <w:tr>
        <w:trPr>
          <w:trHeight w:val="270"/>
        </w:trPr>
        <w:tc>
          <w:tcPr>
            <w:tcW w:w="1000" w:type="dxa"/>
            <w:vAlign w:val="bottom"/>
          </w:tcPr>
          <w:p>
            <w:pPr>
              <w:jc w:val="right"/>
              <w:ind w:right="128"/>
              <w:spacing w:after="0"/>
              <w:rPr>
                <w:sz w:val="20"/>
                <w:szCs w:val="20"/>
                <w:color w:val="auto"/>
              </w:rPr>
            </w:pPr>
            <w:r>
              <w:rPr>
                <w:rFonts w:ascii="Arial" w:cs="Arial" w:eastAsia="Arial" w:hAnsi="Arial"/>
                <w:sz w:val="14"/>
                <w:szCs w:val="14"/>
                <w:color w:val="auto"/>
              </w:rPr>
              <w:t>(398)</w:t>
            </w:r>
          </w:p>
        </w:tc>
        <w:tc>
          <w:tcPr>
            <w:tcW w:w="18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(398)</w:t>
            </w:r>
          </w:p>
        </w:tc>
      </w:tr>
      <w:tr>
        <w:trPr>
          <w:trHeight w:val="270"/>
        </w:trPr>
        <w:tc>
          <w:tcPr>
            <w:tcW w:w="100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316</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(28)</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(288)</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100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(385)</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(75)</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460</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358"/>
        </w:trPr>
        <w:tc>
          <w:tcPr>
            <w:tcW w:w="1000" w:type="dxa"/>
            <w:vAlign w:val="bottom"/>
          </w:tcPr>
          <w:p>
            <w:pPr>
              <w:jc w:val="right"/>
              <w:ind w:right="128"/>
              <w:spacing w:after="0"/>
              <w:rPr>
                <w:sz w:val="20"/>
                <w:szCs w:val="20"/>
                <w:color w:val="auto"/>
              </w:rPr>
            </w:pPr>
            <w:r>
              <w:rPr>
                <w:rFonts w:ascii="Arial" w:cs="Arial" w:eastAsia="Arial" w:hAnsi="Arial"/>
                <w:sz w:val="14"/>
                <w:szCs w:val="14"/>
                <w:color w:val="auto"/>
              </w:rPr>
              <w:t>(398)</w:t>
            </w:r>
          </w:p>
        </w:tc>
        <w:tc>
          <w:tcPr>
            <w:tcW w:w="180" w:type="dxa"/>
            <w:vAlign w:val="bottom"/>
            <w:tcBorders>
              <w:top w:val="single" w:sz="8" w:color="auto"/>
              <w:bottom w:val="single" w:sz="8" w:color="auto"/>
            </w:tcBorders>
          </w:tcPr>
          <w:p>
            <w:pPr>
              <w:spacing w:after="0"/>
              <w:rPr>
                <w:sz w:val="24"/>
                <w:szCs w:val="24"/>
                <w:color w:val="auto"/>
              </w:rPr>
            </w:pPr>
          </w:p>
        </w:tc>
        <w:tc>
          <w:tcPr>
            <w:tcW w:w="11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(52)</w:t>
            </w:r>
          </w:p>
        </w:tc>
        <w:tc>
          <w:tcPr>
            <w:tcW w:w="100" w:type="dxa"/>
            <w:vAlign w:val="bottom"/>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(84)</w:t>
            </w:r>
          </w:p>
        </w:tc>
        <w:tc>
          <w:tcPr>
            <w:tcW w:w="100" w:type="dxa"/>
            <w:vAlign w:val="bottom"/>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172</w:t>
            </w:r>
          </w:p>
        </w:tc>
        <w:tc>
          <w:tcPr>
            <w:tcW w:w="120" w:type="dxa"/>
            <w:vAlign w:val="bottom"/>
          </w:tcPr>
          <w:p>
            <w:pPr>
              <w:spacing w:after="0"/>
              <w:rPr>
                <w:sz w:val="24"/>
                <w:szCs w:val="24"/>
                <w:color w:val="auto"/>
              </w:rPr>
            </w:pPr>
          </w:p>
        </w:tc>
        <w:tc>
          <w:tcPr>
            <w:tcW w:w="280" w:type="dxa"/>
            <w:vAlign w:val="bottom"/>
            <w:tcBorders>
              <w:top w:val="single" w:sz="8" w:color="auto"/>
              <w:bottom w:val="single" w:sz="8" w:color="auto"/>
            </w:tcBorders>
          </w:tcPr>
          <w:p>
            <w:pPr>
              <w:spacing w:after="0"/>
              <w:rPr>
                <w:sz w:val="24"/>
                <w:szCs w:val="24"/>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(367)</w:t>
            </w:r>
          </w:p>
        </w:tc>
      </w:tr>
      <w:tr>
        <w:trPr>
          <w:trHeight w:val="798"/>
        </w:trPr>
        <w:tc>
          <w:tcPr>
            <w:tcW w:w="100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15,761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4"/>
                <w:szCs w:val="24"/>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15,769</w:t>
            </w:r>
          </w:p>
        </w:tc>
      </w:tr>
      <w:tr>
        <w:trPr>
          <w:trHeight w:val="270"/>
        </w:trPr>
        <w:tc>
          <w:tcPr>
            <w:tcW w:w="100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(9)</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(15,817)</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(15,826)</w:t>
            </w:r>
          </w:p>
        </w:tc>
      </w:tr>
      <w:tr>
        <w:trPr>
          <w:trHeight w:val="276"/>
        </w:trPr>
        <w:tc>
          <w:tcPr>
            <w:tcW w:w="100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w:t>
            </w:r>
          </w:p>
        </w:tc>
      </w:tr>
      <w:tr>
        <w:trPr>
          <w:trHeight w:val="250"/>
        </w:trPr>
        <w:tc>
          <w:tcPr>
            <w:tcW w:w="100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(80)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(82)</w:t>
            </w:r>
          </w:p>
        </w:tc>
      </w:tr>
      <w:tr>
        <w:trPr>
          <w:trHeight w:val="358"/>
        </w:trPr>
        <w:tc>
          <w:tcPr>
            <w:tcW w:w="1000" w:type="dxa"/>
            <w:vAlign w:val="bottom"/>
          </w:tcPr>
          <w:p>
            <w:pPr>
              <w:jc w:val="right"/>
              <w:ind w:right="128"/>
              <w:spacing w:after="0"/>
              <w:rPr>
                <w:sz w:val="20"/>
                <w:szCs w:val="20"/>
                <w:color w:val="auto"/>
              </w:rPr>
            </w:pPr>
            <w:r>
              <w:rPr>
                <w:rFonts w:ascii="Arial" w:cs="Arial" w:eastAsia="Arial" w:hAnsi="Arial"/>
                <w:sz w:val="14"/>
                <w:szCs w:val="14"/>
                <w:color w:val="auto"/>
              </w:rPr>
              <w:t>(398)</w:t>
            </w:r>
          </w:p>
        </w:tc>
        <w:tc>
          <w:tcPr>
            <w:tcW w:w="180" w:type="dxa"/>
            <w:vAlign w:val="bottom"/>
            <w:tcBorders>
              <w:top w:val="single" w:sz="8" w:color="auto"/>
              <w:bottom w:val="single" w:sz="8" w:color="auto"/>
            </w:tcBorders>
          </w:tcPr>
          <w:p>
            <w:pPr>
              <w:spacing w:after="0"/>
              <w:rPr>
                <w:sz w:val="24"/>
                <w:szCs w:val="24"/>
                <w:color w:val="auto"/>
              </w:rPr>
            </w:pPr>
          </w:p>
        </w:tc>
        <w:tc>
          <w:tcPr>
            <w:tcW w:w="11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(44)</w:t>
            </w:r>
          </w:p>
        </w:tc>
        <w:tc>
          <w:tcPr>
            <w:tcW w:w="100" w:type="dxa"/>
            <w:vAlign w:val="bottom"/>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(15)</w:t>
            </w:r>
          </w:p>
        </w:tc>
        <w:tc>
          <w:tcPr>
            <w:tcW w:w="120" w:type="dxa"/>
            <w:vAlign w:val="bottom"/>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(164)</w:t>
            </w:r>
          </w:p>
        </w:tc>
        <w:tc>
          <w:tcPr>
            <w:tcW w:w="100" w:type="dxa"/>
            <w:vAlign w:val="bottom"/>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172</w:t>
            </w:r>
          </w:p>
        </w:tc>
        <w:tc>
          <w:tcPr>
            <w:tcW w:w="120" w:type="dxa"/>
            <w:vAlign w:val="bottom"/>
          </w:tcPr>
          <w:p>
            <w:pPr>
              <w:spacing w:after="0"/>
              <w:rPr>
                <w:sz w:val="24"/>
                <w:szCs w:val="24"/>
                <w:color w:val="auto"/>
              </w:rPr>
            </w:pPr>
          </w:p>
        </w:tc>
        <w:tc>
          <w:tcPr>
            <w:tcW w:w="280" w:type="dxa"/>
            <w:vAlign w:val="bottom"/>
            <w:tcBorders>
              <w:top w:val="single" w:sz="8" w:color="auto"/>
              <w:bottom w:val="single" w:sz="8" w:color="auto"/>
            </w:tcBorders>
          </w:tcPr>
          <w:p>
            <w:pPr>
              <w:spacing w:after="0"/>
              <w:rPr>
                <w:sz w:val="24"/>
                <w:szCs w:val="24"/>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(449)</w:t>
            </w:r>
          </w:p>
        </w:tc>
      </w:tr>
      <w:tr>
        <w:trPr>
          <w:trHeight w:val="358"/>
        </w:trPr>
        <w:tc>
          <w:tcPr>
            <w:tcW w:w="100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w:t>
            </w:r>
          </w:p>
        </w:tc>
      </w:tr>
      <w:tr>
        <w:trPr>
          <w:trHeight w:val="352"/>
        </w:trPr>
        <w:tc>
          <w:tcPr>
            <w:tcW w:w="1000" w:type="dxa"/>
            <w:vAlign w:val="bottom"/>
          </w:tcPr>
          <w:p>
            <w:pPr>
              <w:jc w:val="right"/>
              <w:ind w:right="128"/>
              <w:spacing w:after="0"/>
              <w:rPr>
                <w:sz w:val="20"/>
                <w:szCs w:val="20"/>
                <w:color w:val="auto"/>
              </w:rPr>
            </w:pPr>
            <w:r>
              <w:rPr>
                <w:rFonts w:ascii="Arial" w:cs="Arial" w:eastAsia="Arial" w:hAnsi="Arial"/>
                <w:sz w:val="14"/>
                <w:szCs w:val="14"/>
                <w:color w:val="auto"/>
              </w:rPr>
              <w:t>(1)</w:t>
            </w:r>
          </w:p>
        </w:tc>
        <w:tc>
          <w:tcPr>
            <w:tcW w:w="180" w:type="dxa"/>
            <w:vAlign w:val="bottom"/>
          </w:tcPr>
          <w:p>
            <w:pPr>
              <w:spacing w:after="0"/>
              <w:rPr>
                <w:sz w:val="24"/>
                <w:szCs w:val="24"/>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(58)</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62</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4"/>
                <w:szCs w:val="24"/>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3</w:t>
            </w:r>
          </w:p>
        </w:tc>
      </w:tr>
      <w:tr>
        <w:trPr>
          <w:trHeight w:val="384"/>
        </w:trPr>
        <w:tc>
          <w:tcPr>
            <w:tcW w:w="1000" w:type="dxa"/>
            <w:vAlign w:val="bottom"/>
          </w:tcPr>
          <w:p>
            <w:pPr>
              <w:jc w:val="right"/>
              <w:ind w:right="168"/>
              <w:spacing w:after="0"/>
              <w:rPr>
                <w:sz w:val="20"/>
                <w:szCs w:val="20"/>
                <w:color w:val="auto"/>
              </w:rPr>
            </w:pPr>
            <w:r>
              <w:rPr>
                <w:rFonts w:ascii="Arial" w:cs="Arial" w:eastAsia="Arial" w:hAnsi="Arial"/>
                <w:sz w:val="14"/>
                <w:szCs w:val="14"/>
                <w:color w:val="auto"/>
              </w:rPr>
              <w:t>4</w:t>
            </w:r>
          </w:p>
        </w:tc>
        <w:tc>
          <w:tcPr>
            <w:tcW w:w="1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70</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643</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717</w:t>
            </w:r>
          </w:p>
        </w:tc>
      </w:tr>
      <w:tr>
        <w:trPr>
          <w:trHeight w:val="345"/>
        </w:trPr>
        <w:tc>
          <w:tcPr>
            <w:tcW w:w="1000" w:type="dxa"/>
            <w:vAlign w:val="bottom"/>
          </w:tcPr>
          <w:p>
            <w:pPr>
              <w:jc w:val="right"/>
              <w:ind w:right="168"/>
              <w:spacing w:after="0"/>
              <w:rPr>
                <w:sz w:val="20"/>
                <w:szCs w:val="20"/>
                <w:color w:val="auto"/>
              </w:rPr>
            </w:pPr>
            <w:r>
              <w:rPr>
                <w:rFonts w:ascii="Arial" w:cs="Arial" w:eastAsia="Arial" w:hAnsi="Arial"/>
                <w:sz w:val="14"/>
                <w:szCs w:val="14"/>
                <w:color w:val="auto"/>
              </w:rPr>
              <w:t>3</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705</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720</w:t>
            </w:r>
          </w:p>
        </w:tc>
      </w:tr>
      <w:tr>
        <w:trPr>
          <w:trHeight w:val="20"/>
        </w:trPr>
        <w:tc>
          <w:tcPr>
            <w:tcW w:w="10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-259715</wp:posOffset>
            </wp:positionH>
            <wp:positionV relativeFrom="paragraph">
              <wp:posOffset>-25400</wp:posOffset>
            </wp:positionV>
            <wp:extent cx="81470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814705" cy="8890"/>
                    </a:xfrm>
                    <a:prstGeom prst="rect">
                      <a:avLst/>
                    </a:prstGeom>
                    <a:noFill/>
                  </pic:spPr>
                </pic:pic>
              </a:graphicData>
            </a:graphic>
          </wp:anchor>
        </w:drawing>
        <w:drawing>
          <wp:anchor simplePos="0" relativeHeight="251657728" behindDoc="1" locked="0" layoutInCell="0" allowOverlap="1">
            <wp:simplePos x="0" y="0"/>
            <wp:positionH relativeFrom="column">
              <wp:posOffset>-259715</wp:posOffset>
            </wp:positionH>
            <wp:positionV relativeFrom="paragraph">
              <wp:posOffset>-8255</wp:posOffset>
            </wp:positionV>
            <wp:extent cx="81470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814705" cy="8890"/>
                    </a:xfrm>
                    <a:prstGeom prst="rect">
                      <a:avLst/>
                    </a:prstGeom>
                    <a:noFill/>
                  </pic:spPr>
                </pic:pic>
              </a:graphicData>
            </a:graphic>
          </wp:anchor>
        </w:drawing>
        <w:drawing>
          <wp:anchor simplePos="0" relativeHeight="251657728" behindDoc="1" locked="0" layoutInCell="0" allowOverlap="1">
            <wp:simplePos x="0" y="0"/>
            <wp:positionH relativeFrom="column">
              <wp:posOffset>-259715</wp:posOffset>
            </wp:positionH>
            <wp:positionV relativeFrom="paragraph">
              <wp:posOffset>-256540</wp:posOffset>
            </wp:positionV>
            <wp:extent cx="81470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814705" cy="8890"/>
                    </a:xfrm>
                    <a:prstGeom prst="rect">
                      <a:avLst/>
                    </a:prstGeom>
                    <a:noFill/>
                  </pic:spPr>
                </pic:pic>
              </a:graphicData>
            </a:graphic>
          </wp:anchor>
        </w:drawing>
        <w:drawing>
          <wp:anchor simplePos="0" relativeHeight="251657728" behindDoc="1" locked="0" layoutInCell="0" allowOverlap="1">
            <wp:simplePos x="0" y="0"/>
            <wp:positionH relativeFrom="column">
              <wp:posOffset>-259715</wp:posOffset>
            </wp:positionH>
            <wp:positionV relativeFrom="paragraph">
              <wp:posOffset>-736600</wp:posOffset>
            </wp:positionV>
            <wp:extent cx="81470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814705" cy="8890"/>
                    </a:xfrm>
                    <a:prstGeom prst="rect">
                      <a:avLst/>
                    </a:prstGeom>
                    <a:noFill/>
                  </pic:spPr>
                </pic:pic>
              </a:graphicData>
            </a:graphic>
          </wp:anchor>
        </w:drawing>
        <w:drawing>
          <wp:anchor simplePos="0" relativeHeight="251657728" behindDoc="1" locked="0" layoutInCell="0" allowOverlap="1">
            <wp:simplePos x="0" y="0"/>
            <wp:positionH relativeFrom="column">
              <wp:posOffset>-259715</wp:posOffset>
            </wp:positionH>
            <wp:positionV relativeFrom="paragraph">
              <wp:posOffset>-977265</wp:posOffset>
            </wp:positionV>
            <wp:extent cx="81470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814705" cy="8890"/>
                    </a:xfrm>
                    <a:prstGeom prst="rect">
                      <a:avLst/>
                    </a:prstGeom>
                    <a:noFill/>
                  </pic:spPr>
                </pic:pic>
              </a:graphicData>
            </a:graphic>
          </wp:anchor>
        </w:drawing>
        <w:drawing>
          <wp:anchor simplePos="0" relativeHeight="251657728" behindDoc="1" locked="0" layoutInCell="0" allowOverlap="1">
            <wp:simplePos x="0" y="0"/>
            <wp:positionH relativeFrom="column">
              <wp:posOffset>-259715</wp:posOffset>
            </wp:positionH>
            <wp:positionV relativeFrom="paragraph">
              <wp:posOffset>-1217295</wp:posOffset>
            </wp:positionV>
            <wp:extent cx="81470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814705" cy="8890"/>
                    </a:xfrm>
                    <a:prstGeom prst="rect">
                      <a:avLst/>
                    </a:prstGeom>
                    <a:noFill/>
                  </pic:spPr>
                </pic:pic>
              </a:graphicData>
            </a:graphic>
          </wp:anchor>
        </w:drawing>
        <w:drawing>
          <wp:anchor simplePos="0" relativeHeight="251657728" behindDoc="1" locked="0" layoutInCell="0" allowOverlap="1">
            <wp:simplePos x="0" y="0"/>
            <wp:positionH relativeFrom="column">
              <wp:posOffset>-259715</wp:posOffset>
            </wp:positionH>
            <wp:positionV relativeFrom="paragraph">
              <wp:posOffset>-1388745</wp:posOffset>
            </wp:positionV>
            <wp:extent cx="81470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814705" cy="8890"/>
                    </a:xfrm>
                    <a:prstGeom prst="rect">
                      <a:avLst/>
                    </a:prstGeom>
                    <a:noFill/>
                  </pic:spPr>
                </pic:pic>
              </a:graphicData>
            </a:graphic>
          </wp:anchor>
        </w:drawing>
        <w:drawing>
          <wp:anchor simplePos="0" relativeHeight="251657728" behindDoc="1" locked="0" layoutInCell="0" allowOverlap="1">
            <wp:simplePos x="0" y="0"/>
            <wp:positionH relativeFrom="column">
              <wp:posOffset>-259715</wp:posOffset>
            </wp:positionH>
            <wp:positionV relativeFrom="paragraph">
              <wp:posOffset>-2254885</wp:posOffset>
            </wp:positionV>
            <wp:extent cx="81470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814705" cy="8890"/>
                    </a:xfrm>
                    <a:prstGeom prst="rect">
                      <a:avLst/>
                    </a:prstGeom>
                    <a:noFill/>
                  </pic:spPr>
                </pic:pic>
              </a:graphicData>
            </a:graphic>
          </wp:anchor>
        </w:drawing>
        <w:drawing>
          <wp:anchor simplePos="0" relativeHeight="251657728" behindDoc="1" locked="0" layoutInCell="0" allowOverlap="1">
            <wp:simplePos x="0" y="0"/>
            <wp:positionH relativeFrom="column">
              <wp:posOffset>-259715</wp:posOffset>
            </wp:positionH>
            <wp:positionV relativeFrom="paragraph">
              <wp:posOffset>-2494915</wp:posOffset>
            </wp:positionV>
            <wp:extent cx="81470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814705" cy="8890"/>
                    </a:xfrm>
                    <a:prstGeom prst="rect">
                      <a:avLst/>
                    </a:prstGeom>
                    <a:noFill/>
                  </pic:spPr>
                </pic:pic>
              </a:graphicData>
            </a:graphic>
          </wp:anchor>
        </w:drawing>
        <w:drawing>
          <wp:anchor simplePos="0" relativeHeight="251657728" behindDoc="1" locked="0" layoutInCell="0" allowOverlap="1">
            <wp:simplePos x="0" y="0"/>
            <wp:positionH relativeFrom="column">
              <wp:posOffset>-259715</wp:posOffset>
            </wp:positionH>
            <wp:positionV relativeFrom="paragraph">
              <wp:posOffset>-4046855</wp:posOffset>
            </wp:positionV>
            <wp:extent cx="81470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814705" cy="8890"/>
                    </a:xfrm>
                    <a:prstGeom prst="rect">
                      <a:avLst/>
                    </a:prstGeom>
                    <a:noFill/>
                  </pic:spPr>
                </pic:pic>
              </a:graphicData>
            </a:graphic>
          </wp:anchor>
        </w:drawing>
        <w:drawing>
          <wp:anchor simplePos="0" relativeHeight="251657728" behindDoc="1" locked="0" layoutInCell="0" allowOverlap="1">
            <wp:simplePos x="0" y="0"/>
            <wp:positionH relativeFrom="column">
              <wp:posOffset>-259715</wp:posOffset>
            </wp:positionH>
            <wp:positionV relativeFrom="paragraph">
              <wp:posOffset>-4287520</wp:posOffset>
            </wp:positionV>
            <wp:extent cx="81470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814705" cy="8890"/>
                    </a:xfrm>
                    <a:prstGeom prst="rect">
                      <a:avLst/>
                    </a:prstGeom>
                    <a:noFill/>
                  </pic:spPr>
                </pic:pic>
              </a:graphicData>
            </a:graphic>
          </wp:anchor>
        </w:drawing>
        <w:drawing>
          <wp:anchor simplePos="0" relativeHeight="251657728" behindDoc="1" locked="0" layoutInCell="0" allowOverlap="1">
            <wp:simplePos x="0" y="0"/>
            <wp:positionH relativeFrom="column">
              <wp:posOffset>-259715</wp:posOffset>
            </wp:positionH>
            <wp:positionV relativeFrom="paragraph">
              <wp:posOffset>-4458970</wp:posOffset>
            </wp:positionV>
            <wp:extent cx="81470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814705" cy="8890"/>
                    </a:xfrm>
                    <a:prstGeom prst="rect">
                      <a:avLst/>
                    </a:prstGeom>
                    <a:noFill/>
                  </pic:spPr>
                </pic:pic>
              </a:graphicData>
            </a:graphic>
          </wp:anchor>
        </w:drawing>
        <w:drawing>
          <wp:anchor simplePos="0" relativeHeight="251657728" behindDoc="1" locked="0" layoutInCell="0" allowOverlap="1">
            <wp:simplePos x="0" y="0"/>
            <wp:positionH relativeFrom="column">
              <wp:posOffset>-259715</wp:posOffset>
            </wp:positionH>
            <wp:positionV relativeFrom="paragraph">
              <wp:posOffset>-5153660</wp:posOffset>
            </wp:positionV>
            <wp:extent cx="81470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814705" cy="8890"/>
                    </a:xfrm>
                    <a:prstGeom prst="rect">
                      <a:avLst/>
                    </a:prstGeom>
                    <a:noFill/>
                  </pic:spPr>
                </pic:pic>
              </a:graphicData>
            </a:graphic>
          </wp:anchor>
        </w:drawing>
        <w:drawing>
          <wp:anchor simplePos="0" relativeHeight="251657728" behindDoc="1" locked="0" layoutInCell="0" allowOverlap="1">
            <wp:simplePos x="0" y="0"/>
            <wp:positionH relativeFrom="column">
              <wp:posOffset>-259715</wp:posOffset>
            </wp:positionH>
            <wp:positionV relativeFrom="paragraph">
              <wp:posOffset>-5393690</wp:posOffset>
            </wp:positionV>
            <wp:extent cx="81470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814705" cy="8890"/>
                    </a:xfrm>
                    <a:prstGeom prst="rect">
                      <a:avLst/>
                    </a:prstGeom>
                    <a:noFill/>
                  </pic:spPr>
                </pic:pic>
              </a:graphicData>
            </a:graphic>
          </wp:anchor>
        </w:drawing>
        <w:drawing>
          <wp:anchor simplePos="0" relativeHeight="251657728" behindDoc="1" locked="0" layoutInCell="0" allowOverlap="1">
            <wp:simplePos x="0" y="0"/>
            <wp:positionH relativeFrom="column">
              <wp:posOffset>-259715</wp:posOffset>
            </wp:positionH>
            <wp:positionV relativeFrom="paragraph">
              <wp:posOffset>-6602730</wp:posOffset>
            </wp:positionV>
            <wp:extent cx="81470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814705" cy="8890"/>
                    </a:xfrm>
                    <a:prstGeom prst="rect">
                      <a:avLst/>
                    </a:prstGeom>
                    <a:noFill/>
                  </pic:spPr>
                </pic:pic>
              </a:graphicData>
            </a:graphic>
          </wp:anchor>
        </w:drawing>
        <w:drawing>
          <wp:anchor simplePos="0" relativeHeight="251657728" behindDoc="1" locked="0" layoutInCell="0" allowOverlap="1">
            <wp:simplePos x="0" y="0"/>
            <wp:positionH relativeFrom="column">
              <wp:posOffset>-259715</wp:posOffset>
            </wp:positionH>
            <wp:positionV relativeFrom="paragraph">
              <wp:posOffset>-6842760</wp:posOffset>
            </wp:positionV>
            <wp:extent cx="81470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81470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1780"/>
        <w:spacing w:after="0"/>
        <w:rPr>
          <w:sz w:val="20"/>
          <w:szCs w:val="20"/>
          <w:color w:val="auto"/>
        </w:rPr>
      </w:pPr>
      <w:r>
        <w:rPr>
          <w:rFonts w:ascii="Arial" w:cs="Arial" w:eastAsia="Arial" w:hAnsi="Arial"/>
          <w:sz w:val="18"/>
          <w:szCs w:val="18"/>
          <w:color w:val="auto"/>
        </w:rPr>
        <w:t>F-56</w:t>
      </w:r>
    </w:p>
    <w:p>
      <w:pPr>
        <w:sectPr>
          <w:pgSz w:w="11900" w:h="16838" w:orient="portrait"/>
          <w:cols w:equalWidth="0" w:num="2">
            <w:col w:w="3440" w:space="300"/>
            <w:col w:w="7680"/>
          </w:cols>
          <w:pgMar w:left="240" w:top="140" w:right="239" w:bottom="1440" w:gutter="0" w:footer="0" w:header="0"/>
        </w:sectPr>
      </w:pPr>
    </w:p>
    <w:bookmarkStart w:id="122" w:name="page123"/>
    <w:bookmarkEnd w:id="1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For the Year Ended December 31, 2015</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Net cash provided by (used in) operating</w:t>
      </w:r>
    </w:p>
    <w:p>
      <w:pPr>
        <w:spacing w:after="0" w:line="19" w:lineRule="exact"/>
        <w:rPr>
          <w:sz w:val="20"/>
          <w:szCs w:val="20"/>
          <w:color w:val="auto"/>
        </w:rPr>
      </w:pPr>
    </w:p>
    <w:p>
      <w:pPr>
        <w:ind w:left="200"/>
        <w:spacing w:after="0"/>
        <w:tabs>
          <w:tab w:leader="none" w:pos="3340" w:val="left"/>
        </w:tabs>
        <w:rPr>
          <w:sz w:val="20"/>
          <w:szCs w:val="20"/>
          <w:color w:val="auto"/>
        </w:rPr>
      </w:pPr>
      <w:r>
        <w:rPr>
          <w:rFonts w:ascii="Arial" w:cs="Arial" w:eastAsia="Arial" w:hAnsi="Arial"/>
          <w:sz w:val="14"/>
          <w:szCs w:val="14"/>
          <w:b w:val="1"/>
          <w:bCs w:val="1"/>
          <w:color w:val="auto"/>
        </w:rPr>
        <w:t>activities</w:t>
      </w:r>
      <w:r>
        <w:rPr>
          <w:sz w:val="20"/>
          <w:szCs w:val="20"/>
          <w:color w:val="auto"/>
        </w:rPr>
        <w:tab/>
      </w:r>
      <w:r>
        <w:rPr>
          <w:rFonts w:ascii="Arial" w:cs="Arial" w:eastAsia="Arial" w:hAnsi="Arial"/>
          <w:sz w:val="14"/>
          <w:szCs w:val="14"/>
          <w:color w:val="auto"/>
        </w:rPr>
        <w:t>$</w:t>
      </w:r>
    </w:p>
    <w:p>
      <w:pPr>
        <w:spacing w:after="0" w:line="321"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Investing activities</w:t>
      </w:r>
    </w:p>
    <w:p>
      <w:pPr>
        <w:spacing w:after="0" w:line="127" w:lineRule="exact"/>
        <w:rPr>
          <w:sz w:val="20"/>
          <w:szCs w:val="20"/>
          <w:color w:val="auto"/>
        </w:rPr>
      </w:pPr>
    </w:p>
    <w:p>
      <w:pPr>
        <w:ind w:left="40" w:right="1260"/>
        <w:spacing w:after="0" w:line="402" w:lineRule="auto"/>
        <w:rPr>
          <w:sz w:val="20"/>
          <w:szCs w:val="20"/>
          <w:color w:val="auto"/>
        </w:rPr>
      </w:pPr>
      <w:r>
        <w:rPr>
          <w:rFonts w:ascii="Arial" w:cs="Arial" w:eastAsia="Arial" w:hAnsi="Arial"/>
          <w:sz w:val="14"/>
          <w:szCs w:val="14"/>
          <w:color w:val="auto"/>
        </w:rPr>
        <w:t>Property and equipment additions Proceeds received on asset sales</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4"/>
          <w:szCs w:val="14"/>
          <w:color w:val="auto"/>
        </w:rPr>
        <w:t>Net assets acquired (net of cash acquired)</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Intercompany loan receipts (advances)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Other, net</w:t>
      </w:r>
    </w:p>
    <w:p>
      <w:pPr>
        <w:spacing w:after="0" w:line="91" w:lineRule="exact"/>
        <w:rPr>
          <w:sz w:val="20"/>
          <w:szCs w:val="20"/>
          <w:color w:val="auto"/>
        </w:rPr>
      </w:pPr>
    </w:p>
    <w:p>
      <w:pPr>
        <w:ind w:left="200" w:right="540" w:hanging="161"/>
        <w:spacing w:after="0" w:line="285" w:lineRule="auto"/>
        <w:rPr>
          <w:sz w:val="20"/>
          <w:szCs w:val="20"/>
          <w:color w:val="auto"/>
        </w:rPr>
      </w:pPr>
      <w:r>
        <w:rPr>
          <w:rFonts w:ascii="Arial" w:cs="Arial" w:eastAsia="Arial" w:hAnsi="Arial"/>
          <w:sz w:val="14"/>
          <w:szCs w:val="14"/>
          <w:b w:val="1"/>
          <w:bCs w:val="1"/>
          <w:color w:val="auto"/>
        </w:rPr>
        <w:t>Net cash provided by (used in) investing activities exclusive of vehicle programs</w:t>
      </w:r>
    </w:p>
    <w:p>
      <w:pPr>
        <w:spacing w:after="0" w:line="283" w:lineRule="exact"/>
        <w:rPr>
          <w:sz w:val="20"/>
          <w:szCs w:val="20"/>
          <w:color w:val="auto"/>
        </w:rPr>
      </w:pPr>
    </w:p>
    <w:p>
      <w:pPr>
        <w:ind w:left="40"/>
        <w:spacing w:after="0"/>
        <w:rPr>
          <w:sz w:val="20"/>
          <w:szCs w:val="20"/>
          <w:color w:val="auto"/>
        </w:rPr>
      </w:pPr>
      <w:r>
        <w:rPr>
          <w:rFonts w:ascii="Arial" w:cs="Arial" w:eastAsia="Arial" w:hAnsi="Arial"/>
          <w:sz w:val="14"/>
          <w:szCs w:val="14"/>
          <w:i w:val="1"/>
          <w:iCs w:val="1"/>
          <w:color w:val="auto"/>
        </w:rPr>
        <w:t>Vehicle programs:</w:t>
      </w:r>
    </w:p>
    <w:p>
      <w:pPr>
        <w:spacing w:after="0" w:line="123" w:lineRule="exact"/>
        <w:rPr>
          <w:sz w:val="20"/>
          <w:szCs w:val="20"/>
          <w:color w:val="auto"/>
        </w:rPr>
      </w:pPr>
    </w:p>
    <w:p>
      <w:pPr>
        <w:ind w:left="40"/>
        <w:spacing w:after="0"/>
        <w:rPr>
          <w:sz w:val="20"/>
          <w:szCs w:val="20"/>
          <w:color w:val="auto"/>
        </w:rPr>
      </w:pPr>
      <w:r>
        <w:rPr>
          <w:rFonts w:ascii="Arial" w:cs="Arial" w:eastAsia="Arial" w:hAnsi="Arial"/>
          <w:sz w:val="14"/>
          <w:szCs w:val="14"/>
          <w:color w:val="auto"/>
        </w:rPr>
        <w:t>Investment in vehicles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Proceeds received on disposition of vehicles</w:t>
      </w:r>
    </w:p>
    <w:p>
      <w:pPr>
        <w:spacing w:after="0" w:line="361" w:lineRule="exact"/>
        <w:rPr>
          <w:sz w:val="20"/>
          <w:szCs w:val="20"/>
          <w:color w:val="auto"/>
        </w:rPr>
      </w:pPr>
    </w:p>
    <w:p>
      <w:pPr>
        <w:ind w:left="200" w:right="640" w:hanging="161"/>
        <w:spacing w:after="0" w:line="285" w:lineRule="auto"/>
        <w:rPr>
          <w:sz w:val="20"/>
          <w:szCs w:val="20"/>
          <w:color w:val="auto"/>
        </w:rPr>
      </w:pPr>
      <w:r>
        <w:rPr>
          <w:rFonts w:ascii="Arial" w:cs="Arial" w:eastAsia="Arial" w:hAnsi="Arial"/>
          <w:sz w:val="14"/>
          <w:szCs w:val="14"/>
          <w:b w:val="1"/>
          <w:bCs w:val="1"/>
          <w:color w:val="auto"/>
        </w:rPr>
        <w:t>Net cash provided by (used in) investing activities</w:t>
      </w:r>
    </w:p>
    <w:p>
      <w:pPr>
        <w:spacing w:after="0" w:line="279"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Financing activities</w:t>
      </w:r>
    </w:p>
    <w:p>
      <w:pPr>
        <w:spacing w:after="0" w:line="127" w:lineRule="exact"/>
        <w:rPr>
          <w:sz w:val="20"/>
          <w:szCs w:val="20"/>
          <w:color w:val="auto"/>
        </w:rPr>
      </w:pPr>
    </w:p>
    <w:p>
      <w:pPr>
        <w:ind w:left="40"/>
        <w:spacing w:after="0"/>
        <w:rPr>
          <w:sz w:val="20"/>
          <w:szCs w:val="20"/>
          <w:color w:val="auto"/>
        </w:rPr>
      </w:pPr>
      <w:r>
        <w:rPr>
          <w:rFonts w:ascii="Arial" w:cs="Arial" w:eastAsia="Arial" w:hAnsi="Arial"/>
          <w:sz w:val="14"/>
          <w:szCs w:val="14"/>
          <w:color w:val="auto"/>
        </w:rPr>
        <w:t>Proceeds from long-term borrowings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Payments on long-term borrowings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Net change in short-term borrowings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Debt financing fees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Repurchases of common stock</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Intercompany loan borrowings (payments)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Other, net</w:t>
      </w:r>
    </w:p>
    <w:p>
      <w:pPr>
        <w:spacing w:after="0" w:line="91" w:lineRule="exact"/>
        <w:rPr>
          <w:sz w:val="20"/>
          <w:szCs w:val="20"/>
          <w:color w:val="auto"/>
        </w:rPr>
      </w:pPr>
    </w:p>
    <w:p>
      <w:pPr>
        <w:ind w:left="200" w:right="540" w:hanging="161"/>
        <w:spacing w:after="0" w:line="285" w:lineRule="auto"/>
        <w:rPr>
          <w:sz w:val="20"/>
          <w:szCs w:val="20"/>
          <w:color w:val="auto"/>
        </w:rPr>
      </w:pPr>
      <w:r>
        <w:rPr>
          <w:rFonts w:ascii="Arial" w:cs="Arial" w:eastAsia="Arial" w:hAnsi="Arial"/>
          <w:sz w:val="14"/>
          <w:szCs w:val="14"/>
          <w:b w:val="1"/>
          <w:bCs w:val="1"/>
          <w:color w:val="auto"/>
        </w:rPr>
        <w:t>Net cash provided by (used in) financing activities exclusive of vehicle programs</w:t>
      </w:r>
    </w:p>
    <w:p>
      <w:pPr>
        <w:spacing w:after="0" w:line="283" w:lineRule="exact"/>
        <w:rPr>
          <w:sz w:val="20"/>
          <w:szCs w:val="20"/>
          <w:color w:val="auto"/>
        </w:rPr>
      </w:pPr>
    </w:p>
    <w:p>
      <w:pPr>
        <w:ind w:left="40"/>
        <w:spacing w:after="0"/>
        <w:rPr>
          <w:sz w:val="20"/>
          <w:szCs w:val="20"/>
          <w:color w:val="auto"/>
        </w:rPr>
      </w:pPr>
      <w:r>
        <w:rPr>
          <w:rFonts w:ascii="Arial" w:cs="Arial" w:eastAsia="Arial" w:hAnsi="Arial"/>
          <w:sz w:val="14"/>
          <w:szCs w:val="14"/>
          <w:i w:val="1"/>
          <w:iCs w:val="1"/>
          <w:color w:val="auto"/>
        </w:rPr>
        <w:t>Vehicle programs:</w:t>
      </w:r>
    </w:p>
    <w:p>
      <w:pPr>
        <w:spacing w:after="0" w:line="123" w:lineRule="exact"/>
        <w:rPr>
          <w:sz w:val="20"/>
          <w:szCs w:val="20"/>
          <w:color w:val="auto"/>
        </w:rPr>
      </w:pPr>
    </w:p>
    <w:p>
      <w:pPr>
        <w:ind w:left="40"/>
        <w:spacing w:after="0"/>
        <w:rPr>
          <w:sz w:val="20"/>
          <w:szCs w:val="20"/>
          <w:color w:val="auto"/>
        </w:rPr>
      </w:pPr>
      <w:r>
        <w:rPr>
          <w:rFonts w:ascii="Arial" w:cs="Arial" w:eastAsia="Arial" w:hAnsi="Arial"/>
          <w:sz w:val="14"/>
          <w:szCs w:val="14"/>
          <w:color w:val="auto"/>
        </w:rPr>
        <w:t>Proceeds from borrowings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Payments on borrowings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Debt financing fees</w:t>
      </w:r>
    </w:p>
    <w:p>
      <w:pPr>
        <w:spacing w:after="0" w:line="361" w:lineRule="exact"/>
        <w:rPr>
          <w:sz w:val="20"/>
          <w:szCs w:val="20"/>
          <w:color w:val="auto"/>
        </w:rPr>
      </w:pPr>
    </w:p>
    <w:p>
      <w:pPr>
        <w:ind w:left="200" w:right="640" w:hanging="161"/>
        <w:spacing w:after="0" w:line="285" w:lineRule="auto"/>
        <w:rPr>
          <w:sz w:val="20"/>
          <w:szCs w:val="20"/>
          <w:color w:val="auto"/>
        </w:rPr>
      </w:pPr>
      <w:r>
        <w:rPr>
          <w:rFonts w:ascii="Arial" w:cs="Arial" w:eastAsia="Arial" w:hAnsi="Arial"/>
          <w:sz w:val="14"/>
          <w:szCs w:val="14"/>
          <w:b w:val="1"/>
          <w:bCs w:val="1"/>
          <w:color w:val="auto"/>
        </w:rPr>
        <w:t>Net cash provided by (used in) financing activities</w:t>
      </w:r>
    </w:p>
    <w:p>
      <w:pPr>
        <w:spacing w:after="0" w:line="14" w:lineRule="exact"/>
        <w:rPr>
          <w:sz w:val="20"/>
          <w:szCs w:val="20"/>
          <w:color w:val="auto"/>
        </w:rPr>
      </w:pPr>
    </w:p>
    <w:p>
      <w:pPr>
        <w:jc w:val="right"/>
        <w:ind w:left="40" w:right="300"/>
        <w:spacing w:after="0" w:line="258" w:lineRule="auto"/>
        <w:rPr>
          <w:sz w:val="20"/>
          <w:szCs w:val="20"/>
          <w:color w:val="auto"/>
        </w:rPr>
      </w:pPr>
      <w:r>
        <w:rPr>
          <w:rFonts w:ascii="Arial" w:cs="Arial" w:eastAsia="Arial" w:hAnsi="Arial"/>
          <w:sz w:val="14"/>
          <w:szCs w:val="14"/>
          <w:color w:val="auto"/>
        </w:rPr>
        <w:t>Effect of changes in exchange rates on cash and cash equivalents, program and restricted cash</w:t>
      </w:r>
    </w:p>
    <w:p>
      <w:pPr>
        <w:spacing w:after="0" w:line="32" w:lineRule="exact"/>
        <w:rPr>
          <w:sz w:val="20"/>
          <w:szCs w:val="20"/>
          <w:color w:val="auto"/>
        </w:rPr>
      </w:pPr>
    </w:p>
    <w:p>
      <w:pPr>
        <w:ind w:left="200" w:right="640" w:hanging="161"/>
        <w:spacing w:after="0" w:line="258" w:lineRule="auto"/>
        <w:rPr>
          <w:sz w:val="20"/>
          <w:szCs w:val="20"/>
          <w:color w:val="auto"/>
        </w:rPr>
      </w:pPr>
      <w:r>
        <w:rPr>
          <w:rFonts w:ascii="Arial" w:cs="Arial" w:eastAsia="Arial" w:hAnsi="Arial"/>
          <w:sz w:val="14"/>
          <w:szCs w:val="14"/>
          <w:color w:val="auto"/>
        </w:rPr>
        <w:t>Net increase (decrease) in cash and cash equivalents, program and restricted cash</w:t>
      </w:r>
    </w:p>
    <w:p>
      <w:pPr>
        <w:spacing w:after="0" w:line="32" w:lineRule="exact"/>
        <w:rPr>
          <w:sz w:val="20"/>
          <w:szCs w:val="20"/>
          <w:color w:val="auto"/>
        </w:rPr>
      </w:pPr>
    </w:p>
    <w:p>
      <w:pPr>
        <w:ind w:left="200" w:right="140" w:hanging="161"/>
        <w:spacing w:after="0" w:line="258" w:lineRule="auto"/>
        <w:rPr>
          <w:sz w:val="20"/>
          <w:szCs w:val="20"/>
          <w:color w:val="auto"/>
        </w:rPr>
      </w:pPr>
      <w:r>
        <w:rPr>
          <w:rFonts w:ascii="Arial" w:cs="Arial" w:eastAsia="Arial" w:hAnsi="Arial"/>
          <w:sz w:val="14"/>
          <w:szCs w:val="14"/>
          <w:color w:val="auto"/>
        </w:rPr>
        <w:t>Cash and cash equivalents, program and restricted cash, beginning of period</w:t>
      </w:r>
    </w:p>
    <w:p>
      <w:pPr>
        <w:spacing w:after="0" w:line="14"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Cash and cash equivalents, program and</w:t>
      </w:r>
    </w:p>
    <w:p>
      <w:pPr>
        <w:spacing w:after="0" w:line="6" w:lineRule="exact"/>
        <w:rPr>
          <w:sz w:val="20"/>
          <w:szCs w:val="20"/>
          <w:color w:val="auto"/>
        </w:rPr>
      </w:pPr>
    </w:p>
    <w:p>
      <w:pPr>
        <w:ind w:left="200"/>
        <w:spacing w:after="0"/>
        <w:tabs>
          <w:tab w:leader="none" w:pos="3340" w:val="left"/>
        </w:tabs>
        <w:rPr>
          <w:sz w:val="20"/>
          <w:szCs w:val="20"/>
          <w:color w:val="auto"/>
        </w:rPr>
      </w:pPr>
      <w:r>
        <w:rPr>
          <w:rFonts w:ascii="Arial" w:cs="Arial" w:eastAsia="Arial" w:hAnsi="Arial"/>
          <w:sz w:val="14"/>
          <w:szCs w:val="14"/>
          <w:b w:val="1"/>
          <w:bCs w:val="1"/>
          <w:color w:val="auto"/>
        </w:rPr>
        <w:t>restricted cash, end of period</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Subsidiary</w:t>
            </w:r>
          </w:p>
        </w:tc>
        <w:tc>
          <w:tcPr>
            <w:tcW w:w="16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Guarantor</w:t>
            </w:r>
          </w:p>
        </w:tc>
        <w:tc>
          <w:tcPr>
            <w:tcW w:w="100" w:type="dxa"/>
            <w:vAlign w:val="bottom"/>
          </w:tcPr>
          <w:p>
            <w:pPr>
              <w:spacing w:after="0"/>
              <w:rPr>
                <w:sz w:val="14"/>
                <w:szCs w:val="14"/>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Non-Guarantor</w:t>
            </w: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96"/>
        </w:trPr>
        <w:tc>
          <w:tcPr>
            <w:tcW w:w="1000" w:type="dxa"/>
            <w:vAlign w:val="bottom"/>
          </w:tcPr>
          <w:p>
            <w:pPr>
              <w:jc w:val="right"/>
              <w:ind w:right="468"/>
              <w:spacing w:after="0"/>
              <w:rPr>
                <w:sz w:val="20"/>
                <w:szCs w:val="20"/>
                <w:color w:val="auto"/>
              </w:rPr>
            </w:pPr>
            <w:r>
              <w:rPr>
                <w:rFonts w:ascii="Arial" w:cs="Arial" w:eastAsia="Arial" w:hAnsi="Arial"/>
                <w:sz w:val="14"/>
                <w:szCs w:val="14"/>
                <w:b w:val="1"/>
                <w:bCs w:val="1"/>
                <w:color w:val="auto"/>
              </w:rPr>
              <w:t>Parent</w:t>
            </w:r>
          </w:p>
        </w:tc>
        <w:tc>
          <w:tcPr>
            <w:tcW w:w="180" w:type="dxa"/>
            <w:vAlign w:val="bottom"/>
          </w:tcPr>
          <w:p>
            <w:pPr>
              <w:spacing w:after="0"/>
              <w:rPr>
                <w:sz w:val="17"/>
                <w:szCs w:val="17"/>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Issuers</w:t>
            </w:r>
          </w:p>
        </w:tc>
        <w:tc>
          <w:tcPr>
            <w:tcW w:w="16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Pr>
          <w:p>
            <w:pPr>
              <w:spacing w:after="0"/>
              <w:rPr>
                <w:sz w:val="17"/>
                <w:szCs w:val="17"/>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Subsidiaries</w:t>
            </w:r>
          </w:p>
        </w:tc>
        <w:tc>
          <w:tcPr>
            <w:tcW w:w="160" w:type="dxa"/>
            <w:vAlign w:val="bottom"/>
          </w:tcPr>
          <w:p>
            <w:pPr>
              <w:spacing w:after="0"/>
              <w:rPr>
                <w:sz w:val="17"/>
                <w:szCs w:val="17"/>
                <w:color w:val="auto"/>
              </w:rPr>
            </w:pPr>
          </w:p>
        </w:tc>
        <w:tc>
          <w:tcPr>
            <w:tcW w:w="1200" w:type="dxa"/>
            <w:vAlign w:val="bottom"/>
            <w:gridSpan w:val="2"/>
          </w:tcPr>
          <w:p>
            <w:pPr>
              <w:ind w:left="40"/>
              <w:spacing w:after="0"/>
              <w:rPr>
                <w:sz w:val="20"/>
                <w:szCs w:val="20"/>
                <w:color w:val="auto"/>
              </w:rPr>
            </w:pPr>
            <w:r>
              <w:rPr>
                <w:rFonts w:ascii="Arial" w:cs="Arial" w:eastAsia="Arial" w:hAnsi="Arial"/>
                <w:sz w:val="14"/>
                <w:szCs w:val="14"/>
                <w:b w:val="1"/>
                <w:bCs w:val="1"/>
                <w:color w:val="auto"/>
              </w:rPr>
              <w:t>Eliminations</w:t>
            </w:r>
          </w:p>
        </w:tc>
        <w:tc>
          <w:tcPr>
            <w:tcW w:w="280" w:type="dxa"/>
            <w:vAlign w:val="bottom"/>
          </w:tcPr>
          <w:p>
            <w:pPr>
              <w:spacing w:after="0"/>
              <w:rPr>
                <w:sz w:val="17"/>
                <w:szCs w:val="17"/>
                <w:color w:val="auto"/>
              </w:rPr>
            </w:pPr>
          </w:p>
        </w:tc>
        <w:tc>
          <w:tcPr>
            <w:tcW w:w="960" w:type="dxa"/>
            <w:vAlign w:val="bottom"/>
          </w:tcPr>
          <w:p>
            <w:pPr>
              <w:jc w:val="right"/>
              <w:ind w:right="388"/>
              <w:spacing w:after="0"/>
              <w:rPr>
                <w:sz w:val="20"/>
                <w:szCs w:val="20"/>
                <w:color w:val="auto"/>
              </w:rPr>
            </w:pPr>
            <w:r>
              <w:rPr>
                <w:rFonts w:ascii="Arial" w:cs="Arial" w:eastAsia="Arial" w:hAnsi="Arial"/>
                <w:sz w:val="14"/>
                <w:szCs w:val="14"/>
                <w:b w:val="1"/>
                <w:bCs w:val="1"/>
                <w:color w:val="auto"/>
              </w:rPr>
              <w:t>Total</w:t>
            </w:r>
          </w:p>
        </w:tc>
      </w:tr>
      <w:tr>
        <w:trPr>
          <w:trHeight w:val="358"/>
        </w:trPr>
        <w:tc>
          <w:tcPr>
            <w:tcW w:w="1000" w:type="dxa"/>
            <w:vAlign w:val="bottom"/>
          </w:tcPr>
          <w:p>
            <w:pPr>
              <w:jc w:val="right"/>
              <w:ind w:right="168"/>
              <w:spacing w:after="0"/>
              <w:rPr>
                <w:sz w:val="20"/>
                <w:szCs w:val="20"/>
                <w:color w:val="auto"/>
              </w:rPr>
            </w:pPr>
            <w:r>
              <w:rPr>
                <w:rFonts w:ascii="Arial" w:cs="Arial" w:eastAsia="Arial" w:hAnsi="Arial"/>
                <w:sz w:val="14"/>
                <w:szCs w:val="14"/>
                <w:color w:val="auto"/>
              </w:rPr>
              <w:t>103</w:t>
            </w: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249</w:t>
            </w:r>
          </w:p>
        </w:tc>
        <w:tc>
          <w:tcPr>
            <w:tcW w:w="100" w:type="dxa"/>
            <w:vAlign w:val="bottom"/>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146</w:t>
            </w:r>
          </w:p>
        </w:tc>
        <w:tc>
          <w:tcPr>
            <w:tcW w:w="120" w:type="dxa"/>
            <w:vAlign w:val="bottom"/>
          </w:tcPr>
          <w:p>
            <w:pPr>
              <w:spacing w:after="0"/>
              <w:rPr>
                <w:sz w:val="24"/>
                <w:szCs w:val="2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2,204</w:t>
            </w:r>
          </w:p>
        </w:tc>
        <w:tc>
          <w:tcPr>
            <w:tcW w:w="100" w:type="dxa"/>
            <w:vAlign w:val="bottom"/>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(75)</w:t>
            </w:r>
          </w:p>
        </w:tc>
        <w:tc>
          <w:tcPr>
            <w:tcW w:w="120" w:type="dxa"/>
            <w:vAlign w:val="bottom"/>
          </w:tcPr>
          <w:p>
            <w:pPr>
              <w:spacing w:after="0"/>
              <w:rPr>
                <w:sz w:val="24"/>
                <w:szCs w:val="24"/>
                <w:color w:val="auto"/>
              </w:rPr>
            </w:pPr>
          </w:p>
        </w:tc>
        <w:tc>
          <w:tcPr>
            <w:tcW w:w="28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2,627</w:t>
            </w:r>
          </w:p>
        </w:tc>
      </w:tr>
      <w:tr>
        <w:trPr>
          <w:trHeight w:val="798"/>
        </w:trPr>
        <w:tc>
          <w:tcPr>
            <w:tcW w:w="100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(26)</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(98)</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(75)</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(199)</w:t>
            </w:r>
          </w:p>
        </w:tc>
      </w:tr>
      <w:tr>
        <w:trPr>
          <w:trHeight w:val="270"/>
        </w:trPr>
        <w:tc>
          <w:tcPr>
            <w:tcW w:w="100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15</w:t>
            </w:r>
          </w:p>
        </w:tc>
      </w:tr>
      <w:tr>
        <w:trPr>
          <w:trHeight w:val="270"/>
        </w:trPr>
        <w:tc>
          <w:tcPr>
            <w:tcW w:w="100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(9)</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(239)</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(256)</w:t>
            </w:r>
          </w:p>
        </w:tc>
      </w:tr>
      <w:tr>
        <w:trPr>
          <w:trHeight w:val="270"/>
        </w:trPr>
        <w:tc>
          <w:tcPr>
            <w:tcW w:w="100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(30)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(96)</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126</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1000" w:type="dxa"/>
            <w:vAlign w:val="bottom"/>
          </w:tcPr>
          <w:p>
            <w:pPr>
              <w:jc w:val="right"/>
              <w:ind w:right="168"/>
              <w:spacing w:after="0"/>
              <w:rPr>
                <w:sz w:val="20"/>
                <w:szCs w:val="20"/>
                <w:color w:val="auto"/>
              </w:rPr>
            </w:pPr>
            <w:r>
              <w:rPr>
                <w:rFonts w:ascii="Arial" w:cs="Arial" w:eastAsia="Arial" w:hAnsi="Arial"/>
                <w:sz w:val="14"/>
                <w:szCs w:val="14"/>
                <w:color w:val="auto"/>
              </w:rPr>
              <w:t>334</w:t>
            </w:r>
          </w:p>
        </w:tc>
        <w:tc>
          <w:tcPr>
            <w:tcW w:w="1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(127)</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(210)</w:t>
            </w: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w:t>
            </w:r>
          </w:p>
        </w:tc>
      </w:tr>
      <w:tr>
        <w:trPr>
          <w:trHeight w:val="358"/>
        </w:trPr>
        <w:tc>
          <w:tcPr>
            <w:tcW w:w="1000" w:type="dxa"/>
            <w:vAlign w:val="bottom"/>
          </w:tcPr>
          <w:p>
            <w:pPr>
              <w:jc w:val="right"/>
              <w:ind w:right="168"/>
              <w:spacing w:after="0"/>
              <w:rPr>
                <w:sz w:val="20"/>
                <w:szCs w:val="20"/>
                <w:color w:val="auto"/>
              </w:rPr>
            </w:pPr>
            <w:r>
              <w:rPr>
                <w:rFonts w:ascii="Arial" w:cs="Arial" w:eastAsia="Arial" w:hAnsi="Arial"/>
                <w:sz w:val="14"/>
                <w:szCs w:val="14"/>
                <w:color w:val="auto"/>
              </w:rPr>
              <w:t>334</w:t>
            </w:r>
          </w:p>
        </w:tc>
        <w:tc>
          <w:tcPr>
            <w:tcW w:w="1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(184)</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w:t>
            </w: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(302)</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(84)</w:t>
            </w: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(437)</w:t>
            </w:r>
          </w:p>
        </w:tc>
      </w:tr>
      <w:tr>
        <w:trPr>
          <w:trHeight w:val="798"/>
        </w:trPr>
        <w:tc>
          <w:tcPr>
            <w:tcW w:w="100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(11,925)</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(11,928)</w:t>
            </w:r>
          </w:p>
        </w:tc>
      </w:tr>
      <w:tr>
        <w:trPr>
          <w:trHeight w:val="276"/>
        </w:trPr>
        <w:tc>
          <w:tcPr>
            <w:tcW w:w="100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9,661</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9,680</w:t>
            </w:r>
          </w:p>
        </w:tc>
      </w:tr>
      <w:tr>
        <w:trPr>
          <w:trHeight w:val="250"/>
        </w:trPr>
        <w:tc>
          <w:tcPr>
            <w:tcW w:w="100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(2,264)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(2,248)</w:t>
            </w:r>
          </w:p>
        </w:tc>
      </w:tr>
      <w:tr>
        <w:trPr>
          <w:trHeight w:val="358"/>
        </w:trPr>
        <w:tc>
          <w:tcPr>
            <w:tcW w:w="1000" w:type="dxa"/>
            <w:vAlign w:val="bottom"/>
          </w:tcPr>
          <w:p>
            <w:pPr>
              <w:jc w:val="right"/>
              <w:ind w:right="168"/>
              <w:spacing w:after="0"/>
              <w:rPr>
                <w:sz w:val="20"/>
                <w:szCs w:val="20"/>
                <w:color w:val="auto"/>
              </w:rPr>
            </w:pPr>
            <w:r>
              <w:rPr>
                <w:rFonts w:ascii="Arial" w:cs="Arial" w:eastAsia="Arial" w:hAnsi="Arial"/>
                <w:sz w:val="14"/>
                <w:szCs w:val="14"/>
                <w:color w:val="auto"/>
              </w:rPr>
              <w:t>334</w:t>
            </w:r>
          </w:p>
        </w:tc>
        <w:tc>
          <w:tcPr>
            <w:tcW w:w="180" w:type="dxa"/>
            <w:vAlign w:val="bottom"/>
            <w:tcBorders>
              <w:top w:val="single" w:sz="8" w:color="auto"/>
              <w:bottom w:val="single" w:sz="8" w:color="auto"/>
            </w:tcBorders>
          </w:tcPr>
          <w:p>
            <w:pPr>
              <w:spacing w:after="0"/>
              <w:rPr>
                <w:sz w:val="24"/>
                <w:szCs w:val="24"/>
                <w:color w:val="auto"/>
              </w:rPr>
            </w:pPr>
          </w:p>
        </w:tc>
        <w:tc>
          <w:tcPr>
            <w:tcW w:w="11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(166)</w:t>
            </w:r>
          </w:p>
        </w:tc>
        <w:tc>
          <w:tcPr>
            <w:tcW w:w="100" w:type="dxa"/>
            <w:vAlign w:val="bottom"/>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(203)</w:t>
            </w:r>
          </w:p>
        </w:tc>
        <w:tc>
          <w:tcPr>
            <w:tcW w:w="120" w:type="dxa"/>
            <w:vAlign w:val="bottom"/>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(2,566)</w:t>
            </w:r>
          </w:p>
        </w:tc>
        <w:tc>
          <w:tcPr>
            <w:tcW w:w="100" w:type="dxa"/>
            <w:vAlign w:val="bottom"/>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(84)</w:t>
            </w:r>
          </w:p>
        </w:tc>
        <w:tc>
          <w:tcPr>
            <w:tcW w:w="120" w:type="dxa"/>
            <w:vAlign w:val="bottom"/>
          </w:tcPr>
          <w:p>
            <w:pPr>
              <w:spacing w:after="0"/>
              <w:rPr>
                <w:sz w:val="24"/>
                <w:szCs w:val="24"/>
                <w:color w:val="auto"/>
              </w:rPr>
            </w:pPr>
          </w:p>
        </w:tc>
        <w:tc>
          <w:tcPr>
            <w:tcW w:w="280" w:type="dxa"/>
            <w:vAlign w:val="bottom"/>
            <w:tcBorders>
              <w:top w:val="single" w:sz="8" w:color="auto"/>
              <w:bottom w:val="single" w:sz="8" w:color="auto"/>
            </w:tcBorders>
          </w:tcPr>
          <w:p>
            <w:pPr>
              <w:spacing w:after="0"/>
              <w:rPr>
                <w:sz w:val="24"/>
                <w:szCs w:val="24"/>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(2,685)</w:t>
            </w:r>
          </w:p>
        </w:tc>
      </w:tr>
      <w:tr>
        <w:trPr>
          <w:trHeight w:val="798"/>
        </w:trPr>
        <w:tc>
          <w:tcPr>
            <w:tcW w:w="100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375</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4"/>
                <w:szCs w:val="24"/>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377</w:t>
            </w:r>
          </w:p>
        </w:tc>
      </w:tr>
      <w:tr>
        <w:trPr>
          <w:trHeight w:val="270"/>
        </w:trPr>
        <w:tc>
          <w:tcPr>
            <w:tcW w:w="100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(256)</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(41)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(301)</w:t>
            </w:r>
          </w:p>
        </w:tc>
      </w:tr>
      <w:tr>
        <w:trPr>
          <w:trHeight w:val="270"/>
        </w:trPr>
        <w:tc>
          <w:tcPr>
            <w:tcW w:w="100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(22)</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(22)</w:t>
            </w:r>
          </w:p>
        </w:tc>
      </w:tr>
      <w:tr>
        <w:trPr>
          <w:trHeight w:val="270"/>
        </w:trPr>
        <w:tc>
          <w:tcPr>
            <w:tcW w:w="100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(7)</w:t>
            </w:r>
          </w:p>
        </w:tc>
      </w:tr>
      <w:tr>
        <w:trPr>
          <w:trHeight w:val="270"/>
        </w:trPr>
        <w:tc>
          <w:tcPr>
            <w:tcW w:w="1000" w:type="dxa"/>
            <w:vAlign w:val="bottom"/>
          </w:tcPr>
          <w:p>
            <w:pPr>
              <w:jc w:val="right"/>
              <w:ind w:right="128"/>
              <w:spacing w:after="0"/>
              <w:rPr>
                <w:sz w:val="20"/>
                <w:szCs w:val="20"/>
                <w:color w:val="auto"/>
              </w:rPr>
            </w:pPr>
            <w:r>
              <w:rPr>
                <w:rFonts w:ascii="Arial" w:cs="Arial" w:eastAsia="Arial" w:hAnsi="Arial"/>
                <w:sz w:val="14"/>
                <w:szCs w:val="14"/>
                <w:color w:val="auto"/>
              </w:rPr>
              <w:t>(436)</w:t>
            </w:r>
          </w:p>
        </w:tc>
        <w:tc>
          <w:tcPr>
            <w:tcW w:w="18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(436)</w:t>
            </w:r>
          </w:p>
        </w:tc>
      </w:tr>
      <w:tr>
        <w:trPr>
          <w:trHeight w:val="270"/>
        </w:trPr>
        <w:tc>
          <w:tcPr>
            <w:tcW w:w="100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126</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(126)</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1000" w:type="dxa"/>
            <w:vAlign w:val="bottom"/>
          </w:tcPr>
          <w:p>
            <w:pPr>
              <w:jc w:val="right"/>
              <w:ind w:right="168"/>
              <w:spacing w:after="0"/>
              <w:rPr>
                <w:sz w:val="20"/>
                <w:szCs w:val="20"/>
                <w:color w:val="auto"/>
              </w:rPr>
            </w:pPr>
            <w:r>
              <w:rPr>
                <w:rFonts w:ascii="Arial" w:cs="Arial" w:eastAsia="Arial" w:hAnsi="Arial"/>
                <w:sz w:val="14"/>
                <w:szCs w:val="14"/>
                <w:color w:val="auto"/>
              </w:rPr>
              <w:t>1</w:t>
            </w:r>
          </w:p>
        </w:tc>
        <w:tc>
          <w:tcPr>
            <w:tcW w:w="1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(335)</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70</w:t>
            </w: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285</w:t>
            </w: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w:t>
            </w:r>
          </w:p>
        </w:tc>
      </w:tr>
      <w:tr>
        <w:trPr>
          <w:trHeight w:val="358"/>
        </w:trPr>
        <w:tc>
          <w:tcPr>
            <w:tcW w:w="1000" w:type="dxa"/>
            <w:vAlign w:val="bottom"/>
          </w:tcPr>
          <w:p>
            <w:pPr>
              <w:jc w:val="right"/>
              <w:ind w:right="128"/>
              <w:spacing w:after="0"/>
              <w:rPr>
                <w:sz w:val="20"/>
                <w:szCs w:val="20"/>
                <w:color w:val="auto"/>
              </w:rPr>
            </w:pPr>
            <w:r>
              <w:rPr>
                <w:rFonts w:ascii="Arial" w:cs="Arial" w:eastAsia="Arial" w:hAnsi="Arial"/>
                <w:sz w:val="14"/>
                <w:szCs w:val="14"/>
                <w:color w:val="auto"/>
              </w:rPr>
              <w:t>(435)</w:t>
            </w:r>
          </w:p>
        </w:tc>
        <w:tc>
          <w:tcPr>
            <w:tcW w:w="1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(223)</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66</w:t>
            </w: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37</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159</w:t>
            </w: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(396)</w:t>
            </w:r>
          </w:p>
        </w:tc>
      </w:tr>
      <w:tr>
        <w:trPr>
          <w:trHeight w:val="798"/>
        </w:trPr>
        <w:tc>
          <w:tcPr>
            <w:tcW w:w="100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14,138</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4"/>
                <w:szCs w:val="24"/>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14,138</w:t>
            </w:r>
          </w:p>
        </w:tc>
      </w:tr>
      <w:tr>
        <w:trPr>
          <w:trHeight w:val="270"/>
        </w:trPr>
        <w:tc>
          <w:tcPr>
            <w:tcW w:w="100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(9)</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(13,639)</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(13,648)</w:t>
            </w:r>
          </w:p>
        </w:tc>
      </w:tr>
      <w:tr>
        <w:trPr>
          <w:trHeight w:val="276"/>
        </w:trPr>
        <w:tc>
          <w:tcPr>
            <w:tcW w:w="100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w:t>
            </w:r>
          </w:p>
        </w:tc>
      </w:tr>
      <w:tr>
        <w:trPr>
          <w:trHeight w:val="250"/>
        </w:trPr>
        <w:tc>
          <w:tcPr>
            <w:tcW w:w="100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(9)</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477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1"/>
                <w:szCs w:val="21"/>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468</w:t>
            </w:r>
          </w:p>
        </w:tc>
      </w:tr>
      <w:tr>
        <w:trPr>
          <w:trHeight w:val="358"/>
        </w:trPr>
        <w:tc>
          <w:tcPr>
            <w:tcW w:w="1000" w:type="dxa"/>
            <w:vAlign w:val="bottom"/>
          </w:tcPr>
          <w:p>
            <w:pPr>
              <w:jc w:val="right"/>
              <w:ind w:right="128"/>
              <w:spacing w:after="0"/>
              <w:rPr>
                <w:sz w:val="20"/>
                <w:szCs w:val="20"/>
                <w:color w:val="auto"/>
              </w:rPr>
            </w:pPr>
            <w:r>
              <w:rPr>
                <w:rFonts w:ascii="Arial" w:cs="Arial" w:eastAsia="Arial" w:hAnsi="Arial"/>
                <w:sz w:val="14"/>
                <w:szCs w:val="14"/>
                <w:color w:val="auto"/>
              </w:rPr>
              <w:t>(435)</w:t>
            </w:r>
          </w:p>
        </w:tc>
        <w:tc>
          <w:tcPr>
            <w:tcW w:w="180" w:type="dxa"/>
            <w:vAlign w:val="bottom"/>
            <w:tcBorders>
              <w:top w:val="single" w:sz="8" w:color="auto"/>
              <w:bottom w:val="single" w:sz="8" w:color="auto"/>
            </w:tcBorders>
          </w:tcPr>
          <w:p>
            <w:pPr>
              <w:spacing w:after="0"/>
              <w:rPr>
                <w:sz w:val="24"/>
                <w:szCs w:val="24"/>
                <w:color w:val="auto"/>
              </w:rPr>
            </w:pPr>
          </w:p>
        </w:tc>
        <w:tc>
          <w:tcPr>
            <w:tcW w:w="11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(223)</w:t>
            </w:r>
          </w:p>
        </w:tc>
        <w:tc>
          <w:tcPr>
            <w:tcW w:w="100" w:type="dxa"/>
            <w:vAlign w:val="bottom"/>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57</w:t>
            </w:r>
          </w:p>
        </w:tc>
        <w:tc>
          <w:tcPr>
            <w:tcW w:w="120" w:type="dxa"/>
            <w:vAlign w:val="bottom"/>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11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514</w:t>
            </w:r>
          </w:p>
        </w:tc>
        <w:tc>
          <w:tcPr>
            <w:tcW w:w="100" w:type="dxa"/>
            <w:vAlign w:val="bottom"/>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159</w:t>
            </w:r>
          </w:p>
        </w:tc>
        <w:tc>
          <w:tcPr>
            <w:tcW w:w="120" w:type="dxa"/>
            <w:vAlign w:val="bottom"/>
          </w:tcPr>
          <w:p>
            <w:pPr>
              <w:spacing w:after="0"/>
              <w:rPr>
                <w:sz w:val="24"/>
                <w:szCs w:val="24"/>
                <w:color w:val="auto"/>
              </w:rPr>
            </w:pPr>
          </w:p>
        </w:tc>
        <w:tc>
          <w:tcPr>
            <w:tcW w:w="280" w:type="dxa"/>
            <w:vAlign w:val="bottom"/>
            <w:tcBorders>
              <w:top w:val="single" w:sz="8" w:color="auto"/>
              <w:bottom w:val="single" w:sz="8" w:color="auto"/>
            </w:tcBorders>
          </w:tcPr>
          <w:p>
            <w:pPr>
              <w:spacing w:after="0"/>
              <w:rPr>
                <w:sz w:val="24"/>
                <w:szCs w:val="24"/>
                <w:color w:val="auto"/>
              </w:rPr>
            </w:pPr>
          </w:p>
        </w:tc>
        <w:tc>
          <w:tcPr>
            <w:tcW w:w="9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72</w:t>
            </w:r>
          </w:p>
        </w:tc>
      </w:tr>
      <w:tr>
        <w:trPr>
          <w:trHeight w:val="358"/>
        </w:trPr>
        <w:tc>
          <w:tcPr>
            <w:tcW w:w="100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w:t>
            </w:r>
          </w:p>
        </w:tc>
      </w:tr>
      <w:tr>
        <w:trPr>
          <w:trHeight w:val="352"/>
        </w:trPr>
        <w:tc>
          <w:tcPr>
            <w:tcW w:w="1000" w:type="dxa"/>
            <w:vAlign w:val="bottom"/>
          </w:tcPr>
          <w:p>
            <w:pPr>
              <w:jc w:val="right"/>
              <w:ind w:right="168"/>
              <w:spacing w:after="0"/>
              <w:rPr>
                <w:sz w:val="20"/>
                <w:szCs w:val="20"/>
                <w:color w:val="auto"/>
              </w:rPr>
            </w:pPr>
            <w:r>
              <w:rPr>
                <w:rFonts w:ascii="Arial" w:cs="Arial" w:eastAsia="Arial" w:hAnsi="Arial"/>
                <w:sz w:val="14"/>
                <w:szCs w:val="14"/>
                <w:color w:val="auto"/>
              </w:rPr>
              <w:t>2</w:t>
            </w:r>
          </w:p>
        </w:tc>
        <w:tc>
          <w:tcPr>
            <w:tcW w:w="180" w:type="dxa"/>
            <w:vAlign w:val="bottom"/>
          </w:tcPr>
          <w:p>
            <w:pPr>
              <w:spacing w:after="0"/>
              <w:rPr>
                <w:sz w:val="24"/>
                <w:szCs w:val="24"/>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(140)</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102</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(36)</w:t>
            </w:r>
          </w:p>
        </w:tc>
      </w:tr>
      <w:tr>
        <w:trPr>
          <w:trHeight w:val="384"/>
        </w:trPr>
        <w:tc>
          <w:tcPr>
            <w:tcW w:w="1000" w:type="dxa"/>
            <w:vAlign w:val="bottom"/>
          </w:tcPr>
          <w:p>
            <w:pPr>
              <w:jc w:val="right"/>
              <w:ind w:right="168"/>
              <w:spacing w:after="0"/>
              <w:rPr>
                <w:sz w:val="20"/>
                <w:szCs w:val="20"/>
                <w:color w:val="auto"/>
              </w:rPr>
            </w:pPr>
            <w:r>
              <w:rPr>
                <w:rFonts w:ascii="Arial" w:cs="Arial" w:eastAsia="Arial" w:hAnsi="Arial"/>
                <w:sz w:val="14"/>
                <w:szCs w:val="14"/>
                <w:color w:val="auto"/>
              </w:rPr>
              <w:t>2</w:t>
            </w:r>
          </w:p>
        </w:tc>
        <w:tc>
          <w:tcPr>
            <w:tcW w:w="1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210</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541</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753</w:t>
            </w:r>
          </w:p>
        </w:tc>
      </w:tr>
      <w:tr>
        <w:trPr>
          <w:trHeight w:val="345"/>
        </w:trPr>
        <w:tc>
          <w:tcPr>
            <w:tcW w:w="1000" w:type="dxa"/>
            <w:vAlign w:val="bottom"/>
          </w:tcPr>
          <w:p>
            <w:pPr>
              <w:jc w:val="right"/>
              <w:ind w:right="168"/>
              <w:spacing w:after="0"/>
              <w:rPr>
                <w:sz w:val="20"/>
                <w:szCs w:val="20"/>
                <w:color w:val="auto"/>
              </w:rPr>
            </w:pPr>
            <w:r>
              <w:rPr>
                <w:rFonts w:ascii="Arial" w:cs="Arial" w:eastAsia="Arial" w:hAnsi="Arial"/>
                <w:sz w:val="14"/>
                <w:szCs w:val="14"/>
                <w:color w:val="auto"/>
              </w:rPr>
              <w:t>4</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70</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643</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717</w:t>
            </w:r>
          </w:p>
        </w:tc>
      </w:tr>
      <w:tr>
        <w:trPr>
          <w:trHeight w:val="20"/>
        </w:trPr>
        <w:tc>
          <w:tcPr>
            <w:tcW w:w="10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-259715</wp:posOffset>
            </wp:positionH>
            <wp:positionV relativeFrom="paragraph">
              <wp:posOffset>-25400</wp:posOffset>
            </wp:positionV>
            <wp:extent cx="81470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814705" cy="8890"/>
                    </a:xfrm>
                    <a:prstGeom prst="rect">
                      <a:avLst/>
                    </a:prstGeom>
                    <a:noFill/>
                  </pic:spPr>
                </pic:pic>
              </a:graphicData>
            </a:graphic>
          </wp:anchor>
        </w:drawing>
        <w:drawing>
          <wp:anchor simplePos="0" relativeHeight="251657728" behindDoc="1" locked="0" layoutInCell="0" allowOverlap="1">
            <wp:simplePos x="0" y="0"/>
            <wp:positionH relativeFrom="column">
              <wp:posOffset>-259715</wp:posOffset>
            </wp:positionH>
            <wp:positionV relativeFrom="paragraph">
              <wp:posOffset>-8255</wp:posOffset>
            </wp:positionV>
            <wp:extent cx="81470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814705" cy="8890"/>
                    </a:xfrm>
                    <a:prstGeom prst="rect">
                      <a:avLst/>
                    </a:prstGeom>
                    <a:noFill/>
                  </pic:spPr>
                </pic:pic>
              </a:graphicData>
            </a:graphic>
          </wp:anchor>
        </w:drawing>
        <w:drawing>
          <wp:anchor simplePos="0" relativeHeight="251657728" behindDoc="1" locked="0" layoutInCell="0" allowOverlap="1">
            <wp:simplePos x="0" y="0"/>
            <wp:positionH relativeFrom="column">
              <wp:posOffset>-259715</wp:posOffset>
            </wp:positionH>
            <wp:positionV relativeFrom="paragraph">
              <wp:posOffset>-256540</wp:posOffset>
            </wp:positionV>
            <wp:extent cx="81470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814705" cy="8890"/>
                    </a:xfrm>
                    <a:prstGeom prst="rect">
                      <a:avLst/>
                    </a:prstGeom>
                    <a:noFill/>
                  </pic:spPr>
                </pic:pic>
              </a:graphicData>
            </a:graphic>
          </wp:anchor>
        </w:drawing>
        <w:drawing>
          <wp:anchor simplePos="0" relativeHeight="251657728" behindDoc="1" locked="0" layoutInCell="0" allowOverlap="1">
            <wp:simplePos x="0" y="0"/>
            <wp:positionH relativeFrom="column">
              <wp:posOffset>-259715</wp:posOffset>
            </wp:positionH>
            <wp:positionV relativeFrom="paragraph">
              <wp:posOffset>-736600</wp:posOffset>
            </wp:positionV>
            <wp:extent cx="81470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814705" cy="8890"/>
                    </a:xfrm>
                    <a:prstGeom prst="rect">
                      <a:avLst/>
                    </a:prstGeom>
                    <a:noFill/>
                  </pic:spPr>
                </pic:pic>
              </a:graphicData>
            </a:graphic>
          </wp:anchor>
        </w:drawing>
        <w:drawing>
          <wp:anchor simplePos="0" relativeHeight="251657728" behindDoc="1" locked="0" layoutInCell="0" allowOverlap="1">
            <wp:simplePos x="0" y="0"/>
            <wp:positionH relativeFrom="column">
              <wp:posOffset>-259715</wp:posOffset>
            </wp:positionH>
            <wp:positionV relativeFrom="paragraph">
              <wp:posOffset>-977265</wp:posOffset>
            </wp:positionV>
            <wp:extent cx="81470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814705" cy="8890"/>
                    </a:xfrm>
                    <a:prstGeom prst="rect">
                      <a:avLst/>
                    </a:prstGeom>
                    <a:noFill/>
                  </pic:spPr>
                </pic:pic>
              </a:graphicData>
            </a:graphic>
          </wp:anchor>
        </w:drawing>
        <w:drawing>
          <wp:anchor simplePos="0" relativeHeight="251657728" behindDoc="1" locked="0" layoutInCell="0" allowOverlap="1">
            <wp:simplePos x="0" y="0"/>
            <wp:positionH relativeFrom="column">
              <wp:posOffset>-259715</wp:posOffset>
            </wp:positionH>
            <wp:positionV relativeFrom="paragraph">
              <wp:posOffset>-1217295</wp:posOffset>
            </wp:positionV>
            <wp:extent cx="81470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814705" cy="8890"/>
                    </a:xfrm>
                    <a:prstGeom prst="rect">
                      <a:avLst/>
                    </a:prstGeom>
                    <a:noFill/>
                  </pic:spPr>
                </pic:pic>
              </a:graphicData>
            </a:graphic>
          </wp:anchor>
        </w:drawing>
        <w:drawing>
          <wp:anchor simplePos="0" relativeHeight="251657728" behindDoc="1" locked="0" layoutInCell="0" allowOverlap="1">
            <wp:simplePos x="0" y="0"/>
            <wp:positionH relativeFrom="column">
              <wp:posOffset>-259715</wp:posOffset>
            </wp:positionH>
            <wp:positionV relativeFrom="paragraph">
              <wp:posOffset>-1388745</wp:posOffset>
            </wp:positionV>
            <wp:extent cx="81470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814705" cy="8890"/>
                    </a:xfrm>
                    <a:prstGeom prst="rect">
                      <a:avLst/>
                    </a:prstGeom>
                    <a:noFill/>
                  </pic:spPr>
                </pic:pic>
              </a:graphicData>
            </a:graphic>
          </wp:anchor>
        </w:drawing>
        <w:drawing>
          <wp:anchor simplePos="0" relativeHeight="251657728" behindDoc="1" locked="0" layoutInCell="0" allowOverlap="1">
            <wp:simplePos x="0" y="0"/>
            <wp:positionH relativeFrom="column">
              <wp:posOffset>-259715</wp:posOffset>
            </wp:positionH>
            <wp:positionV relativeFrom="paragraph">
              <wp:posOffset>-2254885</wp:posOffset>
            </wp:positionV>
            <wp:extent cx="81470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814705" cy="8890"/>
                    </a:xfrm>
                    <a:prstGeom prst="rect">
                      <a:avLst/>
                    </a:prstGeom>
                    <a:noFill/>
                  </pic:spPr>
                </pic:pic>
              </a:graphicData>
            </a:graphic>
          </wp:anchor>
        </w:drawing>
        <w:drawing>
          <wp:anchor simplePos="0" relativeHeight="251657728" behindDoc="1" locked="0" layoutInCell="0" allowOverlap="1">
            <wp:simplePos x="0" y="0"/>
            <wp:positionH relativeFrom="column">
              <wp:posOffset>-259715</wp:posOffset>
            </wp:positionH>
            <wp:positionV relativeFrom="paragraph">
              <wp:posOffset>-2494915</wp:posOffset>
            </wp:positionV>
            <wp:extent cx="81470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814705" cy="8890"/>
                    </a:xfrm>
                    <a:prstGeom prst="rect">
                      <a:avLst/>
                    </a:prstGeom>
                    <a:noFill/>
                  </pic:spPr>
                </pic:pic>
              </a:graphicData>
            </a:graphic>
          </wp:anchor>
        </w:drawing>
        <w:drawing>
          <wp:anchor simplePos="0" relativeHeight="251657728" behindDoc="1" locked="0" layoutInCell="0" allowOverlap="1">
            <wp:simplePos x="0" y="0"/>
            <wp:positionH relativeFrom="column">
              <wp:posOffset>-259715</wp:posOffset>
            </wp:positionH>
            <wp:positionV relativeFrom="paragraph">
              <wp:posOffset>-4046855</wp:posOffset>
            </wp:positionV>
            <wp:extent cx="81470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814705" cy="8890"/>
                    </a:xfrm>
                    <a:prstGeom prst="rect">
                      <a:avLst/>
                    </a:prstGeom>
                    <a:noFill/>
                  </pic:spPr>
                </pic:pic>
              </a:graphicData>
            </a:graphic>
          </wp:anchor>
        </w:drawing>
        <w:drawing>
          <wp:anchor simplePos="0" relativeHeight="251657728" behindDoc="1" locked="0" layoutInCell="0" allowOverlap="1">
            <wp:simplePos x="0" y="0"/>
            <wp:positionH relativeFrom="column">
              <wp:posOffset>-259715</wp:posOffset>
            </wp:positionH>
            <wp:positionV relativeFrom="paragraph">
              <wp:posOffset>-4287520</wp:posOffset>
            </wp:positionV>
            <wp:extent cx="81470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814705" cy="8890"/>
                    </a:xfrm>
                    <a:prstGeom prst="rect">
                      <a:avLst/>
                    </a:prstGeom>
                    <a:noFill/>
                  </pic:spPr>
                </pic:pic>
              </a:graphicData>
            </a:graphic>
          </wp:anchor>
        </w:drawing>
        <w:drawing>
          <wp:anchor simplePos="0" relativeHeight="251657728" behindDoc="1" locked="0" layoutInCell="0" allowOverlap="1">
            <wp:simplePos x="0" y="0"/>
            <wp:positionH relativeFrom="column">
              <wp:posOffset>-259715</wp:posOffset>
            </wp:positionH>
            <wp:positionV relativeFrom="paragraph">
              <wp:posOffset>-4458970</wp:posOffset>
            </wp:positionV>
            <wp:extent cx="81470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814705" cy="8890"/>
                    </a:xfrm>
                    <a:prstGeom prst="rect">
                      <a:avLst/>
                    </a:prstGeom>
                    <a:noFill/>
                  </pic:spPr>
                </pic:pic>
              </a:graphicData>
            </a:graphic>
          </wp:anchor>
        </w:drawing>
        <w:drawing>
          <wp:anchor simplePos="0" relativeHeight="251657728" behindDoc="1" locked="0" layoutInCell="0" allowOverlap="1">
            <wp:simplePos x="0" y="0"/>
            <wp:positionH relativeFrom="column">
              <wp:posOffset>-259715</wp:posOffset>
            </wp:positionH>
            <wp:positionV relativeFrom="paragraph">
              <wp:posOffset>-5153660</wp:posOffset>
            </wp:positionV>
            <wp:extent cx="81470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814705" cy="8890"/>
                    </a:xfrm>
                    <a:prstGeom prst="rect">
                      <a:avLst/>
                    </a:prstGeom>
                    <a:noFill/>
                  </pic:spPr>
                </pic:pic>
              </a:graphicData>
            </a:graphic>
          </wp:anchor>
        </w:drawing>
        <w:drawing>
          <wp:anchor simplePos="0" relativeHeight="251657728" behindDoc="1" locked="0" layoutInCell="0" allowOverlap="1">
            <wp:simplePos x="0" y="0"/>
            <wp:positionH relativeFrom="column">
              <wp:posOffset>-259715</wp:posOffset>
            </wp:positionH>
            <wp:positionV relativeFrom="paragraph">
              <wp:posOffset>-5393690</wp:posOffset>
            </wp:positionV>
            <wp:extent cx="81470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814705" cy="8890"/>
                    </a:xfrm>
                    <a:prstGeom prst="rect">
                      <a:avLst/>
                    </a:prstGeom>
                    <a:noFill/>
                  </pic:spPr>
                </pic:pic>
              </a:graphicData>
            </a:graphic>
          </wp:anchor>
        </w:drawing>
        <w:drawing>
          <wp:anchor simplePos="0" relativeHeight="251657728" behindDoc="1" locked="0" layoutInCell="0" allowOverlap="1">
            <wp:simplePos x="0" y="0"/>
            <wp:positionH relativeFrom="column">
              <wp:posOffset>-259715</wp:posOffset>
            </wp:positionH>
            <wp:positionV relativeFrom="paragraph">
              <wp:posOffset>-6602730</wp:posOffset>
            </wp:positionV>
            <wp:extent cx="81470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814705" cy="8890"/>
                    </a:xfrm>
                    <a:prstGeom prst="rect">
                      <a:avLst/>
                    </a:prstGeom>
                    <a:noFill/>
                  </pic:spPr>
                </pic:pic>
              </a:graphicData>
            </a:graphic>
          </wp:anchor>
        </w:drawing>
        <w:drawing>
          <wp:anchor simplePos="0" relativeHeight="251657728" behindDoc="1" locked="0" layoutInCell="0" allowOverlap="1">
            <wp:simplePos x="0" y="0"/>
            <wp:positionH relativeFrom="column">
              <wp:posOffset>-259715</wp:posOffset>
            </wp:positionH>
            <wp:positionV relativeFrom="paragraph">
              <wp:posOffset>-6842760</wp:posOffset>
            </wp:positionV>
            <wp:extent cx="81470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81470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440" w:space="300"/>
            <w:col w:w="7680"/>
          </w:cols>
          <w:pgMar w:left="240" w:top="140" w:right="239" w:bottom="1440" w:gutter="0" w:footer="0" w:header="0"/>
        </w:sect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F-57</w:t>
      </w:r>
    </w:p>
    <w:p>
      <w:pPr>
        <w:sectPr>
          <w:pgSz w:w="11900" w:h="16838" w:orient="portrait"/>
          <w:cols w:equalWidth="0" w:num="1">
            <w:col w:w="11420"/>
          </w:cols>
          <w:pgMar w:left="240" w:top="140" w:right="239" w:bottom="1440" w:gutter="0" w:footer="0" w:header="0"/>
          <w:type w:val="continuous"/>
        </w:sectPr>
      </w:pPr>
    </w:p>
    <w:bookmarkStart w:id="123" w:name="page124"/>
    <w:bookmarkEnd w:id="1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ind w:left="500" w:hanging="492"/>
        <w:spacing w:after="0"/>
        <w:tabs>
          <w:tab w:leader="none" w:pos="500" w:val="left"/>
        </w:tabs>
        <w:numPr>
          <w:ilvl w:val="0"/>
          <w:numId w:val="107"/>
        </w:numPr>
        <w:rPr>
          <w:rFonts w:ascii="Arial" w:cs="Arial" w:eastAsia="Arial" w:hAnsi="Arial"/>
          <w:sz w:val="18"/>
          <w:szCs w:val="18"/>
          <w:b w:val="1"/>
          <w:bCs w:val="1"/>
          <w:color w:val="auto"/>
        </w:rPr>
      </w:pPr>
      <w:r>
        <w:rPr>
          <w:rFonts w:ascii="Arial" w:cs="Arial" w:eastAsia="Arial" w:hAnsi="Arial"/>
          <w:sz w:val="18"/>
          <w:szCs w:val="18"/>
          <w:b w:val="1"/>
          <w:bCs w:val="1"/>
          <w:color w:val="auto"/>
        </w:rPr>
        <w:t>Selected Quarterly Financial Data—(unaudited)</w:t>
      </w:r>
    </w:p>
    <w:p>
      <w:pPr>
        <w:spacing w:after="0" w:line="193"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Provided below are selected unaudited quarterly financial data for 2017 and 2016.</w:t>
      </w:r>
    </w:p>
    <w:p>
      <w:pPr>
        <w:spacing w:after="0" w:line="171" w:lineRule="exact"/>
        <w:rPr>
          <w:rFonts w:ascii="Arial" w:cs="Arial" w:eastAsia="Arial" w:hAnsi="Arial"/>
          <w:sz w:val="18"/>
          <w:szCs w:val="18"/>
          <w:b w:val="1"/>
          <w:bCs w:val="1"/>
          <w:color w:val="auto"/>
        </w:rPr>
      </w:pPr>
    </w:p>
    <w:p>
      <w:pPr>
        <w:ind w:left="500" w:right="18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The earnings per share information is calculated independently for each quarter based on the weighted average number of common stock and common stock equivalents outstanding, which may fluctuate, based on quarterly income levels and market prices. Therefore and due to the seasonality of the Company’s earnings, the sum of the quarters’ per share information may not equal the annual amount presented on the Consolidated Statements of Operations.</w:t>
      </w:r>
    </w:p>
    <w:p>
      <w:pPr>
        <w:spacing w:after="0" w:line="142" w:lineRule="exact"/>
        <w:rPr>
          <w:sz w:val="20"/>
          <w:szCs w:val="20"/>
          <w:color w:val="auto"/>
        </w:rPr>
      </w:pPr>
    </w:p>
    <w:tbl>
      <w:tblPr>
        <w:tblLayout w:type="fixed"/>
        <w:tblInd w:w="520" w:type="dxa"/>
        <w:tblCellMar>
          <w:top w:w="0" w:type="dxa"/>
          <w:left w:w="0" w:type="dxa"/>
          <w:bottom w:w="0" w:type="dxa"/>
          <w:right w:w="0" w:type="dxa"/>
        </w:tblCellMar>
      </w:tblPr>
      <w:tr>
        <w:trPr>
          <w:trHeight w:val="246"/>
        </w:trPr>
        <w:tc>
          <w:tcPr>
            <w:tcW w:w="42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8"/>
                <w:szCs w:val="18"/>
                <w:b w:val="1"/>
                <w:bCs w:val="1"/>
                <w:color w:val="auto"/>
              </w:rPr>
              <w:t>2017</w:t>
            </w:r>
          </w:p>
        </w:tc>
        <w:tc>
          <w:tcPr>
            <w:tcW w:w="11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r>
      <w:tr>
        <w:trPr>
          <w:trHeight w:val="270"/>
        </w:trPr>
        <w:tc>
          <w:tcPr>
            <w:tcW w:w="42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40" w:type="dxa"/>
            <w:vAlign w:val="bottom"/>
            <w:gridSpan w:val="2"/>
          </w:tcPr>
          <w:p>
            <w:pPr>
              <w:ind w:left="200"/>
              <w:spacing w:after="0"/>
              <w:rPr>
                <w:sz w:val="20"/>
                <w:szCs w:val="20"/>
                <w:color w:val="auto"/>
              </w:rPr>
            </w:pPr>
            <w:r>
              <w:rPr>
                <w:rFonts w:ascii="Arial" w:cs="Arial" w:eastAsia="Arial" w:hAnsi="Arial"/>
                <w:sz w:val="18"/>
                <w:szCs w:val="18"/>
                <w:b w:val="1"/>
                <w:bCs w:val="1"/>
                <w:color w:val="auto"/>
              </w:rPr>
              <w:t>First</w:t>
            </w:r>
          </w:p>
        </w:tc>
        <w:tc>
          <w:tcPr>
            <w:tcW w:w="260" w:type="dxa"/>
            <w:vAlign w:val="bottom"/>
          </w:tcPr>
          <w:p>
            <w:pPr>
              <w:spacing w:after="0"/>
              <w:rPr>
                <w:sz w:val="23"/>
                <w:szCs w:val="23"/>
                <w:color w:val="auto"/>
              </w:rPr>
            </w:pPr>
          </w:p>
        </w:tc>
        <w:tc>
          <w:tcPr>
            <w:tcW w:w="1280" w:type="dxa"/>
            <w:vAlign w:val="bottom"/>
            <w:gridSpan w:val="2"/>
          </w:tcPr>
          <w:p>
            <w:pPr>
              <w:ind w:left="140"/>
              <w:spacing w:after="0"/>
              <w:rPr>
                <w:sz w:val="20"/>
                <w:szCs w:val="20"/>
                <w:color w:val="auto"/>
              </w:rPr>
            </w:pPr>
            <w:r>
              <w:rPr>
                <w:rFonts w:ascii="Arial" w:cs="Arial" w:eastAsia="Arial" w:hAnsi="Arial"/>
                <w:sz w:val="18"/>
                <w:szCs w:val="18"/>
                <w:b w:val="1"/>
                <w:bCs w:val="1"/>
                <w:color w:val="auto"/>
              </w:rPr>
              <w:t>Second</w:t>
            </w:r>
          </w:p>
        </w:tc>
        <w:tc>
          <w:tcPr>
            <w:tcW w:w="340" w:type="dxa"/>
            <w:vAlign w:val="bottom"/>
          </w:tcPr>
          <w:p>
            <w:pPr>
              <w:spacing w:after="0"/>
              <w:rPr>
                <w:sz w:val="23"/>
                <w:szCs w:val="23"/>
                <w:color w:val="auto"/>
              </w:rPr>
            </w:pPr>
          </w:p>
        </w:tc>
        <w:tc>
          <w:tcPr>
            <w:tcW w:w="1220" w:type="dxa"/>
            <w:vAlign w:val="bottom"/>
            <w:gridSpan w:val="2"/>
          </w:tcPr>
          <w:p>
            <w:pPr>
              <w:ind w:left="160"/>
              <w:spacing w:after="0"/>
              <w:rPr>
                <w:sz w:val="20"/>
                <w:szCs w:val="20"/>
                <w:color w:val="auto"/>
              </w:rPr>
            </w:pPr>
            <w:r>
              <w:rPr>
                <w:rFonts w:ascii="Arial" w:cs="Arial" w:eastAsia="Arial" w:hAnsi="Arial"/>
                <w:sz w:val="18"/>
                <w:szCs w:val="18"/>
                <w:b w:val="1"/>
                <w:bCs w:val="1"/>
                <w:color w:val="auto"/>
              </w:rPr>
              <w:t>Third</w:t>
            </w:r>
          </w:p>
        </w:tc>
        <w:tc>
          <w:tcPr>
            <w:tcW w:w="240" w:type="dxa"/>
            <w:vAlign w:val="bottom"/>
          </w:tcPr>
          <w:p>
            <w:pPr>
              <w:spacing w:after="0"/>
              <w:rPr>
                <w:sz w:val="23"/>
                <w:szCs w:val="23"/>
                <w:color w:val="auto"/>
              </w:rPr>
            </w:pPr>
          </w:p>
        </w:tc>
        <w:tc>
          <w:tcPr>
            <w:tcW w:w="1200" w:type="dxa"/>
            <w:vAlign w:val="bottom"/>
          </w:tcPr>
          <w:p>
            <w:pPr>
              <w:jc w:val="right"/>
              <w:ind w:right="250"/>
              <w:spacing w:after="0"/>
              <w:rPr>
                <w:sz w:val="20"/>
                <w:szCs w:val="20"/>
                <w:color w:val="auto"/>
              </w:rPr>
            </w:pPr>
            <w:r>
              <w:rPr>
                <w:rFonts w:ascii="Arial" w:cs="Arial" w:eastAsia="Arial" w:hAnsi="Arial"/>
                <w:sz w:val="18"/>
                <w:szCs w:val="18"/>
                <w:b w:val="1"/>
                <w:bCs w:val="1"/>
                <w:color w:val="auto"/>
              </w:rPr>
              <w:t xml:space="preserve">Fourth </w:t>
            </w:r>
            <w:r>
              <w:rPr>
                <w:rFonts w:ascii="Arial" w:cs="Arial" w:eastAsia="Arial" w:hAnsi="Arial"/>
                <w:sz w:val="21"/>
                <w:szCs w:val="21"/>
                <w:b w:val="1"/>
                <w:bCs w:val="1"/>
                <w:color w:val="auto"/>
                <w:vertAlign w:val="superscript"/>
              </w:rPr>
              <w:t>(a)</w:t>
            </w:r>
          </w:p>
        </w:tc>
      </w:tr>
      <w:tr>
        <w:trPr>
          <w:trHeight w:val="237"/>
        </w:trPr>
        <w:tc>
          <w:tcPr>
            <w:tcW w:w="4200" w:type="dxa"/>
            <w:vAlign w:val="bottom"/>
          </w:tcPr>
          <w:p>
            <w:pPr>
              <w:spacing w:after="0"/>
              <w:rPr>
                <w:sz w:val="20"/>
                <w:szCs w:val="20"/>
                <w:color w:val="auto"/>
              </w:rPr>
            </w:pPr>
            <w:r>
              <w:rPr>
                <w:rFonts w:ascii="Arial" w:cs="Arial" w:eastAsia="Arial" w:hAnsi="Arial"/>
                <w:sz w:val="18"/>
                <w:szCs w:val="18"/>
                <w:color w:val="auto"/>
              </w:rPr>
              <w:t>Net revenues</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1,839</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2,238</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2,752</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2,019</w:t>
            </w:r>
          </w:p>
        </w:tc>
      </w:tr>
      <w:tr>
        <w:trPr>
          <w:trHeight w:val="270"/>
        </w:trPr>
        <w:tc>
          <w:tcPr>
            <w:tcW w:w="4200" w:type="dxa"/>
            <w:vAlign w:val="bottom"/>
          </w:tcPr>
          <w:p>
            <w:pPr>
              <w:spacing w:after="0"/>
              <w:rPr>
                <w:sz w:val="20"/>
                <w:szCs w:val="20"/>
                <w:color w:val="auto"/>
              </w:rPr>
            </w:pPr>
            <w:r>
              <w:rPr>
                <w:rFonts w:ascii="Arial" w:cs="Arial" w:eastAsia="Arial" w:hAnsi="Arial"/>
                <w:sz w:val="18"/>
                <w:szCs w:val="18"/>
                <w:color w:val="auto"/>
              </w:rPr>
              <w:t>Net income (loss)</w:t>
            </w:r>
          </w:p>
        </w:tc>
        <w:tc>
          <w:tcPr>
            <w:tcW w:w="3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245</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220</w:t>
            </w:r>
          </w:p>
        </w:tc>
      </w:tr>
      <w:tr>
        <w:trPr>
          <w:trHeight w:val="527"/>
        </w:trPr>
        <w:tc>
          <w:tcPr>
            <w:tcW w:w="4200" w:type="dxa"/>
            <w:vAlign w:val="bottom"/>
          </w:tcPr>
          <w:p>
            <w:pPr>
              <w:spacing w:after="0"/>
              <w:rPr>
                <w:sz w:val="20"/>
                <w:szCs w:val="20"/>
                <w:color w:val="auto"/>
              </w:rPr>
            </w:pPr>
            <w:r>
              <w:rPr>
                <w:rFonts w:ascii="Arial" w:cs="Arial" w:eastAsia="Arial" w:hAnsi="Arial"/>
                <w:sz w:val="18"/>
                <w:szCs w:val="18"/>
                <w:i w:val="1"/>
                <w:iCs w:val="1"/>
                <w:color w:val="auto"/>
              </w:rPr>
              <w:t>Per share information:</w:t>
            </w: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70"/>
        </w:trPr>
        <w:tc>
          <w:tcPr>
            <w:tcW w:w="4200" w:type="dxa"/>
            <w:vAlign w:val="bottom"/>
          </w:tcPr>
          <w:p>
            <w:pPr>
              <w:ind w:left="100"/>
              <w:spacing w:after="0"/>
              <w:rPr>
                <w:sz w:val="20"/>
                <w:szCs w:val="20"/>
                <w:color w:val="auto"/>
              </w:rPr>
            </w:pPr>
            <w:r>
              <w:rPr>
                <w:rFonts w:ascii="Arial" w:cs="Arial" w:eastAsia="Arial" w:hAnsi="Arial"/>
                <w:sz w:val="18"/>
                <w:szCs w:val="18"/>
                <w:color w:val="auto"/>
              </w:rPr>
              <w:t>Basic</w:t>
            </w:r>
          </w:p>
        </w:tc>
        <w:tc>
          <w:tcPr>
            <w:tcW w:w="3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284"/>
        </w:trPr>
        <w:tc>
          <w:tcPr>
            <w:tcW w:w="4200" w:type="dxa"/>
            <w:vAlign w:val="bottom"/>
          </w:tcPr>
          <w:p>
            <w:pPr>
              <w:ind w:left="300"/>
              <w:spacing w:after="0"/>
              <w:rPr>
                <w:sz w:val="20"/>
                <w:szCs w:val="20"/>
                <w:color w:val="auto"/>
              </w:rPr>
            </w:pPr>
            <w:r>
              <w:rPr>
                <w:rFonts w:ascii="Arial" w:cs="Arial" w:eastAsia="Arial" w:hAnsi="Arial"/>
                <w:sz w:val="18"/>
                <w:szCs w:val="18"/>
                <w:color w:val="auto"/>
              </w:rPr>
              <w:t>Net income (loss)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(1.25)</w:t>
            </w:r>
          </w:p>
        </w:tc>
        <w:tc>
          <w:tcPr>
            <w:tcW w:w="120" w:type="dxa"/>
            <w:vAlign w:val="bottom"/>
          </w:tcPr>
          <w:p>
            <w:pPr>
              <w:spacing w:after="0"/>
              <w:rPr>
                <w:sz w:val="24"/>
                <w:szCs w:val="24"/>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0.04</w:t>
            </w:r>
          </w:p>
        </w:tc>
        <w:tc>
          <w:tcPr>
            <w:tcW w:w="100" w:type="dxa"/>
            <w:vAlign w:val="bottom"/>
          </w:tcPr>
          <w:p>
            <w:pPr>
              <w:spacing w:after="0"/>
              <w:rPr>
                <w:sz w:val="24"/>
                <w:szCs w:val="24"/>
                <w:color w:val="auto"/>
              </w:rPr>
            </w:pP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2.96</w:t>
            </w:r>
          </w:p>
        </w:tc>
        <w:tc>
          <w:tcPr>
            <w:tcW w:w="100" w:type="dxa"/>
            <w:vAlign w:val="bottom"/>
          </w:tcPr>
          <w:p>
            <w:pPr>
              <w:spacing w:after="0"/>
              <w:rPr>
                <w:sz w:val="24"/>
                <w:szCs w:val="24"/>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2.70</w:t>
            </w:r>
          </w:p>
        </w:tc>
      </w:tr>
      <w:tr>
        <w:trPr>
          <w:trHeight w:val="270"/>
        </w:trPr>
        <w:tc>
          <w:tcPr>
            <w:tcW w:w="4200" w:type="dxa"/>
            <w:vAlign w:val="bottom"/>
          </w:tcPr>
          <w:p>
            <w:pPr>
              <w:ind w:left="300"/>
              <w:spacing w:after="0"/>
              <w:rPr>
                <w:sz w:val="20"/>
                <w:szCs w:val="20"/>
                <w:color w:val="auto"/>
              </w:rPr>
            </w:pPr>
            <w:r>
              <w:rPr>
                <w:rFonts w:ascii="Arial" w:cs="Arial" w:eastAsia="Arial" w:hAnsi="Arial"/>
                <w:sz w:val="18"/>
                <w:szCs w:val="18"/>
                <w:color w:val="auto"/>
              </w:rPr>
              <w:t>Weighted average shares</w:t>
            </w:r>
          </w:p>
        </w:tc>
        <w:tc>
          <w:tcPr>
            <w:tcW w:w="3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85.7</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84.0</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82.6</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81.3</w:t>
            </w:r>
          </w:p>
        </w:tc>
      </w:tr>
      <w:tr>
        <w:trPr>
          <w:trHeight w:val="527"/>
        </w:trPr>
        <w:tc>
          <w:tcPr>
            <w:tcW w:w="4200" w:type="dxa"/>
            <w:vAlign w:val="bottom"/>
          </w:tcPr>
          <w:p>
            <w:pPr>
              <w:ind w:left="100"/>
              <w:spacing w:after="0"/>
              <w:rPr>
                <w:sz w:val="20"/>
                <w:szCs w:val="20"/>
                <w:color w:val="auto"/>
              </w:rPr>
            </w:pPr>
            <w:r>
              <w:rPr>
                <w:rFonts w:ascii="Arial" w:cs="Arial" w:eastAsia="Arial" w:hAnsi="Arial"/>
                <w:sz w:val="18"/>
                <w:szCs w:val="18"/>
                <w:color w:val="auto"/>
              </w:rPr>
              <w:t>Diluted</w:t>
            </w: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84"/>
        </w:trPr>
        <w:tc>
          <w:tcPr>
            <w:tcW w:w="4200" w:type="dxa"/>
            <w:vAlign w:val="bottom"/>
          </w:tcPr>
          <w:p>
            <w:pPr>
              <w:ind w:left="300"/>
              <w:spacing w:after="0"/>
              <w:rPr>
                <w:sz w:val="20"/>
                <w:szCs w:val="20"/>
                <w:color w:val="auto"/>
              </w:rPr>
            </w:pPr>
            <w:r>
              <w:rPr>
                <w:rFonts w:ascii="Arial" w:cs="Arial" w:eastAsia="Arial" w:hAnsi="Arial"/>
                <w:sz w:val="18"/>
                <w:szCs w:val="18"/>
                <w:color w:val="auto"/>
              </w:rPr>
              <w:t>Net income (loss)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(1.25)</w:t>
            </w:r>
          </w:p>
        </w:tc>
        <w:tc>
          <w:tcPr>
            <w:tcW w:w="120" w:type="dxa"/>
            <w:vAlign w:val="bottom"/>
          </w:tcPr>
          <w:p>
            <w:pPr>
              <w:spacing w:after="0"/>
              <w:rPr>
                <w:sz w:val="24"/>
                <w:szCs w:val="24"/>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0.04</w:t>
            </w:r>
          </w:p>
        </w:tc>
        <w:tc>
          <w:tcPr>
            <w:tcW w:w="100" w:type="dxa"/>
            <w:vAlign w:val="bottom"/>
          </w:tcPr>
          <w:p>
            <w:pPr>
              <w:spacing w:after="0"/>
              <w:rPr>
                <w:sz w:val="24"/>
                <w:szCs w:val="24"/>
                <w:color w:val="auto"/>
              </w:rPr>
            </w:pP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2.91</w:t>
            </w:r>
          </w:p>
        </w:tc>
        <w:tc>
          <w:tcPr>
            <w:tcW w:w="100" w:type="dxa"/>
            <w:vAlign w:val="bottom"/>
          </w:tcPr>
          <w:p>
            <w:pPr>
              <w:spacing w:after="0"/>
              <w:rPr>
                <w:sz w:val="24"/>
                <w:szCs w:val="24"/>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2.65</w:t>
            </w:r>
          </w:p>
        </w:tc>
      </w:tr>
      <w:tr>
        <w:trPr>
          <w:trHeight w:val="270"/>
        </w:trPr>
        <w:tc>
          <w:tcPr>
            <w:tcW w:w="4200" w:type="dxa"/>
            <w:vAlign w:val="bottom"/>
          </w:tcPr>
          <w:p>
            <w:pPr>
              <w:ind w:left="300"/>
              <w:spacing w:after="0"/>
              <w:rPr>
                <w:sz w:val="20"/>
                <w:szCs w:val="20"/>
                <w:color w:val="auto"/>
              </w:rPr>
            </w:pPr>
            <w:r>
              <w:rPr>
                <w:rFonts w:ascii="Arial" w:cs="Arial" w:eastAsia="Arial" w:hAnsi="Arial"/>
                <w:sz w:val="18"/>
                <w:szCs w:val="18"/>
                <w:color w:val="auto"/>
              </w:rPr>
              <w:t>Weighted average shares</w:t>
            </w:r>
          </w:p>
        </w:tc>
        <w:tc>
          <w:tcPr>
            <w:tcW w:w="3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85.7</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85.2</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84.0</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82.7</w:t>
            </w:r>
          </w:p>
        </w:tc>
      </w:tr>
      <w:tr>
        <w:trPr>
          <w:trHeight w:val="601"/>
        </w:trPr>
        <w:tc>
          <w:tcPr>
            <w:tcW w:w="42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8"/>
                <w:szCs w:val="18"/>
                <w:b w:val="1"/>
                <w:bCs w:val="1"/>
                <w:color w:val="auto"/>
              </w:rPr>
              <w:t>2016</w:t>
            </w: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r>
      <w:tr>
        <w:trPr>
          <w:trHeight w:val="264"/>
        </w:trPr>
        <w:tc>
          <w:tcPr>
            <w:tcW w:w="42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40" w:type="dxa"/>
            <w:vAlign w:val="bottom"/>
            <w:gridSpan w:val="2"/>
          </w:tcPr>
          <w:p>
            <w:pPr>
              <w:ind w:left="200"/>
              <w:spacing w:after="0"/>
              <w:rPr>
                <w:sz w:val="20"/>
                <w:szCs w:val="20"/>
                <w:color w:val="auto"/>
              </w:rPr>
            </w:pPr>
            <w:r>
              <w:rPr>
                <w:rFonts w:ascii="Arial" w:cs="Arial" w:eastAsia="Arial" w:hAnsi="Arial"/>
                <w:sz w:val="18"/>
                <w:szCs w:val="18"/>
                <w:b w:val="1"/>
                <w:bCs w:val="1"/>
                <w:color w:val="auto"/>
              </w:rPr>
              <w:t>First</w:t>
            </w:r>
          </w:p>
        </w:tc>
        <w:tc>
          <w:tcPr>
            <w:tcW w:w="260" w:type="dxa"/>
            <w:vAlign w:val="bottom"/>
          </w:tcPr>
          <w:p>
            <w:pPr>
              <w:spacing w:after="0"/>
              <w:rPr>
                <w:sz w:val="22"/>
                <w:szCs w:val="22"/>
                <w:color w:val="auto"/>
              </w:rPr>
            </w:pPr>
          </w:p>
        </w:tc>
        <w:tc>
          <w:tcPr>
            <w:tcW w:w="1280" w:type="dxa"/>
            <w:vAlign w:val="bottom"/>
            <w:gridSpan w:val="2"/>
          </w:tcPr>
          <w:p>
            <w:pPr>
              <w:ind w:left="140"/>
              <w:spacing w:after="0"/>
              <w:rPr>
                <w:sz w:val="20"/>
                <w:szCs w:val="20"/>
                <w:color w:val="auto"/>
              </w:rPr>
            </w:pPr>
            <w:r>
              <w:rPr>
                <w:rFonts w:ascii="Arial" w:cs="Arial" w:eastAsia="Arial" w:hAnsi="Arial"/>
                <w:sz w:val="18"/>
                <w:szCs w:val="18"/>
                <w:b w:val="1"/>
                <w:bCs w:val="1"/>
                <w:color w:val="auto"/>
              </w:rPr>
              <w:t>Second</w:t>
            </w:r>
          </w:p>
        </w:tc>
        <w:tc>
          <w:tcPr>
            <w:tcW w:w="340" w:type="dxa"/>
            <w:vAlign w:val="bottom"/>
          </w:tcPr>
          <w:p>
            <w:pPr>
              <w:spacing w:after="0"/>
              <w:rPr>
                <w:sz w:val="22"/>
                <w:szCs w:val="22"/>
                <w:color w:val="auto"/>
              </w:rPr>
            </w:pPr>
          </w:p>
        </w:tc>
        <w:tc>
          <w:tcPr>
            <w:tcW w:w="1220" w:type="dxa"/>
            <w:vAlign w:val="bottom"/>
            <w:gridSpan w:val="2"/>
          </w:tcPr>
          <w:p>
            <w:pPr>
              <w:ind w:left="160"/>
              <w:spacing w:after="0"/>
              <w:rPr>
                <w:sz w:val="20"/>
                <w:szCs w:val="20"/>
                <w:color w:val="auto"/>
              </w:rPr>
            </w:pPr>
            <w:r>
              <w:rPr>
                <w:rFonts w:ascii="Arial" w:cs="Arial" w:eastAsia="Arial" w:hAnsi="Arial"/>
                <w:sz w:val="18"/>
                <w:szCs w:val="18"/>
                <w:b w:val="1"/>
                <w:bCs w:val="1"/>
                <w:color w:val="auto"/>
              </w:rPr>
              <w:t>Third</w:t>
            </w:r>
          </w:p>
        </w:tc>
        <w:tc>
          <w:tcPr>
            <w:tcW w:w="240" w:type="dxa"/>
            <w:vAlign w:val="bottom"/>
          </w:tcPr>
          <w:p>
            <w:pPr>
              <w:spacing w:after="0"/>
              <w:rPr>
                <w:sz w:val="22"/>
                <w:szCs w:val="22"/>
                <w:color w:val="auto"/>
              </w:rPr>
            </w:pPr>
          </w:p>
        </w:tc>
        <w:tc>
          <w:tcPr>
            <w:tcW w:w="1200" w:type="dxa"/>
            <w:vAlign w:val="bottom"/>
          </w:tcPr>
          <w:p>
            <w:pPr>
              <w:jc w:val="right"/>
              <w:ind w:right="350"/>
              <w:spacing w:after="0"/>
              <w:rPr>
                <w:sz w:val="20"/>
                <w:szCs w:val="20"/>
                <w:color w:val="auto"/>
              </w:rPr>
            </w:pPr>
            <w:r>
              <w:rPr>
                <w:rFonts w:ascii="Arial" w:cs="Arial" w:eastAsia="Arial" w:hAnsi="Arial"/>
                <w:sz w:val="18"/>
                <w:szCs w:val="18"/>
                <w:b w:val="1"/>
                <w:bCs w:val="1"/>
                <w:color w:val="auto"/>
              </w:rPr>
              <w:t>Fourth</w:t>
            </w:r>
          </w:p>
        </w:tc>
      </w:tr>
      <w:tr>
        <w:trPr>
          <w:trHeight w:val="243"/>
        </w:trPr>
        <w:tc>
          <w:tcPr>
            <w:tcW w:w="4200" w:type="dxa"/>
            <w:vAlign w:val="bottom"/>
          </w:tcPr>
          <w:p>
            <w:pPr>
              <w:spacing w:after="0"/>
              <w:rPr>
                <w:sz w:val="20"/>
                <w:szCs w:val="20"/>
                <w:color w:val="auto"/>
              </w:rPr>
            </w:pPr>
            <w:r>
              <w:rPr>
                <w:rFonts w:ascii="Arial" w:cs="Arial" w:eastAsia="Arial" w:hAnsi="Arial"/>
                <w:sz w:val="18"/>
                <w:szCs w:val="18"/>
                <w:color w:val="auto"/>
              </w:rPr>
              <w:t>Net revenues</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1,881</w:t>
            </w:r>
          </w:p>
        </w:tc>
        <w:tc>
          <w:tcPr>
            <w:tcW w:w="120" w:type="dxa"/>
            <w:vAlign w:val="bottom"/>
          </w:tcPr>
          <w:p>
            <w:pPr>
              <w:spacing w:after="0"/>
              <w:rPr>
                <w:sz w:val="21"/>
                <w:szCs w:val="21"/>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2,243</w:t>
            </w:r>
          </w:p>
        </w:tc>
        <w:tc>
          <w:tcPr>
            <w:tcW w:w="100" w:type="dxa"/>
            <w:vAlign w:val="bottom"/>
          </w:tcPr>
          <w:p>
            <w:pPr>
              <w:spacing w:after="0"/>
              <w:rPr>
                <w:sz w:val="21"/>
                <w:szCs w:val="21"/>
                <w:color w:val="auto"/>
              </w:rPr>
            </w:pPr>
          </w:p>
        </w:tc>
        <w:tc>
          <w:tcPr>
            <w:tcW w:w="34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2,656</w:t>
            </w:r>
          </w:p>
        </w:tc>
        <w:tc>
          <w:tcPr>
            <w:tcW w:w="100" w:type="dxa"/>
            <w:vAlign w:val="bottom"/>
          </w:tcPr>
          <w:p>
            <w:pPr>
              <w:spacing w:after="0"/>
              <w:rPr>
                <w:sz w:val="21"/>
                <w:szCs w:val="21"/>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1,879</w:t>
            </w:r>
          </w:p>
        </w:tc>
      </w:tr>
      <w:tr>
        <w:trPr>
          <w:trHeight w:val="270"/>
        </w:trPr>
        <w:tc>
          <w:tcPr>
            <w:tcW w:w="4200" w:type="dxa"/>
            <w:vAlign w:val="bottom"/>
          </w:tcPr>
          <w:p>
            <w:pPr>
              <w:spacing w:after="0"/>
              <w:rPr>
                <w:sz w:val="20"/>
                <w:szCs w:val="20"/>
                <w:color w:val="auto"/>
              </w:rPr>
            </w:pPr>
            <w:r>
              <w:rPr>
                <w:rFonts w:ascii="Arial" w:cs="Arial" w:eastAsia="Arial" w:hAnsi="Arial"/>
                <w:sz w:val="18"/>
                <w:szCs w:val="18"/>
                <w:color w:val="auto"/>
              </w:rPr>
              <w:t>Net income (loss)</w:t>
            </w:r>
          </w:p>
        </w:tc>
        <w:tc>
          <w:tcPr>
            <w:tcW w:w="3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209</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527"/>
        </w:trPr>
        <w:tc>
          <w:tcPr>
            <w:tcW w:w="4200" w:type="dxa"/>
            <w:vAlign w:val="bottom"/>
          </w:tcPr>
          <w:p>
            <w:pPr>
              <w:spacing w:after="0"/>
              <w:rPr>
                <w:sz w:val="20"/>
                <w:szCs w:val="20"/>
                <w:color w:val="auto"/>
              </w:rPr>
            </w:pPr>
            <w:r>
              <w:rPr>
                <w:rFonts w:ascii="Arial" w:cs="Arial" w:eastAsia="Arial" w:hAnsi="Arial"/>
                <w:sz w:val="18"/>
                <w:szCs w:val="18"/>
                <w:i w:val="1"/>
                <w:iCs w:val="1"/>
                <w:color w:val="auto"/>
              </w:rPr>
              <w:t>Per share information:</w:t>
            </w: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70"/>
        </w:trPr>
        <w:tc>
          <w:tcPr>
            <w:tcW w:w="4200" w:type="dxa"/>
            <w:vAlign w:val="bottom"/>
          </w:tcPr>
          <w:p>
            <w:pPr>
              <w:ind w:left="100"/>
              <w:spacing w:after="0"/>
              <w:rPr>
                <w:sz w:val="20"/>
                <w:szCs w:val="20"/>
                <w:color w:val="auto"/>
              </w:rPr>
            </w:pPr>
            <w:r>
              <w:rPr>
                <w:rFonts w:ascii="Arial" w:cs="Arial" w:eastAsia="Arial" w:hAnsi="Arial"/>
                <w:sz w:val="18"/>
                <w:szCs w:val="18"/>
                <w:color w:val="auto"/>
              </w:rPr>
              <w:t>Basic</w:t>
            </w:r>
          </w:p>
        </w:tc>
        <w:tc>
          <w:tcPr>
            <w:tcW w:w="3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284"/>
        </w:trPr>
        <w:tc>
          <w:tcPr>
            <w:tcW w:w="4200" w:type="dxa"/>
            <w:vAlign w:val="bottom"/>
          </w:tcPr>
          <w:p>
            <w:pPr>
              <w:ind w:left="300"/>
              <w:spacing w:after="0"/>
              <w:rPr>
                <w:sz w:val="20"/>
                <w:szCs w:val="20"/>
                <w:color w:val="auto"/>
              </w:rPr>
            </w:pPr>
            <w:r>
              <w:rPr>
                <w:rFonts w:ascii="Arial" w:cs="Arial" w:eastAsia="Arial" w:hAnsi="Arial"/>
                <w:sz w:val="18"/>
                <w:szCs w:val="18"/>
                <w:color w:val="auto"/>
              </w:rPr>
              <w:t>Net income (loss)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(0.53)</w:t>
            </w:r>
          </w:p>
        </w:tc>
        <w:tc>
          <w:tcPr>
            <w:tcW w:w="120" w:type="dxa"/>
            <w:vAlign w:val="bottom"/>
          </w:tcPr>
          <w:p>
            <w:pPr>
              <w:spacing w:after="0"/>
              <w:rPr>
                <w:sz w:val="24"/>
                <w:szCs w:val="24"/>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0.39</w:t>
            </w:r>
          </w:p>
        </w:tc>
        <w:tc>
          <w:tcPr>
            <w:tcW w:w="100" w:type="dxa"/>
            <w:vAlign w:val="bottom"/>
          </w:tcPr>
          <w:p>
            <w:pPr>
              <w:spacing w:after="0"/>
              <w:rPr>
                <w:sz w:val="24"/>
                <w:szCs w:val="24"/>
                <w:color w:val="auto"/>
              </w:rPr>
            </w:pP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2.32</w:t>
            </w:r>
          </w:p>
        </w:tc>
        <w:tc>
          <w:tcPr>
            <w:tcW w:w="100" w:type="dxa"/>
            <w:vAlign w:val="bottom"/>
          </w:tcPr>
          <w:p>
            <w:pPr>
              <w:spacing w:after="0"/>
              <w:rPr>
                <w:sz w:val="24"/>
                <w:szCs w:val="24"/>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(0.35)</w:t>
            </w:r>
          </w:p>
        </w:tc>
      </w:tr>
      <w:tr>
        <w:trPr>
          <w:trHeight w:val="270"/>
        </w:trPr>
        <w:tc>
          <w:tcPr>
            <w:tcW w:w="4200" w:type="dxa"/>
            <w:vAlign w:val="bottom"/>
          </w:tcPr>
          <w:p>
            <w:pPr>
              <w:ind w:left="300"/>
              <w:spacing w:after="0"/>
              <w:rPr>
                <w:sz w:val="20"/>
                <w:szCs w:val="20"/>
                <w:color w:val="auto"/>
              </w:rPr>
            </w:pPr>
            <w:r>
              <w:rPr>
                <w:rFonts w:ascii="Arial" w:cs="Arial" w:eastAsia="Arial" w:hAnsi="Arial"/>
                <w:sz w:val="18"/>
                <w:szCs w:val="18"/>
                <w:color w:val="auto"/>
              </w:rPr>
              <w:t>Weighted average shares</w:t>
            </w:r>
          </w:p>
        </w:tc>
        <w:tc>
          <w:tcPr>
            <w:tcW w:w="3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96.3</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93.9</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90.4</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87.4</w:t>
            </w:r>
          </w:p>
        </w:tc>
      </w:tr>
      <w:tr>
        <w:trPr>
          <w:trHeight w:val="527"/>
        </w:trPr>
        <w:tc>
          <w:tcPr>
            <w:tcW w:w="4200" w:type="dxa"/>
            <w:vAlign w:val="bottom"/>
          </w:tcPr>
          <w:p>
            <w:pPr>
              <w:ind w:left="100"/>
              <w:spacing w:after="0"/>
              <w:rPr>
                <w:sz w:val="20"/>
                <w:szCs w:val="20"/>
                <w:color w:val="auto"/>
              </w:rPr>
            </w:pPr>
            <w:r>
              <w:rPr>
                <w:rFonts w:ascii="Arial" w:cs="Arial" w:eastAsia="Arial" w:hAnsi="Arial"/>
                <w:sz w:val="18"/>
                <w:szCs w:val="18"/>
                <w:color w:val="auto"/>
              </w:rPr>
              <w:t>Diluted</w:t>
            </w: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84"/>
        </w:trPr>
        <w:tc>
          <w:tcPr>
            <w:tcW w:w="4200" w:type="dxa"/>
            <w:vAlign w:val="bottom"/>
          </w:tcPr>
          <w:p>
            <w:pPr>
              <w:ind w:left="300"/>
              <w:spacing w:after="0"/>
              <w:rPr>
                <w:sz w:val="20"/>
                <w:szCs w:val="20"/>
                <w:color w:val="auto"/>
              </w:rPr>
            </w:pPr>
            <w:r>
              <w:rPr>
                <w:rFonts w:ascii="Arial" w:cs="Arial" w:eastAsia="Arial" w:hAnsi="Arial"/>
                <w:sz w:val="18"/>
                <w:szCs w:val="18"/>
                <w:color w:val="auto"/>
              </w:rPr>
              <w:t>Net income (loss)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(0.53)</w:t>
            </w:r>
          </w:p>
        </w:tc>
        <w:tc>
          <w:tcPr>
            <w:tcW w:w="120" w:type="dxa"/>
            <w:vAlign w:val="bottom"/>
          </w:tcPr>
          <w:p>
            <w:pPr>
              <w:spacing w:after="0"/>
              <w:rPr>
                <w:sz w:val="24"/>
                <w:szCs w:val="24"/>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0.38</w:t>
            </w:r>
          </w:p>
        </w:tc>
        <w:tc>
          <w:tcPr>
            <w:tcW w:w="100" w:type="dxa"/>
            <w:vAlign w:val="bottom"/>
          </w:tcPr>
          <w:p>
            <w:pPr>
              <w:spacing w:after="0"/>
              <w:rPr>
                <w:sz w:val="24"/>
                <w:szCs w:val="24"/>
                <w:color w:val="auto"/>
              </w:rPr>
            </w:pP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2.28</w:t>
            </w:r>
          </w:p>
        </w:tc>
        <w:tc>
          <w:tcPr>
            <w:tcW w:w="100" w:type="dxa"/>
            <w:vAlign w:val="bottom"/>
          </w:tcPr>
          <w:p>
            <w:pPr>
              <w:spacing w:after="0"/>
              <w:rPr>
                <w:sz w:val="24"/>
                <w:szCs w:val="24"/>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(0.35)</w:t>
            </w:r>
          </w:p>
        </w:tc>
      </w:tr>
      <w:tr>
        <w:trPr>
          <w:trHeight w:val="270"/>
        </w:trPr>
        <w:tc>
          <w:tcPr>
            <w:tcW w:w="4200" w:type="dxa"/>
            <w:vAlign w:val="bottom"/>
          </w:tcPr>
          <w:p>
            <w:pPr>
              <w:ind w:left="300"/>
              <w:spacing w:after="0"/>
              <w:rPr>
                <w:sz w:val="20"/>
                <w:szCs w:val="20"/>
                <w:color w:val="auto"/>
              </w:rPr>
            </w:pPr>
            <w:r>
              <w:rPr>
                <w:rFonts w:ascii="Arial" w:cs="Arial" w:eastAsia="Arial" w:hAnsi="Arial"/>
                <w:sz w:val="18"/>
                <w:szCs w:val="18"/>
                <w:color w:val="auto"/>
              </w:rPr>
              <w:t>Weighted average shares</w:t>
            </w:r>
          </w:p>
        </w:tc>
        <w:tc>
          <w:tcPr>
            <w:tcW w:w="3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96.3</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95.1</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91.8</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87.4</w:t>
            </w:r>
          </w:p>
        </w:tc>
      </w:tr>
    </w:tbl>
    <w:p>
      <w:pPr>
        <w:spacing w:after="0" w:line="65" w:lineRule="exact"/>
        <w:rPr>
          <w:sz w:val="20"/>
          <w:szCs w:val="20"/>
          <w:color w:val="auto"/>
        </w:rPr>
      </w:pPr>
    </w:p>
    <w:p>
      <w:pPr>
        <w:ind w:left="500"/>
        <w:spacing w:after="0"/>
        <w:rPr>
          <w:sz w:val="20"/>
          <w:szCs w:val="20"/>
          <w:color w:val="auto"/>
        </w:rPr>
      </w:pPr>
      <w:r>
        <w:rPr>
          <w:rFonts w:ascii="Arial" w:cs="Arial" w:eastAsia="Arial" w:hAnsi="Arial"/>
          <w:sz w:val="14"/>
          <w:szCs w:val="14"/>
          <w:color w:val="auto"/>
        </w:rPr>
        <w:t>__________</w:t>
      </w:r>
    </w:p>
    <w:p>
      <w:pPr>
        <w:spacing w:after="0" w:line="5" w:lineRule="exact"/>
        <w:rPr>
          <w:sz w:val="20"/>
          <w:szCs w:val="20"/>
          <w:color w:val="auto"/>
        </w:rPr>
      </w:pPr>
    </w:p>
    <w:p>
      <w:pPr>
        <w:ind w:left="820" w:hanging="326"/>
        <w:spacing w:after="0" w:line="227" w:lineRule="auto"/>
        <w:tabs>
          <w:tab w:leader="none" w:pos="820" w:val="left"/>
        </w:tabs>
        <w:numPr>
          <w:ilvl w:val="1"/>
          <w:numId w:val="108"/>
        </w:numPr>
        <w:rPr>
          <w:rFonts w:ascii="Arial" w:cs="Arial" w:eastAsia="Arial" w:hAnsi="Arial"/>
          <w:sz w:val="22"/>
          <w:szCs w:val="22"/>
          <w:color w:val="auto"/>
          <w:vertAlign w:val="superscript"/>
        </w:rPr>
      </w:pPr>
      <w:r>
        <w:rPr>
          <w:rFonts w:ascii="Arial" w:cs="Arial" w:eastAsia="Arial" w:hAnsi="Arial"/>
          <w:sz w:val="16"/>
          <w:szCs w:val="16"/>
          <w:color w:val="auto"/>
        </w:rPr>
        <w:t>Net income for fourth quarter 2017 includes provisional amounts for the Tax Act of (i) a tax benefit of $317 million resulting from the remeasurement of net deferred income tax liabilities as a result of the reduced corporate tax rate and (ii) a tax provision of $104 million for the one-time transition tax on the deemed repatriation of cumulative foreign subsidiary earnings. This estimate will be finalized in a subsequent measurement period during 2018.</w:t>
      </w:r>
    </w:p>
    <w:p>
      <w:pPr>
        <w:spacing w:after="0" w:line="159" w:lineRule="exact"/>
        <w:rPr>
          <w:rFonts w:ascii="Arial" w:cs="Arial" w:eastAsia="Arial" w:hAnsi="Arial"/>
          <w:sz w:val="22"/>
          <w:szCs w:val="22"/>
          <w:color w:val="auto"/>
          <w:vertAlign w:val="superscript"/>
        </w:rPr>
      </w:pPr>
    </w:p>
    <w:p>
      <w:pPr>
        <w:ind w:left="500" w:hanging="492"/>
        <w:spacing w:after="0"/>
        <w:tabs>
          <w:tab w:leader="none" w:pos="500" w:val="left"/>
        </w:tabs>
        <w:numPr>
          <w:ilvl w:val="0"/>
          <w:numId w:val="109"/>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247" w:lineRule="exact"/>
        <w:rPr>
          <w:rFonts w:ascii="Arial" w:cs="Arial" w:eastAsia="Arial" w:hAnsi="Arial"/>
          <w:sz w:val="18"/>
          <w:szCs w:val="18"/>
          <w:b w:val="1"/>
          <w:bCs w:val="1"/>
          <w:color w:val="auto"/>
        </w:rPr>
      </w:pPr>
    </w:p>
    <w:p>
      <w:pPr>
        <w:ind w:left="500"/>
        <w:spacing w:after="0" w:line="252" w:lineRule="auto"/>
        <w:rPr>
          <w:rFonts w:ascii="Arial" w:cs="Arial" w:eastAsia="Arial" w:hAnsi="Arial"/>
          <w:sz w:val="18"/>
          <w:szCs w:val="18"/>
          <w:b w:val="1"/>
          <w:bCs w:val="1"/>
          <w:color w:val="auto"/>
        </w:rPr>
      </w:pPr>
      <w:r>
        <w:rPr>
          <w:rFonts w:ascii="Arial" w:cs="Arial" w:eastAsia="Arial" w:hAnsi="Arial"/>
          <w:sz w:val="18"/>
          <w:szCs w:val="18"/>
          <w:color w:val="auto"/>
        </w:rPr>
        <w:t>On January 14, 2018, the Company’s Board of Directors authorized the adoption of a short-term stockholder rights plan, which expires on January 13, 2019. Pursuant to the rights plan, the Company declared a dividend of one preferred share purchase right for each outstanding share of common stock, payable to holders of record as of the close of business on January 26, 2018. Each right, which is exercisable only in the event any person or group acquires a voting or economic position of 15% or more of the Company’s outstanding common stock (with certain limited exceptions), would entitle any holder other than the person or group whose ownership position has exceeded the ownership limit to purchase common stock having a value equal to twice the $100 exercise price of the right, or, at the election of the Board of Directors, to exchange each right for one share of common stock (subject to adjustment).</w:t>
      </w:r>
    </w:p>
    <w:p>
      <w:pPr>
        <w:spacing w:after="0" w:line="207" w:lineRule="exact"/>
        <w:rPr>
          <w:rFonts w:ascii="Arial" w:cs="Arial" w:eastAsia="Arial" w:hAnsi="Arial"/>
          <w:sz w:val="18"/>
          <w:szCs w:val="18"/>
          <w:b w:val="1"/>
          <w:bCs w:val="1"/>
          <w:color w:val="auto"/>
        </w:rPr>
      </w:pPr>
    </w:p>
    <w:p>
      <w:pPr>
        <w:ind w:left="500" w:right="100"/>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In February 2018, the Company amended the terms of its Floating Rate Term Loan due 2022 and its Senior revolving credit facility maturing 2021. The Company extended its Floating Rate Term Loan maturity term to 2025 and its Senior revolving credit facility maturity to 2023.</w:t>
      </w:r>
    </w:p>
    <w:p>
      <w:pPr>
        <w:sectPr>
          <w:pgSz w:w="11900" w:h="16838" w:orient="portrait"/>
          <w:cols w:equalWidth="0" w:num="1">
            <w:col w:w="11420"/>
          </w:cols>
          <w:pgMar w:left="240" w:top="140" w:right="239" w:bottom="1440" w:gutter="0" w:footer="0" w:header="0"/>
        </w:sect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F-58</w:t>
      </w:r>
    </w:p>
    <w:p>
      <w:pPr>
        <w:sectPr>
          <w:pgSz w:w="11900" w:h="16838" w:orient="portrait"/>
          <w:cols w:equalWidth="0" w:num="1">
            <w:col w:w="11420"/>
          </w:cols>
          <w:pgMar w:left="240" w:top="140" w:right="239" w:bottom="1440" w:gutter="0" w:footer="0" w:header="0"/>
          <w:type w:val="continuous"/>
        </w:sectPr>
      </w:pPr>
    </w:p>
    <w:bookmarkStart w:id="124" w:name="page125"/>
    <w:bookmarkEnd w:id="1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7"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w:t>
      </w:r>
    </w:p>
    <w:p>
      <w:pPr>
        <w:spacing w:after="0" w:line="252" w:lineRule="exact"/>
        <w:rPr>
          <w:sz w:val="20"/>
          <w:szCs w:val="20"/>
          <w:color w:val="auto"/>
        </w:rPr>
      </w:pPr>
    </w:p>
    <w:p>
      <w:pPr>
        <w:jc w:val="right"/>
        <w:ind w:right="4319"/>
        <w:spacing w:after="0"/>
        <w:rPr>
          <w:sz w:val="20"/>
          <w:szCs w:val="20"/>
          <w:color w:val="auto"/>
        </w:rPr>
      </w:pPr>
      <w:r>
        <w:rPr>
          <w:rFonts w:ascii="Arial" w:cs="Arial" w:eastAsia="Arial" w:hAnsi="Arial"/>
          <w:sz w:val="18"/>
          <w:szCs w:val="18"/>
          <w:color w:val="auto"/>
        </w:rPr>
        <w:t>F-59</w:t>
      </w:r>
    </w:p>
    <w:p>
      <w:pPr>
        <w:sectPr>
          <w:pgSz w:w="11900" w:h="16838" w:orient="portrait"/>
          <w:cols w:equalWidth="0" w:num="1">
            <w:col w:w="10219"/>
          </w:cols>
          <w:pgMar w:left="240" w:top="140" w:right="1440" w:bottom="1440" w:gutter="0" w:footer="0" w:header="0"/>
        </w:sectPr>
      </w:pPr>
    </w:p>
    <w:bookmarkStart w:id="125" w:name="page126"/>
    <w:bookmarkEnd w:id="1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Schedule II – Valuation and Qualifying Accounts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millions)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9"/>
              </w:rPr>
              <w:t>Balance at</w:t>
            </w: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46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gridSpan w:val="2"/>
          </w:tcPr>
          <w:p>
            <w:pPr>
              <w:jc w:val="center"/>
              <w:ind w:right="340"/>
              <w:spacing w:after="0" w:line="202" w:lineRule="exact"/>
              <w:rPr>
                <w:sz w:val="20"/>
                <w:szCs w:val="20"/>
                <w:color w:val="auto"/>
              </w:rPr>
            </w:pPr>
            <w:r>
              <w:rPr>
                <w:rFonts w:ascii="Arial" w:cs="Arial" w:eastAsia="Arial" w:hAnsi="Arial"/>
                <w:sz w:val="18"/>
                <w:szCs w:val="18"/>
                <w:b w:val="1"/>
                <w:bCs w:val="1"/>
                <w:color w:val="auto"/>
                <w:w w:val="99"/>
              </w:rPr>
              <w:t>Beginning</w:t>
            </w: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gridSpan w:val="2"/>
          </w:tcPr>
          <w:p>
            <w:pPr>
              <w:ind w:left="340"/>
              <w:spacing w:after="0" w:line="202" w:lineRule="exact"/>
              <w:rPr>
                <w:sz w:val="20"/>
                <w:szCs w:val="20"/>
                <w:color w:val="auto"/>
              </w:rPr>
            </w:pPr>
            <w:r>
              <w:rPr>
                <w:rFonts w:ascii="Arial" w:cs="Arial" w:eastAsia="Arial" w:hAnsi="Arial"/>
                <w:sz w:val="18"/>
                <w:szCs w:val="18"/>
                <w:b w:val="1"/>
                <w:bCs w:val="1"/>
                <w:color w:val="auto"/>
              </w:rPr>
              <w:t>Other</w:t>
            </w: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gridSpan w:val="2"/>
          </w:tcPr>
          <w:p>
            <w:pPr>
              <w:ind w:left="40"/>
              <w:spacing w:after="0" w:line="202" w:lineRule="exact"/>
              <w:rPr>
                <w:sz w:val="20"/>
                <w:szCs w:val="20"/>
                <w:color w:val="auto"/>
              </w:rPr>
            </w:pPr>
            <w:r>
              <w:rPr>
                <w:rFonts w:ascii="Arial" w:cs="Arial" w:eastAsia="Arial" w:hAnsi="Arial"/>
                <w:sz w:val="18"/>
                <w:szCs w:val="18"/>
                <w:b w:val="1"/>
                <w:bCs w:val="1"/>
                <w:color w:val="auto"/>
              </w:rPr>
              <w:t>Balance at End</w:t>
            </w:r>
          </w:p>
        </w:tc>
      </w:tr>
      <w:tr>
        <w:trPr>
          <w:trHeight w:val="246"/>
        </w:trPr>
        <w:tc>
          <w:tcPr>
            <w:tcW w:w="460" w:type="dxa"/>
            <w:vAlign w:val="bottom"/>
            <w:tcBorders>
              <w:bottom w:val="single" w:sz="8" w:color="auto"/>
            </w:tcBorders>
          </w:tcPr>
          <w:p>
            <w:pPr>
              <w:spacing w:after="0"/>
              <w:rPr>
                <w:sz w:val="21"/>
                <w:szCs w:val="21"/>
                <w:color w:val="auto"/>
              </w:rPr>
            </w:pPr>
          </w:p>
        </w:tc>
        <w:tc>
          <w:tcPr>
            <w:tcW w:w="3320" w:type="dxa"/>
            <w:vAlign w:val="bottom"/>
            <w:tcBorders>
              <w:bottom w:val="single" w:sz="8" w:color="auto"/>
            </w:tcBorders>
          </w:tcPr>
          <w:p>
            <w:pPr>
              <w:ind w:left="940"/>
              <w:spacing w:after="0"/>
              <w:rPr>
                <w:sz w:val="20"/>
                <w:szCs w:val="20"/>
                <w:color w:val="auto"/>
              </w:rPr>
            </w:pPr>
            <w:r>
              <w:rPr>
                <w:rFonts w:ascii="Arial" w:cs="Arial" w:eastAsia="Arial" w:hAnsi="Arial"/>
                <w:sz w:val="18"/>
                <w:szCs w:val="18"/>
                <w:b w:val="1"/>
                <w:bCs w:val="1"/>
                <w:color w:val="auto"/>
              </w:rPr>
              <w:t>Description</w:t>
            </w:r>
          </w:p>
        </w:tc>
        <w:tc>
          <w:tcPr>
            <w:tcW w:w="1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9"/>
              </w:rPr>
              <w:t>of Period</w:t>
            </w:r>
          </w:p>
        </w:tc>
        <w:tc>
          <w:tcPr>
            <w:tcW w:w="1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Expensed</w:t>
            </w: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Adjustments</w:t>
            </w:r>
          </w:p>
        </w:tc>
        <w:tc>
          <w:tcPr>
            <w:tcW w:w="1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Deductions</w:t>
            </w:r>
          </w:p>
        </w:tc>
        <w:tc>
          <w:tcPr>
            <w:tcW w:w="1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of Period</w:t>
            </w:r>
          </w:p>
        </w:tc>
      </w:tr>
      <w:tr>
        <w:trPr>
          <w:trHeight w:val="243"/>
        </w:trPr>
        <w:tc>
          <w:tcPr>
            <w:tcW w:w="3880" w:type="dxa"/>
            <w:vAlign w:val="bottom"/>
            <w:gridSpan w:val="3"/>
          </w:tcPr>
          <w:p>
            <w:pPr>
              <w:ind w:left="40"/>
              <w:spacing w:after="0"/>
              <w:rPr>
                <w:sz w:val="20"/>
                <w:szCs w:val="20"/>
                <w:color w:val="auto"/>
              </w:rPr>
            </w:pPr>
            <w:r>
              <w:rPr>
                <w:rFonts w:ascii="Arial" w:cs="Arial" w:eastAsia="Arial" w:hAnsi="Arial"/>
                <w:sz w:val="18"/>
                <w:szCs w:val="18"/>
                <w:b w:val="1"/>
                <w:bCs w:val="1"/>
                <w:color w:val="auto"/>
              </w:rPr>
              <w:t>Allowance for Doubtful Accounts:</w:t>
            </w: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0"/>
        </w:trPr>
        <w:tc>
          <w:tcPr>
            <w:tcW w:w="3880" w:type="dxa"/>
            <w:vAlign w:val="bottom"/>
            <w:gridSpan w:val="3"/>
          </w:tcPr>
          <w:p>
            <w:pPr>
              <w:ind w:left="40"/>
              <w:spacing w:after="0"/>
              <w:rPr>
                <w:sz w:val="20"/>
                <w:szCs w:val="20"/>
                <w:color w:val="auto"/>
              </w:rPr>
            </w:pPr>
            <w:r>
              <w:rPr>
                <w:rFonts w:ascii="Arial" w:cs="Arial" w:eastAsia="Arial" w:hAnsi="Arial"/>
                <w:sz w:val="18"/>
                <w:szCs w:val="18"/>
                <w:b w:val="1"/>
                <w:bCs w:val="1"/>
                <w:color w:val="auto"/>
              </w:rPr>
              <w:t>Year Ended December 31,</w:t>
            </w: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284"/>
        </w:trPr>
        <w:tc>
          <w:tcPr>
            <w:tcW w:w="460" w:type="dxa"/>
            <w:vAlign w:val="bottom"/>
          </w:tcPr>
          <w:p>
            <w:pPr>
              <w:ind w:left="40"/>
              <w:spacing w:after="0"/>
              <w:rPr>
                <w:sz w:val="20"/>
                <w:szCs w:val="20"/>
                <w:color w:val="auto"/>
              </w:rPr>
            </w:pPr>
            <w:r>
              <w:rPr>
                <w:rFonts w:ascii="Arial" w:cs="Arial" w:eastAsia="Arial" w:hAnsi="Arial"/>
                <w:sz w:val="18"/>
                <w:szCs w:val="18"/>
                <w:color w:val="auto"/>
                <w:w w:val="99"/>
              </w:rPr>
              <w:t>2017</w:t>
            </w:r>
          </w:p>
        </w:tc>
        <w:tc>
          <w:tcPr>
            <w:tcW w:w="3420" w:type="dxa"/>
            <w:vAlign w:val="bottom"/>
            <w:gridSpan w:val="2"/>
          </w:tcPr>
          <w:p>
            <w:pPr>
              <w:ind w:left="20"/>
              <w:spacing w:after="0"/>
              <w:rPr>
                <w:sz w:val="20"/>
                <w:szCs w:val="20"/>
                <w:color w:val="auto"/>
              </w:rPr>
            </w:pPr>
            <w:r>
              <w:rPr>
                <w:rFonts w:ascii="Arial" w:cs="Arial" w:eastAsia="Arial" w:hAnsi="Arial"/>
                <w:sz w:val="11"/>
                <w:szCs w:val="11"/>
                <w:color w:val="auto"/>
              </w:rPr>
              <w:t>(a)</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4"/>
                <w:szCs w:val="24"/>
                <w:color w:val="auto"/>
              </w:rPr>
            </w:pP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36</w:t>
            </w:r>
          </w:p>
        </w:tc>
      </w:tr>
      <w:tr>
        <w:trPr>
          <w:trHeight w:val="270"/>
        </w:trPr>
        <w:tc>
          <w:tcPr>
            <w:tcW w:w="460" w:type="dxa"/>
            <w:vAlign w:val="bottom"/>
          </w:tcPr>
          <w:p>
            <w:pPr>
              <w:ind w:left="40"/>
              <w:spacing w:after="0"/>
              <w:rPr>
                <w:sz w:val="20"/>
                <w:szCs w:val="20"/>
                <w:color w:val="auto"/>
              </w:rPr>
            </w:pPr>
            <w:r>
              <w:rPr>
                <w:rFonts w:ascii="Arial" w:cs="Arial" w:eastAsia="Arial" w:hAnsi="Arial"/>
                <w:sz w:val="18"/>
                <w:szCs w:val="18"/>
                <w:color w:val="auto"/>
                <w:w w:val="99"/>
              </w:rPr>
              <w:t>2016</w:t>
            </w:r>
          </w:p>
        </w:tc>
        <w:tc>
          <w:tcPr>
            <w:tcW w:w="3420" w:type="dxa"/>
            <w:vAlign w:val="bottom"/>
            <w:gridSpan w:val="2"/>
          </w:tcPr>
          <w:p>
            <w:pPr>
              <w:ind w:left="20"/>
              <w:spacing w:after="0"/>
              <w:rPr>
                <w:sz w:val="20"/>
                <w:szCs w:val="20"/>
                <w:color w:val="auto"/>
              </w:rPr>
            </w:pPr>
            <w:r>
              <w:rPr>
                <w:rFonts w:ascii="Arial" w:cs="Arial" w:eastAsia="Arial" w:hAnsi="Arial"/>
                <w:sz w:val="11"/>
                <w:szCs w:val="11"/>
                <w:color w:val="auto"/>
              </w:rPr>
              <w:t>(a)</w:t>
            </w:r>
          </w:p>
        </w:tc>
        <w:tc>
          <w:tcPr>
            <w:tcW w:w="220" w:type="dxa"/>
            <w:vAlign w:val="bottom"/>
          </w:tcPr>
          <w:p>
            <w:pPr>
              <w:spacing w:after="0"/>
              <w:rPr>
                <w:sz w:val="23"/>
                <w:szCs w:val="23"/>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38</w:t>
            </w:r>
          </w:p>
        </w:tc>
      </w:tr>
      <w:tr>
        <w:trPr>
          <w:trHeight w:val="270"/>
        </w:trPr>
        <w:tc>
          <w:tcPr>
            <w:tcW w:w="460" w:type="dxa"/>
            <w:vAlign w:val="bottom"/>
          </w:tcPr>
          <w:p>
            <w:pPr>
              <w:ind w:left="40"/>
              <w:spacing w:after="0"/>
              <w:rPr>
                <w:sz w:val="20"/>
                <w:szCs w:val="20"/>
                <w:color w:val="auto"/>
              </w:rPr>
            </w:pPr>
            <w:r>
              <w:rPr>
                <w:rFonts w:ascii="Arial" w:cs="Arial" w:eastAsia="Arial" w:hAnsi="Arial"/>
                <w:sz w:val="18"/>
                <w:szCs w:val="18"/>
                <w:color w:val="auto"/>
                <w:w w:val="99"/>
              </w:rPr>
              <w:t>2015</w:t>
            </w:r>
          </w:p>
        </w:tc>
        <w:tc>
          <w:tcPr>
            <w:tcW w:w="3420" w:type="dxa"/>
            <w:vAlign w:val="bottom"/>
            <w:gridSpan w:val="2"/>
          </w:tcPr>
          <w:p>
            <w:pPr>
              <w:ind w:left="20"/>
              <w:spacing w:after="0"/>
              <w:rPr>
                <w:sz w:val="20"/>
                <w:szCs w:val="20"/>
                <w:color w:val="auto"/>
              </w:rPr>
            </w:pPr>
            <w:r>
              <w:rPr>
                <w:rFonts w:ascii="Arial" w:cs="Arial" w:eastAsia="Arial" w:hAnsi="Arial"/>
                <w:sz w:val="11"/>
                <w:szCs w:val="11"/>
                <w:color w:val="auto"/>
              </w:rPr>
              <w:t>(a)</w:t>
            </w:r>
          </w:p>
        </w:tc>
        <w:tc>
          <w:tcPr>
            <w:tcW w:w="220" w:type="dxa"/>
            <w:vAlign w:val="bottom"/>
          </w:tcPr>
          <w:p>
            <w:pPr>
              <w:spacing w:after="0"/>
              <w:rPr>
                <w:sz w:val="23"/>
                <w:szCs w:val="23"/>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34</w:t>
            </w:r>
          </w:p>
        </w:tc>
      </w:tr>
      <w:tr>
        <w:trPr>
          <w:trHeight w:val="486"/>
        </w:trPr>
        <w:tc>
          <w:tcPr>
            <w:tcW w:w="3880" w:type="dxa"/>
            <w:vAlign w:val="bottom"/>
            <w:gridSpan w:val="3"/>
          </w:tcPr>
          <w:p>
            <w:pPr>
              <w:ind w:left="40"/>
              <w:spacing w:after="0"/>
              <w:rPr>
                <w:sz w:val="20"/>
                <w:szCs w:val="20"/>
                <w:color w:val="auto"/>
              </w:rPr>
            </w:pPr>
            <w:r>
              <w:rPr>
                <w:rFonts w:ascii="Arial" w:cs="Arial" w:eastAsia="Arial" w:hAnsi="Arial"/>
                <w:sz w:val="18"/>
                <w:szCs w:val="18"/>
                <w:b w:val="1"/>
                <w:bCs w:val="1"/>
                <w:color w:val="auto"/>
              </w:rPr>
              <w:t>Tax Valuation Allowance:</w:t>
            </w: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70"/>
        </w:trPr>
        <w:tc>
          <w:tcPr>
            <w:tcW w:w="3880" w:type="dxa"/>
            <w:vAlign w:val="bottom"/>
            <w:gridSpan w:val="3"/>
          </w:tcPr>
          <w:p>
            <w:pPr>
              <w:ind w:left="40"/>
              <w:spacing w:after="0"/>
              <w:rPr>
                <w:sz w:val="20"/>
                <w:szCs w:val="20"/>
                <w:color w:val="auto"/>
              </w:rPr>
            </w:pPr>
            <w:r>
              <w:rPr>
                <w:rFonts w:ascii="Arial" w:cs="Arial" w:eastAsia="Arial" w:hAnsi="Arial"/>
                <w:sz w:val="18"/>
                <w:szCs w:val="18"/>
                <w:b w:val="1"/>
                <w:bCs w:val="1"/>
                <w:color w:val="auto"/>
              </w:rPr>
              <w:t>Year Ended December 31,</w:t>
            </w: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284"/>
        </w:trPr>
        <w:tc>
          <w:tcPr>
            <w:tcW w:w="460" w:type="dxa"/>
            <w:vAlign w:val="bottom"/>
          </w:tcPr>
          <w:p>
            <w:pPr>
              <w:ind w:left="40"/>
              <w:spacing w:after="0"/>
              <w:rPr>
                <w:sz w:val="20"/>
                <w:szCs w:val="20"/>
                <w:color w:val="auto"/>
              </w:rPr>
            </w:pPr>
            <w:r>
              <w:rPr>
                <w:rFonts w:ascii="Arial" w:cs="Arial" w:eastAsia="Arial" w:hAnsi="Arial"/>
                <w:sz w:val="18"/>
                <w:szCs w:val="18"/>
                <w:color w:val="auto"/>
                <w:w w:val="99"/>
              </w:rPr>
              <w:t>2017</w:t>
            </w:r>
          </w:p>
        </w:tc>
        <w:tc>
          <w:tcPr>
            <w:tcW w:w="3420" w:type="dxa"/>
            <w:vAlign w:val="bottom"/>
            <w:gridSpan w:val="2"/>
          </w:tcPr>
          <w:p>
            <w:pPr>
              <w:ind w:left="20"/>
              <w:spacing w:after="0"/>
              <w:rPr>
                <w:sz w:val="20"/>
                <w:szCs w:val="20"/>
                <w:color w:val="auto"/>
              </w:rPr>
            </w:pPr>
            <w:r>
              <w:rPr>
                <w:rFonts w:ascii="Arial" w:cs="Arial" w:eastAsia="Arial" w:hAnsi="Arial"/>
                <w:sz w:val="11"/>
                <w:szCs w:val="11"/>
                <w:color w:val="auto"/>
              </w:rPr>
              <w:t>(a)</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357</w:t>
            </w:r>
          </w:p>
        </w:tc>
        <w:tc>
          <w:tcPr>
            <w:tcW w:w="12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4"/>
                <w:szCs w:val="24"/>
                <w:color w:val="auto"/>
              </w:rPr>
            </w:pP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331</w:t>
            </w:r>
          </w:p>
        </w:tc>
      </w:tr>
      <w:tr>
        <w:trPr>
          <w:trHeight w:val="270"/>
        </w:trPr>
        <w:tc>
          <w:tcPr>
            <w:tcW w:w="460" w:type="dxa"/>
            <w:vAlign w:val="bottom"/>
          </w:tcPr>
          <w:p>
            <w:pPr>
              <w:ind w:left="40"/>
              <w:spacing w:after="0"/>
              <w:rPr>
                <w:sz w:val="20"/>
                <w:szCs w:val="20"/>
                <w:color w:val="auto"/>
              </w:rPr>
            </w:pPr>
            <w:r>
              <w:rPr>
                <w:rFonts w:ascii="Arial" w:cs="Arial" w:eastAsia="Arial" w:hAnsi="Arial"/>
                <w:sz w:val="18"/>
                <w:szCs w:val="18"/>
                <w:color w:val="auto"/>
                <w:w w:val="99"/>
              </w:rPr>
              <w:t>2016</w:t>
            </w:r>
          </w:p>
        </w:tc>
        <w:tc>
          <w:tcPr>
            <w:tcW w:w="3420" w:type="dxa"/>
            <w:vAlign w:val="bottom"/>
            <w:gridSpan w:val="2"/>
          </w:tcPr>
          <w:p>
            <w:pPr>
              <w:ind w:left="20"/>
              <w:spacing w:after="0"/>
              <w:rPr>
                <w:sz w:val="20"/>
                <w:szCs w:val="20"/>
                <w:color w:val="auto"/>
              </w:rPr>
            </w:pPr>
            <w:r>
              <w:rPr>
                <w:rFonts w:ascii="Arial" w:cs="Arial" w:eastAsia="Arial" w:hAnsi="Arial"/>
                <w:sz w:val="11"/>
                <w:szCs w:val="11"/>
                <w:color w:val="auto"/>
              </w:rPr>
              <w:t>(a)</w:t>
            </w:r>
          </w:p>
        </w:tc>
        <w:tc>
          <w:tcPr>
            <w:tcW w:w="220" w:type="dxa"/>
            <w:vAlign w:val="bottom"/>
          </w:tcPr>
          <w:p>
            <w:pPr>
              <w:spacing w:after="0"/>
              <w:rPr>
                <w:sz w:val="23"/>
                <w:szCs w:val="23"/>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351</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357</w:t>
            </w:r>
          </w:p>
        </w:tc>
      </w:tr>
      <w:tr>
        <w:trPr>
          <w:trHeight w:val="270"/>
        </w:trPr>
        <w:tc>
          <w:tcPr>
            <w:tcW w:w="460" w:type="dxa"/>
            <w:vAlign w:val="bottom"/>
          </w:tcPr>
          <w:p>
            <w:pPr>
              <w:ind w:left="40"/>
              <w:spacing w:after="0"/>
              <w:rPr>
                <w:sz w:val="20"/>
                <w:szCs w:val="20"/>
                <w:color w:val="auto"/>
              </w:rPr>
            </w:pPr>
            <w:r>
              <w:rPr>
                <w:rFonts w:ascii="Arial" w:cs="Arial" w:eastAsia="Arial" w:hAnsi="Arial"/>
                <w:sz w:val="18"/>
                <w:szCs w:val="18"/>
                <w:color w:val="auto"/>
                <w:w w:val="99"/>
              </w:rPr>
              <w:t>2015</w:t>
            </w:r>
          </w:p>
        </w:tc>
        <w:tc>
          <w:tcPr>
            <w:tcW w:w="3420" w:type="dxa"/>
            <w:vAlign w:val="bottom"/>
            <w:gridSpan w:val="2"/>
          </w:tcPr>
          <w:p>
            <w:pPr>
              <w:ind w:left="20"/>
              <w:spacing w:after="0"/>
              <w:rPr>
                <w:sz w:val="20"/>
                <w:szCs w:val="20"/>
                <w:color w:val="auto"/>
              </w:rPr>
            </w:pPr>
            <w:r>
              <w:rPr>
                <w:rFonts w:ascii="Arial" w:cs="Arial" w:eastAsia="Arial" w:hAnsi="Arial"/>
                <w:sz w:val="11"/>
                <w:szCs w:val="11"/>
                <w:color w:val="auto"/>
              </w:rPr>
              <w:t>(a)(b)</w:t>
            </w:r>
          </w:p>
        </w:tc>
        <w:tc>
          <w:tcPr>
            <w:tcW w:w="220" w:type="dxa"/>
            <w:vAlign w:val="bottom"/>
          </w:tcPr>
          <w:p>
            <w:pPr>
              <w:spacing w:after="0"/>
              <w:rPr>
                <w:sz w:val="23"/>
                <w:szCs w:val="23"/>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319</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351</w:t>
            </w:r>
          </w:p>
        </w:tc>
      </w:tr>
    </w:tbl>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__________</w:t>
      </w:r>
    </w:p>
    <w:p>
      <w:pPr>
        <w:ind w:left="340" w:hanging="332"/>
        <w:spacing w:after="0" w:line="204" w:lineRule="auto"/>
        <w:tabs>
          <w:tab w:leader="none" w:pos="340" w:val="left"/>
        </w:tabs>
        <w:numPr>
          <w:ilvl w:val="0"/>
          <w:numId w:val="110"/>
        </w:numPr>
        <w:rPr>
          <w:rFonts w:ascii="Arial" w:cs="Arial" w:eastAsia="Arial" w:hAnsi="Arial"/>
          <w:sz w:val="18"/>
          <w:szCs w:val="18"/>
          <w:color w:val="auto"/>
          <w:vertAlign w:val="superscript"/>
        </w:rPr>
      </w:pPr>
      <w:r>
        <w:rPr>
          <w:rFonts w:ascii="Arial" w:cs="Arial" w:eastAsia="Arial" w:hAnsi="Arial"/>
          <w:sz w:val="14"/>
          <w:szCs w:val="14"/>
          <w:color w:val="auto"/>
        </w:rPr>
        <w:t>Other adjustments relate to currency translation adjustments.</w:t>
      </w:r>
    </w:p>
    <w:p>
      <w:pPr>
        <w:ind w:left="340" w:hanging="332"/>
        <w:spacing w:after="0" w:line="199" w:lineRule="auto"/>
        <w:tabs>
          <w:tab w:leader="none" w:pos="340" w:val="left"/>
        </w:tabs>
        <w:numPr>
          <w:ilvl w:val="0"/>
          <w:numId w:val="110"/>
        </w:numPr>
        <w:rPr>
          <w:rFonts w:ascii="Arial" w:cs="Arial" w:eastAsia="Arial" w:hAnsi="Arial"/>
          <w:sz w:val="18"/>
          <w:szCs w:val="18"/>
          <w:color w:val="auto"/>
          <w:vertAlign w:val="superscript"/>
        </w:rPr>
      </w:pPr>
      <w:r>
        <w:rPr>
          <w:rFonts w:ascii="Arial" w:cs="Arial" w:eastAsia="Arial" w:hAnsi="Arial"/>
          <w:sz w:val="14"/>
          <w:szCs w:val="14"/>
          <w:color w:val="auto"/>
        </w:rPr>
        <w:t>Other adjustments relate to the acquisition of Brazil.</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G-1</w:t>
      </w:r>
    </w:p>
    <w:p>
      <w:pPr>
        <w:sectPr>
          <w:pgSz w:w="11900" w:h="16838" w:orient="portrait"/>
          <w:cols w:equalWidth="0" w:num="1">
            <w:col w:w="11420"/>
          </w:cols>
          <w:pgMar w:left="240" w:top="140" w:right="239" w:bottom="1440" w:gutter="0" w:footer="0" w:header="0"/>
        </w:sectPr>
      </w:pPr>
    </w:p>
    <w:bookmarkStart w:id="126" w:name="page127"/>
    <w:bookmarkEnd w:id="1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7" w:lineRule="exact"/>
        <w:rPr>
          <w:sz w:val="20"/>
          <w:szCs w:val="20"/>
          <w:color w:val="auto"/>
        </w:rPr>
      </w:pPr>
    </w:p>
    <w:tbl>
      <w:tblPr>
        <w:tblLayout w:type="fixed"/>
        <w:tblInd w:w="10" w:type="dxa"/>
        <w:tblCellMar>
          <w:top w:w="0" w:type="dxa"/>
          <w:left w:w="0" w:type="dxa"/>
          <w:bottom w:w="0" w:type="dxa"/>
          <w:right w:w="0" w:type="dxa"/>
        </w:tblCellMar>
      </w:tblPr>
      <w:tr>
        <w:trPr>
          <w:trHeight w:val="237"/>
        </w:trPr>
        <w:tc>
          <w:tcPr>
            <w:tcW w:w="116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EXHIBIT NO.</w:t>
            </w:r>
          </w:p>
        </w:tc>
        <w:tc>
          <w:tcPr>
            <w:tcW w:w="120" w:type="dxa"/>
            <w:vAlign w:val="bottom"/>
            <w:tcBorders>
              <w:top w:val="single" w:sz="8" w:color="auto"/>
              <w:right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0140" w:type="dxa"/>
            <w:vAlign w:val="bottom"/>
            <w:tcBorders>
              <w:top w:val="single" w:sz="8" w:color="auto"/>
              <w:right w:val="single" w:sz="8" w:color="auto"/>
            </w:tcBorders>
            <w:gridSpan w:val="40"/>
          </w:tcPr>
          <w:p>
            <w:pPr>
              <w:spacing w:after="0"/>
              <w:rPr>
                <w:sz w:val="20"/>
                <w:szCs w:val="20"/>
                <w:color w:val="auto"/>
              </w:rPr>
            </w:pPr>
            <w:r>
              <w:rPr>
                <w:rFonts w:ascii="Arial" w:cs="Arial" w:eastAsia="Arial" w:hAnsi="Arial"/>
                <w:sz w:val="16"/>
                <w:szCs w:val="16"/>
                <w:color w:val="auto"/>
              </w:rPr>
              <w:t>DESCRIPTION</w:t>
            </w:r>
          </w:p>
        </w:tc>
      </w:tr>
      <w:tr>
        <w:trPr>
          <w:trHeight w:val="47"/>
        </w:trPr>
        <w:tc>
          <w:tcPr>
            <w:tcW w:w="1160" w:type="dxa"/>
            <w:vAlign w:val="bottom"/>
            <w:tcBorders>
              <w:left w:val="single" w:sz="8" w:color="auto"/>
              <w:bottom w:val="single" w:sz="8" w:color="auto"/>
              <w:right w:val="single" w:sz="8" w:color="auto"/>
            </w:tcBorders>
          </w:tcPr>
          <w:p>
            <w:pPr>
              <w:spacing w:after="0"/>
              <w:rPr>
                <w:sz w:val="4"/>
                <w:szCs w:val="4"/>
                <w:color w:val="auto"/>
              </w:rPr>
            </w:pPr>
          </w:p>
        </w:tc>
        <w:tc>
          <w:tcPr>
            <w:tcW w:w="120" w:type="dxa"/>
            <w:vAlign w:val="bottom"/>
            <w:tcBorders>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46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right w:val="single" w:sz="8" w:color="auto"/>
            </w:tcBorders>
          </w:tcPr>
          <w:p>
            <w:pPr>
              <w:spacing w:after="0"/>
              <w:rPr>
                <w:sz w:val="4"/>
                <w:szCs w:val="4"/>
                <w:color w:val="auto"/>
              </w:rPr>
            </w:pPr>
          </w:p>
        </w:tc>
      </w:tr>
      <w:tr>
        <w:trPr>
          <w:trHeight w:val="183"/>
        </w:trPr>
        <w:tc>
          <w:tcPr>
            <w:tcW w:w="1160" w:type="dxa"/>
            <w:vAlign w:val="bottom"/>
            <w:tcBorders>
              <w:left w:val="single" w:sz="8" w:color="auto"/>
              <w:right w:val="single" w:sz="8" w:color="auto"/>
            </w:tcBorders>
          </w:tcPr>
          <w:p>
            <w:pPr>
              <w:ind w:left="40"/>
              <w:spacing w:after="0" w:line="183" w:lineRule="exact"/>
              <w:rPr>
                <w:sz w:val="20"/>
                <w:szCs w:val="20"/>
                <w:color w:val="auto"/>
              </w:rPr>
            </w:pPr>
            <w:r>
              <w:rPr>
                <w:rFonts w:ascii="Arial" w:cs="Arial" w:eastAsia="Arial" w:hAnsi="Arial"/>
                <w:sz w:val="16"/>
                <w:szCs w:val="16"/>
                <w:color w:val="auto"/>
              </w:rPr>
              <w:t>2.1</w:t>
            </w:r>
          </w:p>
        </w:tc>
        <w:tc>
          <w:tcPr>
            <w:tcW w:w="12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0140" w:type="dxa"/>
            <w:vAlign w:val="bottom"/>
            <w:tcBorders>
              <w:right w:val="single" w:sz="8" w:color="auto"/>
            </w:tcBorders>
            <w:gridSpan w:val="40"/>
          </w:tcPr>
          <w:p>
            <w:pPr>
              <w:spacing w:after="0" w:line="183" w:lineRule="exact"/>
              <w:rPr>
                <w:rFonts w:ascii="Arial" w:cs="Arial" w:eastAsia="Arial" w:hAnsi="Arial"/>
                <w:sz w:val="16"/>
                <w:szCs w:val="16"/>
                <w:color w:val="0000FF"/>
              </w:rPr>
            </w:pPr>
            <w:hyperlink r:id="rId141">
              <w:r>
                <w:rPr>
                  <w:rFonts w:ascii="Arial" w:cs="Arial" w:eastAsia="Arial" w:hAnsi="Arial"/>
                  <w:sz w:val="16"/>
                  <w:szCs w:val="16"/>
                  <w:color w:val="0000FF"/>
                </w:rPr>
                <w:t>Separation and Distribution Agreement by and among Cendant Corporation*, Realogy Corporation, Wyndham Worldwide Corporation and</w:t>
              </w:r>
            </w:hyperlink>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9880" w:type="dxa"/>
            <w:vAlign w:val="bottom"/>
            <w:tcBorders>
              <w:top w:val="single" w:sz="8" w:color="0000FF"/>
            </w:tcBorders>
            <w:gridSpan w:val="29"/>
          </w:tcPr>
          <w:p>
            <w:pPr>
              <w:spacing w:after="0" w:line="169" w:lineRule="exact"/>
              <w:rPr>
                <w:rFonts w:ascii="Arial" w:cs="Arial" w:eastAsia="Arial" w:hAnsi="Arial"/>
                <w:sz w:val="16"/>
                <w:szCs w:val="16"/>
                <w:color w:val="0000FF"/>
              </w:rPr>
            </w:pPr>
            <w:hyperlink r:id="rId141">
              <w:r>
                <w:rPr>
                  <w:rFonts w:ascii="Arial" w:cs="Arial" w:eastAsia="Arial" w:hAnsi="Arial"/>
                  <w:sz w:val="16"/>
                  <w:szCs w:val="16"/>
                  <w:color w:val="0000FF"/>
                </w:rPr>
                <w:t>Travelport Inc., dated as of July 27, 2006 (Incorporated by reference to Exhibit 2.1 to the Company’s Current Report on Form 8-K dated</w:t>
              </w:r>
            </w:hyperlink>
          </w:p>
        </w:tc>
        <w:tc>
          <w:tcPr>
            <w:tcW w:w="260" w:type="dxa"/>
            <w:vAlign w:val="bottom"/>
            <w:tcBorders>
              <w:right w:val="single" w:sz="8" w:color="auto"/>
            </w:tcBorders>
            <w:gridSpan w:val="11"/>
          </w:tcPr>
          <w:p>
            <w:pPr>
              <w:spacing w:after="0"/>
              <w:rPr>
                <w:sz w:val="14"/>
                <w:szCs w:val="14"/>
                <w:color w:val="auto"/>
              </w:rPr>
            </w:pPr>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9680" w:type="dxa"/>
            <w:vAlign w:val="bottom"/>
            <w:tcBorders>
              <w:top w:val="single" w:sz="8" w:color="0000FF"/>
            </w:tcBorders>
            <w:gridSpan w:val="22"/>
          </w:tcPr>
          <w:p>
            <w:pPr>
              <w:spacing w:after="0" w:line="169" w:lineRule="exact"/>
              <w:rPr>
                <w:rFonts w:ascii="Arial" w:cs="Arial" w:eastAsia="Arial" w:hAnsi="Arial"/>
                <w:sz w:val="16"/>
                <w:szCs w:val="16"/>
                <w:color w:val="0000FF"/>
              </w:rPr>
            </w:pPr>
            <w:hyperlink r:id="rId141">
              <w:r>
                <w:rPr>
                  <w:rFonts w:ascii="Arial" w:cs="Arial" w:eastAsia="Arial" w:hAnsi="Arial"/>
                  <w:sz w:val="16"/>
                  <w:szCs w:val="16"/>
                  <w:color w:val="0000FF"/>
                </w:rPr>
                <w:t>August 1, 2006).</w:t>
              </w:r>
            </w:hyperlink>
          </w:p>
        </w:tc>
        <w:tc>
          <w:tcPr>
            <w:tcW w:w="460" w:type="dxa"/>
            <w:vAlign w:val="bottom"/>
            <w:tcBorders>
              <w:right w:val="single" w:sz="8" w:color="auto"/>
            </w:tcBorders>
            <w:gridSpan w:val="18"/>
          </w:tcPr>
          <w:p>
            <w:pPr>
              <w:spacing w:after="0"/>
              <w:rPr>
                <w:sz w:val="14"/>
                <w:szCs w:val="14"/>
                <w:color w:val="auto"/>
              </w:rPr>
            </w:pPr>
          </w:p>
        </w:tc>
      </w:tr>
      <w:tr>
        <w:trPr>
          <w:trHeight w:val="34"/>
        </w:trPr>
        <w:tc>
          <w:tcPr>
            <w:tcW w:w="1160" w:type="dxa"/>
            <w:vAlign w:val="bottom"/>
            <w:tcBorders>
              <w:left w:val="single" w:sz="8" w:color="auto"/>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60" w:type="dxa"/>
            <w:vAlign w:val="bottom"/>
            <w:tcBorders>
              <w:top w:val="single" w:sz="8" w:color="0000FF"/>
              <w:bottom w:val="single" w:sz="8" w:color="auto"/>
            </w:tcBorders>
          </w:tcPr>
          <w:p>
            <w:pPr>
              <w:spacing w:after="0"/>
              <w:rPr>
                <w:sz w:val="2"/>
                <w:szCs w:val="2"/>
                <w:color w:val="auto"/>
              </w:rPr>
            </w:pPr>
          </w:p>
        </w:tc>
        <w:tc>
          <w:tcPr>
            <w:tcW w:w="280" w:type="dxa"/>
            <w:vAlign w:val="bottom"/>
            <w:tcBorders>
              <w:top w:val="single" w:sz="8" w:color="0000FF"/>
              <w:bottom w:val="single" w:sz="8" w:color="auto"/>
            </w:tcBorders>
          </w:tcPr>
          <w:p>
            <w:pPr>
              <w:spacing w:after="0"/>
              <w:rPr>
                <w:sz w:val="2"/>
                <w:szCs w:val="2"/>
                <w:color w:val="auto"/>
              </w:rPr>
            </w:pPr>
          </w:p>
        </w:tc>
        <w:tc>
          <w:tcPr>
            <w:tcW w:w="420" w:type="dxa"/>
            <w:vAlign w:val="bottom"/>
            <w:tcBorders>
              <w:top w:val="single" w:sz="8" w:color="0000FF"/>
              <w:bottom w:val="single" w:sz="8" w:color="auto"/>
            </w:tcBorders>
          </w:tcPr>
          <w:p>
            <w:pPr>
              <w:spacing w:after="0"/>
              <w:rPr>
                <w:sz w:val="2"/>
                <w:szCs w:val="2"/>
                <w:color w:val="auto"/>
              </w:rPr>
            </w:pPr>
          </w:p>
        </w:tc>
        <w:tc>
          <w:tcPr>
            <w:tcW w:w="40" w:type="dxa"/>
            <w:vAlign w:val="bottom"/>
            <w:tcBorders>
              <w:top w:val="single" w:sz="8" w:color="0000FF"/>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right w:val="single" w:sz="8" w:color="auto"/>
            </w:tcBorders>
          </w:tcPr>
          <w:p>
            <w:pPr>
              <w:spacing w:after="0"/>
              <w:rPr>
                <w:sz w:val="2"/>
                <w:szCs w:val="2"/>
                <w:color w:val="auto"/>
              </w:rPr>
            </w:pPr>
          </w:p>
        </w:tc>
      </w:tr>
      <w:tr>
        <w:trPr>
          <w:trHeight w:val="183"/>
        </w:trPr>
        <w:tc>
          <w:tcPr>
            <w:tcW w:w="1160" w:type="dxa"/>
            <w:vAlign w:val="bottom"/>
            <w:tcBorders>
              <w:left w:val="single" w:sz="8" w:color="auto"/>
              <w:right w:val="single" w:sz="8" w:color="auto"/>
            </w:tcBorders>
          </w:tcPr>
          <w:p>
            <w:pPr>
              <w:ind w:left="40"/>
              <w:spacing w:after="0" w:line="183" w:lineRule="exact"/>
              <w:rPr>
                <w:sz w:val="20"/>
                <w:szCs w:val="20"/>
                <w:color w:val="auto"/>
              </w:rPr>
            </w:pPr>
            <w:r>
              <w:rPr>
                <w:rFonts w:ascii="Arial" w:cs="Arial" w:eastAsia="Arial" w:hAnsi="Arial"/>
                <w:sz w:val="16"/>
                <w:szCs w:val="16"/>
                <w:color w:val="auto"/>
              </w:rPr>
              <w:t>2.2</w:t>
            </w:r>
          </w:p>
        </w:tc>
        <w:tc>
          <w:tcPr>
            <w:tcW w:w="12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0100" w:type="dxa"/>
            <w:vAlign w:val="bottom"/>
            <w:tcBorders>
              <w:bottom w:val="single" w:sz="8" w:color="0000FF"/>
            </w:tcBorders>
            <w:gridSpan w:val="39"/>
          </w:tcPr>
          <w:p>
            <w:pPr>
              <w:spacing w:after="0" w:line="183" w:lineRule="exact"/>
              <w:rPr>
                <w:rFonts w:ascii="Arial" w:cs="Arial" w:eastAsia="Arial" w:hAnsi="Arial"/>
                <w:sz w:val="16"/>
                <w:szCs w:val="16"/>
                <w:color w:val="0000FF"/>
              </w:rPr>
            </w:pPr>
            <w:hyperlink r:id="rId142">
              <w:r>
                <w:rPr>
                  <w:rFonts w:ascii="Arial" w:cs="Arial" w:eastAsia="Arial" w:hAnsi="Arial"/>
                  <w:sz w:val="16"/>
                  <w:szCs w:val="16"/>
                  <w:color w:val="0000FF"/>
                </w:rPr>
                <w:t>Letter Agreement dated August 23, 2006 related to the Separation and Distribution Agreement by and among Realogy Corporation, Cendant</w:t>
              </w:r>
            </w:hyperlink>
          </w:p>
        </w:tc>
        <w:tc>
          <w:tcPr>
            <w:tcW w:w="40" w:type="dxa"/>
            <w:vAlign w:val="bottom"/>
            <w:tcBorders>
              <w:right w:val="single" w:sz="8" w:color="auto"/>
            </w:tcBorders>
          </w:tcPr>
          <w:p>
            <w:pPr>
              <w:spacing w:after="0"/>
              <w:rPr>
                <w:sz w:val="15"/>
                <w:szCs w:val="15"/>
                <w:color w:val="auto"/>
              </w:rPr>
            </w:pPr>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80" w:type="dxa"/>
            <w:vAlign w:val="bottom"/>
            <w:tcBorders>
              <w:bottom w:val="single" w:sz="8" w:color="0000FF"/>
            </w:tcBorders>
            <w:gridSpan w:val="38"/>
          </w:tcPr>
          <w:p>
            <w:pPr>
              <w:spacing w:after="0" w:line="169" w:lineRule="exact"/>
              <w:rPr>
                <w:rFonts w:ascii="Arial" w:cs="Arial" w:eastAsia="Arial" w:hAnsi="Arial"/>
                <w:sz w:val="16"/>
                <w:szCs w:val="16"/>
                <w:color w:val="0000FF"/>
              </w:rPr>
            </w:pPr>
            <w:hyperlink r:id="rId142">
              <w:r>
                <w:rPr>
                  <w:rFonts w:ascii="Arial" w:cs="Arial" w:eastAsia="Arial" w:hAnsi="Arial"/>
                  <w:sz w:val="16"/>
                  <w:szCs w:val="16"/>
                  <w:color w:val="0000FF"/>
                </w:rPr>
                <w:t>Corporation*, Wyndham Worldwide Corporation and Travelport Inc. dated as of July 27, 2006 (Incorporated by reference to Exhibit 2.2 to the</w:t>
              </w:r>
            </w:hyperlink>
          </w:p>
        </w:tc>
        <w:tc>
          <w:tcPr>
            <w:tcW w:w="60" w:type="dxa"/>
            <w:vAlign w:val="bottom"/>
            <w:tcBorders>
              <w:right w:val="single" w:sz="8" w:color="auto"/>
            </w:tcBorders>
            <w:gridSpan w:val="2"/>
          </w:tcPr>
          <w:p>
            <w:pPr>
              <w:spacing w:after="0"/>
              <w:rPr>
                <w:sz w:val="14"/>
                <w:szCs w:val="14"/>
                <w:color w:val="auto"/>
              </w:rPr>
            </w:pPr>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140" w:type="dxa"/>
            <w:vAlign w:val="bottom"/>
            <w:tcBorders>
              <w:right w:val="single" w:sz="8" w:color="auto"/>
            </w:tcBorders>
            <w:gridSpan w:val="40"/>
          </w:tcPr>
          <w:p>
            <w:pPr>
              <w:spacing w:after="0" w:line="169" w:lineRule="exact"/>
              <w:rPr>
                <w:rFonts w:ascii="Arial" w:cs="Arial" w:eastAsia="Arial" w:hAnsi="Arial"/>
                <w:sz w:val="16"/>
                <w:szCs w:val="16"/>
                <w:color w:val="0000FF"/>
              </w:rPr>
            </w:pPr>
            <w:hyperlink r:id="rId142">
              <w:r>
                <w:rPr>
                  <w:rFonts w:ascii="Arial" w:cs="Arial" w:eastAsia="Arial" w:hAnsi="Arial"/>
                  <w:sz w:val="16"/>
                  <w:szCs w:val="16"/>
                  <w:color w:val="0000FF"/>
                </w:rPr>
                <w:t>Company’s Quarterly Report on Form 10-Q for the period ended June 30, 2007, dated August 8, 2007).</w:t>
              </w:r>
            </w:hyperlink>
          </w:p>
        </w:tc>
      </w:tr>
      <w:tr>
        <w:trPr>
          <w:trHeight w:val="34"/>
        </w:trPr>
        <w:tc>
          <w:tcPr>
            <w:tcW w:w="1160" w:type="dxa"/>
            <w:vAlign w:val="bottom"/>
            <w:tcBorders>
              <w:left w:val="single" w:sz="8" w:color="auto"/>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60" w:type="dxa"/>
            <w:vAlign w:val="bottom"/>
            <w:tcBorders>
              <w:top w:val="single" w:sz="8" w:color="0000FF"/>
              <w:bottom w:val="single" w:sz="8" w:color="auto"/>
            </w:tcBorders>
          </w:tcPr>
          <w:p>
            <w:pPr>
              <w:spacing w:after="0"/>
              <w:rPr>
                <w:sz w:val="2"/>
                <w:szCs w:val="2"/>
                <w:color w:val="auto"/>
              </w:rPr>
            </w:pPr>
          </w:p>
        </w:tc>
        <w:tc>
          <w:tcPr>
            <w:tcW w:w="280" w:type="dxa"/>
            <w:vAlign w:val="bottom"/>
            <w:tcBorders>
              <w:top w:val="single" w:sz="8" w:color="0000FF"/>
              <w:bottom w:val="single" w:sz="8" w:color="auto"/>
            </w:tcBorders>
          </w:tcPr>
          <w:p>
            <w:pPr>
              <w:spacing w:after="0"/>
              <w:rPr>
                <w:sz w:val="2"/>
                <w:szCs w:val="2"/>
                <w:color w:val="auto"/>
              </w:rPr>
            </w:pPr>
          </w:p>
        </w:tc>
        <w:tc>
          <w:tcPr>
            <w:tcW w:w="420" w:type="dxa"/>
            <w:vAlign w:val="bottom"/>
            <w:tcBorders>
              <w:top w:val="single" w:sz="8" w:color="0000FF"/>
              <w:bottom w:val="single" w:sz="8" w:color="auto"/>
            </w:tcBorders>
          </w:tcPr>
          <w:p>
            <w:pPr>
              <w:spacing w:after="0"/>
              <w:rPr>
                <w:sz w:val="2"/>
                <w:szCs w:val="2"/>
                <w:color w:val="auto"/>
              </w:rPr>
            </w:pPr>
          </w:p>
        </w:tc>
        <w:tc>
          <w:tcPr>
            <w:tcW w:w="40" w:type="dxa"/>
            <w:vAlign w:val="bottom"/>
            <w:tcBorders>
              <w:top w:val="single" w:sz="8" w:color="0000FF"/>
              <w:bottom w:val="single" w:sz="8" w:color="auto"/>
            </w:tcBorders>
          </w:tcPr>
          <w:p>
            <w:pPr>
              <w:spacing w:after="0"/>
              <w:rPr>
                <w:sz w:val="2"/>
                <w:szCs w:val="2"/>
                <w:color w:val="auto"/>
              </w:rPr>
            </w:pPr>
          </w:p>
        </w:tc>
        <w:tc>
          <w:tcPr>
            <w:tcW w:w="240" w:type="dxa"/>
            <w:vAlign w:val="bottom"/>
            <w:tcBorders>
              <w:top w:val="single" w:sz="8" w:color="0000FF"/>
              <w:bottom w:val="single" w:sz="8" w:color="auto"/>
            </w:tcBorders>
          </w:tcPr>
          <w:p>
            <w:pPr>
              <w:spacing w:after="0"/>
              <w:rPr>
                <w:sz w:val="2"/>
                <w:szCs w:val="2"/>
                <w:color w:val="auto"/>
              </w:rPr>
            </w:pPr>
          </w:p>
        </w:tc>
        <w:tc>
          <w:tcPr>
            <w:tcW w:w="1100" w:type="dxa"/>
            <w:vAlign w:val="bottom"/>
            <w:tcBorders>
              <w:top w:val="single" w:sz="8" w:color="0000FF"/>
              <w:bottom w:val="single" w:sz="8" w:color="auto"/>
            </w:tcBorders>
          </w:tcPr>
          <w:p>
            <w:pPr>
              <w:spacing w:after="0"/>
              <w:rPr>
                <w:sz w:val="2"/>
                <w:szCs w:val="2"/>
                <w:color w:val="auto"/>
              </w:rPr>
            </w:pPr>
          </w:p>
        </w:tc>
        <w:tc>
          <w:tcPr>
            <w:tcW w:w="1180" w:type="dxa"/>
            <w:vAlign w:val="bottom"/>
            <w:tcBorders>
              <w:top w:val="single" w:sz="8" w:color="0000FF"/>
              <w:bottom w:val="single" w:sz="8" w:color="auto"/>
            </w:tcBorders>
          </w:tcPr>
          <w:p>
            <w:pPr>
              <w:spacing w:after="0"/>
              <w:rPr>
                <w:sz w:val="2"/>
                <w:szCs w:val="2"/>
                <w:color w:val="auto"/>
              </w:rPr>
            </w:pPr>
          </w:p>
        </w:tc>
        <w:tc>
          <w:tcPr>
            <w:tcW w:w="220" w:type="dxa"/>
            <w:vAlign w:val="bottom"/>
            <w:tcBorders>
              <w:top w:val="single" w:sz="8" w:color="0000FF"/>
              <w:bottom w:val="single" w:sz="8" w:color="auto"/>
            </w:tcBorders>
          </w:tcPr>
          <w:p>
            <w:pPr>
              <w:spacing w:after="0"/>
              <w:rPr>
                <w:sz w:val="2"/>
                <w:szCs w:val="2"/>
                <w:color w:val="auto"/>
              </w:rPr>
            </w:pPr>
          </w:p>
        </w:tc>
        <w:tc>
          <w:tcPr>
            <w:tcW w:w="60" w:type="dxa"/>
            <w:vAlign w:val="bottom"/>
            <w:tcBorders>
              <w:top w:val="single" w:sz="8" w:color="0000FF"/>
              <w:bottom w:val="single" w:sz="8" w:color="auto"/>
            </w:tcBorders>
          </w:tcPr>
          <w:p>
            <w:pPr>
              <w:spacing w:after="0"/>
              <w:rPr>
                <w:sz w:val="2"/>
                <w:szCs w:val="2"/>
                <w:color w:val="auto"/>
              </w:rPr>
            </w:pPr>
          </w:p>
        </w:tc>
        <w:tc>
          <w:tcPr>
            <w:tcW w:w="460" w:type="dxa"/>
            <w:vAlign w:val="bottom"/>
            <w:tcBorders>
              <w:top w:val="single" w:sz="8" w:color="0000FF"/>
              <w:bottom w:val="single" w:sz="8" w:color="auto"/>
            </w:tcBorders>
          </w:tcPr>
          <w:p>
            <w:pPr>
              <w:spacing w:after="0"/>
              <w:rPr>
                <w:sz w:val="2"/>
                <w:szCs w:val="2"/>
                <w:color w:val="auto"/>
              </w:rPr>
            </w:pPr>
          </w:p>
        </w:tc>
        <w:tc>
          <w:tcPr>
            <w:tcW w:w="40" w:type="dxa"/>
            <w:vAlign w:val="bottom"/>
            <w:tcBorders>
              <w:top w:val="single" w:sz="8" w:color="0000FF"/>
              <w:bottom w:val="single" w:sz="8" w:color="auto"/>
            </w:tcBorders>
          </w:tcPr>
          <w:p>
            <w:pPr>
              <w:spacing w:after="0"/>
              <w:rPr>
                <w:sz w:val="2"/>
                <w:szCs w:val="2"/>
                <w:color w:val="auto"/>
              </w:rPr>
            </w:pPr>
          </w:p>
        </w:tc>
        <w:tc>
          <w:tcPr>
            <w:tcW w:w="140" w:type="dxa"/>
            <w:vAlign w:val="bottom"/>
            <w:tcBorders>
              <w:top w:val="single" w:sz="8" w:color="0000FF"/>
              <w:bottom w:val="single" w:sz="8" w:color="auto"/>
            </w:tcBorders>
          </w:tcPr>
          <w:p>
            <w:pPr>
              <w:spacing w:after="0"/>
              <w:rPr>
                <w:sz w:val="2"/>
                <w:szCs w:val="2"/>
                <w:color w:val="auto"/>
              </w:rPr>
            </w:pPr>
          </w:p>
        </w:tc>
        <w:tc>
          <w:tcPr>
            <w:tcW w:w="220" w:type="dxa"/>
            <w:vAlign w:val="bottom"/>
            <w:tcBorders>
              <w:top w:val="single" w:sz="8" w:color="0000FF"/>
              <w:bottom w:val="single" w:sz="8" w:color="auto"/>
            </w:tcBorders>
          </w:tcPr>
          <w:p>
            <w:pPr>
              <w:spacing w:after="0"/>
              <w:rPr>
                <w:sz w:val="2"/>
                <w:szCs w:val="2"/>
                <w:color w:val="auto"/>
              </w:rPr>
            </w:pPr>
          </w:p>
        </w:tc>
        <w:tc>
          <w:tcPr>
            <w:tcW w:w="80" w:type="dxa"/>
            <w:vAlign w:val="bottom"/>
            <w:tcBorders>
              <w:top w:val="single" w:sz="8" w:color="0000FF"/>
              <w:bottom w:val="single" w:sz="8" w:color="auto"/>
            </w:tcBorders>
          </w:tcPr>
          <w:p>
            <w:pPr>
              <w:spacing w:after="0"/>
              <w:rPr>
                <w:sz w:val="2"/>
                <w:szCs w:val="2"/>
                <w:color w:val="auto"/>
              </w:rPr>
            </w:pPr>
          </w:p>
        </w:tc>
        <w:tc>
          <w:tcPr>
            <w:tcW w:w="2460" w:type="dxa"/>
            <w:vAlign w:val="bottom"/>
            <w:tcBorders>
              <w:top w:val="single" w:sz="8" w:color="0000FF"/>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right w:val="single" w:sz="8" w:color="auto"/>
            </w:tcBorders>
          </w:tcPr>
          <w:p>
            <w:pPr>
              <w:spacing w:after="0"/>
              <w:rPr>
                <w:sz w:val="2"/>
                <w:szCs w:val="2"/>
                <w:color w:val="auto"/>
              </w:rPr>
            </w:pPr>
          </w:p>
        </w:tc>
      </w:tr>
      <w:tr>
        <w:trPr>
          <w:trHeight w:val="183"/>
        </w:trPr>
        <w:tc>
          <w:tcPr>
            <w:tcW w:w="1160" w:type="dxa"/>
            <w:vAlign w:val="bottom"/>
            <w:tcBorders>
              <w:left w:val="single" w:sz="8" w:color="auto"/>
              <w:right w:val="single" w:sz="8" w:color="auto"/>
            </w:tcBorders>
          </w:tcPr>
          <w:p>
            <w:pPr>
              <w:ind w:left="40"/>
              <w:spacing w:after="0" w:line="183" w:lineRule="exact"/>
              <w:rPr>
                <w:sz w:val="20"/>
                <w:szCs w:val="20"/>
                <w:color w:val="auto"/>
              </w:rPr>
            </w:pPr>
            <w:r>
              <w:rPr>
                <w:rFonts w:ascii="Arial" w:cs="Arial" w:eastAsia="Arial" w:hAnsi="Arial"/>
                <w:sz w:val="16"/>
                <w:szCs w:val="16"/>
                <w:color w:val="auto"/>
              </w:rPr>
              <w:t>3.1</w:t>
            </w:r>
          </w:p>
        </w:tc>
        <w:tc>
          <w:tcPr>
            <w:tcW w:w="12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9840" w:type="dxa"/>
            <w:vAlign w:val="bottom"/>
            <w:tcBorders>
              <w:bottom w:val="single" w:sz="8" w:color="0000FF"/>
            </w:tcBorders>
            <w:gridSpan w:val="27"/>
          </w:tcPr>
          <w:p>
            <w:pPr>
              <w:spacing w:after="0" w:line="183" w:lineRule="exact"/>
              <w:rPr>
                <w:rFonts w:ascii="Arial" w:cs="Arial" w:eastAsia="Arial" w:hAnsi="Arial"/>
                <w:sz w:val="16"/>
                <w:szCs w:val="16"/>
                <w:color w:val="0000FF"/>
              </w:rPr>
            </w:pPr>
            <w:hyperlink r:id="rId143">
              <w:r>
                <w:rPr>
                  <w:rFonts w:ascii="Arial" w:cs="Arial" w:eastAsia="Arial" w:hAnsi="Arial"/>
                  <w:sz w:val="16"/>
                  <w:szCs w:val="16"/>
                  <w:color w:val="0000FF"/>
                </w:rPr>
                <w:t>Amended and Restated Certificate of Incorporation of Avis Budget Group, Inc. (Incorporated by reference to Exhibit 3.1 to the Company’s</w:t>
              </w:r>
            </w:hyperlink>
          </w:p>
        </w:tc>
        <w:tc>
          <w:tcPr>
            <w:tcW w:w="300" w:type="dxa"/>
            <w:vAlign w:val="bottom"/>
            <w:tcBorders>
              <w:right w:val="single" w:sz="8" w:color="auto"/>
            </w:tcBorders>
            <w:gridSpan w:val="13"/>
          </w:tcPr>
          <w:p>
            <w:pPr>
              <w:spacing w:after="0"/>
              <w:rPr>
                <w:sz w:val="15"/>
                <w:szCs w:val="15"/>
                <w:color w:val="auto"/>
              </w:rPr>
            </w:pPr>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140" w:type="dxa"/>
            <w:vAlign w:val="bottom"/>
            <w:tcBorders>
              <w:right w:val="single" w:sz="8" w:color="auto"/>
            </w:tcBorders>
            <w:gridSpan w:val="40"/>
          </w:tcPr>
          <w:p>
            <w:pPr>
              <w:spacing w:after="0" w:line="169" w:lineRule="exact"/>
              <w:rPr>
                <w:rFonts w:ascii="Arial" w:cs="Arial" w:eastAsia="Arial" w:hAnsi="Arial"/>
                <w:sz w:val="16"/>
                <w:szCs w:val="16"/>
                <w:color w:val="0000FF"/>
              </w:rPr>
            </w:pPr>
            <w:hyperlink r:id="rId143">
              <w:r>
                <w:rPr>
                  <w:rFonts w:ascii="Arial" w:cs="Arial" w:eastAsia="Arial" w:hAnsi="Arial"/>
                  <w:sz w:val="16"/>
                  <w:szCs w:val="16"/>
                  <w:color w:val="0000FF"/>
                </w:rPr>
                <w:t>Current Report on Form 8-K dated September 5, 2006).</w:t>
              </w:r>
            </w:hyperlink>
          </w:p>
        </w:tc>
      </w:tr>
      <w:tr>
        <w:trPr>
          <w:trHeight w:val="34"/>
        </w:trPr>
        <w:tc>
          <w:tcPr>
            <w:tcW w:w="1160" w:type="dxa"/>
            <w:vAlign w:val="bottom"/>
            <w:tcBorders>
              <w:left w:val="single" w:sz="8" w:color="auto"/>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60" w:type="dxa"/>
            <w:vAlign w:val="bottom"/>
            <w:tcBorders>
              <w:top w:val="single" w:sz="8" w:color="0000FF"/>
              <w:bottom w:val="single" w:sz="8" w:color="auto"/>
            </w:tcBorders>
          </w:tcPr>
          <w:p>
            <w:pPr>
              <w:spacing w:after="0"/>
              <w:rPr>
                <w:sz w:val="2"/>
                <w:szCs w:val="2"/>
                <w:color w:val="auto"/>
              </w:rPr>
            </w:pPr>
          </w:p>
        </w:tc>
        <w:tc>
          <w:tcPr>
            <w:tcW w:w="280" w:type="dxa"/>
            <w:vAlign w:val="bottom"/>
            <w:tcBorders>
              <w:top w:val="single" w:sz="8" w:color="0000FF"/>
              <w:bottom w:val="single" w:sz="8" w:color="auto"/>
            </w:tcBorders>
          </w:tcPr>
          <w:p>
            <w:pPr>
              <w:spacing w:after="0"/>
              <w:rPr>
                <w:sz w:val="2"/>
                <w:szCs w:val="2"/>
                <w:color w:val="auto"/>
              </w:rPr>
            </w:pPr>
          </w:p>
        </w:tc>
        <w:tc>
          <w:tcPr>
            <w:tcW w:w="420" w:type="dxa"/>
            <w:vAlign w:val="bottom"/>
            <w:tcBorders>
              <w:top w:val="single" w:sz="8" w:color="0000FF"/>
              <w:bottom w:val="single" w:sz="8" w:color="auto"/>
            </w:tcBorders>
          </w:tcPr>
          <w:p>
            <w:pPr>
              <w:spacing w:after="0"/>
              <w:rPr>
                <w:sz w:val="2"/>
                <w:szCs w:val="2"/>
                <w:color w:val="auto"/>
              </w:rPr>
            </w:pPr>
          </w:p>
        </w:tc>
        <w:tc>
          <w:tcPr>
            <w:tcW w:w="40" w:type="dxa"/>
            <w:vAlign w:val="bottom"/>
            <w:tcBorders>
              <w:top w:val="single" w:sz="8" w:color="0000FF"/>
              <w:bottom w:val="single" w:sz="8" w:color="auto"/>
            </w:tcBorders>
          </w:tcPr>
          <w:p>
            <w:pPr>
              <w:spacing w:after="0"/>
              <w:rPr>
                <w:sz w:val="2"/>
                <w:szCs w:val="2"/>
                <w:color w:val="auto"/>
              </w:rPr>
            </w:pPr>
          </w:p>
        </w:tc>
        <w:tc>
          <w:tcPr>
            <w:tcW w:w="240" w:type="dxa"/>
            <w:vAlign w:val="bottom"/>
            <w:tcBorders>
              <w:top w:val="single" w:sz="8" w:color="0000FF"/>
              <w:bottom w:val="single" w:sz="8" w:color="auto"/>
            </w:tcBorders>
          </w:tcPr>
          <w:p>
            <w:pPr>
              <w:spacing w:after="0"/>
              <w:rPr>
                <w:sz w:val="2"/>
                <w:szCs w:val="2"/>
                <w:color w:val="auto"/>
              </w:rPr>
            </w:pPr>
          </w:p>
        </w:tc>
        <w:tc>
          <w:tcPr>
            <w:tcW w:w="1100" w:type="dxa"/>
            <w:vAlign w:val="bottom"/>
            <w:tcBorders>
              <w:top w:val="single" w:sz="8" w:color="0000FF"/>
              <w:bottom w:val="single" w:sz="8" w:color="auto"/>
            </w:tcBorders>
          </w:tcPr>
          <w:p>
            <w:pPr>
              <w:spacing w:after="0"/>
              <w:rPr>
                <w:sz w:val="2"/>
                <w:szCs w:val="2"/>
                <w:color w:val="auto"/>
              </w:rPr>
            </w:pPr>
          </w:p>
        </w:tc>
        <w:tc>
          <w:tcPr>
            <w:tcW w:w="1180" w:type="dxa"/>
            <w:vAlign w:val="bottom"/>
            <w:tcBorders>
              <w:top w:val="single" w:sz="8" w:color="0000FF"/>
              <w:bottom w:val="single" w:sz="8" w:color="auto"/>
            </w:tcBorders>
          </w:tcPr>
          <w:p>
            <w:pPr>
              <w:spacing w:after="0"/>
              <w:rPr>
                <w:sz w:val="2"/>
                <w:szCs w:val="2"/>
                <w:color w:val="auto"/>
              </w:rPr>
            </w:pPr>
          </w:p>
        </w:tc>
        <w:tc>
          <w:tcPr>
            <w:tcW w:w="220" w:type="dxa"/>
            <w:vAlign w:val="bottom"/>
            <w:tcBorders>
              <w:top w:val="single" w:sz="8" w:color="0000FF"/>
              <w:bottom w:val="single" w:sz="8" w:color="auto"/>
            </w:tcBorders>
          </w:tcPr>
          <w:p>
            <w:pPr>
              <w:spacing w:after="0"/>
              <w:rPr>
                <w:sz w:val="2"/>
                <w:szCs w:val="2"/>
                <w:color w:val="auto"/>
              </w:rPr>
            </w:pPr>
          </w:p>
        </w:tc>
        <w:tc>
          <w:tcPr>
            <w:tcW w:w="60" w:type="dxa"/>
            <w:vAlign w:val="bottom"/>
            <w:tcBorders>
              <w:top w:val="single" w:sz="8" w:color="0000FF"/>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right w:val="single" w:sz="8" w:color="auto"/>
            </w:tcBorders>
          </w:tcPr>
          <w:p>
            <w:pPr>
              <w:spacing w:after="0"/>
              <w:rPr>
                <w:sz w:val="2"/>
                <w:szCs w:val="2"/>
                <w:color w:val="auto"/>
              </w:rPr>
            </w:pPr>
          </w:p>
        </w:tc>
      </w:tr>
      <w:tr>
        <w:trPr>
          <w:trHeight w:val="183"/>
        </w:trPr>
        <w:tc>
          <w:tcPr>
            <w:tcW w:w="1160" w:type="dxa"/>
            <w:vAlign w:val="bottom"/>
            <w:tcBorders>
              <w:left w:val="single" w:sz="8" w:color="auto"/>
              <w:right w:val="single" w:sz="8" w:color="auto"/>
            </w:tcBorders>
          </w:tcPr>
          <w:p>
            <w:pPr>
              <w:ind w:left="40"/>
              <w:spacing w:after="0" w:line="183" w:lineRule="exact"/>
              <w:rPr>
                <w:sz w:val="20"/>
                <w:szCs w:val="20"/>
                <w:color w:val="auto"/>
              </w:rPr>
            </w:pPr>
            <w:r>
              <w:rPr>
                <w:rFonts w:ascii="Arial" w:cs="Arial" w:eastAsia="Arial" w:hAnsi="Arial"/>
                <w:sz w:val="16"/>
                <w:szCs w:val="16"/>
                <w:color w:val="auto"/>
              </w:rPr>
              <w:t>3.2</w:t>
            </w:r>
          </w:p>
        </w:tc>
        <w:tc>
          <w:tcPr>
            <w:tcW w:w="12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0140" w:type="dxa"/>
            <w:vAlign w:val="bottom"/>
            <w:tcBorders>
              <w:right w:val="single" w:sz="8" w:color="auto"/>
            </w:tcBorders>
            <w:gridSpan w:val="40"/>
          </w:tcPr>
          <w:p>
            <w:pPr>
              <w:spacing w:after="0" w:line="183" w:lineRule="exact"/>
              <w:rPr>
                <w:rFonts w:ascii="Arial" w:cs="Arial" w:eastAsia="Arial" w:hAnsi="Arial"/>
                <w:sz w:val="16"/>
                <w:szCs w:val="16"/>
                <w:color w:val="0000FF"/>
              </w:rPr>
            </w:pPr>
            <w:hyperlink r:id="rId144">
              <w:r>
                <w:rPr>
                  <w:rFonts w:ascii="Arial" w:cs="Arial" w:eastAsia="Arial" w:hAnsi="Arial"/>
                  <w:sz w:val="16"/>
                  <w:szCs w:val="16"/>
                  <w:color w:val="0000FF"/>
                </w:rPr>
                <w:t>Amended and Restated By-Laws of Avis Budget Group, Inc. as of September 15, 2015 (Incorporated by reference to Exhibit 3.2 to the</w:t>
              </w:r>
            </w:hyperlink>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9600" w:type="dxa"/>
            <w:vAlign w:val="bottom"/>
            <w:tcBorders>
              <w:top w:val="single" w:sz="8" w:color="0000FF"/>
            </w:tcBorders>
            <w:gridSpan w:val="21"/>
          </w:tcPr>
          <w:p>
            <w:pPr>
              <w:spacing w:after="0" w:line="169" w:lineRule="exact"/>
              <w:rPr>
                <w:rFonts w:ascii="Arial" w:cs="Arial" w:eastAsia="Arial" w:hAnsi="Arial"/>
                <w:sz w:val="16"/>
                <w:szCs w:val="16"/>
                <w:color w:val="0000FF"/>
              </w:rPr>
            </w:pPr>
            <w:hyperlink r:id="rId144">
              <w:r>
                <w:rPr>
                  <w:rFonts w:ascii="Arial" w:cs="Arial" w:eastAsia="Arial" w:hAnsi="Arial"/>
                  <w:sz w:val="16"/>
                  <w:szCs w:val="16"/>
                  <w:color w:val="0000FF"/>
                </w:rPr>
                <w:t>Company’s Current Report on Form 8-K dated September 18, 2015).</w:t>
              </w:r>
            </w:hyperlink>
          </w:p>
        </w:tc>
        <w:tc>
          <w:tcPr>
            <w:tcW w:w="540" w:type="dxa"/>
            <w:vAlign w:val="bottom"/>
            <w:tcBorders>
              <w:right w:val="single" w:sz="8" w:color="auto"/>
            </w:tcBorders>
            <w:gridSpan w:val="19"/>
          </w:tcPr>
          <w:p>
            <w:pPr>
              <w:spacing w:after="0"/>
              <w:rPr>
                <w:sz w:val="14"/>
                <w:szCs w:val="14"/>
                <w:color w:val="auto"/>
              </w:rPr>
            </w:pPr>
          </w:p>
        </w:tc>
      </w:tr>
      <w:tr>
        <w:trPr>
          <w:trHeight w:val="34"/>
        </w:trPr>
        <w:tc>
          <w:tcPr>
            <w:tcW w:w="1160" w:type="dxa"/>
            <w:vAlign w:val="bottom"/>
            <w:tcBorders>
              <w:left w:val="single" w:sz="8" w:color="auto"/>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60" w:type="dxa"/>
            <w:vAlign w:val="bottom"/>
            <w:tcBorders>
              <w:top w:val="single" w:sz="8" w:color="0000FF"/>
              <w:bottom w:val="single" w:sz="8" w:color="auto"/>
            </w:tcBorders>
          </w:tcPr>
          <w:p>
            <w:pPr>
              <w:spacing w:after="0"/>
              <w:rPr>
                <w:sz w:val="2"/>
                <w:szCs w:val="2"/>
                <w:color w:val="auto"/>
              </w:rPr>
            </w:pPr>
          </w:p>
        </w:tc>
        <w:tc>
          <w:tcPr>
            <w:tcW w:w="280" w:type="dxa"/>
            <w:vAlign w:val="bottom"/>
            <w:tcBorders>
              <w:top w:val="single" w:sz="8" w:color="0000FF"/>
              <w:bottom w:val="single" w:sz="8" w:color="auto"/>
            </w:tcBorders>
          </w:tcPr>
          <w:p>
            <w:pPr>
              <w:spacing w:after="0"/>
              <w:rPr>
                <w:sz w:val="2"/>
                <w:szCs w:val="2"/>
                <w:color w:val="auto"/>
              </w:rPr>
            </w:pPr>
          </w:p>
        </w:tc>
        <w:tc>
          <w:tcPr>
            <w:tcW w:w="420" w:type="dxa"/>
            <w:vAlign w:val="bottom"/>
            <w:tcBorders>
              <w:top w:val="single" w:sz="8" w:color="0000FF"/>
              <w:bottom w:val="single" w:sz="8" w:color="auto"/>
            </w:tcBorders>
          </w:tcPr>
          <w:p>
            <w:pPr>
              <w:spacing w:after="0"/>
              <w:rPr>
                <w:sz w:val="2"/>
                <w:szCs w:val="2"/>
                <w:color w:val="auto"/>
              </w:rPr>
            </w:pPr>
          </w:p>
        </w:tc>
        <w:tc>
          <w:tcPr>
            <w:tcW w:w="40" w:type="dxa"/>
            <w:vAlign w:val="bottom"/>
            <w:tcBorders>
              <w:top w:val="single" w:sz="8" w:color="0000FF"/>
              <w:bottom w:val="single" w:sz="8" w:color="auto"/>
            </w:tcBorders>
          </w:tcPr>
          <w:p>
            <w:pPr>
              <w:spacing w:after="0"/>
              <w:rPr>
                <w:sz w:val="2"/>
                <w:szCs w:val="2"/>
                <w:color w:val="auto"/>
              </w:rPr>
            </w:pPr>
          </w:p>
        </w:tc>
        <w:tc>
          <w:tcPr>
            <w:tcW w:w="240" w:type="dxa"/>
            <w:vAlign w:val="bottom"/>
            <w:tcBorders>
              <w:top w:val="single" w:sz="8" w:color="0000FF"/>
              <w:bottom w:val="single" w:sz="8" w:color="auto"/>
            </w:tcBorders>
          </w:tcPr>
          <w:p>
            <w:pPr>
              <w:spacing w:after="0"/>
              <w:rPr>
                <w:sz w:val="2"/>
                <w:szCs w:val="2"/>
                <w:color w:val="auto"/>
              </w:rPr>
            </w:pPr>
          </w:p>
        </w:tc>
        <w:tc>
          <w:tcPr>
            <w:tcW w:w="1100" w:type="dxa"/>
            <w:vAlign w:val="bottom"/>
            <w:tcBorders>
              <w:top w:val="single" w:sz="8" w:color="0000FF"/>
              <w:bottom w:val="single" w:sz="8" w:color="auto"/>
            </w:tcBorders>
          </w:tcPr>
          <w:p>
            <w:pPr>
              <w:spacing w:after="0"/>
              <w:rPr>
                <w:sz w:val="2"/>
                <w:szCs w:val="2"/>
                <w:color w:val="auto"/>
              </w:rPr>
            </w:pPr>
          </w:p>
        </w:tc>
        <w:tc>
          <w:tcPr>
            <w:tcW w:w="1180" w:type="dxa"/>
            <w:vAlign w:val="bottom"/>
            <w:tcBorders>
              <w:top w:val="single" w:sz="8" w:color="0000FF"/>
              <w:bottom w:val="single" w:sz="8" w:color="auto"/>
            </w:tcBorders>
          </w:tcPr>
          <w:p>
            <w:pPr>
              <w:spacing w:after="0"/>
              <w:rPr>
                <w:sz w:val="2"/>
                <w:szCs w:val="2"/>
                <w:color w:val="auto"/>
              </w:rPr>
            </w:pPr>
          </w:p>
        </w:tc>
        <w:tc>
          <w:tcPr>
            <w:tcW w:w="220" w:type="dxa"/>
            <w:vAlign w:val="bottom"/>
            <w:tcBorders>
              <w:top w:val="single" w:sz="8" w:color="0000FF"/>
              <w:bottom w:val="single" w:sz="8" w:color="auto"/>
            </w:tcBorders>
          </w:tcPr>
          <w:p>
            <w:pPr>
              <w:spacing w:after="0"/>
              <w:rPr>
                <w:sz w:val="2"/>
                <w:szCs w:val="2"/>
                <w:color w:val="auto"/>
              </w:rPr>
            </w:pPr>
          </w:p>
        </w:tc>
        <w:tc>
          <w:tcPr>
            <w:tcW w:w="60" w:type="dxa"/>
            <w:vAlign w:val="bottom"/>
            <w:tcBorders>
              <w:top w:val="single" w:sz="8" w:color="0000FF"/>
              <w:bottom w:val="single" w:sz="8" w:color="auto"/>
            </w:tcBorders>
          </w:tcPr>
          <w:p>
            <w:pPr>
              <w:spacing w:after="0"/>
              <w:rPr>
                <w:sz w:val="2"/>
                <w:szCs w:val="2"/>
                <w:color w:val="auto"/>
              </w:rPr>
            </w:pPr>
          </w:p>
        </w:tc>
        <w:tc>
          <w:tcPr>
            <w:tcW w:w="460" w:type="dxa"/>
            <w:vAlign w:val="bottom"/>
            <w:tcBorders>
              <w:top w:val="single" w:sz="8" w:color="0000FF"/>
              <w:bottom w:val="single" w:sz="8" w:color="auto"/>
            </w:tcBorders>
          </w:tcPr>
          <w:p>
            <w:pPr>
              <w:spacing w:after="0"/>
              <w:rPr>
                <w:sz w:val="2"/>
                <w:szCs w:val="2"/>
                <w:color w:val="auto"/>
              </w:rPr>
            </w:pPr>
          </w:p>
        </w:tc>
        <w:tc>
          <w:tcPr>
            <w:tcW w:w="40" w:type="dxa"/>
            <w:vAlign w:val="bottom"/>
            <w:tcBorders>
              <w:top w:val="single" w:sz="8" w:color="0000FF"/>
              <w:bottom w:val="single" w:sz="8" w:color="auto"/>
            </w:tcBorders>
          </w:tcPr>
          <w:p>
            <w:pPr>
              <w:spacing w:after="0"/>
              <w:rPr>
                <w:sz w:val="2"/>
                <w:szCs w:val="2"/>
                <w:color w:val="auto"/>
              </w:rPr>
            </w:pPr>
          </w:p>
        </w:tc>
        <w:tc>
          <w:tcPr>
            <w:tcW w:w="140" w:type="dxa"/>
            <w:vAlign w:val="bottom"/>
            <w:tcBorders>
              <w:top w:val="single" w:sz="8" w:color="0000FF"/>
              <w:bottom w:val="single" w:sz="8" w:color="auto"/>
            </w:tcBorders>
          </w:tcPr>
          <w:p>
            <w:pPr>
              <w:spacing w:after="0"/>
              <w:rPr>
                <w:sz w:val="2"/>
                <w:szCs w:val="2"/>
                <w:color w:val="auto"/>
              </w:rPr>
            </w:pPr>
          </w:p>
        </w:tc>
        <w:tc>
          <w:tcPr>
            <w:tcW w:w="220" w:type="dxa"/>
            <w:vAlign w:val="bottom"/>
            <w:tcBorders>
              <w:top w:val="single" w:sz="8" w:color="0000FF"/>
              <w:bottom w:val="single" w:sz="8" w:color="auto"/>
            </w:tcBorders>
          </w:tcPr>
          <w:p>
            <w:pPr>
              <w:spacing w:after="0"/>
              <w:rPr>
                <w:sz w:val="2"/>
                <w:szCs w:val="2"/>
                <w:color w:val="auto"/>
              </w:rPr>
            </w:pPr>
          </w:p>
        </w:tc>
        <w:tc>
          <w:tcPr>
            <w:tcW w:w="80" w:type="dxa"/>
            <w:vAlign w:val="bottom"/>
            <w:tcBorders>
              <w:top w:val="single" w:sz="8" w:color="0000FF"/>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right w:val="single" w:sz="8" w:color="auto"/>
            </w:tcBorders>
          </w:tcPr>
          <w:p>
            <w:pPr>
              <w:spacing w:after="0"/>
              <w:rPr>
                <w:sz w:val="2"/>
                <w:szCs w:val="2"/>
                <w:color w:val="auto"/>
              </w:rPr>
            </w:pPr>
          </w:p>
        </w:tc>
      </w:tr>
      <w:tr>
        <w:trPr>
          <w:trHeight w:val="183"/>
        </w:trPr>
        <w:tc>
          <w:tcPr>
            <w:tcW w:w="1160" w:type="dxa"/>
            <w:vAlign w:val="bottom"/>
            <w:tcBorders>
              <w:left w:val="single" w:sz="8" w:color="auto"/>
              <w:right w:val="single" w:sz="8" w:color="auto"/>
            </w:tcBorders>
          </w:tcPr>
          <w:p>
            <w:pPr>
              <w:ind w:left="40"/>
              <w:spacing w:after="0" w:line="183" w:lineRule="exact"/>
              <w:rPr>
                <w:sz w:val="20"/>
                <w:szCs w:val="20"/>
                <w:color w:val="auto"/>
              </w:rPr>
            </w:pPr>
            <w:r>
              <w:rPr>
                <w:rFonts w:ascii="Arial" w:cs="Arial" w:eastAsia="Arial" w:hAnsi="Arial"/>
                <w:sz w:val="16"/>
                <w:szCs w:val="16"/>
                <w:color w:val="auto"/>
              </w:rPr>
              <w:t>3.3</w:t>
            </w:r>
          </w:p>
        </w:tc>
        <w:tc>
          <w:tcPr>
            <w:tcW w:w="12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9460" w:type="dxa"/>
            <w:vAlign w:val="bottom"/>
            <w:tcBorders>
              <w:bottom w:val="single" w:sz="8" w:color="0000FF"/>
            </w:tcBorders>
            <w:gridSpan w:val="19"/>
          </w:tcPr>
          <w:p>
            <w:pPr>
              <w:spacing w:after="0" w:line="183" w:lineRule="exact"/>
              <w:rPr>
                <w:rFonts w:ascii="Arial" w:cs="Arial" w:eastAsia="Arial" w:hAnsi="Arial"/>
                <w:sz w:val="16"/>
                <w:szCs w:val="16"/>
                <w:color w:val="0000FF"/>
              </w:rPr>
            </w:pPr>
            <w:hyperlink r:id="rId145">
              <w:r>
                <w:rPr>
                  <w:rFonts w:ascii="Arial" w:cs="Arial" w:eastAsia="Arial" w:hAnsi="Arial"/>
                  <w:sz w:val="16"/>
                  <w:szCs w:val="16"/>
                  <w:color w:val="0000FF"/>
                </w:rPr>
                <w:t>Certificate of Designations of Series R Preferred Stock of Avis Budget Group, Inc., as filed with the Secretary of State of the State of</w:t>
              </w:r>
            </w:hyperlink>
          </w:p>
        </w:tc>
        <w:tc>
          <w:tcPr>
            <w:tcW w:w="680" w:type="dxa"/>
            <w:vAlign w:val="bottom"/>
            <w:tcBorders>
              <w:right w:val="single" w:sz="8" w:color="auto"/>
            </w:tcBorders>
            <w:gridSpan w:val="21"/>
          </w:tcPr>
          <w:p>
            <w:pPr>
              <w:spacing w:after="0"/>
              <w:rPr>
                <w:sz w:val="15"/>
                <w:szCs w:val="15"/>
                <w:color w:val="auto"/>
              </w:rPr>
            </w:pPr>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9860" w:type="dxa"/>
            <w:vAlign w:val="bottom"/>
            <w:tcBorders>
              <w:bottom w:val="single" w:sz="8" w:color="0000FF"/>
            </w:tcBorders>
            <w:gridSpan w:val="28"/>
          </w:tcPr>
          <w:p>
            <w:pPr>
              <w:spacing w:after="0" w:line="169" w:lineRule="exact"/>
              <w:rPr>
                <w:rFonts w:ascii="Arial" w:cs="Arial" w:eastAsia="Arial" w:hAnsi="Arial"/>
                <w:sz w:val="16"/>
                <w:szCs w:val="16"/>
                <w:color w:val="0000FF"/>
              </w:rPr>
            </w:pPr>
            <w:hyperlink r:id="rId145">
              <w:r>
                <w:rPr>
                  <w:rFonts w:ascii="Arial" w:cs="Arial" w:eastAsia="Arial" w:hAnsi="Arial"/>
                  <w:sz w:val="16"/>
                  <w:szCs w:val="16"/>
                  <w:color w:val="0000FF"/>
                </w:rPr>
                <w:t>Delaware on January 23, 2017 (Incorporated by reference to Exhibit 3.1 to the Company’s Current Report on Form 8-K dated January 23,</w:t>
              </w:r>
            </w:hyperlink>
          </w:p>
        </w:tc>
        <w:tc>
          <w:tcPr>
            <w:tcW w:w="280" w:type="dxa"/>
            <w:vAlign w:val="bottom"/>
            <w:tcBorders>
              <w:right w:val="single" w:sz="8" w:color="auto"/>
            </w:tcBorders>
            <w:gridSpan w:val="12"/>
          </w:tcPr>
          <w:p>
            <w:pPr>
              <w:spacing w:after="0"/>
              <w:rPr>
                <w:sz w:val="14"/>
                <w:szCs w:val="14"/>
                <w:color w:val="auto"/>
              </w:rPr>
            </w:pPr>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480" w:type="dxa"/>
            <w:vAlign w:val="bottom"/>
            <w:gridSpan w:val="2"/>
          </w:tcPr>
          <w:p>
            <w:pPr>
              <w:ind w:left="20"/>
              <w:spacing w:after="0" w:line="169" w:lineRule="exact"/>
              <w:rPr>
                <w:rFonts w:ascii="Arial" w:cs="Arial" w:eastAsia="Arial" w:hAnsi="Arial"/>
                <w:sz w:val="16"/>
                <w:szCs w:val="16"/>
                <w:color w:val="0000FF"/>
                <w:w w:val="96"/>
              </w:rPr>
            </w:pPr>
            <w:hyperlink r:id="rId145">
              <w:r>
                <w:rPr>
                  <w:rFonts w:ascii="Arial" w:cs="Arial" w:eastAsia="Arial" w:hAnsi="Arial"/>
                  <w:sz w:val="16"/>
                  <w:szCs w:val="16"/>
                  <w:color w:val="0000FF"/>
                  <w:w w:val="96"/>
                </w:rPr>
                <w:t>2017).</w:t>
              </w:r>
            </w:hyperlink>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Borders>
              <w:right w:val="single" w:sz="8" w:color="auto"/>
            </w:tcBorders>
          </w:tcPr>
          <w:p>
            <w:pPr>
              <w:spacing w:after="0"/>
              <w:rPr>
                <w:sz w:val="14"/>
                <w:szCs w:val="14"/>
                <w:color w:val="auto"/>
              </w:rPr>
            </w:pPr>
          </w:p>
        </w:tc>
      </w:tr>
      <w:tr>
        <w:trPr>
          <w:trHeight w:val="34"/>
        </w:trPr>
        <w:tc>
          <w:tcPr>
            <w:tcW w:w="1160" w:type="dxa"/>
            <w:vAlign w:val="bottom"/>
            <w:tcBorders>
              <w:left w:val="single" w:sz="8" w:color="auto"/>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60" w:type="dxa"/>
            <w:vAlign w:val="bottom"/>
            <w:tcBorders>
              <w:top w:val="single" w:sz="8" w:color="0000FF"/>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right w:val="single" w:sz="8" w:color="auto"/>
            </w:tcBorders>
          </w:tcPr>
          <w:p>
            <w:pPr>
              <w:spacing w:after="0"/>
              <w:rPr>
                <w:sz w:val="2"/>
                <w:szCs w:val="2"/>
                <w:color w:val="auto"/>
              </w:rPr>
            </w:pPr>
          </w:p>
        </w:tc>
      </w:tr>
      <w:tr>
        <w:trPr>
          <w:trHeight w:val="183"/>
        </w:trPr>
        <w:tc>
          <w:tcPr>
            <w:tcW w:w="1160" w:type="dxa"/>
            <w:vAlign w:val="bottom"/>
            <w:tcBorders>
              <w:left w:val="single" w:sz="8" w:color="auto"/>
              <w:right w:val="single" w:sz="8" w:color="auto"/>
            </w:tcBorders>
          </w:tcPr>
          <w:p>
            <w:pPr>
              <w:ind w:left="40"/>
              <w:spacing w:after="0" w:line="183" w:lineRule="exact"/>
              <w:rPr>
                <w:sz w:val="20"/>
                <w:szCs w:val="20"/>
                <w:color w:val="auto"/>
              </w:rPr>
            </w:pPr>
            <w:r>
              <w:rPr>
                <w:rFonts w:ascii="Arial" w:cs="Arial" w:eastAsia="Arial" w:hAnsi="Arial"/>
                <w:sz w:val="16"/>
                <w:szCs w:val="16"/>
                <w:color w:val="auto"/>
              </w:rPr>
              <w:t>3.4</w:t>
            </w:r>
          </w:p>
        </w:tc>
        <w:tc>
          <w:tcPr>
            <w:tcW w:w="12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0100" w:type="dxa"/>
            <w:vAlign w:val="bottom"/>
            <w:tcBorders>
              <w:bottom w:val="single" w:sz="8" w:color="0000FF"/>
            </w:tcBorders>
            <w:gridSpan w:val="39"/>
          </w:tcPr>
          <w:p>
            <w:pPr>
              <w:spacing w:after="0" w:line="183" w:lineRule="exact"/>
              <w:rPr>
                <w:rFonts w:ascii="Arial" w:cs="Arial" w:eastAsia="Arial" w:hAnsi="Arial"/>
                <w:sz w:val="16"/>
                <w:szCs w:val="16"/>
                <w:color w:val="0000FF"/>
              </w:rPr>
            </w:pPr>
            <w:hyperlink r:id="rId146">
              <w:r>
                <w:rPr>
                  <w:rFonts w:ascii="Arial" w:cs="Arial" w:eastAsia="Arial" w:hAnsi="Arial"/>
                  <w:sz w:val="16"/>
                  <w:szCs w:val="16"/>
                  <w:color w:val="0000FF"/>
                </w:rPr>
                <w:t>Certificate of Elimination of Series R Preferred Stock Avis Budget Group, Inc., dated May 3, 2017 (Incorporated by reference to Exhibit 3.1 to</w:t>
              </w:r>
            </w:hyperlink>
          </w:p>
        </w:tc>
        <w:tc>
          <w:tcPr>
            <w:tcW w:w="40" w:type="dxa"/>
            <w:vAlign w:val="bottom"/>
            <w:tcBorders>
              <w:right w:val="single" w:sz="8" w:color="auto"/>
            </w:tcBorders>
          </w:tcPr>
          <w:p>
            <w:pPr>
              <w:spacing w:after="0"/>
              <w:rPr>
                <w:sz w:val="15"/>
                <w:szCs w:val="15"/>
                <w:color w:val="auto"/>
              </w:rPr>
            </w:pPr>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140" w:type="dxa"/>
            <w:vAlign w:val="bottom"/>
            <w:tcBorders>
              <w:right w:val="single" w:sz="8" w:color="auto"/>
            </w:tcBorders>
            <w:gridSpan w:val="40"/>
          </w:tcPr>
          <w:p>
            <w:pPr>
              <w:spacing w:after="0" w:line="169" w:lineRule="exact"/>
              <w:rPr>
                <w:rFonts w:ascii="Arial" w:cs="Arial" w:eastAsia="Arial" w:hAnsi="Arial"/>
                <w:sz w:val="16"/>
                <w:szCs w:val="16"/>
                <w:color w:val="0000FF"/>
              </w:rPr>
            </w:pPr>
            <w:hyperlink r:id="rId146">
              <w:r>
                <w:rPr>
                  <w:rFonts w:ascii="Arial" w:cs="Arial" w:eastAsia="Arial" w:hAnsi="Arial"/>
                  <w:sz w:val="16"/>
                  <w:szCs w:val="16"/>
                  <w:color w:val="0000FF"/>
                </w:rPr>
                <w:t>the Company’s Current Report on Form 8-K dated May 3, 2017).</w:t>
              </w:r>
            </w:hyperlink>
          </w:p>
        </w:tc>
      </w:tr>
      <w:tr>
        <w:trPr>
          <w:trHeight w:val="34"/>
        </w:trPr>
        <w:tc>
          <w:tcPr>
            <w:tcW w:w="1160" w:type="dxa"/>
            <w:vAlign w:val="bottom"/>
            <w:tcBorders>
              <w:left w:val="single" w:sz="8" w:color="auto"/>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60" w:type="dxa"/>
            <w:vAlign w:val="bottom"/>
            <w:tcBorders>
              <w:top w:val="single" w:sz="8" w:color="0000FF"/>
              <w:bottom w:val="single" w:sz="8" w:color="auto"/>
            </w:tcBorders>
          </w:tcPr>
          <w:p>
            <w:pPr>
              <w:spacing w:after="0"/>
              <w:rPr>
                <w:sz w:val="2"/>
                <w:szCs w:val="2"/>
                <w:color w:val="auto"/>
              </w:rPr>
            </w:pPr>
          </w:p>
        </w:tc>
        <w:tc>
          <w:tcPr>
            <w:tcW w:w="280" w:type="dxa"/>
            <w:vAlign w:val="bottom"/>
            <w:tcBorders>
              <w:top w:val="single" w:sz="8" w:color="0000FF"/>
              <w:bottom w:val="single" w:sz="8" w:color="auto"/>
            </w:tcBorders>
          </w:tcPr>
          <w:p>
            <w:pPr>
              <w:spacing w:after="0"/>
              <w:rPr>
                <w:sz w:val="2"/>
                <w:szCs w:val="2"/>
                <w:color w:val="auto"/>
              </w:rPr>
            </w:pPr>
          </w:p>
        </w:tc>
        <w:tc>
          <w:tcPr>
            <w:tcW w:w="420" w:type="dxa"/>
            <w:vAlign w:val="bottom"/>
            <w:tcBorders>
              <w:top w:val="single" w:sz="8" w:color="0000FF"/>
              <w:bottom w:val="single" w:sz="8" w:color="auto"/>
            </w:tcBorders>
          </w:tcPr>
          <w:p>
            <w:pPr>
              <w:spacing w:after="0"/>
              <w:rPr>
                <w:sz w:val="2"/>
                <w:szCs w:val="2"/>
                <w:color w:val="auto"/>
              </w:rPr>
            </w:pPr>
          </w:p>
        </w:tc>
        <w:tc>
          <w:tcPr>
            <w:tcW w:w="40" w:type="dxa"/>
            <w:vAlign w:val="bottom"/>
            <w:tcBorders>
              <w:top w:val="single" w:sz="8" w:color="0000FF"/>
              <w:bottom w:val="single" w:sz="8" w:color="auto"/>
            </w:tcBorders>
          </w:tcPr>
          <w:p>
            <w:pPr>
              <w:spacing w:after="0"/>
              <w:rPr>
                <w:sz w:val="2"/>
                <w:szCs w:val="2"/>
                <w:color w:val="auto"/>
              </w:rPr>
            </w:pPr>
          </w:p>
        </w:tc>
        <w:tc>
          <w:tcPr>
            <w:tcW w:w="240" w:type="dxa"/>
            <w:vAlign w:val="bottom"/>
            <w:tcBorders>
              <w:top w:val="single" w:sz="8" w:color="0000FF"/>
              <w:bottom w:val="single" w:sz="8" w:color="auto"/>
            </w:tcBorders>
          </w:tcPr>
          <w:p>
            <w:pPr>
              <w:spacing w:after="0"/>
              <w:rPr>
                <w:sz w:val="2"/>
                <w:szCs w:val="2"/>
                <w:color w:val="auto"/>
              </w:rPr>
            </w:pPr>
          </w:p>
        </w:tc>
        <w:tc>
          <w:tcPr>
            <w:tcW w:w="1100" w:type="dxa"/>
            <w:vAlign w:val="bottom"/>
            <w:tcBorders>
              <w:top w:val="single" w:sz="8" w:color="0000FF"/>
              <w:bottom w:val="single" w:sz="8" w:color="auto"/>
            </w:tcBorders>
          </w:tcPr>
          <w:p>
            <w:pPr>
              <w:spacing w:after="0"/>
              <w:rPr>
                <w:sz w:val="2"/>
                <w:szCs w:val="2"/>
                <w:color w:val="auto"/>
              </w:rPr>
            </w:pPr>
          </w:p>
        </w:tc>
        <w:tc>
          <w:tcPr>
            <w:tcW w:w="1180" w:type="dxa"/>
            <w:vAlign w:val="bottom"/>
            <w:tcBorders>
              <w:top w:val="single" w:sz="8" w:color="0000FF"/>
              <w:bottom w:val="single" w:sz="8" w:color="auto"/>
            </w:tcBorders>
          </w:tcPr>
          <w:p>
            <w:pPr>
              <w:spacing w:after="0"/>
              <w:rPr>
                <w:sz w:val="2"/>
                <w:szCs w:val="2"/>
                <w:color w:val="auto"/>
              </w:rPr>
            </w:pPr>
          </w:p>
        </w:tc>
        <w:tc>
          <w:tcPr>
            <w:tcW w:w="220" w:type="dxa"/>
            <w:vAlign w:val="bottom"/>
            <w:tcBorders>
              <w:top w:val="single" w:sz="8" w:color="0000FF"/>
              <w:bottom w:val="single" w:sz="8" w:color="auto"/>
            </w:tcBorders>
          </w:tcPr>
          <w:p>
            <w:pPr>
              <w:spacing w:after="0"/>
              <w:rPr>
                <w:sz w:val="2"/>
                <w:szCs w:val="2"/>
                <w:color w:val="auto"/>
              </w:rPr>
            </w:pPr>
          </w:p>
        </w:tc>
        <w:tc>
          <w:tcPr>
            <w:tcW w:w="60" w:type="dxa"/>
            <w:vAlign w:val="bottom"/>
            <w:tcBorders>
              <w:top w:val="single" w:sz="8" w:color="0000FF"/>
              <w:bottom w:val="single" w:sz="8" w:color="auto"/>
            </w:tcBorders>
          </w:tcPr>
          <w:p>
            <w:pPr>
              <w:spacing w:after="0"/>
              <w:rPr>
                <w:sz w:val="2"/>
                <w:szCs w:val="2"/>
                <w:color w:val="auto"/>
              </w:rPr>
            </w:pPr>
          </w:p>
        </w:tc>
        <w:tc>
          <w:tcPr>
            <w:tcW w:w="460" w:type="dxa"/>
            <w:vAlign w:val="bottom"/>
            <w:tcBorders>
              <w:top w:val="single" w:sz="8" w:color="0000FF"/>
              <w:bottom w:val="single" w:sz="8" w:color="auto"/>
            </w:tcBorders>
          </w:tcPr>
          <w:p>
            <w:pPr>
              <w:spacing w:after="0"/>
              <w:rPr>
                <w:sz w:val="2"/>
                <w:szCs w:val="2"/>
                <w:color w:val="auto"/>
              </w:rPr>
            </w:pPr>
          </w:p>
        </w:tc>
        <w:tc>
          <w:tcPr>
            <w:tcW w:w="40" w:type="dxa"/>
            <w:vAlign w:val="bottom"/>
            <w:tcBorders>
              <w:top w:val="single" w:sz="8" w:color="0000FF"/>
              <w:bottom w:val="single" w:sz="8" w:color="auto"/>
            </w:tcBorders>
          </w:tcPr>
          <w:p>
            <w:pPr>
              <w:spacing w:after="0"/>
              <w:rPr>
                <w:sz w:val="2"/>
                <w:szCs w:val="2"/>
                <w:color w:val="auto"/>
              </w:rPr>
            </w:pPr>
          </w:p>
        </w:tc>
        <w:tc>
          <w:tcPr>
            <w:tcW w:w="140" w:type="dxa"/>
            <w:vAlign w:val="bottom"/>
            <w:tcBorders>
              <w:top w:val="single" w:sz="8" w:color="0000FF"/>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right w:val="single" w:sz="8" w:color="auto"/>
            </w:tcBorders>
          </w:tcPr>
          <w:p>
            <w:pPr>
              <w:spacing w:after="0"/>
              <w:rPr>
                <w:sz w:val="2"/>
                <w:szCs w:val="2"/>
                <w:color w:val="auto"/>
              </w:rPr>
            </w:pPr>
          </w:p>
        </w:tc>
      </w:tr>
      <w:tr>
        <w:trPr>
          <w:trHeight w:val="183"/>
        </w:trPr>
        <w:tc>
          <w:tcPr>
            <w:tcW w:w="1160" w:type="dxa"/>
            <w:vAlign w:val="bottom"/>
            <w:tcBorders>
              <w:left w:val="single" w:sz="8" w:color="auto"/>
              <w:right w:val="single" w:sz="8" w:color="auto"/>
            </w:tcBorders>
          </w:tcPr>
          <w:p>
            <w:pPr>
              <w:ind w:left="40"/>
              <w:spacing w:after="0" w:line="183" w:lineRule="exact"/>
              <w:rPr>
                <w:sz w:val="20"/>
                <w:szCs w:val="20"/>
                <w:color w:val="auto"/>
              </w:rPr>
            </w:pPr>
            <w:r>
              <w:rPr>
                <w:rFonts w:ascii="Arial" w:cs="Arial" w:eastAsia="Arial" w:hAnsi="Arial"/>
                <w:sz w:val="16"/>
                <w:szCs w:val="16"/>
                <w:color w:val="auto"/>
              </w:rPr>
              <w:t>3.5</w:t>
            </w:r>
          </w:p>
        </w:tc>
        <w:tc>
          <w:tcPr>
            <w:tcW w:w="12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9460" w:type="dxa"/>
            <w:vAlign w:val="bottom"/>
            <w:tcBorders>
              <w:bottom w:val="single" w:sz="8" w:color="0000FF"/>
            </w:tcBorders>
            <w:gridSpan w:val="19"/>
          </w:tcPr>
          <w:p>
            <w:pPr>
              <w:spacing w:after="0" w:line="183" w:lineRule="exact"/>
              <w:rPr>
                <w:rFonts w:ascii="Arial" w:cs="Arial" w:eastAsia="Arial" w:hAnsi="Arial"/>
                <w:sz w:val="16"/>
                <w:szCs w:val="16"/>
                <w:color w:val="0000FF"/>
              </w:rPr>
            </w:pPr>
            <w:hyperlink r:id="rId145">
              <w:r>
                <w:rPr>
                  <w:rFonts w:ascii="Arial" w:cs="Arial" w:eastAsia="Arial" w:hAnsi="Arial"/>
                  <w:sz w:val="16"/>
                  <w:szCs w:val="16"/>
                  <w:color w:val="0000FF"/>
                </w:rPr>
                <w:t>Certificate of Designations of Series S Preferred Stock of Avis Budget Group, Inc., as filed with the Secretary of State of the State of</w:t>
              </w:r>
            </w:hyperlink>
          </w:p>
        </w:tc>
        <w:tc>
          <w:tcPr>
            <w:tcW w:w="680" w:type="dxa"/>
            <w:vAlign w:val="bottom"/>
            <w:tcBorders>
              <w:right w:val="single" w:sz="8" w:color="auto"/>
            </w:tcBorders>
            <w:gridSpan w:val="21"/>
          </w:tcPr>
          <w:p>
            <w:pPr>
              <w:spacing w:after="0"/>
              <w:rPr>
                <w:sz w:val="15"/>
                <w:szCs w:val="15"/>
                <w:color w:val="auto"/>
              </w:rPr>
            </w:pPr>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9860" w:type="dxa"/>
            <w:vAlign w:val="bottom"/>
            <w:tcBorders>
              <w:bottom w:val="single" w:sz="8" w:color="0000FF"/>
            </w:tcBorders>
            <w:gridSpan w:val="28"/>
          </w:tcPr>
          <w:p>
            <w:pPr>
              <w:spacing w:after="0" w:line="169" w:lineRule="exact"/>
              <w:rPr>
                <w:rFonts w:ascii="Arial" w:cs="Arial" w:eastAsia="Arial" w:hAnsi="Arial"/>
                <w:sz w:val="16"/>
                <w:szCs w:val="16"/>
                <w:color w:val="0000FF"/>
              </w:rPr>
            </w:pPr>
            <w:hyperlink r:id="rId145">
              <w:r>
                <w:rPr>
                  <w:rFonts w:ascii="Arial" w:cs="Arial" w:eastAsia="Arial" w:hAnsi="Arial"/>
                  <w:sz w:val="16"/>
                  <w:szCs w:val="16"/>
                  <w:color w:val="0000FF"/>
                </w:rPr>
                <w:t>Delaware on January 16, 2018 (Incorporated by reference to Exhibit 3.1 to the Company’s Current Report on Form 8-K dated January 16,</w:t>
              </w:r>
            </w:hyperlink>
          </w:p>
        </w:tc>
        <w:tc>
          <w:tcPr>
            <w:tcW w:w="280" w:type="dxa"/>
            <w:vAlign w:val="bottom"/>
            <w:tcBorders>
              <w:right w:val="single" w:sz="8" w:color="auto"/>
            </w:tcBorders>
            <w:gridSpan w:val="12"/>
          </w:tcPr>
          <w:p>
            <w:pPr>
              <w:spacing w:after="0"/>
              <w:rPr>
                <w:sz w:val="14"/>
                <w:szCs w:val="14"/>
                <w:color w:val="auto"/>
              </w:rPr>
            </w:pPr>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480" w:type="dxa"/>
            <w:vAlign w:val="bottom"/>
            <w:gridSpan w:val="2"/>
          </w:tcPr>
          <w:p>
            <w:pPr>
              <w:ind w:left="20"/>
              <w:spacing w:after="0" w:line="169" w:lineRule="exact"/>
              <w:rPr>
                <w:rFonts w:ascii="Arial" w:cs="Arial" w:eastAsia="Arial" w:hAnsi="Arial"/>
                <w:sz w:val="16"/>
                <w:szCs w:val="16"/>
                <w:color w:val="0000FF"/>
                <w:w w:val="96"/>
              </w:rPr>
            </w:pPr>
            <w:hyperlink r:id="rId145">
              <w:r>
                <w:rPr>
                  <w:rFonts w:ascii="Arial" w:cs="Arial" w:eastAsia="Arial" w:hAnsi="Arial"/>
                  <w:sz w:val="16"/>
                  <w:szCs w:val="16"/>
                  <w:color w:val="0000FF"/>
                  <w:w w:val="96"/>
                </w:rPr>
                <w:t>2018).</w:t>
              </w:r>
            </w:hyperlink>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Borders>
              <w:right w:val="single" w:sz="8" w:color="auto"/>
            </w:tcBorders>
          </w:tcPr>
          <w:p>
            <w:pPr>
              <w:spacing w:after="0"/>
              <w:rPr>
                <w:sz w:val="14"/>
                <w:szCs w:val="14"/>
                <w:color w:val="auto"/>
              </w:rPr>
            </w:pPr>
          </w:p>
        </w:tc>
      </w:tr>
      <w:tr>
        <w:trPr>
          <w:trHeight w:val="34"/>
        </w:trPr>
        <w:tc>
          <w:tcPr>
            <w:tcW w:w="1160" w:type="dxa"/>
            <w:vAlign w:val="bottom"/>
            <w:tcBorders>
              <w:left w:val="single" w:sz="8" w:color="auto"/>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60" w:type="dxa"/>
            <w:vAlign w:val="bottom"/>
            <w:tcBorders>
              <w:top w:val="single" w:sz="8" w:color="0000FF"/>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right w:val="single" w:sz="8" w:color="auto"/>
            </w:tcBorders>
          </w:tcPr>
          <w:p>
            <w:pPr>
              <w:spacing w:after="0"/>
              <w:rPr>
                <w:sz w:val="2"/>
                <w:szCs w:val="2"/>
                <w:color w:val="auto"/>
              </w:rPr>
            </w:pPr>
          </w:p>
        </w:tc>
      </w:tr>
      <w:tr>
        <w:trPr>
          <w:trHeight w:val="183"/>
        </w:trPr>
        <w:tc>
          <w:tcPr>
            <w:tcW w:w="1160" w:type="dxa"/>
            <w:vAlign w:val="bottom"/>
            <w:tcBorders>
              <w:left w:val="single" w:sz="8" w:color="auto"/>
              <w:right w:val="single" w:sz="8" w:color="auto"/>
            </w:tcBorders>
          </w:tcPr>
          <w:p>
            <w:pPr>
              <w:ind w:left="40"/>
              <w:spacing w:after="0" w:line="183" w:lineRule="exact"/>
              <w:rPr>
                <w:sz w:val="20"/>
                <w:szCs w:val="20"/>
                <w:color w:val="auto"/>
              </w:rPr>
            </w:pPr>
            <w:r>
              <w:rPr>
                <w:rFonts w:ascii="Arial" w:cs="Arial" w:eastAsia="Arial" w:hAnsi="Arial"/>
                <w:sz w:val="16"/>
                <w:szCs w:val="16"/>
                <w:color w:val="auto"/>
              </w:rPr>
              <w:t>4.1</w:t>
            </w:r>
          </w:p>
        </w:tc>
        <w:tc>
          <w:tcPr>
            <w:tcW w:w="12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9800" w:type="dxa"/>
            <w:vAlign w:val="bottom"/>
            <w:tcBorders>
              <w:bottom w:val="single" w:sz="8" w:color="0000FF"/>
            </w:tcBorders>
            <w:gridSpan w:val="25"/>
          </w:tcPr>
          <w:p>
            <w:pPr>
              <w:spacing w:after="0" w:line="183" w:lineRule="exact"/>
              <w:rPr>
                <w:rFonts w:ascii="Arial" w:cs="Arial" w:eastAsia="Arial" w:hAnsi="Arial"/>
                <w:sz w:val="16"/>
                <w:szCs w:val="16"/>
                <w:color w:val="0000FF"/>
              </w:rPr>
            </w:pPr>
            <w:hyperlink r:id="rId147">
              <w:r>
                <w:rPr>
                  <w:rFonts w:ascii="Arial" w:cs="Arial" w:eastAsia="Arial" w:hAnsi="Arial"/>
                  <w:sz w:val="16"/>
                  <w:szCs w:val="16"/>
                  <w:color w:val="0000FF"/>
                </w:rPr>
                <w:t>Indenture, dated as of April 3, 2013, among Avis Budget Car Rental, LLC and Avis Budget Finance, Inc., as Issuers, the Guarantors from</w:t>
              </w:r>
            </w:hyperlink>
          </w:p>
        </w:tc>
        <w:tc>
          <w:tcPr>
            <w:tcW w:w="340" w:type="dxa"/>
            <w:vAlign w:val="bottom"/>
            <w:tcBorders>
              <w:right w:val="single" w:sz="8" w:color="auto"/>
            </w:tcBorders>
            <w:gridSpan w:val="15"/>
          </w:tcPr>
          <w:p>
            <w:pPr>
              <w:spacing w:after="0"/>
              <w:rPr>
                <w:sz w:val="15"/>
                <w:szCs w:val="15"/>
                <w:color w:val="auto"/>
              </w:rPr>
            </w:pPr>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80" w:type="dxa"/>
            <w:vAlign w:val="bottom"/>
            <w:tcBorders>
              <w:bottom w:val="single" w:sz="8" w:color="0000FF"/>
            </w:tcBorders>
            <w:gridSpan w:val="38"/>
          </w:tcPr>
          <w:p>
            <w:pPr>
              <w:spacing w:after="0" w:line="169" w:lineRule="exact"/>
              <w:rPr>
                <w:rFonts w:ascii="Arial" w:cs="Arial" w:eastAsia="Arial" w:hAnsi="Arial"/>
                <w:sz w:val="16"/>
                <w:szCs w:val="16"/>
                <w:color w:val="0000FF"/>
              </w:rPr>
            </w:pPr>
            <w:hyperlink r:id="rId147">
              <w:r>
                <w:rPr>
                  <w:rFonts w:ascii="Arial" w:cs="Arial" w:eastAsia="Arial" w:hAnsi="Arial"/>
                  <w:sz w:val="16"/>
                  <w:szCs w:val="16"/>
                  <w:color w:val="0000FF"/>
                </w:rPr>
                <w:t>time to time parties thereto and The Bank of Nova Scotia Trust Company of New York as Trustee (Incorporated by reference to Exhibit 4.1 to</w:t>
              </w:r>
            </w:hyperlink>
          </w:p>
        </w:tc>
        <w:tc>
          <w:tcPr>
            <w:tcW w:w="60" w:type="dxa"/>
            <w:vAlign w:val="bottom"/>
            <w:tcBorders>
              <w:right w:val="single" w:sz="8" w:color="auto"/>
            </w:tcBorders>
            <w:gridSpan w:val="2"/>
          </w:tcPr>
          <w:p>
            <w:pPr>
              <w:spacing w:after="0"/>
              <w:rPr>
                <w:sz w:val="14"/>
                <w:szCs w:val="14"/>
                <w:color w:val="auto"/>
              </w:rPr>
            </w:pPr>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140" w:type="dxa"/>
            <w:vAlign w:val="bottom"/>
            <w:tcBorders>
              <w:right w:val="single" w:sz="8" w:color="auto"/>
            </w:tcBorders>
            <w:gridSpan w:val="40"/>
          </w:tcPr>
          <w:p>
            <w:pPr>
              <w:spacing w:after="0" w:line="169" w:lineRule="exact"/>
              <w:rPr>
                <w:rFonts w:ascii="Arial" w:cs="Arial" w:eastAsia="Arial" w:hAnsi="Arial"/>
                <w:sz w:val="16"/>
                <w:szCs w:val="16"/>
                <w:color w:val="0000FF"/>
              </w:rPr>
            </w:pPr>
            <w:hyperlink r:id="rId147">
              <w:r>
                <w:rPr>
                  <w:rFonts w:ascii="Arial" w:cs="Arial" w:eastAsia="Arial" w:hAnsi="Arial"/>
                  <w:sz w:val="16"/>
                  <w:szCs w:val="16"/>
                  <w:color w:val="0000FF"/>
                </w:rPr>
                <w:t>the Company’s Current Report on Form 8-K dated April 8, 2013).</w:t>
              </w:r>
            </w:hyperlink>
          </w:p>
        </w:tc>
      </w:tr>
      <w:tr>
        <w:trPr>
          <w:trHeight w:val="34"/>
        </w:trPr>
        <w:tc>
          <w:tcPr>
            <w:tcW w:w="1160" w:type="dxa"/>
            <w:vAlign w:val="bottom"/>
            <w:tcBorders>
              <w:left w:val="single" w:sz="8" w:color="auto"/>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60" w:type="dxa"/>
            <w:vAlign w:val="bottom"/>
            <w:tcBorders>
              <w:top w:val="single" w:sz="8" w:color="0000FF"/>
              <w:bottom w:val="single" w:sz="8" w:color="auto"/>
            </w:tcBorders>
          </w:tcPr>
          <w:p>
            <w:pPr>
              <w:spacing w:after="0"/>
              <w:rPr>
                <w:sz w:val="2"/>
                <w:szCs w:val="2"/>
                <w:color w:val="auto"/>
              </w:rPr>
            </w:pPr>
          </w:p>
        </w:tc>
        <w:tc>
          <w:tcPr>
            <w:tcW w:w="280" w:type="dxa"/>
            <w:vAlign w:val="bottom"/>
            <w:tcBorders>
              <w:top w:val="single" w:sz="8" w:color="0000FF"/>
              <w:bottom w:val="single" w:sz="8" w:color="auto"/>
            </w:tcBorders>
          </w:tcPr>
          <w:p>
            <w:pPr>
              <w:spacing w:after="0"/>
              <w:rPr>
                <w:sz w:val="2"/>
                <w:szCs w:val="2"/>
                <w:color w:val="auto"/>
              </w:rPr>
            </w:pPr>
          </w:p>
        </w:tc>
        <w:tc>
          <w:tcPr>
            <w:tcW w:w="420" w:type="dxa"/>
            <w:vAlign w:val="bottom"/>
            <w:tcBorders>
              <w:top w:val="single" w:sz="8" w:color="0000FF"/>
              <w:bottom w:val="single" w:sz="8" w:color="auto"/>
            </w:tcBorders>
          </w:tcPr>
          <w:p>
            <w:pPr>
              <w:spacing w:after="0"/>
              <w:rPr>
                <w:sz w:val="2"/>
                <w:szCs w:val="2"/>
                <w:color w:val="auto"/>
              </w:rPr>
            </w:pPr>
          </w:p>
        </w:tc>
        <w:tc>
          <w:tcPr>
            <w:tcW w:w="40" w:type="dxa"/>
            <w:vAlign w:val="bottom"/>
            <w:tcBorders>
              <w:top w:val="single" w:sz="8" w:color="0000FF"/>
              <w:bottom w:val="single" w:sz="8" w:color="auto"/>
            </w:tcBorders>
          </w:tcPr>
          <w:p>
            <w:pPr>
              <w:spacing w:after="0"/>
              <w:rPr>
                <w:sz w:val="2"/>
                <w:szCs w:val="2"/>
                <w:color w:val="auto"/>
              </w:rPr>
            </w:pPr>
          </w:p>
        </w:tc>
        <w:tc>
          <w:tcPr>
            <w:tcW w:w="240" w:type="dxa"/>
            <w:vAlign w:val="bottom"/>
            <w:tcBorders>
              <w:top w:val="single" w:sz="8" w:color="0000FF"/>
              <w:bottom w:val="single" w:sz="8" w:color="auto"/>
            </w:tcBorders>
          </w:tcPr>
          <w:p>
            <w:pPr>
              <w:spacing w:after="0"/>
              <w:rPr>
                <w:sz w:val="2"/>
                <w:szCs w:val="2"/>
                <w:color w:val="auto"/>
              </w:rPr>
            </w:pPr>
          </w:p>
        </w:tc>
        <w:tc>
          <w:tcPr>
            <w:tcW w:w="1100" w:type="dxa"/>
            <w:vAlign w:val="bottom"/>
            <w:tcBorders>
              <w:top w:val="single" w:sz="8" w:color="0000FF"/>
              <w:bottom w:val="single" w:sz="8" w:color="auto"/>
            </w:tcBorders>
          </w:tcPr>
          <w:p>
            <w:pPr>
              <w:spacing w:after="0"/>
              <w:rPr>
                <w:sz w:val="2"/>
                <w:szCs w:val="2"/>
                <w:color w:val="auto"/>
              </w:rPr>
            </w:pPr>
          </w:p>
        </w:tc>
        <w:tc>
          <w:tcPr>
            <w:tcW w:w="1180" w:type="dxa"/>
            <w:vAlign w:val="bottom"/>
            <w:tcBorders>
              <w:top w:val="single" w:sz="8" w:color="0000FF"/>
              <w:bottom w:val="single" w:sz="8" w:color="auto"/>
            </w:tcBorders>
          </w:tcPr>
          <w:p>
            <w:pPr>
              <w:spacing w:after="0"/>
              <w:rPr>
                <w:sz w:val="2"/>
                <w:szCs w:val="2"/>
                <w:color w:val="auto"/>
              </w:rPr>
            </w:pPr>
          </w:p>
        </w:tc>
        <w:tc>
          <w:tcPr>
            <w:tcW w:w="220" w:type="dxa"/>
            <w:vAlign w:val="bottom"/>
            <w:tcBorders>
              <w:top w:val="single" w:sz="8" w:color="0000FF"/>
              <w:bottom w:val="single" w:sz="8" w:color="auto"/>
            </w:tcBorders>
          </w:tcPr>
          <w:p>
            <w:pPr>
              <w:spacing w:after="0"/>
              <w:rPr>
                <w:sz w:val="2"/>
                <w:szCs w:val="2"/>
                <w:color w:val="auto"/>
              </w:rPr>
            </w:pPr>
          </w:p>
        </w:tc>
        <w:tc>
          <w:tcPr>
            <w:tcW w:w="60" w:type="dxa"/>
            <w:vAlign w:val="bottom"/>
            <w:tcBorders>
              <w:top w:val="single" w:sz="8" w:color="0000FF"/>
              <w:bottom w:val="single" w:sz="8" w:color="auto"/>
            </w:tcBorders>
          </w:tcPr>
          <w:p>
            <w:pPr>
              <w:spacing w:after="0"/>
              <w:rPr>
                <w:sz w:val="2"/>
                <w:szCs w:val="2"/>
                <w:color w:val="auto"/>
              </w:rPr>
            </w:pPr>
          </w:p>
        </w:tc>
        <w:tc>
          <w:tcPr>
            <w:tcW w:w="460" w:type="dxa"/>
            <w:vAlign w:val="bottom"/>
            <w:tcBorders>
              <w:top w:val="single" w:sz="8" w:color="0000FF"/>
              <w:bottom w:val="single" w:sz="8" w:color="auto"/>
            </w:tcBorders>
          </w:tcPr>
          <w:p>
            <w:pPr>
              <w:spacing w:after="0"/>
              <w:rPr>
                <w:sz w:val="2"/>
                <w:szCs w:val="2"/>
                <w:color w:val="auto"/>
              </w:rPr>
            </w:pPr>
          </w:p>
        </w:tc>
        <w:tc>
          <w:tcPr>
            <w:tcW w:w="40" w:type="dxa"/>
            <w:vAlign w:val="bottom"/>
            <w:tcBorders>
              <w:top w:val="single" w:sz="8" w:color="0000FF"/>
              <w:bottom w:val="single" w:sz="8" w:color="auto"/>
            </w:tcBorders>
          </w:tcPr>
          <w:p>
            <w:pPr>
              <w:spacing w:after="0"/>
              <w:rPr>
                <w:sz w:val="2"/>
                <w:szCs w:val="2"/>
                <w:color w:val="auto"/>
              </w:rPr>
            </w:pPr>
          </w:p>
        </w:tc>
        <w:tc>
          <w:tcPr>
            <w:tcW w:w="140" w:type="dxa"/>
            <w:vAlign w:val="bottom"/>
            <w:tcBorders>
              <w:top w:val="single" w:sz="8" w:color="0000FF"/>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right w:val="single" w:sz="8" w:color="auto"/>
            </w:tcBorders>
          </w:tcPr>
          <w:p>
            <w:pPr>
              <w:spacing w:after="0"/>
              <w:rPr>
                <w:sz w:val="2"/>
                <w:szCs w:val="2"/>
                <w:color w:val="auto"/>
              </w:rPr>
            </w:pPr>
          </w:p>
        </w:tc>
      </w:tr>
      <w:tr>
        <w:trPr>
          <w:trHeight w:val="183"/>
        </w:trPr>
        <w:tc>
          <w:tcPr>
            <w:tcW w:w="1160" w:type="dxa"/>
            <w:vAlign w:val="bottom"/>
            <w:tcBorders>
              <w:left w:val="single" w:sz="8" w:color="auto"/>
              <w:right w:val="single" w:sz="8" w:color="auto"/>
            </w:tcBorders>
          </w:tcPr>
          <w:p>
            <w:pPr>
              <w:ind w:left="40"/>
              <w:spacing w:after="0" w:line="183" w:lineRule="exact"/>
              <w:rPr>
                <w:sz w:val="20"/>
                <w:szCs w:val="20"/>
                <w:color w:val="auto"/>
              </w:rPr>
            </w:pPr>
            <w:r>
              <w:rPr>
                <w:rFonts w:ascii="Arial" w:cs="Arial" w:eastAsia="Arial" w:hAnsi="Arial"/>
                <w:sz w:val="16"/>
                <w:szCs w:val="16"/>
                <w:color w:val="auto"/>
              </w:rPr>
              <w:t>4.1(a)</w:t>
            </w:r>
          </w:p>
        </w:tc>
        <w:tc>
          <w:tcPr>
            <w:tcW w:w="12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9940" w:type="dxa"/>
            <w:vAlign w:val="bottom"/>
            <w:tcBorders>
              <w:bottom w:val="single" w:sz="8" w:color="0000FF"/>
            </w:tcBorders>
            <w:gridSpan w:val="32"/>
          </w:tcPr>
          <w:p>
            <w:pPr>
              <w:spacing w:after="0" w:line="183" w:lineRule="exact"/>
              <w:rPr>
                <w:rFonts w:ascii="Arial" w:cs="Arial" w:eastAsia="Arial" w:hAnsi="Arial"/>
                <w:sz w:val="16"/>
                <w:szCs w:val="16"/>
                <w:color w:val="0000FF"/>
              </w:rPr>
            </w:pPr>
            <w:hyperlink r:id="rId148">
              <w:r>
                <w:rPr>
                  <w:rFonts w:ascii="Arial" w:cs="Arial" w:eastAsia="Arial" w:hAnsi="Arial"/>
                  <w:sz w:val="16"/>
                  <w:szCs w:val="16"/>
                  <w:color w:val="0000FF"/>
                </w:rPr>
                <w:t>Supplemental Indenture, dated as of June 21, 2013, to the Indenture, dated as of April 3, 2013, by and among Avis Budget Finance plc, as</w:t>
              </w:r>
            </w:hyperlink>
          </w:p>
        </w:tc>
        <w:tc>
          <w:tcPr>
            <w:tcW w:w="200" w:type="dxa"/>
            <w:vAlign w:val="bottom"/>
            <w:tcBorders>
              <w:right w:val="single" w:sz="8" w:color="auto"/>
            </w:tcBorders>
            <w:gridSpan w:val="8"/>
          </w:tcPr>
          <w:p>
            <w:pPr>
              <w:spacing w:after="0"/>
              <w:rPr>
                <w:sz w:val="15"/>
                <w:szCs w:val="15"/>
                <w:color w:val="auto"/>
              </w:rPr>
            </w:pPr>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9980" w:type="dxa"/>
            <w:vAlign w:val="bottom"/>
            <w:tcBorders>
              <w:bottom w:val="single" w:sz="8" w:color="0000FF"/>
            </w:tcBorders>
            <w:gridSpan w:val="34"/>
          </w:tcPr>
          <w:p>
            <w:pPr>
              <w:spacing w:after="0" w:line="169" w:lineRule="exact"/>
              <w:rPr>
                <w:rFonts w:ascii="Arial" w:cs="Arial" w:eastAsia="Arial" w:hAnsi="Arial"/>
                <w:sz w:val="16"/>
                <w:szCs w:val="16"/>
                <w:color w:val="0000FF"/>
              </w:rPr>
            </w:pPr>
            <w:hyperlink r:id="rId148">
              <w:r>
                <w:rPr>
                  <w:rFonts w:ascii="Arial" w:cs="Arial" w:eastAsia="Arial" w:hAnsi="Arial"/>
                  <w:sz w:val="16"/>
                  <w:szCs w:val="16"/>
                  <w:color w:val="0000FF"/>
                </w:rPr>
                <w:t>Issuer, the Guarantors from time to time parties thereto and The Bank of Nova Scotia Trust Company of New York as Trustee (Incorporated</w:t>
              </w:r>
            </w:hyperlink>
          </w:p>
        </w:tc>
        <w:tc>
          <w:tcPr>
            <w:tcW w:w="160" w:type="dxa"/>
            <w:vAlign w:val="bottom"/>
            <w:tcBorders>
              <w:right w:val="single" w:sz="8" w:color="auto"/>
            </w:tcBorders>
            <w:gridSpan w:val="6"/>
          </w:tcPr>
          <w:p>
            <w:pPr>
              <w:spacing w:after="0"/>
              <w:rPr>
                <w:sz w:val="14"/>
                <w:szCs w:val="14"/>
                <w:color w:val="auto"/>
              </w:rPr>
            </w:pPr>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140" w:type="dxa"/>
            <w:vAlign w:val="bottom"/>
            <w:tcBorders>
              <w:right w:val="single" w:sz="8" w:color="auto"/>
            </w:tcBorders>
            <w:gridSpan w:val="40"/>
          </w:tcPr>
          <w:p>
            <w:pPr>
              <w:spacing w:after="0" w:line="169" w:lineRule="exact"/>
              <w:rPr>
                <w:rFonts w:ascii="Arial" w:cs="Arial" w:eastAsia="Arial" w:hAnsi="Arial"/>
                <w:sz w:val="16"/>
                <w:szCs w:val="16"/>
                <w:color w:val="0000FF"/>
              </w:rPr>
            </w:pPr>
            <w:hyperlink r:id="rId148">
              <w:r>
                <w:rPr>
                  <w:rFonts w:ascii="Arial" w:cs="Arial" w:eastAsia="Arial" w:hAnsi="Arial"/>
                  <w:sz w:val="16"/>
                  <w:szCs w:val="16"/>
                  <w:color w:val="0000FF"/>
                </w:rPr>
                <w:t>by reference to Exhibit 4.12(b) to Avis Budget Car Rental, LLC and Avis Budget Finance, Inc.’s Registration Statement on Form S-4,</w:t>
              </w:r>
            </w:hyperlink>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9460" w:type="dxa"/>
            <w:vAlign w:val="bottom"/>
            <w:tcBorders>
              <w:top w:val="single" w:sz="8" w:color="0000FF"/>
            </w:tcBorders>
            <w:gridSpan w:val="19"/>
          </w:tcPr>
          <w:p>
            <w:pPr>
              <w:spacing w:after="0" w:line="169" w:lineRule="exact"/>
              <w:rPr>
                <w:rFonts w:ascii="Arial" w:cs="Arial" w:eastAsia="Arial" w:hAnsi="Arial"/>
                <w:sz w:val="16"/>
                <w:szCs w:val="16"/>
                <w:color w:val="0000FF"/>
              </w:rPr>
            </w:pPr>
            <w:hyperlink r:id="rId148">
              <w:r>
                <w:rPr>
                  <w:rFonts w:ascii="Arial" w:cs="Arial" w:eastAsia="Arial" w:hAnsi="Arial"/>
                  <w:sz w:val="16"/>
                  <w:szCs w:val="16"/>
                  <w:color w:val="0000FF"/>
                </w:rPr>
                <w:t>Registration No.</w:t>
              </w:r>
            </w:hyperlink>
          </w:p>
        </w:tc>
        <w:tc>
          <w:tcPr>
            <w:tcW w:w="680" w:type="dxa"/>
            <w:vAlign w:val="bottom"/>
            <w:tcBorders>
              <w:right w:val="single" w:sz="8" w:color="auto"/>
            </w:tcBorders>
            <w:gridSpan w:val="21"/>
          </w:tcPr>
          <w:p>
            <w:pPr>
              <w:spacing w:after="0"/>
              <w:rPr>
                <w:sz w:val="14"/>
                <w:szCs w:val="14"/>
                <w:color w:val="auto"/>
              </w:rPr>
            </w:pPr>
          </w:p>
        </w:tc>
      </w:tr>
      <w:tr>
        <w:trPr>
          <w:trHeight w:val="20"/>
        </w:trPr>
        <w:tc>
          <w:tcPr>
            <w:tcW w:w="1160" w:type="dxa"/>
            <w:vAlign w:val="bottom"/>
            <w:tcBorders>
              <w:left w:val="single" w:sz="8" w:color="auto"/>
              <w:right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72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140" w:type="dxa"/>
            <w:vAlign w:val="bottom"/>
            <w:tcBorders>
              <w:right w:val="single" w:sz="8" w:color="auto"/>
            </w:tcBorders>
            <w:gridSpan w:val="40"/>
          </w:tcPr>
          <w:p>
            <w:pPr>
              <w:spacing w:after="0" w:line="169" w:lineRule="exact"/>
              <w:rPr>
                <w:rFonts w:ascii="Arial" w:cs="Arial" w:eastAsia="Arial" w:hAnsi="Arial"/>
                <w:sz w:val="16"/>
                <w:szCs w:val="16"/>
                <w:color w:val="0000FF"/>
              </w:rPr>
            </w:pPr>
            <w:hyperlink r:id="rId148">
              <w:r>
                <w:rPr>
                  <w:rFonts w:ascii="Arial" w:cs="Arial" w:eastAsia="Arial" w:hAnsi="Arial"/>
                  <w:sz w:val="16"/>
                  <w:szCs w:val="16"/>
                  <w:color w:val="0000FF"/>
                </w:rPr>
                <w:t>333-189524, dated June 21, 2013).</w:t>
              </w:r>
            </w:hyperlink>
          </w:p>
        </w:tc>
      </w:tr>
      <w:tr>
        <w:trPr>
          <w:trHeight w:val="34"/>
        </w:trPr>
        <w:tc>
          <w:tcPr>
            <w:tcW w:w="1160" w:type="dxa"/>
            <w:vAlign w:val="bottom"/>
            <w:tcBorders>
              <w:left w:val="single" w:sz="8" w:color="auto"/>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60" w:type="dxa"/>
            <w:vAlign w:val="bottom"/>
            <w:tcBorders>
              <w:top w:val="single" w:sz="8" w:color="0000FF"/>
              <w:bottom w:val="single" w:sz="8" w:color="auto"/>
            </w:tcBorders>
          </w:tcPr>
          <w:p>
            <w:pPr>
              <w:spacing w:after="0"/>
              <w:rPr>
                <w:sz w:val="2"/>
                <w:szCs w:val="2"/>
                <w:color w:val="auto"/>
              </w:rPr>
            </w:pPr>
          </w:p>
        </w:tc>
        <w:tc>
          <w:tcPr>
            <w:tcW w:w="280" w:type="dxa"/>
            <w:vAlign w:val="bottom"/>
            <w:tcBorders>
              <w:top w:val="single" w:sz="8" w:color="0000FF"/>
              <w:bottom w:val="single" w:sz="8" w:color="auto"/>
            </w:tcBorders>
          </w:tcPr>
          <w:p>
            <w:pPr>
              <w:spacing w:after="0"/>
              <w:rPr>
                <w:sz w:val="2"/>
                <w:szCs w:val="2"/>
                <w:color w:val="auto"/>
              </w:rPr>
            </w:pPr>
          </w:p>
        </w:tc>
        <w:tc>
          <w:tcPr>
            <w:tcW w:w="420" w:type="dxa"/>
            <w:vAlign w:val="bottom"/>
            <w:tcBorders>
              <w:top w:val="single" w:sz="8" w:color="0000FF"/>
              <w:bottom w:val="single" w:sz="8" w:color="auto"/>
            </w:tcBorders>
          </w:tcPr>
          <w:p>
            <w:pPr>
              <w:spacing w:after="0"/>
              <w:rPr>
                <w:sz w:val="2"/>
                <w:szCs w:val="2"/>
                <w:color w:val="auto"/>
              </w:rPr>
            </w:pPr>
          </w:p>
        </w:tc>
        <w:tc>
          <w:tcPr>
            <w:tcW w:w="40" w:type="dxa"/>
            <w:vAlign w:val="bottom"/>
            <w:tcBorders>
              <w:top w:val="single" w:sz="8" w:color="0000FF"/>
              <w:bottom w:val="single" w:sz="8" w:color="auto"/>
            </w:tcBorders>
          </w:tcPr>
          <w:p>
            <w:pPr>
              <w:spacing w:after="0"/>
              <w:rPr>
                <w:sz w:val="2"/>
                <w:szCs w:val="2"/>
                <w:color w:val="auto"/>
              </w:rPr>
            </w:pPr>
          </w:p>
        </w:tc>
        <w:tc>
          <w:tcPr>
            <w:tcW w:w="240" w:type="dxa"/>
            <w:vAlign w:val="bottom"/>
            <w:tcBorders>
              <w:top w:val="single" w:sz="8" w:color="0000FF"/>
              <w:bottom w:val="single" w:sz="8" w:color="auto"/>
            </w:tcBorders>
          </w:tcPr>
          <w:p>
            <w:pPr>
              <w:spacing w:after="0"/>
              <w:rPr>
                <w:sz w:val="2"/>
                <w:szCs w:val="2"/>
                <w:color w:val="auto"/>
              </w:rPr>
            </w:pPr>
          </w:p>
        </w:tc>
        <w:tc>
          <w:tcPr>
            <w:tcW w:w="1100" w:type="dxa"/>
            <w:vAlign w:val="bottom"/>
            <w:tcBorders>
              <w:top w:val="single" w:sz="8" w:color="0000FF"/>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right w:val="single" w:sz="8" w:color="auto"/>
            </w:tcBorders>
          </w:tcPr>
          <w:p>
            <w:pPr>
              <w:spacing w:after="0"/>
              <w:rPr>
                <w:sz w:val="2"/>
                <w:szCs w:val="2"/>
                <w:color w:val="auto"/>
              </w:rPr>
            </w:pPr>
          </w:p>
        </w:tc>
      </w:tr>
      <w:tr>
        <w:trPr>
          <w:trHeight w:val="183"/>
        </w:trPr>
        <w:tc>
          <w:tcPr>
            <w:tcW w:w="1160" w:type="dxa"/>
            <w:vAlign w:val="bottom"/>
            <w:tcBorders>
              <w:left w:val="single" w:sz="8" w:color="auto"/>
              <w:right w:val="single" w:sz="8" w:color="auto"/>
            </w:tcBorders>
          </w:tcPr>
          <w:p>
            <w:pPr>
              <w:ind w:left="40"/>
              <w:spacing w:after="0" w:line="183" w:lineRule="exact"/>
              <w:rPr>
                <w:sz w:val="20"/>
                <w:szCs w:val="20"/>
                <w:color w:val="auto"/>
              </w:rPr>
            </w:pPr>
            <w:r>
              <w:rPr>
                <w:rFonts w:ascii="Arial" w:cs="Arial" w:eastAsia="Arial" w:hAnsi="Arial"/>
                <w:sz w:val="16"/>
                <w:szCs w:val="16"/>
                <w:color w:val="auto"/>
              </w:rPr>
              <w:t>4.2</w:t>
            </w:r>
          </w:p>
        </w:tc>
        <w:tc>
          <w:tcPr>
            <w:tcW w:w="12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0100" w:type="dxa"/>
            <w:vAlign w:val="bottom"/>
            <w:tcBorders>
              <w:bottom w:val="single" w:sz="8" w:color="0000FF"/>
            </w:tcBorders>
            <w:gridSpan w:val="39"/>
          </w:tcPr>
          <w:p>
            <w:pPr>
              <w:spacing w:after="0" w:line="183" w:lineRule="exact"/>
              <w:rPr>
                <w:rFonts w:ascii="Arial" w:cs="Arial" w:eastAsia="Arial" w:hAnsi="Arial"/>
                <w:sz w:val="16"/>
                <w:szCs w:val="16"/>
                <w:color w:val="0000FF"/>
              </w:rPr>
            </w:pPr>
            <w:hyperlink r:id="rId149">
              <w:r>
                <w:rPr>
                  <w:rFonts w:ascii="Arial" w:cs="Arial" w:eastAsia="Arial" w:hAnsi="Arial"/>
                  <w:sz w:val="16"/>
                  <w:szCs w:val="16"/>
                  <w:color w:val="0000FF"/>
                </w:rPr>
                <w:t>Form of 5.50% Senior Notes due 2023 (Incorporated by reference to Exhibit 4.2 to the Company’s Current Report on Form 8-K dated April 8,</w:t>
              </w:r>
            </w:hyperlink>
          </w:p>
        </w:tc>
        <w:tc>
          <w:tcPr>
            <w:tcW w:w="40" w:type="dxa"/>
            <w:vAlign w:val="bottom"/>
            <w:tcBorders>
              <w:right w:val="single" w:sz="8" w:color="auto"/>
            </w:tcBorders>
          </w:tcPr>
          <w:p>
            <w:pPr>
              <w:spacing w:after="0"/>
              <w:rPr>
                <w:sz w:val="15"/>
                <w:szCs w:val="15"/>
                <w:color w:val="auto"/>
              </w:rPr>
            </w:pPr>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Borders>
              <w:bottom w:val="single" w:sz="8" w:color="0000FF"/>
            </w:tcBorders>
          </w:tcPr>
          <w:p>
            <w:pPr>
              <w:spacing w:after="0" w:line="169" w:lineRule="exact"/>
              <w:rPr>
                <w:rFonts w:ascii="Arial" w:cs="Arial" w:eastAsia="Arial" w:hAnsi="Arial"/>
                <w:sz w:val="16"/>
                <w:szCs w:val="16"/>
                <w:color w:val="0000FF"/>
                <w:w w:val="96"/>
              </w:rPr>
            </w:pPr>
            <w:hyperlink r:id="rId149">
              <w:r>
                <w:rPr>
                  <w:rFonts w:ascii="Arial" w:cs="Arial" w:eastAsia="Arial" w:hAnsi="Arial"/>
                  <w:sz w:val="16"/>
                  <w:szCs w:val="16"/>
                  <w:color w:val="0000FF"/>
                  <w:w w:val="96"/>
                </w:rPr>
                <w:t>2013).</w:t>
              </w:r>
            </w:hyperlink>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Borders>
              <w:right w:val="single" w:sz="8" w:color="auto"/>
            </w:tcBorders>
          </w:tcPr>
          <w:p>
            <w:pPr>
              <w:spacing w:after="0"/>
              <w:rPr>
                <w:sz w:val="14"/>
                <w:szCs w:val="14"/>
                <w:color w:val="auto"/>
              </w:rPr>
            </w:pPr>
          </w:p>
        </w:tc>
      </w:tr>
      <w:tr>
        <w:trPr>
          <w:trHeight w:val="223"/>
        </w:trPr>
        <w:tc>
          <w:tcPr>
            <w:tcW w:w="11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4.3</w:t>
            </w:r>
          </w:p>
        </w:tc>
        <w:tc>
          <w:tcPr>
            <w:tcW w:w="120" w:type="dxa"/>
            <w:vAlign w:val="bottom"/>
            <w:tcBorders>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0140" w:type="dxa"/>
            <w:vAlign w:val="bottom"/>
            <w:tcBorders>
              <w:right w:val="single" w:sz="8" w:color="auto"/>
            </w:tcBorders>
            <w:gridSpan w:val="40"/>
          </w:tcPr>
          <w:p>
            <w:pPr>
              <w:spacing w:after="0"/>
              <w:rPr>
                <w:rFonts w:ascii="Arial" w:cs="Arial" w:eastAsia="Arial" w:hAnsi="Arial"/>
                <w:sz w:val="16"/>
                <w:szCs w:val="16"/>
                <w:color w:val="0000FF"/>
              </w:rPr>
            </w:pPr>
            <w:hyperlink r:id="rId150">
              <w:r>
                <w:rPr>
                  <w:rFonts w:ascii="Arial" w:cs="Arial" w:eastAsia="Arial" w:hAnsi="Arial"/>
                  <w:sz w:val="16"/>
                  <w:szCs w:val="16"/>
                  <w:color w:val="0000FF"/>
                </w:rPr>
                <w:t>Indenture dated as of May 16, 2014 among Avis Budget Car Rental, LLC and Avis Budget Finance, Inc., as Issuers, the Guarantors from</w:t>
              </w:r>
            </w:hyperlink>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9780" w:type="dxa"/>
            <w:vAlign w:val="bottom"/>
            <w:tcBorders>
              <w:top w:val="single" w:sz="8" w:color="0000FF"/>
            </w:tcBorders>
            <w:gridSpan w:val="24"/>
          </w:tcPr>
          <w:p>
            <w:pPr>
              <w:spacing w:after="0" w:line="169" w:lineRule="exact"/>
              <w:rPr>
                <w:rFonts w:ascii="Arial" w:cs="Arial" w:eastAsia="Arial" w:hAnsi="Arial"/>
                <w:sz w:val="16"/>
                <w:szCs w:val="16"/>
                <w:color w:val="0000FF"/>
              </w:rPr>
            </w:pPr>
            <w:hyperlink r:id="rId150">
              <w:r>
                <w:rPr>
                  <w:rFonts w:ascii="Arial" w:cs="Arial" w:eastAsia="Arial" w:hAnsi="Arial"/>
                  <w:sz w:val="16"/>
                  <w:szCs w:val="16"/>
                  <w:color w:val="0000FF"/>
                </w:rPr>
                <w:t>time to time parties thereto and Deutsche Bank Trust Company Americas as Trustee (Incorporated by reference to Exhibit 4.1 to the</w:t>
              </w:r>
            </w:hyperlink>
          </w:p>
        </w:tc>
        <w:tc>
          <w:tcPr>
            <w:tcW w:w="360" w:type="dxa"/>
            <w:vAlign w:val="bottom"/>
            <w:tcBorders>
              <w:right w:val="single" w:sz="8" w:color="auto"/>
            </w:tcBorders>
            <w:gridSpan w:val="16"/>
          </w:tcPr>
          <w:p>
            <w:pPr>
              <w:spacing w:after="0"/>
              <w:rPr>
                <w:sz w:val="14"/>
                <w:szCs w:val="14"/>
                <w:color w:val="auto"/>
              </w:rPr>
            </w:pPr>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9440" w:type="dxa"/>
            <w:vAlign w:val="bottom"/>
            <w:tcBorders>
              <w:top w:val="single" w:sz="8" w:color="0000FF"/>
            </w:tcBorders>
            <w:gridSpan w:val="18"/>
          </w:tcPr>
          <w:p>
            <w:pPr>
              <w:spacing w:after="0" w:line="169" w:lineRule="exact"/>
              <w:rPr>
                <w:rFonts w:ascii="Arial" w:cs="Arial" w:eastAsia="Arial" w:hAnsi="Arial"/>
                <w:sz w:val="16"/>
                <w:szCs w:val="16"/>
                <w:color w:val="0000FF"/>
              </w:rPr>
            </w:pPr>
            <w:hyperlink r:id="rId150">
              <w:r>
                <w:rPr>
                  <w:rFonts w:ascii="Arial" w:cs="Arial" w:eastAsia="Arial" w:hAnsi="Arial"/>
                  <w:sz w:val="16"/>
                  <w:szCs w:val="16"/>
                  <w:color w:val="0000FF"/>
                </w:rPr>
                <w:t>Company’s Current Report on Form 8-K dated May 19, 2014).</w:t>
              </w:r>
            </w:hyperlink>
          </w:p>
        </w:tc>
        <w:tc>
          <w:tcPr>
            <w:tcW w:w="700" w:type="dxa"/>
            <w:vAlign w:val="bottom"/>
            <w:tcBorders>
              <w:right w:val="single" w:sz="8" w:color="auto"/>
            </w:tcBorders>
            <w:gridSpan w:val="22"/>
          </w:tcPr>
          <w:p>
            <w:pPr>
              <w:spacing w:after="0"/>
              <w:rPr>
                <w:sz w:val="14"/>
                <w:szCs w:val="14"/>
                <w:color w:val="auto"/>
              </w:rPr>
            </w:pPr>
          </w:p>
        </w:tc>
      </w:tr>
      <w:tr>
        <w:trPr>
          <w:trHeight w:val="34"/>
        </w:trPr>
        <w:tc>
          <w:tcPr>
            <w:tcW w:w="1160" w:type="dxa"/>
            <w:vAlign w:val="bottom"/>
            <w:tcBorders>
              <w:left w:val="single" w:sz="8" w:color="auto"/>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60" w:type="dxa"/>
            <w:vAlign w:val="bottom"/>
            <w:tcBorders>
              <w:top w:val="single" w:sz="8" w:color="0000FF"/>
              <w:bottom w:val="single" w:sz="8" w:color="auto"/>
            </w:tcBorders>
          </w:tcPr>
          <w:p>
            <w:pPr>
              <w:spacing w:after="0"/>
              <w:rPr>
                <w:sz w:val="2"/>
                <w:szCs w:val="2"/>
                <w:color w:val="auto"/>
              </w:rPr>
            </w:pPr>
          </w:p>
        </w:tc>
        <w:tc>
          <w:tcPr>
            <w:tcW w:w="280" w:type="dxa"/>
            <w:vAlign w:val="bottom"/>
            <w:tcBorders>
              <w:top w:val="single" w:sz="8" w:color="0000FF"/>
              <w:bottom w:val="single" w:sz="8" w:color="auto"/>
            </w:tcBorders>
          </w:tcPr>
          <w:p>
            <w:pPr>
              <w:spacing w:after="0"/>
              <w:rPr>
                <w:sz w:val="2"/>
                <w:szCs w:val="2"/>
                <w:color w:val="auto"/>
              </w:rPr>
            </w:pPr>
          </w:p>
        </w:tc>
        <w:tc>
          <w:tcPr>
            <w:tcW w:w="420" w:type="dxa"/>
            <w:vAlign w:val="bottom"/>
            <w:tcBorders>
              <w:top w:val="single" w:sz="8" w:color="0000FF"/>
              <w:bottom w:val="single" w:sz="8" w:color="auto"/>
            </w:tcBorders>
          </w:tcPr>
          <w:p>
            <w:pPr>
              <w:spacing w:after="0"/>
              <w:rPr>
                <w:sz w:val="2"/>
                <w:szCs w:val="2"/>
                <w:color w:val="auto"/>
              </w:rPr>
            </w:pPr>
          </w:p>
        </w:tc>
        <w:tc>
          <w:tcPr>
            <w:tcW w:w="40" w:type="dxa"/>
            <w:vAlign w:val="bottom"/>
            <w:tcBorders>
              <w:top w:val="single" w:sz="8" w:color="0000FF"/>
              <w:bottom w:val="single" w:sz="8" w:color="auto"/>
            </w:tcBorders>
          </w:tcPr>
          <w:p>
            <w:pPr>
              <w:spacing w:after="0"/>
              <w:rPr>
                <w:sz w:val="2"/>
                <w:szCs w:val="2"/>
                <w:color w:val="auto"/>
              </w:rPr>
            </w:pPr>
          </w:p>
        </w:tc>
        <w:tc>
          <w:tcPr>
            <w:tcW w:w="240" w:type="dxa"/>
            <w:vAlign w:val="bottom"/>
            <w:tcBorders>
              <w:top w:val="single" w:sz="8" w:color="0000FF"/>
              <w:bottom w:val="single" w:sz="8" w:color="auto"/>
            </w:tcBorders>
          </w:tcPr>
          <w:p>
            <w:pPr>
              <w:spacing w:after="0"/>
              <w:rPr>
                <w:sz w:val="2"/>
                <w:szCs w:val="2"/>
                <w:color w:val="auto"/>
              </w:rPr>
            </w:pPr>
          </w:p>
        </w:tc>
        <w:tc>
          <w:tcPr>
            <w:tcW w:w="1100" w:type="dxa"/>
            <w:vAlign w:val="bottom"/>
            <w:tcBorders>
              <w:top w:val="single" w:sz="8" w:color="0000FF"/>
              <w:bottom w:val="single" w:sz="8" w:color="auto"/>
            </w:tcBorders>
          </w:tcPr>
          <w:p>
            <w:pPr>
              <w:spacing w:after="0"/>
              <w:rPr>
                <w:sz w:val="2"/>
                <w:szCs w:val="2"/>
                <w:color w:val="auto"/>
              </w:rPr>
            </w:pPr>
          </w:p>
        </w:tc>
        <w:tc>
          <w:tcPr>
            <w:tcW w:w="1180" w:type="dxa"/>
            <w:vAlign w:val="bottom"/>
            <w:tcBorders>
              <w:top w:val="single" w:sz="8" w:color="0000FF"/>
              <w:bottom w:val="single" w:sz="8" w:color="auto"/>
            </w:tcBorders>
          </w:tcPr>
          <w:p>
            <w:pPr>
              <w:spacing w:after="0"/>
              <w:rPr>
                <w:sz w:val="2"/>
                <w:szCs w:val="2"/>
                <w:color w:val="auto"/>
              </w:rPr>
            </w:pPr>
          </w:p>
        </w:tc>
        <w:tc>
          <w:tcPr>
            <w:tcW w:w="220" w:type="dxa"/>
            <w:vAlign w:val="bottom"/>
            <w:tcBorders>
              <w:top w:val="single" w:sz="8" w:color="0000FF"/>
              <w:bottom w:val="single" w:sz="8" w:color="auto"/>
            </w:tcBorders>
          </w:tcPr>
          <w:p>
            <w:pPr>
              <w:spacing w:after="0"/>
              <w:rPr>
                <w:sz w:val="2"/>
                <w:szCs w:val="2"/>
                <w:color w:val="auto"/>
              </w:rPr>
            </w:pPr>
          </w:p>
        </w:tc>
        <w:tc>
          <w:tcPr>
            <w:tcW w:w="60" w:type="dxa"/>
            <w:vAlign w:val="bottom"/>
            <w:tcBorders>
              <w:top w:val="single" w:sz="8" w:color="0000FF"/>
              <w:bottom w:val="single" w:sz="8" w:color="auto"/>
            </w:tcBorders>
          </w:tcPr>
          <w:p>
            <w:pPr>
              <w:spacing w:after="0"/>
              <w:rPr>
                <w:sz w:val="2"/>
                <w:szCs w:val="2"/>
                <w:color w:val="auto"/>
              </w:rPr>
            </w:pPr>
          </w:p>
        </w:tc>
        <w:tc>
          <w:tcPr>
            <w:tcW w:w="460" w:type="dxa"/>
            <w:vAlign w:val="bottom"/>
            <w:tcBorders>
              <w:top w:val="single" w:sz="8" w:color="0000FF"/>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right w:val="single" w:sz="8" w:color="auto"/>
            </w:tcBorders>
          </w:tcPr>
          <w:p>
            <w:pPr>
              <w:spacing w:after="0"/>
              <w:rPr>
                <w:sz w:val="2"/>
                <w:szCs w:val="2"/>
                <w:color w:val="auto"/>
              </w:rPr>
            </w:pPr>
          </w:p>
        </w:tc>
      </w:tr>
      <w:tr>
        <w:trPr>
          <w:trHeight w:val="183"/>
        </w:trPr>
        <w:tc>
          <w:tcPr>
            <w:tcW w:w="1160" w:type="dxa"/>
            <w:vAlign w:val="bottom"/>
            <w:tcBorders>
              <w:left w:val="single" w:sz="8" w:color="auto"/>
              <w:right w:val="single" w:sz="8" w:color="auto"/>
            </w:tcBorders>
          </w:tcPr>
          <w:p>
            <w:pPr>
              <w:ind w:left="40"/>
              <w:spacing w:after="0" w:line="183" w:lineRule="exact"/>
              <w:rPr>
                <w:sz w:val="20"/>
                <w:szCs w:val="20"/>
                <w:color w:val="auto"/>
              </w:rPr>
            </w:pPr>
            <w:r>
              <w:rPr>
                <w:rFonts w:ascii="Arial" w:cs="Arial" w:eastAsia="Arial" w:hAnsi="Arial"/>
                <w:sz w:val="16"/>
                <w:szCs w:val="16"/>
                <w:color w:val="auto"/>
              </w:rPr>
              <w:t>4.4</w:t>
            </w:r>
          </w:p>
        </w:tc>
        <w:tc>
          <w:tcPr>
            <w:tcW w:w="12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0000" w:type="dxa"/>
            <w:vAlign w:val="bottom"/>
            <w:tcBorders>
              <w:bottom w:val="single" w:sz="8" w:color="0000FF"/>
            </w:tcBorders>
            <w:gridSpan w:val="35"/>
          </w:tcPr>
          <w:p>
            <w:pPr>
              <w:spacing w:after="0" w:line="183" w:lineRule="exact"/>
              <w:rPr>
                <w:rFonts w:ascii="Arial" w:cs="Arial" w:eastAsia="Arial" w:hAnsi="Arial"/>
                <w:sz w:val="16"/>
                <w:szCs w:val="16"/>
                <w:color w:val="0000FF"/>
              </w:rPr>
            </w:pPr>
            <w:hyperlink r:id="rId151">
              <w:r>
                <w:rPr>
                  <w:rFonts w:ascii="Arial" w:cs="Arial" w:eastAsia="Arial" w:hAnsi="Arial"/>
                  <w:sz w:val="16"/>
                  <w:szCs w:val="16"/>
                  <w:color w:val="0000FF"/>
                </w:rPr>
                <w:t>Form of 5.125% Senior Notes Due 2022 (Incorporated by reference to Exhibit 4.2 to the Company’s Current Report on Form 8-K dated May</w:t>
              </w:r>
            </w:hyperlink>
          </w:p>
        </w:tc>
        <w:tc>
          <w:tcPr>
            <w:tcW w:w="140" w:type="dxa"/>
            <w:vAlign w:val="bottom"/>
            <w:tcBorders>
              <w:right w:val="single" w:sz="8" w:color="auto"/>
            </w:tcBorders>
            <w:gridSpan w:val="5"/>
          </w:tcPr>
          <w:p>
            <w:pPr>
              <w:spacing w:after="0"/>
              <w:rPr>
                <w:sz w:val="15"/>
                <w:szCs w:val="15"/>
                <w:color w:val="auto"/>
              </w:rPr>
            </w:pPr>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1180" w:type="dxa"/>
            <w:vAlign w:val="bottom"/>
            <w:gridSpan w:val="4"/>
          </w:tcPr>
          <w:p>
            <w:pPr>
              <w:ind w:left="20"/>
              <w:spacing w:after="0" w:line="169" w:lineRule="exact"/>
              <w:rPr>
                <w:rFonts w:ascii="Arial" w:cs="Arial" w:eastAsia="Arial" w:hAnsi="Arial"/>
                <w:sz w:val="16"/>
                <w:szCs w:val="16"/>
                <w:color w:val="0000FF"/>
              </w:rPr>
            </w:pPr>
            <w:hyperlink r:id="rId151">
              <w:r>
                <w:rPr>
                  <w:rFonts w:ascii="Arial" w:cs="Arial" w:eastAsia="Arial" w:hAnsi="Arial"/>
                  <w:sz w:val="16"/>
                  <w:szCs w:val="16"/>
                  <w:color w:val="0000FF"/>
                </w:rPr>
                <w:t>19, 2014).</w:t>
              </w:r>
            </w:hyperlink>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Borders>
              <w:right w:val="single" w:sz="8" w:color="auto"/>
            </w:tcBorders>
          </w:tcPr>
          <w:p>
            <w:pPr>
              <w:spacing w:after="0"/>
              <w:rPr>
                <w:sz w:val="14"/>
                <w:szCs w:val="14"/>
                <w:color w:val="auto"/>
              </w:rPr>
            </w:pPr>
          </w:p>
        </w:tc>
      </w:tr>
      <w:tr>
        <w:trPr>
          <w:trHeight w:val="34"/>
        </w:trPr>
        <w:tc>
          <w:tcPr>
            <w:tcW w:w="1160" w:type="dxa"/>
            <w:vAlign w:val="bottom"/>
            <w:tcBorders>
              <w:left w:val="single" w:sz="8" w:color="auto"/>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60" w:type="dxa"/>
            <w:vAlign w:val="bottom"/>
            <w:tcBorders>
              <w:top w:val="single" w:sz="8" w:color="0000FF"/>
              <w:bottom w:val="single" w:sz="8" w:color="auto"/>
            </w:tcBorders>
          </w:tcPr>
          <w:p>
            <w:pPr>
              <w:spacing w:after="0"/>
              <w:rPr>
                <w:sz w:val="2"/>
                <w:szCs w:val="2"/>
                <w:color w:val="auto"/>
              </w:rPr>
            </w:pPr>
          </w:p>
        </w:tc>
        <w:tc>
          <w:tcPr>
            <w:tcW w:w="280" w:type="dxa"/>
            <w:vAlign w:val="bottom"/>
            <w:tcBorders>
              <w:top w:val="single" w:sz="8" w:color="0000FF"/>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right w:val="single" w:sz="8" w:color="auto"/>
            </w:tcBorders>
          </w:tcPr>
          <w:p>
            <w:pPr>
              <w:spacing w:after="0"/>
              <w:rPr>
                <w:sz w:val="2"/>
                <w:szCs w:val="2"/>
                <w:color w:val="auto"/>
              </w:rPr>
            </w:pPr>
          </w:p>
        </w:tc>
      </w:tr>
      <w:tr>
        <w:trPr>
          <w:trHeight w:val="183"/>
        </w:trPr>
        <w:tc>
          <w:tcPr>
            <w:tcW w:w="1160" w:type="dxa"/>
            <w:vAlign w:val="bottom"/>
            <w:tcBorders>
              <w:left w:val="single" w:sz="8" w:color="auto"/>
              <w:right w:val="single" w:sz="8" w:color="auto"/>
            </w:tcBorders>
          </w:tcPr>
          <w:p>
            <w:pPr>
              <w:ind w:left="40"/>
              <w:spacing w:after="0" w:line="183" w:lineRule="exact"/>
              <w:rPr>
                <w:sz w:val="20"/>
                <w:szCs w:val="20"/>
                <w:color w:val="auto"/>
              </w:rPr>
            </w:pPr>
            <w:r>
              <w:rPr>
                <w:rFonts w:ascii="Arial" w:cs="Arial" w:eastAsia="Arial" w:hAnsi="Arial"/>
                <w:sz w:val="16"/>
                <w:szCs w:val="16"/>
                <w:color w:val="auto"/>
              </w:rPr>
              <w:t>4.5</w:t>
            </w:r>
          </w:p>
        </w:tc>
        <w:tc>
          <w:tcPr>
            <w:tcW w:w="12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9940" w:type="dxa"/>
            <w:vAlign w:val="bottom"/>
            <w:tcBorders>
              <w:bottom w:val="single" w:sz="8" w:color="0000FF"/>
            </w:tcBorders>
            <w:gridSpan w:val="32"/>
          </w:tcPr>
          <w:p>
            <w:pPr>
              <w:spacing w:after="0" w:line="183" w:lineRule="exact"/>
              <w:rPr>
                <w:rFonts w:ascii="Arial" w:cs="Arial" w:eastAsia="Arial" w:hAnsi="Arial"/>
                <w:sz w:val="16"/>
                <w:szCs w:val="16"/>
                <w:color w:val="0000FF"/>
              </w:rPr>
            </w:pPr>
            <w:hyperlink r:id="rId152">
              <w:r>
                <w:rPr>
                  <w:rFonts w:ascii="Arial" w:cs="Arial" w:eastAsia="Arial" w:hAnsi="Arial"/>
                  <w:sz w:val="16"/>
                  <w:szCs w:val="16"/>
                  <w:color w:val="0000FF"/>
                </w:rPr>
                <w:t>Indenture dated as of March 11, 2015 among Avis Budget Car Rental, LLC and Avis Budget Finance, Inc., as Issuers, the Guarantors from</w:t>
              </w:r>
            </w:hyperlink>
          </w:p>
        </w:tc>
        <w:tc>
          <w:tcPr>
            <w:tcW w:w="200" w:type="dxa"/>
            <w:vAlign w:val="bottom"/>
            <w:tcBorders>
              <w:right w:val="single" w:sz="8" w:color="auto"/>
            </w:tcBorders>
            <w:gridSpan w:val="8"/>
          </w:tcPr>
          <w:p>
            <w:pPr>
              <w:spacing w:after="0"/>
              <w:rPr>
                <w:sz w:val="15"/>
                <w:szCs w:val="15"/>
                <w:color w:val="auto"/>
              </w:rPr>
            </w:pPr>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80" w:type="dxa"/>
            <w:vAlign w:val="bottom"/>
            <w:tcBorders>
              <w:bottom w:val="single" w:sz="8" w:color="0000FF"/>
            </w:tcBorders>
            <w:gridSpan w:val="38"/>
          </w:tcPr>
          <w:p>
            <w:pPr>
              <w:spacing w:after="0" w:line="169" w:lineRule="exact"/>
              <w:rPr>
                <w:rFonts w:ascii="Arial" w:cs="Arial" w:eastAsia="Arial" w:hAnsi="Arial"/>
                <w:sz w:val="16"/>
                <w:szCs w:val="16"/>
                <w:color w:val="0000FF"/>
              </w:rPr>
            </w:pPr>
            <w:hyperlink r:id="rId152">
              <w:r>
                <w:rPr>
                  <w:rFonts w:ascii="Arial" w:cs="Arial" w:eastAsia="Arial" w:hAnsi="Arial"/>
                  <w:sz w:val="16"/>
                  <w:szCs w:val="16"/>
                  <w:color w:val="0000FF"/>
                </w:rPr>
                <w:t>time to time parties thereto and The Bank of Nova Scotia Trust Company of New York as Trustee (Incorporated by reference to Exhibit 4.1 to</w:t>
              </w:r>
            </w:hyperlink>
          </w:p>
        </w:tc>
        <w:tc>
          <w:tcPr>
            <w:tcW w:w="60" w:type="dxa"/>
            <w:vAlign w:val="bottom"/>
            <w:tcBorders>
              <w:right w:val="single" w:sz="8" w:color="auto"/>
            </w:tcBorders>
            <w:gridSpan w:val="2"/>
          </w:tcPr>
          <w:p>
            <w:pPr>
              <w:spacing w:after="0"/>
              <w:rPr>
                <w:sz w:val="14"/>
                <w:szCs w:val="14"/>
                <w:color w:val="auto"/>
              </w:rPr>
            </w:pPr>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140" w:type="dxa"/>
            <w:vAlign w:val="bottom"/>
            <w:tcBorders>
              <w:right w:val="single" w:sz="8" w:color="auto"/>
            </w:tcBorders>
            <w:gridSpan w:val="40"/>
          </w:tcPr>
          <w:p>
            <w:pPr>
              <w:spacing w:after="0" w:line="169" w:lineRule="exact"/>
              <w:rPr>
                <w:rFonts w:ascii="Arial" w:cs="Arial" w:eastAsia="Arial" w:hAnsi="Arial"/>
                <w:sz w:val="16"/>
                <w:szCs w:val="16"/>
                <w:color w:val="0000FF"/>
              </w:rPr>
            </w:pPr>
            <w:hyperlink r:id="rId152">
              <w:r>
                <w:rPr>
                  <w:rFonts w:ascii="Arial" w:cs="Arial" w:eastAsia="Arial" w:hAnsi="Arial"/>
                  <w:sz w:val="16"/>
                  <w:szCs w:val="16"/>
                  <w:color w:val="0000FF"/>
                </w:rPr>
                <w:t>the Company’s Current Report on Form 8-K dated March 17, 2015).</w:t>
              </w:r>
            </w:hyperlink>
          </w:p>
        </w:tc>
      </w:tr>
      <w:tr>
        <w:trPr>
          <w:trHeight w:val="34"/>
        </w:trPr>
        <w:tc>
          <w:tcPr>
            <w:tcW w:w="1160" w:type="dxa"/>
            <w:vAlign w:val="bottom"/>
            <w:tcBorders>
              <w:left w:val="single" w:sz="8" w:color="auto"/>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60" w:type="dxa"/>
            <w:vAlign w:val="bottom"/>
            <w:tcBorders>
              <w:top w:val="single" w:sz="8" w:color="0000FF"/>
              <w:bottom w:val="single" w:sz="8" w:color="auto"/>
            </w:tcBorders>
          </w:tcPr>
          <w:p>
            <w:pPr>
              <w:spacing w:after="0"/>
              <w:rPr>
                <w:sz w:val="2"/>
                <w:szCs w:val="2"/>
                <w:color w:val="auto"/>
              </w:rPr>
            </w:pPr>
          </w:p>
        </w:tc>
        <w:tc>
          <w:tcPr>
            <w:tcW w:w="280" w:type="dxa"/>
            <w:vAlign w:val="bottom"/>
            <w:tcBorders>
              <w:top w:val="single" w:sz="8" w:color="0000FF"/>
              <w:bottom w:val="single" w:sz="8" w:color="auto"/>
            </w:tcBorders>
          </w:tcPr>
          <w:p>
            <w:pPr>
              <w:spacing w:after="0"/>
              <w:rPr>
                <w:sz w:val="2"/>
                <w:szCs w:val="2"/>
                <w:color w:val="auto"/>
              </w:rPr>
            </w:pPr>
          </w:p>
        </w:tc>
        <w:tc>
          <w:tcPr>
            <w:tcW w:w="420" w:type="dxa"/>
            <w:vAlign w:val="bottom"/>
            <w:tcBorders>
              <w:top w:val="single" w:sz="8" w:color="0000FF"/>
              <w:bottom w:val="single" w:sz="8" w:color="auto"/>
            </w:tcBorders>
          </w:tcPr>
          <w:p>
            <w:pPr>
              <w:spacing w:after="0"/>
              <w:rPr>
                <w:sz w:val="2"/>
                <w:szCs w:val="2"/>
                <w:color w:val="auto"/>
              </w:rPr>
            </w:pPr>
          </w:p>
        </w:tc>
        <w:tc>
          <w:tcPr>
            <w:tcW w:w="40" w:type="dxa"/>
            <w:vAlign w:val="bottom"/>
            <w:tcBorders>
              <w:top w:val="single" w:sz="8" w:color="0000FF"/>
              <w:bottom w:val="single" w:sz="8" w:color="auto"/>
            </w:tcBorders>
          </w:tcPr>
          <w:p>
            <w:pPr>
              <w:spacing w:after="0"/>
              <w:rPr>
                <w:sz w:val="2"/>
                <w:szCs w:val="2"/>
                <w:color w:val="auto"/>
              </w:rPr>
            </w:pPr>
          </w:p>
        </w:tc>
        <w:tc>
          <w:tcPr>
            <w:tcW w:w="240" w:type="dxa"/>
            <w:vAlign w:val="bottom"/>
            <w:tcBorders>
              <w:top w:val="single" w:sz="8" w:color="0000FF"/>
              <w:bottom w:val="single" w:sz="8" w:color="auto"/>
            </w:tcBorders>
          </w:tcPr>
          <w:p>
            <w:pPr>
              <w:spacing w:after="0"/>
              <w:rPr>
                <w:sz w:val="2"/>
                <w:szCs w:val="2"/>
                <w:color w:val="auto"/>
              </w:rPr>
            </w:pPr>
          </w:p>
        </w:tc>
        <w:tc>
          <w:tcPr>
            <w:tcW w:w="1100" w:type="dxa"/>
            <w:vAlign w:val="bottom"/>
            <w:tcBorders>
              <w:top w:val="single" w:sz="8" w:color="0000FF"/>
              <w:bottom w:val="single" w:sz="8" w:color="auto"/>
            </w:tcBorders>
          </w:tcPr>
          <w:p>
            <w:pPr>
              <w:spacing w:after="0"/>
              <w:rPr>
                <w:sz w:val="2"/>
                <w:szCs w:val="2"/>
                <w:color w:val="auto"/>
              </w:rPr>
            </w:pPr>
          </w:p>
        </w:tc>
        <w:tc>
          <w:tcPr>
            <w:tcW w:w="1180" w:type="dxa"/>
            <w:vAlign w:val="bottom"/>
            <w:tcBorders>
              <w:top w:val="single" w:sz="8" w:color="0000FF"/>
              <w:bottom w:val="single" w:sz="8" w:color="auto"/>
            </w:tcBorders>
          </w:tcPr>
          <w:p>
            <w:pPr>
              <w:spacing w:after="0"/>
              <w:rPr>
                <w:sz w:val="2"/>
                <w:szCs w:val="2"/>
                <w:color w:val="auto"/>
              </w:rPr>
            </w:pPr>
          </w:p>
        </w:tc>
        <w:tc>
          <w:tcPr>
            <w:tcW w:w="220" w:type="dxa"/>
            <w:vAlign w:val="bottom"/>
            <w:tcBorders>
              <w:top w:val="single" w:sz="8" w:color="0000FF"/>
              <w:bottom w:val="single" w:sz="8" w:color="auto"/>
            </w:tcBorders>
          </w:tcPr>
          <w:p>
            <w:pPr>
              <w:spacing w:after="0"/>
              <w:rPr>
                <w:sz w:val="2"/>
                <w:szCs w:val="2"/>
                <w:color w:val="auto"/>
              </w:rPr>
            </w:pPr>
          </w:p>
        </w:tc>
        <w:tc>
          <w:tcPr>
            <w:tcW w:w="60" w:type="dxa"/>
            <w:vAlign w:val="bottom"/>
            <w:tcBorders>
              <w:top w:val="single" w:sz="8" w:color="0000FF"/>
              <w:bottom w:val="single" w:sz="8" w:color="auto"/>
            </w:tcBorders>
          </w:tcPr>
          <w:p>
            <w:pPr>
              <w:spacing w:after="0"/>
              <w:rPr>
                <w:sz w:val="2"/>
                <w:szCs w:val="2"/>
                <w:color w:val="auto"/>
              </w:rPr>
            </w:pPr>
          </w:p>
        </w:tc>
        <w:tc>
          <w:tcPr>
            <w:tcW w:w="460" w:type="dxa"/>
            <w:vAlign w:val="bottom"/>
            <w:tcBorders>
              <w:top w:val="single" w:sz="8" w:color="0000FF"/>
              <w:bottom w:val="single" w:sz="8" w:color="auto"/>
            </w:tcBorders>
          </w:tcPr>
          <w:p>
            <w:pPr>
              <w:spacing w:after="0"/>
              <w:rPr>
                <w:sz w:val="2"/>
                <w:szCs w:val="2"/>
                <w:color w:val="auto"/>
              </w:rPr>
            </w:pPr>
          </w:p>
        </w:tc>
        <w:tc>
          <w:tcPr>
            <w:tcW w:w="40" w:type="dxa"/>
            <w:vAlign w:val="bottom"/>
            <w:tcBorders>
              <w:top w:val="single" w:sz="8" w:color="0000FF"/>
              <w:bottom w:val="single" w:sz="8" w:color="auto"/>
            </w:tcBorders>
          </w:tcPr>
          <w:p>
            <w:pPr>
              <w:spacing w:after="0"/>
              <w:rPr>
                <w:sz w:val="2"/>
                <w:szCs w:val="2"/>
                <w:color w:val="auto"/>
              </w:rPr>
            </w:pPr>
          </w:p>
        </w:tc>
        <w:tc>
          <w:tcPr>
            <w:tcW w:w="140" w:type="dxa"/>
            <w:vAlign w:val="bottom"/>
            <w:tcBorders>
              <w:top w:val="single" w:sz="8" w:color="0000FF"/>
              <w:bottom w:val="single" w:sz="8" w:color="auto"/>
            </w:tcBorders>
          </w:tcPr>
          <w:p>
            <w:pPr>
              <w:spacing w:after="0"/>
              <w:rPr>
                <w:sz w:val="2"/>
                <w:szCs w:val="2"/>
                <w:color w:val="auto"/>
              </w:rPr>
            </w:pPr>
          </w:p>
        </w:tc>
        <w:tc>
          <w:tcPr>
            <w:tcW w:w="220" w:type="dxa"/>
            <w:vAlign w:val="bottom"/>
            <w:tcBorders>
              <w:top w:val="single" w:sz="8" w:color="0000FF"/>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right w:val="single" w:sz="8" w:color="auto"/>
            </w:tcBorders>
          </w:tcPr>
          <w:p>
            <w:pPr>
              <w:spacing w:after="0"/>
              <w:rPr>
                <w:sz w:val="2"/>
                <w:szCs w:val="2"/>
                <w:color w:val="auto"/>
              </w:rPr>
            </w:pPr>
          </w:p>
        </w:tc>
      </w:tr>
      <w:tr>
        <w:trPr>
          <w:trHeight w:val="183"/>
        </w:trPr>
        <w:tc>
          <w:tcPr>
            <w:tcW w:w="1160" w:type="dxa"/>
            <w:vAlign w:val="bottom"/>
            <w:tcBorders>
              <w:left w:val="single" w:sz="8" w:color="auto"/>
              <w:right w:val="single" w:sz="8" w:color="auto"/>
            </w:tcBorders>
          </w:tcPr>
          <w:p>
            <w:pPr>
              <w:ind w:left="40"/>
              <w:spacing w:after="0" w:line="183" w:lineRule="exact"/>
              <w:rPr>
                <w:sz w:val="20"/>
                <w:szCs w:val="20"/>
                <w:color w:val="auto"/>
              </w:rPr>
            </w:pPr>
            <w:r>
              <w:rPr>
                <w:rFonts w:ascii="Arial" w:cs="Arial" w:eastAsia="Arial" w:hAnsi="Arial"/>
                <w:sz w:val="16"/>
                <w:szCs w:val="16"/>
                <w:color w:val="auto"/>
              </w:rPr>
              <w:t>4.6</w:t>
            </w:r>
          </w:p>
        </w:tc>
        <w:tc>
          <w:tcPr>
            <w:tcW w:w="12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0060" w:type="dxa"/>
            <w:vAlign w:val="bottom"/>
            <w:tcBorders>
              <w:bottom w:val="single" w:sz="8" w:color="0000FF"/>
            </w:tcBorders>
            <w:gridSpan w:val="37"/>
          </w:tcPr>
          <w:p>
            <w:pPr>
              <w:spacing w:after="0" w:line="183" w:lineRule="exact"/>
              <w:rPr>
                <w:rFonts w:ascii="Arial" w:cs="Arial" w:eastAsia="Arial" w:hAnsi="Arial"/>
                <w:sz w:val="16"/>
                <w:szCs w:val="16"/>
                <w:color w:val="0000FF"/>
              </w:rPr>
            </w:pPr>
            <w:hyperlink r:id="rId153">
              <w:r>
                <w:rPr>
                  <w:rFonts w:ascii="Arial" w:cs="Arial" w:eastAsia="Arial" w:hAnsi="Arial"/>
                  <w:sz w:val="16"/>
                  <w:szCs w:val="16"/>
                  <w:color w:val="0000FF"/>
                </w:rPr>
                <w:t>Form of 5.25% Senior Notes Due 2025 (Incorporated by reference to Exhibit 4.2 to the Company’s Current Report on Form 8-K dated March</w:t>
              </w:r>
            </w:hyperlink>
          </w:p>
        </w:tc>
        <w:tc>
          <w:tcPr>
            <w:tcW w:w="80" w:type="dxa"/>
            <w:vAlign w:val="bottom"/>
            <w:tcBorders>
              <w:right w:val="single" w:sz="8" w:color="auto"/>
            </w:tcBorders>
            <w:gridSpan w:val="3"/>
          </w:tcPr>
          <w:p>
            <w:pPr>
              <w:spacing w:after="0"/>
              <w:rPr>
                <w:sz w:val="15"/>
                <w:szCs w:val="15"/>
                <w:color w:val="auto"/>
              </w:rPr>
            </w:pPr>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1180" w:type="dxa"/>
            <w:vAlign w:val="bottom"/>
            <w:gridSpan w:val="4"/>
          </w:tcPr>
          <w:p>
            <w:pPr>
              <w:ind w:left="20"/>
              <w:spacing w:after="0" w:line="169" w:lineRule="exact"/>
              <w:rPr>
                <w:rFonts w:ascii="Arial" w:cs="Arial" w:eastAsia="Arial" w:hAnsi="Arial"/>
                <w:sz w:val="16"/>
                <w:szCs w:val="16"/>
                <w:color w:val="0000FF"/>
              </w:rPr>
            </w:pPr>
            <w:hyperlink r:id="rId153">
              <w:r>
                <w:rPr>
                  <w:rFonts w:ascii="Arial" w:cs="Arial" w:eastAsia="Arial" w:hAnsi="Arial"/>
                  <w:sz w:val="16"/>
                  <w:szCs w:val="16"/>
                  <w:color w:val="0000FF"/>
                </w:rPr>
                <w:t>17, 2015).</w:t>
              </w:r>
            </w:hyperlink>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Borders>
              <w:right w:val="single" w:sz="8" w:color="auto"/>
            </w:tcBorders>
          </w:tcPr>
          <w:p>
            <w:pPr>
              <w:spacing w:after="0"/>
              <w:rPr>
                <w:sz w:val="14"/>
                <w:szCs w:val="14"/>
                <w:color w:val="auto"/>
              </w:rPr>
            </w:pPr>
          </w:p>
        </w:tc>
      </w:tr>
      <w:tr>
        <w:trPr>
          <w:trHeight w:val="34"/>
        </w:trPr>
        <w:tc>
          <w:tcPr>
            <w:tcW w:w="1160" w:type="dxa"/>
            <w:vAlign w:val="bottom"/>
            <w:tcBorders>
              <w:left w:val="single" w:sz="8" w:color="auto"/>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60" w:type="dxa"/>
            <w:vAlign w:val="bottom"/>
            <w:tcBorders>
              <w:top w:val="single" w:sz="8" w:color="0000FF"/>
              <w:bottom w:val="single" w:sz="8" w:color="auto"/>
            </w:tcBorders>
          </w:tcPr>
          <w:p>
            <w:pPr>
              <w:spacing w:after="0"/>
              <w:rPr>
                <w:sz w:val="2"/>
                <w:szCs w:val="2"/>
                <w:color w:val="auto"/>
              </w:rPr>
            </w:pPr>
          </w:p>
        </w:tc>
        <w:tc>
          <w:tcPr>
            <w:tcW w:w="280" w:type="dxa"/>
            <w:vAlign w:val="bottom"/>
            <w:tcBorders>
              <w:top w:val="single" w:sz="8" w:color="0000FF"/>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right w:val="single" w:sz="8" w:color="auto"/>
            </w:tcBorders>
          </w:tcPr>
          <w:p>
            <w:pPr>
              <w:spacing w:after="0"/>
              <w:rPr>
                <w:sz w:val="2"/>
                <w:szCs w:val="2"/>
                <w:color w:val="auto"/>
              </w:rPr>
            </w:pPr>
          </w:p>
        </w:tc>
      </w:tr>
      <w:tr>
        <w:trPr>
          <w:trHeight w:val="183"/>
        </w:trPr>
        <w:tc>
          <w:tcPr>
            <w:tcW w:w="1160" w:type="dxa"/>
            <w:vAlign w:val="bottom"/>
            <w:tcBorders>
              <w:left w:val="single" w:sz="8" w:color="auto"/>
              <w:right w:val="single" w:sz="8" w:color="auto"/>
            </w:tcBorders>
          </w:tcPr>
          <w:p>
            <w:pPr>
              <w:ind w:left="40"/>
              <w:spacing w:after="0" w:line="183" w:lineRule="exact"/>
              <w:rPr>
                <w:sz w:val="20"/>
                <w:szCs w:val="20"/>
                <w:color w:val="auto"/>
              </w:rPr>
            </w:pPr>
            <w:r>
              <w:rPr>
                <w:rFonts w:ascii="Arial" w:cs="Arial" w:eastAsia="Arial" w:hAnsi="Arial"/>
                <w:sz w:val="16"/>
                <w:szCs w:val="16"/>
                <w:color w:val="auto"/>
              </w:rPr>
              <w:t>4.7</w:t>
            </w:r>
          </w:p>
        </w:tc>
        <w:tc>
          <w:tcPr>
            <w:tcW w:w="12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0060" w:type="dxa"/>
            <w:vAlign w:val="bottom"/>
            <w:tcBorders>
              <w:bottom w:val="single" w:sz="8" w:color="0000FF"/>
            </w:tcBorders>
            <w:gridSpan w:val="37"/>
          </w:tcPr>
          <w:p>
            <w:pPr>
              <w:spacing w:after="0" w:line="183" w:lineRule="exact"/>
              <w:rPr>
                <w:rFonts w:ascii="Arial" w:cs="Arial" w:eastAsia="Arial" w:hAnsi="Arial"/>
                <w:sz w:val="16"/>
                <w:szCs w:val="16"/>
                <w:color w:val="0000FF"/>
              </w:rPr>
            </w:pPr>
            <w:hyperlink r:id="rId154">
              <w:r>
                <w:rPr>
                  <w:rFonts w:ascii="Arial" w:cs="Arial" w:eastAsia="Arial" w:hAnsi="Arial"/>
                  <w:sz w:val="16"/>
                  <w:szCs w:val="16"/>
                  <w:color w:val="0000FF"/>
                </w:rPr>
                <w:t>Indenture dated as of March 29, 2016 for the 6.375% Senior Notes due 2024, among Avis Budget Car Rental LLC and Avis Budget Finance,</w:t>
              </w:r>
            </w:hyperlink>
          </w:p>
        </w:tc>
        <w:tc>
          <w:tcPr>
            <w:tcW w:w="80" w:type="dxa"/>
            <w:vAlign w:val="bottom"/>
            <w:tcBorders>
              <w:right w:val="single" w:sz="8" w:color="auto"/>
            </w:tcBorders>
            <w:gridSpan w:val="3"/>
          </w:tcPr>
          <w:p>
            <w:pPr>
              <w:spacing w:after="0"/>
              <w:rPr>
                <w:sz w:val="15"/>
                <w:szCs w:val="15"/>
                <w:color w:val="auto"/>
              </w:rPr>
            </w:pPr>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140" w:type="dxa"/>
            <w:vAlign w:val="bottom"/>
            <w:tcBorders>
              <w:right w:val="single" w:sz="8" w:color="auto"/>
            </w:tcBorders>
            <w:gridSpan w:val="40"/>
          </w:tcPr>
          <w:p>
            <w:pPr>
              <w:spacing w:after="0" w:line="169" w:lineRule="exact"/>
              <w:rPr>
                <w:rFonts w:ascii="Arial" w:cs="Arial" w:eastAsia="Arial" w:hAnsi="Arial"/>
                <w:sz w:val="16"/>
                <w:szCs w:val="16"/>
                <w:color w:val="0000FF"/>
              </w:rPr>
            </w:pPr>
            <w:hyperlink r:id="rId154">
              <w:r>
                <w:rPr>
                  <w:rFonts w:ascii="Arial" w:cs="Arial" w:eastAsia="Arial" w:hAnsi="Arial"/>
                  <w:sz w:val="16"/>
                  <w:szCs w:val="16"/>
                  <w:color w:val="0000FF"/>
                </w:rPr>
                <w:t>Inc. as Issuers the Guarantors from time to time parties thereto and Deutsche Bank Trust Company Americas as Trustee (Incorporated by</w:t>
              </w:r>
            </w:hyperlink>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9860" w:type="dxa"/>
            <w:vAlign w:val="bottom"/>
            <w:tcBorders>
              <w:top w:val="single" w:sz="8" w:color="0000FF"/>
            </w:tcBorders>
            <w:gridSpan w:val="28"/>
          </w:tcPr>
          <w:p>
            <w:pPr>
              <w:spacing w:after="0" w:line="169" w:lineRule="exact"/>
              <w:rPr>
                <w:rFonts w:ascii="Arial" w:cs="Arial" w:eastAsia="Arial" w:hAnsi="Arial"/>
                <w:sz w:val="16"/>
                <w:szCs w:val="16"/>
                <w:color w:val="0000FF"/>
              </w:rPr>
            </w:pPr>
            <w:hyperlink r:id="rId154">
              <w:r>
                <w:rPr>
                  <w:rFonts w:ascii="Arial" w:cs="Arial" w:eastAsia="Arial" w:hAnsi="Arial"/>
                  <w:sz w:val="16"/>
                  <w:szCs w:val="16"/>
                  <w:color w:val="0000FF"/>
                </w:rPr>
                <w:t>reference to Exhibit 4.1 to the Company’s Quarterly Report on Form 10-Q for the quarter ended March 31, 2016, dated May 4, 2016).</w:t>
              </w:r>
            </w:hyperlink>
          </w:p>
        </w:tc>
        <w:tc>
          <w:tcPr>
            <w:tcW w:w="280" w:type="dxa"/>
            <w:vAlign w:val="bottom"/>
            <w:tcBorders>
              <w:right w:val="single" w:sz="8" w:color="auto"/>
            </w:tcBorders>
            <w:gridSpan w:val="12"/>
          </w:tcPr>
          <w:p>
            <w:pPr>
              <w:spacing w:after="0"/>
              <w:rPr>
                <w:sz w:val="14"/>
                <w:szCs w:val="14"/>
                <w:color w:val="auto"/>
              </w:rPr>
            </w:pPr>
          </w:p>
        </w:tc>
      </w:tr>
      <w:tr>
        <w:trPr>
          <w:trHeight w:val="34"/>
        </w:trPr>
        <w:tc>
          <w:tcPr>
            <w:tcW w:w="1160" w:type="dxa"/>
            <w:vAlign w:val="bottom"/>
            <w:tcBorders>
              <w:left w:val="single" w:sz="8" w:color="auto"/>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60" w:type="dxa"/>
            <w:vAlign w:val="bottom"/>
            <w:tcBorders>
              <w:top w:val="single" w:sz="8" w:color="0000FF"/>
              <w:bottom w:val="single" w:sz="8" w:color="auto"/>
            </w:tcBorders>
          </w:tcPr>
          <w:p>
            <w:pPr>
              <w:spacing w:after="0"/>
              <w:rPr>
                <w:sz w:val="2"/>
                <w:szCs w:val="2"/>
                <w:color w:val="auto"/>
              </w:rPr>
            </w:pPr>
          </w:p>
        </w:tc>
        <w:tc>
          <w:tcPr>
            <w:tcW w:w="280" w:type="dxa"/>
            <w:vAlign w:val="bottom"/>
            <w:tcBorders>
              <w:top w:val="single" w:sz="8" w:color="0000FF"/>
              <w:bottom w:val="single" w:sz="8" w:color="auto"/>
            </w:tcBorders>
          </w:tcPr>
          <w:p>
            <w:pPr>
              <w:spacing w:after="0"/>
              <w:rPr>
                <w:sz w:val="2"/>
                <w:szCs w:val="2"/>
                <w:color w:val="auto"/>
              </w:rPr>
            </w:pPr>
          </w:p>
        </w:tc>
        <w:tc>
          <w:tcPr>
            <w:tcW w:w="420" w:type="dxa"/>
            <w:vAlign w:val="bottom"/>
            <w:tcBorders>
              <w:top w:val="single" w:sz="8" w:color="0000FF"/>
              <w:bottom w:val="single" w:sz="8" w:color="auto"/>
            </w:tcBorders>
          </w:tcPr>
          <w:p>
            <w:pPr>
              <w:spacing w:after="0"/>
              <w:rPr>
                <w:sz w:val="2"/>
                <w:szCs w:val="2"/>
                <w:color w:val="auto"/>
              </w:rPr>
            </w:pPr>
          </w:p>
        </w:tc>
        <w:tc>
          <w:tcPr>
            <w:tcW w:w="40" w:type="dxa"/>
            <w:vAlign w:val="bottom"/>
            <w:tcBorders>
              <w:top w:val="single" w:sz="8" w:color="0000FF"/>
              <w:bottom w:val="single" w:sz="8" w:color="auto"/>
            </w:tcBorders>
          </w:tcPr>
          <w:p>
            <w:pPr>
              <w:spacing w:after="0"/>
              <w:rPr>
                <w:sz w:val="2"/>
                <w:szCs w:val="2"/>
                <w:color w:val="auto"/>
              </w:rPr>
            </w:pPr>
          </w:p>
        </w:tc>
        <w:tc>
          <w:tcPr>
            <w:tcW w:w="240" w:type="dxa"/>
            <w:vAlign w:val="bottom"/>
            <w:tcBorders>
              <w:top w:val="single" w:sz="8" w:color="0000FF"/>
              <w:bottom w:val="single" w:sz="8" w:color="auto"/>
            </w:tcBorders>
          </w:tcPr>
          <w:p>
            <w:pPr>
              <w:spacing w:after="0"/>
              <w:rPr>
                <w:sz w:val="2"/>
                <w:szCs w:val="2"/>
                <w:color w:val="auto"/>
              </w:rPr>
            </w:pPr>
          </w:p>
        </w:tc>
        <w:tc>
          <w:tcPr>
            <w:tcW w:w="1100" w:type="dxa"/>
            <w:vAlign w:val="bottom"/>
            <w:tcBorders>
              <w:top w:val="single" w:sz="8" w:color="0000FF"/>
              <w:bottom w:val="single" w:sz="8" w:color="auto"/>
            </w:tcBorders>
          </w:tcPr>
          <w:p>
            <w:pPr>
              <w:spacing w:after="0"/>
              <w:rPr>
                <w:sz w:val="2"/>
                <w:szCs w:val="2"/>
                <w:color w:val="auto"/>
              </w:rPr>
            </w:pPr>
          </w:p>
        </w:tc>
        <w:tc>
          <w:tcPr>
            <w:tcW w:w="1180" w:type="dxa"/>
            <w:vAlign w:val="bottom"/>
            <w:tcBorders>
              <w:top w:val="single" w:sz="8" w:color="0000FF"/>
              <w:bottom w:val="single" w:sz="8" w:color="auto"/>
            </w:tcBorders>
          </w:tcPr>
          <w:p>
            <w:pPr>
              <w:spacing w:after="0"/>
              <w:rPr>
                <w:sz w:val="2"/>
                <w:szCs w:val="2"/>
                <w:color w:val="auto"/>
              </w:rPr>
            </w:pPr>
          </w:p>
        </w:tc>
        <w:tc>
          <w:tcPr>
            <w:tcW w:w="220" w:type="dxa"/>
            <w:vAlign w:val="bottom"/>
            <w:tcBorders>
              <w:top w:val="single" w:sz="8" w:color="0000FF"/>
              <w:bottom w:val="single" w:sz="8" w:color="auto"/>
            </w:tcBorders>
          </w:tcPr>
          <w:p>
            <w:pPr>
              <w:spacing w:after="0"/>
              <w:rPr>
                <w:sz w:val="2"/>
                <w:szCs w:val="2"/>
                <w:color w:val="auto"/>
              </w:rPr>
            </w:pPr>
          </w:p>
        </w:tc>
        <w:tc>
          <w:tcPr>
            <w:tcW w:w="60" w:type="dxa"/>
            <w:vAlign w:val="bottom"/>
            <w:tcBorders>
              <w:top w:val="single" w:sz="8" w:color="0000FF"/>
              <w:bottom w:val="single" w:sz="8" w:color="auto"/>
            </w:tcBorders>
          </w:tcPr>
          <w:p>
            <w:pPr>
              <w:spacing w:after="0"/>
              <w:rPr>
                <w:sz w:val="2"/>
                <w:szCs w:val="2"/>
                <w:color w:val="auto"/>
              </w:rPr>
            </w:pPr>
          </w:p>
        </w:tc>
        <w:tc>
          <w:tcPr>
            <w:tcW w:w="460" w:type="dxa"/>
            <w:vAlign w:val="bottom"/>
            <w:tcBorders>
              <w:top w:val="single" w:sz="8" w:color="0000FF"/>
              <w:bottom w:val="single" w:sz="8" w:color="auto"/>
            </w:tcBorders>
          </w:tcPr>
          <w:p>
            <w:pPr>
              <w:spacing w:after="0"/>
              <w:rPr>
                <w:sz w:val="2"/>
                <w:szCs w:val="2"/>
                <w:color w:val="auto"/>
              </w:rPr>
            </w:pPr>
          </w:p>
        </w:tc>
        <w:tc>
          <w:tcPr>
            <w:tcW w:w="40" w:type="dxa"/>
            <w:vAlign w:val="bottom"/>
            <w:tcBorders>
              <w:top w:val="single" w:sz="8" w:color="0000FF"/>
              <w:bottom w:val="single" w:sz="8" w:color="auto"/>
            </w:tcBorders>
          </w:tcPr>
          <w:p>
            <w:pPr>
              <w:spacing w:after="0"/>
              <w:rPr>
                <w:sz w:val="2"/>
                <w:szCs w:val="2"/>
                <w:color w:val="auto"/>
              </w:rPr>
            </w:pPr>
          </w:p>
        </w:tc>
        <w:tc>
          <w:tcPr>
            <w:tcW w:w="140" w:type="dxa"/>
            <w:vAlign w:val="bottom"/>
            <w:tcBorders>
              <w:top w:val="single" w:sz="8" w:color="0000FF"/>
              <w:bottom w:val="single" w:sz="8" w:color="auto"/>
            </w:tcBorders>
          </w:tcPr>
          <w:p>
            <w:pPr>
              <w:spacing w:after="0"/>
              <w:rPr>
                <w:sz w:val="2"/>
                <w:szCs w:val="2"/>
                <w:color w:val="auto"/>
              </w:rPr>
            </w:pPr>
          </w:p>
        </w:tc>
        <w:tc>
          <w:tcPr>
            <w:tcW w:w="220" w:type="dxa"/>
            <w:vAlign w:val="bottom"/>
            <w:tcBorders>
              <w:top w:val="single" w:sz="8" w:color="0000FF"/>
              <w:bottom w:val="single" w:sz="8" w:color="auto"/>
            </w:tcBorders>
          </w:tcPr>
          <w:p>
            <w:pPr>
              <w:spacing w:after="0"/>
              <w:rPr>
                <w:sz w:val="2"/>
                <w:szCs w:val="2"/>
                <w:color w:val="auto"/>
              </w:rPr>
            </w:pPr>
          </w:p>
        </w:tc>
        <w:tc>
          <w:tcPr>
            <w:tcW w:w="80" w:type="dxa"/>
            <w:vAlign w:val="bottom"/>
            <w:tcBorders>
              <w:top w:val="single" w:sz="8" w:color="0000FF"/>
              <w:bottom w:val="single" w:sz="8" w:color="auto"/>
            </w:tcBorders>
          </w:tcPr>
          <w:p>
            <w:pPr>
              <w:spacing w:after="0"/>
              <w:rPr>
                <w:sz w:val="2"/>
                <w:szCs w:val="2"/>
                <w:color w:val="auto"/>
              </w:rPr>
            </w:pPr>
          </w:p>
        </w:tc>
        <w:tc>
          <w:tcPr>
            <w:tcW w:w="2460" w:type="dxa"/>
            <w:vAlign w:val="bottom"/>
            <w:tcBorders>
              <w:top w:val="single" w:sz="8" w:color="0000FF"/>
              <w:bottom w:val="single" w:sz="8" w:color="auto"/>
            </w:tcBorders>
          </w:tcPr>
          <w:p>
            <w:pPr>
              <w:spacing w:after="0"/>
              <w:rPr>
                <w:sz w:val="2"/>
                <w:szCs w:val="2"/>
                <w:color w:val="auto"/>
              </w:rPr>
            </w:pPr>
          </w:p>
        </w:tc>
        <w:tc>
          <w:tcPr>
            <w:tcW w:w="1180" w:type="dxa"/>
            <w:vAlign w:val="bottom"/>
            <w:tcBorders>
              <w:top w:val="single" w:sz="8" w:color="0000FF"/>
              <w:bottom w:val="single" w:sz="8" w:color="auto"/>
            </w:tcBorders>
          </w:tcPr>
          <w:p>
            <w:pPr>
              <w:spacing w:after="0"/>
              <w:rPr>
                <w:sz w:val="2"/>
                <w:szCs w:val="2"/>
                <w:color w:val="auto"/>
              </w:rPr>
            </w:pPr>
          </w:p>
        </w:tc>
        <w:tc>
          <w:tcPr>
            <w:tcW w:w="540" w:type="dxa"/>
            <w:vAlign w:val="bottom"/>
            <w:tcBorders>
              <w:top w:val="single" w:sz="8" w:color="0000FF"/>
              <w:bottom w:val="single" w:sz="8" w:color="auto"/>
            </w:tcBorders>
          </w:tcPr>
          <w:p>
            <w:pPr>
              <w:spacing w:after="0"/>
              <w:rPr>
                <w:sz w:val="2"/>
                <w:szCs w:val="2"/>
                <w:color w:val="auto"/>
              </w:rPr>
            </w:pPr>
          </w:p>
        </w:tc>
        <w:tc>
          <w:tcPr>
            <w:tcW w:w="320" w:type="dxa"/>
            <w:vAlign w:val="bottom"/>
            <w:tcBorders>
              <w:top w:val="single" w:sz="8" w:color="0000FF"/>
              <w:bottom w:val="single" w:sz="8" w:color="auto"/>
            </w:tcBorders>
          </w:tcPr>
          <w:p>
            <w:pPr>
              <w:spacing w:after="0"/>
              <w:rPr>
                <w:sz w:val="2"/>
                <w:szCs w:val="2"/>
                <w:color w:val="auto"/>
              </w:rPr>
            </w:pPr>
          </w:p>
        </w:tc>
        <w:tc>
          <w:tcPr>
            <w:tcW w:w="20" w:type="dxa"/>
            <w:vAlign w:val="bottom"/>
            <w:tcBorders>
              <w:top w:val="single" w:sz="8" w:color="0000FF"/>
              <w:bottom w:val="single" w:sz="8" w:color="auto"/>
            </w:tcBorders>
          </w:tcPr>
          <w:p>
            <w:pPr>
              <w:spacing w:after="0"/>
              <w:rPr>
                <w:sz w:val="2"/>
                <w:szCs w:val="2"/>
                <w:color w:val="auto"/>
              </w:rPr>
            </w:pPr>
          </w:p>
        </w:tc>
        <w:tc>
          <w:tcPr>
            <w:tcW w:w="80" w:type="dxa"/>
            <w:vAlign w:val="bottom"/>
            <w:tcBorders>
              <w:top w:val="single" w:sz="8" w:color="0000FF"/>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right w:val="single" w:sz="8" w:color="auto"/>
            </w:tcBorders>
          </w:tcPr>
          <w:p>
            <w:pPr>
              <w:spacing w:after="0"/>
              <w:rPr>
                <w:sz w:val="2"/>
                <w:szCs w:val="2"/>
                <w:color w:val="auto"/>
              </w:rPr>
            </w:pPr>
          </w:p>
        </w:tc>
      </w:tr>
      <w:tr>
        <w:trPr>
          <w:trHeight w:val="183"/>
        </w:trPr>
        <w:tc>
          <w:tcPr>
            <w:tcW w:w="1160" w:type="dxa"/>
            <w:vAlign w:val="bottom"/>
            <w:tcBorders>
              <w:left w:val="single" w:sz="8" w:color="auto"/>
              <w:right w:val="single" w:sz="8" w:color="auto"/>
            </w:tcBorders>
          </w:tcPr>
          <w:p>
            <w:pPr>
              <w:ind w:left="40"/>
              <w:spacing w:after="0" w:line="183" w:lineRule="exact"/>
              <w:rPr>
                <w:sz w:val="20"/>
                <w:szCs w:val="20"/>
                <w:color w:val="auto"/>
              </w:rPr>
            </w:pPr>
            <w:r>
              <w:rPr>
                <w:rFonts w:ascii="Arial" w:cs="Arial" w:eastAsia="Arial" w:hAnsi="Arial"/>
                <w:sz w:val="16"/>
                <w:szCs w:val="16"/>
                <w:color w:val="auto"/>
              </w:rPr>
              <w:t>4.8</w:t>
            </w:r>
          </w:p>
        </w:tc>
        <w:tc>
          <w:tcPr>
            <w:tcW w:w="12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9920" w:type="dxa"/>
            <w:vAlign w:val="bottom"/>
            <w:tcBorders>
              <w:bottom w:val="single" w:sz="8" w:color="0000FF"/>
            </w:tcBorders>
            <w:gridSpan w:val="31"/>
          </w:tcPr>
          <w:p>
            <w:pPr>
              <w:spacing w:after="0" w:line="183" w:lineRule="exact"/>
              <w:rPr>
                <w:rFonts w:ascii="Arial" w:cs="Arial" w:eastAsia="Arial" w:hAnsi="Arial"/>
                <w:sz w:val="16"/>
                <w:szCs w:val="16"/>
                <w:color w:val="0000FF"/>
              </w:rPr>
            </w:pPr>
            <w:hyperlink r:id="rId155">
              <w:r>
                <w:rPr>
                  <w:rFonts w:ascii="Arial" w:cs="Arial" w:eastAsia="Arial" w:hAnsi="Arial"/>
                  <w:sz w:val="16"/>
                  <w:szCs w:val="16"/>
                  <w:color w:val="0000FF"/>
                </w:rPr>
                <w:t>Indenture dated as of September 26, 2016 among Avis Budget Finance Plc, as Issuer, the Guarantors from time to time parties hereto and</w:t>
              </w:r>
            </w:hyperlink>
          </w:p>
        </w:tc>
        <w:tc>
          <w:tcPr>
            <w:tcW w:w="220" w:type="dxa"/>
            <w:vAlign w:val="bottom"/>
            <w:tcBorders>
              <w:right w:val="single" w:sz="8" w:color="auto"/>
            </w:tcBorders>
            <w:gridSpan w:val="9"/>
          </w:tcPr>
          <w:p>
            <w:pPr>
              <w:spacing w:after="0"/>
              <w:rPr>
                <w:sz w:val="15"/>
                <w:szCs w:val="15"/>
                <w:color w:val="auto"/>
              </w:rPr>
            </w:pPr>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9120" w:type="dxa"/>
            <w:vAlign w:val="bottom"/>
            <w:tcBorders>
              <w:bottom w:val="single" w:sz="8" w:color="0000FF"/>
            </w:tcBorders>
            <w:gridSpan w:val="17"/>
          </w:tcPr>
          <w:p>
            <w:pPr>
              <w:spacing w:after="0" w:line="169" w:lineRule="exact"/>
              <w:rPr>
                <w:rFonts w:ascii="Arial" w:cs="Arial" w:eastAsia="Arial" w:hAnsi="Arial"/>
                <w:sz w:val="16"/>
                <w:szCs w:val="16"/>
                <w:color w:val="0000FF"/>
              </w:rPr>
            </w:pPr>
            <w:hyperlink r:id="rId155">
              <w:r>
                <w:rPr>
                  <w:rFonts w:ascii="Arial" w:cs="Arial" w:eastAsia="Arial" w:hAnsi="Arial"/>
                  <w:sz w:val="16"/>
                  <w:szCs w:val="16"/>
                  <w:color w:val="0000FF"/>
                </w:rPr>
                <w:t>Deutsche Bank Trust Company Americas as Trustee, Deutsche Bank AG, London Branch as Paying Agent and Deutsche Bank</w:t>
              </w:r>
            </w:hyperlink>
          </w:p>
        </w:tc>
        <w:tc>
          <w:tcPr>
            <w:tcW w:w="1020" w:type="dxa"/>
            <w:vAlign w:val="bottom"/>
            <w:tcBorders>
              <w:right w:val="single" w:sz="8" w:color="auto"/>
            </w:tcBorders>
            <w:gridSpan w:val="23"/>
          </w:tcPr>
          <w:p>
            <w:pPr>
              <w:spacing w:after="0"/>
              <w:rPr>
                <w:sz w:val="14"/>
                <w:szCs w:val="14"/>
                <w:color w:val="auto"/>
              </w:rPr>
            </w:pPr>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9820" w:type="dxa"/>
            <w:vAlign w:val="bottom"/>
            <w:tcBorders>
              <w:bottom w:val="single" w:sz="8" w:color="0000FF"/>
            </w:tcBorders>
            <w:gridSpan w:val="26"/>
          </w:tcPr>
          <w:p>
            <w:pPr>
              <w:spacing w:after="0" w:line="169" w:lineRule="exact"/>
              <w:rPr>
                <w:rFonts w:ascii="Arial" w:cs="Arial" w:eastAsia="Arial" w:hAnsi="Arial"/>
                <w:sz w:val="16"/>
                <w:szCs w:val="16"/>
                <w:color w:val="0000FF"/>
              </w:rPr>
            </w:pPr>
            <w:hyperlink r:id="rId155">
              <w:r>
                <w:rPr>
                  <w:rFonts w:ascii="Arial" w:cs="Arial" w:eastAsia="Arial" w:hAnsi="Arial"/>
                  <w:sz w:val="16"/>
                  <w:szCs w:val="16"/>
                  <w:color w:val="0000FF"/>
                </w:rPr>
                <w:t>Luxembourg, S.A. as Registrar (Incorporated by reference to Exhibit 4.1 to the Company’s Quarterly Report on Form 10-Q for the quarter</w:t>
              </w:r>
            </w:hyperlink>
          </w:p>
        </w:tc>
        <w:tc>
          <w:tcPr>
            <w:tcW w:w="320" w:type="dxa"/>
            <w:vAlign w:val="bottom"/>
            <w:tcBorders>
              <w:right w:val="single" w:sz="8" w:color="auto"/>
            </w:tcBorders>
            <w:gridSpan w:val="14"/>
          </w:tcPr>
          <w:p>
            <w:pPr>
              <w:spacing w:after="0"/>
              <w:rPr>
                <w:sz w:val="14"/>
                <w:szCs w:val="14"/>
                <w:color w:val="auto"/>
              </w:rPr>
            </w:pPr>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140" w:type="dxa"/>
            <w:vAlign w:val="bottom"/>
            <w:tcBorders>
              <w:right w:val="single" w:sz="8" w:color="auto"/>
            </w:tcBorders>
            <w:gridSpan w:val="40"/>
          </w:tcPr>
          <w:p>
            <w:pPr>
              <w:spacing w:after="0" w:line="169" w:lineRule="exact"/>
              <w:rPr>
                <w:rFonts w:ascii="Arial" w:cs="Arial" w:eastAsia="Arial" w:hAnsi="Arial"/>
                <w:sz w:val="16"/>
                <w:szCs w:val="16"/>
                <w:color w:val="0000FF"/>
              </w:rPr>
            </w:pPr>
            <w:hyperlink r:id="rId155">
              <w:r>
                <w:rPr>
                  <w:rFonts w:ascii="Arial" w:cs="Arial" w:eastAsia="Arial" w:hAnsi="Arial"/>
                  <w:sz w:val="16"/>
                  <w:szCs w:val="16"/>
                  <w:color w:val="0000FF"/>
                </w:rPr>
                <w:t>ended September 30, 2016, dated November 3, 2016).</w:t>
              </w:r>
            </w:hyperlink>
          </w:p>
        </w:tc>
      </w:tr>
      <w:tr>
        <w:trPr>
          <w:trHeight w:val="34"/>
        </w:trPr>
        <w:tc>
          <w:tcPr>
            <w:tcW w:w="1160" w:type="dxa"/>
            <w:vAlign w:val="bottom"/>
            <w:tcBorders>
              <w:left w:val="single" w:sz="8" w:color="auto"/>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60" w:type="dxa"/>
            <w:vAlign w:val="bottom"/>
            <w:tcBorders>
              <w:top w:val="single" w:sz="8" w:color="0000FF"/>
              <w:bottom w:val="single" w:sz="8" w:color="auto"/>
            </w:tcBorders>
          </w:tcPr>
          <w:p>
            <w:pPr>
              <w:spacing w:after="0"/>
              <w:rPr>
                <w:sz w:val="2"/>
                <w:szCs w:val="2"/>
                <w:color w:val="auto"/>
              </w:rPr>
            </w:pPr>
          </w:p>
        </w:tc>
        <w:tc>
          <w:tcPr>
            <w:tcW w:w="280" w:type="dxa"/>
            <w:vAlign w:val="bottom"/>
            <w:tcBorders>
              <w:top w:val="single" w:sz="8" w:color="0000FF"/>
              <w:bottom w:val="single" w:sz="8" w:color="auto"/>
            </w:tcBorders>
          </w:tcPr>
          <w:p>
            <w:pPr>
              <w:spacing w:after="0"/>
              <w:rPr>
                <w:sz w:val="2"/>
                <w:szCs w:val="2"/>
                <w:color w:val="auto"/>
              </w:rPr>
            </w:pPr>
          </w:p>
        </w:tc>
        <w:tc>
          <w:tcPr>
            <w:tcW w:w="420" w:type="dxa"/>
            <w:vAlign w:val="bottom"/>
            <w:tcBorders>
              <w:top w:val="single" w:sz="8" w:color="0000FF"/>
              <w:bottom w:val="single" w:sz="8" w:color="auto"/>
            </w:tcBorders>
          </w:tcPr>
          <w:p>
            <w:pPr>
              <w:spacing w:after="0"/>
              <w:rPr>
                <w:sz w:val="2"/>
                <w:szCs w:val="2"/>
                <w:color w:val="auto"/>
              </w:rPr>
            </w:pPr>
          </w:p>
        </w:tc>
        <w:tc>
          <w:tcPr>
            <w:tcW w:w="40" w:type="dxa"/>
            <w:vAlign w:val="bottom"/>
            <w:tcBorders>
              <w:top w:val="single" w:sz="8" w:color="0000FF"/>
              <w:bottom w:val="single" w:sz="8" w:color="auto"/>
            </w:tcBorders>
          </w:tcPr>
          <w:p>
            <w:pPr>
              <w:spacing w:after="0"/>
              <w:rPr>
                <w:sz w:val="2"/>
                <w:szCs w:val="2"/>
                <w:color w:val="auto"/>
              </w:rPr>
            </w:pPr>
          </w:p>
        </w:tc>
        <w:tc>
          <w:tcPr>
            <w:tcW w:w="240" w:type="dxa"/>
            <w:vAlign w:val="bottom"/>
            <w:tcBorders>
              <w:top w:val="single" w:sz="8" w:color="0000FF"/>
              <w:bottom w:val="single" w:sz="8" w:color="auto"/>
            </w:tcBorders>
          </w:tcPr>
          <w:p>
            <w:pPr>
              <w:spacing w:after="0"/>
              <w:rPr>
                <w:sz w:val="2"/>
                <w:szCs w:val="2"/>
                <w:color w:val="auto"/>
              </w:rPr>
            </w:pPr>
          </w:p>
        </w:tc>
        <w:tc>
          <w:tcPr>
            <w:tcW w:w="1100" w:type="dxa"/>
            <w:vAlign w:val="bottom"/>
            <w:tcBorders>
              <w:top w:val="single" w:sz="8" w:color="0000FF"/>
              <w:bottom w:val="single" w:sz="8" w:color="auto"/>
            </w:tcBorders>
          </w:tcPr>
          <w:p>
            <w:pPr>
              <w:spacing w:after="0"/>
              <w:rPr>
                <w:sz w:val="2"/>
                <w:szCs w:val="2"/>
                <w:color w:val="auto"/>
              </w:rPr>
            </w:pPr>
          </w:p>
        </w:tc>
        <w:tc>
          <w:tcPr>
            <w:tcW w:w="1180" w:type="dxa"/>
            <w:vAlign w:val="bottom"/>
            <w:tcBorders>
              <w:top w:val="single" w:sz="8" w:color="0000FF"/>
              <w:bottom w:val="single" w:sz="8" w:color="auto"/>
            </w:tcBorders>
          </w:tcPr>
          <w:p>
            <w:pPr>
              <w:spacing w:after="0"/>
              <w:rPr>
                <w:sz w:val="2"/>
                <w:szCs w:val="2"/>
                <w:color w:val="auto"/>
              </w:rPr>
            </w:pPr>
          </w:p>
        </w:tc>
        <w:tc>
          <w:tcPr>
            <w:tcW w:w="220" w:type="dxa"/>
            <w:vAlign w:val="bottom"/>
            <w:tcBorders>
              <w:top w:val="single" w:sz="8" w:color="0000FF"/>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right w:val="single" w:sz="8" w:color="auto"/>
            </w:tcBorders>
          </w:tcPr>
          <w:p>
            <w:pPr>
              <w:spacing w:after="0"/>
              <w:rPr>
                <w:sz w:val="2"/>
                <w:szCs w:val="2"/>
                <w:color w:val="auto"/>
              </w:rPr>
            </w:pPr>
          </w:p>
        </w:tc>
      </w:tr>
      <w:tr>
        <w:trPr>
          <w:trHeight w:val="183"/>
        </w:trPr>
        <w:tc>
          <w:tcPr>
            <w:tcW w:w="1160" w:type="dxa"/>
            <w:vAlign w:val="bottom"/>
            <w:tcBorders>
              <w:left w:val="single" w:sz="8" w:color="auto"/>
              <w:right w:val="single" w:sz="8" w:color="auto"/>
            </w:tcBorders>
          </w:tcPr>
          <w:p>
            <w:pPr>
              <w:ind w:left="40"/>
              <w:spacing w:after="0" w:line="183" w:lineRule="exact"/>
              <w:rPr>
                <w:sz w:val="20"/>
                <w:szCs w:val="20"/>
                <w:color w:val="auto"/>
              </w:rPr>
            </w:pPr>
            <w:r>
              <w:rPr>
                <w:rFonts w:ascii="Arial" w:cs="Arial" w:eastAsia="Arial" w:hAnsi="Arial"/>
                <w:sz w:val="16"/>
                <w:szCs w:val="16"/>
                <w:color w:val="auto"/>
              </w:rPr>
              <w:t>4.9</w:t>
            </w:r>
          </w:p>
        </w:tc>
        <w:tc>
          <w:tcPr>
            <w:tcW w:w="12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0140" w:type="dxa"/>
            <w:vAlign w:val="bottom"/>
            <w:tcBorders>
              <w:right w:val="single" w:sz="8" w:color="auto"/>
            </w:tcBorders>
            <w:gridSpan w:val="40"/>
          </w:tcPr>
          <w:p>
            <w:pPr>
              <w:spacing w:after="0" w:line="183" w:lineRule="exact"/>
              <w:rPr>
                <w:rFonts w:ascii="Arial" w:cs="Arial" w:eastAsia="Arial" w:hAnsi="Arial"/>
                <w:sz w:val="16"/>
                <w:szCs w:val="16"/>
                <w:color w:val="0000FF"/>
              </w:rPr>
            </w:pPr>
            <w:hyperlink r:id="rId156">
              <w:r>
                <w:rPr>
                  <w:rFonts w:ascii="Arial" w:cs="Arial" w:eastAsia="Arial" w:hAnsi="Arial"/>
                  <w:sz w:val="16"/>
                  <w:szCs w:val="16"/>
                  <w:color w:val="0000FF"/>
                </w:rPr>
                <w:t>Form of 4.125% Senior Notes due 2024 (Incorporated by reference to Exhibit 4.2 to the Company’s Quarterly Report on Form 10-Q for the</w:t>
              </w:r>
            </w:hyperlink>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9900" w:type="dxa"/>
            <w:vAlign w:val="bottom"/>
            <w:tcBorders>
              <w:top w:val="single" w:sz="8" w:color="0000FF"/>
            </w:tcBorders>
            <w:gridSpan w:val="30"/>
          </w:tcPr>
          <w:p>
            <w:pPr>
              <w:spacing w:after="0" w:line="169" w:lineRule="exact"/>
              <w:rPr>
                <w:rFonts w:ascii="Arial" w:cs="Arial" w:eastAsia="Arial" w:hAnsi="Arial"/>
                <w:sz w:val="16"/>
                <w:szCs w:val="16"/>
                <w:color w:val="0000FF"/>
              </w:rPr>
            </w:pPr>
            <w:hyperlink r:id="rId156">
              <w:r>
                <w:rPr>
                  <w:rFonts w:ascii="Arial" w:cs="Arial" w:eastAsia="Arial" w:hAnsi="Arial"/>
                  <w:sz w:val="16"/>
                  <w:szCs w:val="16"/>
                  <w:color w:val="0000FF"/>
                </w:rPr>
                <w:t>quarter ended September 30, 2016, dated November 3, 2016).</w:t>
              </w:r>
            </w:hyperlink>
          </w:p>
        </w:tc>
        <w:tc>
          <w:tcPr>
            <w:tcW w:w="240" w:type="dxa"/>
            <w:vAlign w:val="bottom"/>
            <w:tcBorders>
              <w:right w:val="single" w:sz="8" w:color="auto"/>
            </w:tcBorders>
            <w:gridSpan w:val="10"/>
          </w:tcPr>
          <w:p>
            <w:pPr>
              <w:spacing w:after="0"/>
              <w:rPr>
                <w:sz w:val="14"/>
                <w:szCs w:val="14"/>
                <w:color w:val="auto"/>
              </w:rPr>
            </w:pPr>
          </w:p>
        </w:tc>
      </w:tr>
      <w:tr>
        <w:trPr>
          <w:trHeight w:val="34"/>
        </w:trPr>
        <w:tc>
          <w:tcPr>
            <w:tcW w:w="1160" w:type="dxa"/>
            <w:vAlign w:val="bottom"/>
            <w:tcBorders>
              <w:left w:val="single" w:sz="8" w:color="auto"/>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60" w:type="dxa"/>
            <w:vAlign w:val="bottom"/>
            <w:tcBorders>
              <w:top w:val="single" w:sz="8" w:color="0000FF"/>
              <w:bottom w:val="single" w:sz="8" w:color="auto"/>
            </w:tcBorders>
          </w:tcPr>
          <w:p>
            <w:pPr>
              <w:spacing w:after="0"/>
              <w:rPr>
                <w:sz w:val="2"/>
                <w:szCs w:val="2"/>
                <w:color w:val="auto"/>
              </w:rPr>
            </w:pPr>
          </w:p>
        </w:tc>
        <w:tc>
          <w:tcPr>
            <w:tcW w:w="280" w:type="dxa"/>
            <w:vAlign w:val="bottom"/>
            <w:tcBorders>
              <w:top w:val="single" w:sz="8" w:color="0000FF"/>
              <w:bottom w:val="single" w:sz="8" w:color="auto"/>
            </w:tcBorders>
          </w:tcPr>
          <w:p>
            <w:pPr>
              <w:spacing w:after="0"/>
              <w:rPr>
                <w:sz w:val="2"/>
                <w:szCs w:val="2"/>
                <w:color w:val="auto"/>
              </w:rPr>
            </w:pPr>
          </w:p>
        </w:tc>
        <w:tc>
          <w:tcPr>
            <w:tcW w:w="420" w:type="dxa"/>
            <w:vAlign w:val="bottom"/>
            <w:tcBorders>
              <w:top w:val="single" w:sz="8" w:color="0000FF"/>
              <w:bottom w:val="single" w:sz="8" w:color="auto"/>
            </w:tcBorders>
          </w:tcPr>
          <w:p>
            <w:pPr>
              <w:spacing w:after="0"/>
              <w:rPr>
                <w:sz w:val="2"/>
                <w:szCs w:val="2"/>
                <w:color w:val="auto"/>
              </w:rPr>
            </w:pPr>
          </w:p>
        </w:tc>
        <w:tc>
          <w:tcPr>
            <w:tcW w:w="40" w:type="dxa"/>
            <w:vAlign w:val="bottom"/>
            <w:tcBorders>
              <w:top w:val="single" w:sz="8" w:color="0000FF"/>
              <w:bottom w:val="single" w:sz="8" w:color="auto"/>
            </w:tcBorders>
          </w:tcPr>
          <w:p>
            <w:pPr>
              <w:spacing w:after="0"/>
              <w:rPr>
                <w:sz w:val="2"/>
                <w:szCs w:val="2"/>
                <w:color w:val="auto"/>
              </w:rPr>
            </w:pPr>
          </w:p>
        </w:tc>
        <w:tc>
          <w:tcPr>
            <w:tcW w:w="240" w:type="dxa"/>
            <w:vAlign w:val="bottom"/>
            <w:tcBorders>
              <w:top w:val="single" w:sz="8" w:color="0000FF"/>
              <w:bottom w:val="single" w:sz="8" w:color="auto"/>
            </w:tcBorders>
          </w:tcPr>
          <w:p>
            <w:pPr>
              <w:spacing w:after="0"/>
              <w:rPr>
                <w:sz w:val="2"/>
                <w:szCs w:val="2"/>
                <w:color w:val="auto"/>
              </w:rPr>
            </w:pPr>
          </w:p>
        </w:tc>
        <w:tc>
          <w:tcPr>
            <w:tcW w:w="1100" w:type="dxa"/>
            <w:vAlign w:val="bottom"/>
            <w:tcBorders>
              <w:top w:val="single" w:sz="8" w:color="0000FF"/>
              <w:bottom w:val="single" w:sz="8" w:color="auto"/>
            </w:tcBorders>
          </w:tcPr>
          <w:p>
            <w:pPr>
              <w:spacing w:after="0"/>
              <w:rPr>
                <w:sz w:val="2"/>
                <w:szCs w:val="2"/>
                <w:color w:val="auto"/>
              </w:rPr>
            </w:pPr>
          </w:p>
        </w:tc>
        <w:tc>
          <w:tcPr>
            <w:tcW w:w="1180" w:type="dxa"/>
            <w:vAlign w:val="bottom"/>
            <w:tcBorders>
              <w:top w:val="single" w:sz="8" w:color="0000FF"/>
              <w:bottom w:val="single" w:sz="8" w:color="auto"/>
            </w:tcBorders>
          </w:tcPr>
          <w:p>
            <w:pPr>
              <w:spacing w:after="0"/>
              <w:rPr>
                <w:sz w:val="2"/>
                <w:szCs w:val="2"/>
                <w:color w:val="auto"/>
              </w:rPr>
            </w:pPr>
          </w:p>
        </w:tc>
        <w:tc>
          <w:tcPr>
            <w:tcW w:w="220" w:type="dxa"/>
            <w:vAlign w:val="bottom"/>
            <w:tcBorders>
              <w:top w:val="single" w:sz="8" w:color="0000FF"/>
              <w:bottom w:val="single" w:sz="8" w:color="auto"/>
            </w:tcBorders>
          </w:tcPr>
          <w:p>
            <w:pPr>
              <w:spacing w:after="0"/>
              <w:rPr>
                <w:sz w:val="2"/>
                <w:szCs w:val="2"/>
                <w:color w:val="auto"/>
              </w:rPr>
            </w:pPr>
          </w:p>
        </w:tc>
        <w:tc>
          <w:tcPr>
            <w:tcW w:w="60" w:type="dxa"/>
            <w:vAlign w:val="bottom"/>
            <w:tcBorders>
              <w:top w:val="single" w:sz="8" w:color="0000FF"/>
              <w:bottom w:val="single" w:sz="8" w:color="auto"/>
            </w:tcBorders>
          </w:tcPr>
          <w:p>
            <w:pPr>
              <w:spacing w:after="0"/>
              <w:rPr>
                <w:sz w:val="2"/>
                <w:szCs w:val="2"/>
                <w:color w:val="auto"/>
              </w:rPr>
            </w:pPr>
          </w:p>
        </w:tc>
        <w:tc>
          <w:tcPr>
            <w:tcW w:w="460" w:type="dxa"/>
            <w:vAlign w:val="bottom"/>
            <w:tcBorders>
              <w:top w:val="single" w:sz="8" w:color="0000FF"/>
              <w:bottom w:val="single" w:sz="8" w:color="auto"/>
            </w:tcBorders>
          </w:tcPr>
          <w:p>
            <w:pPr>
              <w:spacing w:after="0"/>
              <w:rPr>
                <w:sz w:val="2"/>
                <w:szCs w:val="2"/>
                <w:color w:val="auto"/>
              </w:rPr>
            </w:pPr>
          </w:p>
        </w:tc>
        <w:tc>
          <w:tcPr>
            <w:tcW w:w="40" w:type="dxa"/>
            <w:vAlign w:val="bottom"/>
            <w:tcBorders>
              <w:top w:val="single" w:sz="8" w:color="0000FF"/>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right w:val="single" w:sz="8" w:color="auto"/>
            </w:tcBorders>
          </w:tcPr>
          <w:p>
            <w:pPr>
              <w:spacing w:after="0"/>
              <w:rPr>
                <w:sz w:val="2"/>
                <w:szCs w:val="2"/>
                <w:color w:val="auto"/>
              </w:rPr>
            </w:pPr>
          </w:p>
        </w:tc>
      </w:tr>
      <w:tr>
        <w:trPr>
          <w:trHeight w:val="183"/>
        </w:trPr>
        <w:tc>
          <w:tcPr>
            <w:tcW w:w="1160" w:type="dxa"/>
            <w:vAlign w:val="bottom"/>
            <w:tcBorders>
              <w:left w:val="single" w:sz="8" w:color="auto"/>
              <w:right w:val="single" w:sz="8" w:color="auto"/>
            </w:tcBorders>
          </w:tcPr>
          <w:p>
            <w:pPr>
              <w:ind w:left="40"/>
              <w:spacing w:after="0" w:line="183" w:lineRule="exact"/>
              <w:rPr>
                <w:sz w:val="20"/>
                <w:szCs w:val="20"/>
                <w:color w:val="auto"/>
              </w:rPr>
            </w:pPr>
            <w:r>
              <w:rPr>
                <w:rFonts w:ascii="Arial" w:cs="Arial" w:eastAsia="Arial" w:hAnsi="Arial"/>
                <w:sz w:val="16"/>
                <w:szCs w:val="16"/>
                <w:color w:val="auto"/>
              </w:rPr>
              <w:t>4.10</w:t>
            </w:r>
          </w:p>
        </w:tc>
        <w:tc>
          <w:tcPr>
            <w:tcW w:w="12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9960" w:type="dxa"/>
            <w:vAlign w:val="bottom"/>
            <w:tcBorders>
              <w:bottom w:val="single" w:sz="8" w:color="0000FF"/>
            </w:tcBorders>
            <w:gridSpan w:val="33"/>
          </w:tcPr>
          <w:p>
            <w:pPr>
              <w:spacing w:after="0" w:line="183" w:lineRule="exact"/>
              <w:rPr>
                <w:rFonts w:ascii="Arial" w:cs="Arial" w:eastAsia="Arial" w:hAnsi="Arial"/>
                <w:sz w:val="16"/>
                <w:szCs w:val="16"/>
                <w:color w:val="0000FF"/>
              </w:rPr>
            </w:pPr>
            <w:hyperlink r:id="rId157">
              <w:r>
                <w:rPr>
                  <w:rFonts w:ascii="Arial" w:cs="Arial" w:eastAsia="Arial" w:hAnsi="Arial"/>
                  <w:sz w:val="16"/>
                  <w:szCs w:val="16"/>
                  <w:color w:val="0000FF"/>
                </w:rPr>
                <w:t>Indenture dated as of March 8, 2017 among Avis Budget Finance, plc, as Issuer, the Guarantors from time to time parties hereto, Deutsche</w:t>
              </w:r>
            </w:hyperlink>
          </w:p>
        </w:tc>
        <w:tc>
          <w:tcPr>
            <w:tcW w:w="180" w:type="dxa"/>
            <w:vAlign w:val="bottom"/>
            <w:tcBorders>
              <w:right w:val="single" w:sz="8" w:color="auto"/>
            </w:tcBorders>
            <w:gridSpan w:val="7"/>
          </w:tcPr>
          <w:p>
            <w:pPr>
              <w:spacing w:after="0"/>
              <w:rPr>
                <w:sz w:val="15"/>
                <w:szCs w:val="15"/>
                <w:color w:val="auto"/>
              </w:rPr>
            </w:pPr>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40" w:type="dxa"/>
            <w:vAlign w:val="bottom"/>
            <w:tcBorders>
              <w:bottom w:val="single" w:sz="8" w:color="0000FF"/>
            </w:tcBorders>
            <w:gridSpan w:val="36"/>
          </w:tcPr>
          <w:p>
            <w:pPr>
              <w:spacing w:after="0" w:line="169" w:lineRule="exact"/>
              <w:rPr>
                <w:rFonts w:ascii="Arial" w:cs="Arial" w:eastAsia="Arial" w:hAnsi="Arial"/>
                <w:sz w:val="16"/>
                <w:szCs w:val="16"/>
                <w:color w:val="0000FF"/>
              </w:rPr>
            </w:pPr>
            <w:hyperlink r:id="rId157">
              <w:r>
                <w:rPr>
                  <w:rFonts w:ascii="Arial" w:cs="Arial" w:eastAsia="Arial" w:hAnsi="Arial"/>
                  <w:sz w:val="16"/>
                  <w:szCs w:val="16"/>
                  <w:color w:val="0000FF"/>
                </w:rPr>
                <w:t>Bank Trust Company Americas, as Trustee, Deutsche Bank AG, London Branch, as Paying Agent and Deutsche Bank Luxembourg S.A., as</w:t>
              </w:r>
            </w:hyperlink>
          </w:p>
        </w:tc>
        <w:tc>
          <w:tcPr>
            <w:tcW w:w="100" w:type="dxa"/>
            <w:vAlign w:val="bottom"/>
            <w:tcBorders>
              <w:right w:val="single" w:sz="8" w:color="auto"/>
            </w:tcBorders>
            <w:gridSpan w:val="4"/>
          </w:tcPr>
          <w:p>
            <w:pPr>
              <w:spacing w:after="0"/>
              <w:rPr>
                <w:sz w:val="14"/>
                <w:szCs w:val="14"/>
                <w:color w:val="auto"/>
              </w:rPr>
            </w:pPr>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9980" w:type="dxa"/>
            <w:vAlign w:val="bottom"/>
            <w:tcBorders>
              <w:bottom w:val="single" w:sz="8" w:color="0000FF"/>
            </w:tcBorders>
            <w:gridSpan w:val="34"/>
          </w:tcPr>
          <w:p>
            <w:pPr>
              <w:spacing w:after="0" w:line="169" w:lineRule="exact"/>
              <w:rPr>
                <w:rFonts w:ascii="Arial" w:cs="Arial" w:eastAsia="Arial" w:hAnsi="Arial"/>
                <w:sz w:val="16"/>
                <w:szCs w:val="16"/>
                <w:color w:val="0000FF"/>
              </w:rPr>
            </w:pPr>
            <w:hyperlink r:id="rId157">
              <w:r>
                <w:rPr>
                  <w:rFonts w:ascii="Arial" w:cs="Arial" w:eastAsia="Arial" w:hAnsi="Arial"/>
                  <w:sz w:val="16"/>
                  <w:szCs w:val="16"/>
                  <w:color w:val="0000FF"/>
                </w:rPr>
                <w:t>Registrar (Incorporated by reference to Exhibit 4.2 to the Company’s Quarterly Report on Form 10-Q for the quarter ended March 31, 2017,</w:t>
              </w:r>
            </w:hyperlink>
          </w:p>
        </w:tc>
        <w:tc>
          <w:tcPr>
            <w:tcW w:w="160" w:type="dxa"/>
            <w:vAlign w:val="bottom"/>
            <w:tcBorders>
              <w:right w:val="single" w:sz="8" w:color="auto"/>
            </w:tcBorders>
            <w:gridSpan w:val="6"/>
          </w:tcPr>
          <w:p>
            <w:pPr>
              <w:spacing w:after="0"/>
              <w:rPr>
                <w:sz w:val="14"/>
                <w:szCs w:val="14"/>
                <w:color w:val="auto"/>
              </w:rPr>
            </w:pPr>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140" w:type="dxa"/>
            <w:vAlign w:val="bottom"/>
            <w:tcBorders>
              <w:right w:val="single" w:sz="8" w:color="auto"/>
            </w:tcBorders>
            <w:gridSpan w:val="40"/>
          </w:tcPr>
          <w:p>
            <w:pPr>
              <w:spacing w:after="0" w:line="169" w:lineRule="exact"/>
              <w:rPr>
                <w:rFonts w:ascii="Arial" w:cs="Arial" w:eastAsia="Arial" w:hAnsi="Arial"/>
                <w:sz w:val="16"/>
                <w:szCs w:val="16"/>
                <w:color w:val="0000FF"/>
              </w:rPr>
            </w:pPr>
            <w:hyperlink r:id="rId157">
              <w:r>
                <w:rPr>
                  <w:rFonts w:ascii="Arial" w:cs="Arial" w:eastAsia="Arial" w:hAnsi="Arial"/>
                  <w:sz w:val="16"/>
                  <w:szCs w:val="16"/>
                  <w:color w:val="0000FF"/>
                </w:rPr>
                <w:t>dated May 4, 2017).</w:t>
              </w:r>
            </w:hyperlink>
          </w:p>
        </w:tc>
      </w:tr>
      <w:tr>
        <w:trPr>
          <w:trHeight w:val="34"/>
        </w:trPr>
        <w:tc>
          <w:tcPr>
            <w:tcW w:w="1160" w:type="dxa"/>
            <w:vAlign w:val="bottom"/>
            <w:tcBorders>
              <w:left w:val="single" w:sz="8" w:color="auto"/>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60" w:type="dxa"/>
            <w:vAlign w:val="bottom"/>
            <w:tcBorders>
              <w:top w:val="single" w:sz="8" w:color="0000FF"/>
              <w:bottom w:val="single" w:sz="8" w:color="auto"/>
            </w:tcBorders>
          </w:tcPr>
          <w:p>
            <w:pPr>
              <w:spacing w:after="0"/>
              <w:rPr>
                <w:sz w:val="2"/>
                <w:szCs w:val="2"/>
                <w:color w:val="auto"/>
              </w:rPr>
            </w:pPr>
          </w:p>
        </w:tc>
        <w:tc>
          <w:tcPr>
            <w:tcW w:w="280" w:type="dxa"/>
            <w:vAlign w:val="bottom"/>
            <w:tcBorders>
              <w:top w:val="single" w:sz="8" w:color="0000FF"/>
              <w:bottom w:val="single" w:sz="8" w:color="auto"/>
            </w:tcBorders>
          </w:tcPr>
          <w:p>
            <w:pPr>
              <w:spacing w:after="0"/>
              <w:rPr>
                <w:sz w:val="2"/>
                <w:szCs w:val="2"/>
                <w:color w:val="auto"/>
              </w:rPr>
            </w:pPr>
          </w:p>
        </w:tc>
        <w:tc>
          <w:tcPr>
            <w:tcW w:w="420" w:type="dxa"/>
            <w:vAlign w:val="bottom"/>
            <w:tcBorders>
              <w:top w:val="single" w:sz="8" w:color="0000FF"/>
              <w:bottom w:val="single" w:sz="8" w:color="auto"/>
            </w:tcBorders>
          </w:tcPr>
          <w:p>
            <w:pPr>
              <w:spacing w:after="0"/>
              <w:rPr>
                <w:sz w:val="2"/>
                <w:szCs w:val="2"/>
                <w:color w:val="auto"/>
              </w:rPr>
            </w:pPr>
          </w:p>
        </w:tc>
        <w:tc>
          <w:tcPr>
            <w:tcW w:w="40" w:type="dxa"/>
            <w:vAlign w:val="bottom"/>
            <w:tcBorders>
              <w:top w:val="single" w:sz="8" w:color="0000FF"/>
              <w:bottom w:val="single" w:sz="8" w:color="auto"/>
            </w:tcBorders>
          </w:tcPr>
          <w:p>
            <w:pPr>
              <w:spacing w:after="0"/>
              <w:rPr>
                <w:sz w:val="2"/>
                <w:szCs w:val="2"/>
                <w:color w:val="auto"/>
              </w:rPr>
            </w:pPr>
          </w:p>
        </w:tc>
        <w:tc>
          <w:tcPr>
            <w:tcW w:w="240" w:type="dxa"/>
            <w:vAlign w:val="bottom"/>
            <w:tcBorders>
              <w:top w:val="single" w:sz="8" w:color="0000FF"/>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right w:val="single" w:sz="8" w:color="auto"/>
            </w:tcBorders>
          </w:tcPr>
          <w:p>
            <w:pPr>
              <w:spacing w:after="0"/>
              <w:rPr>
                <w:sz w:val="2"/>
                <w:szCs w:val="2"/>
                <w:color w:val="auto"/>
              </w:rPr>
            </w:pPr>
          </w:p>
        </w:tc>
      </w:tr>
      <w:tr>
        <w:trPr>
          <w:trHeight w:val="183"/>
        </w:trPr>
        <w:tc>
          <w:tcPr>
            <w:tcW w:w="1160" w:type="dxa"/>
            <w:vAlign w:val="bottom"/>
            <w:tcBorders>
              <w:left w:val="single" w:sz="8" w:color="auto"/>
              <w:right w:val="single" w:sz="8" w:color="auto"/>
            </w:tcBorders>
          </w:tcPr>
          <w:p>
            <w:pPr>
              <w:ind w:left="40"/>
              <w:spacing w:after="0" w:line="183" w:lineRule="exact"/>
              <w:rPr>
                <w:sz w:val="20"/>
                <w:szCs w:val="20"/>
                <w:color w:val="auto"/>
              </w:rPr>
            </w:pPr>
            <w:r>
              <w:rPr>
                <w:rFonts w:ascii="Arial" w:cs="Arial" w:eastAsia="Arial" w:hAnsi="Arial"/>
                <w:sz w:val="16"/>
                <w:szCs w:val="16"/>
                <w:color w:val="auto"/>
              </w:rPr>
              <w:t>4.11</w:t>
            </w:r>
          </w:p>
        </w:tc>
        <w:tc>
          <w:tcPr>
            <w:tcW w:w="12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9840" w:type="dxa"/>
            <w:vAlign w:val="bottom"/>
            <w:tcBorders>
              <w:bottom w:val="single" w:sz="8" w:color="0000FF"/>
            </w:tcBorders>
            <w:gridSpan w:val="27"/>
          </w:tcPr>
          <w:p>
            <w:pPr>
              <w:spacing w:after="0" w:line="183" w:lineRule="exact"/>
              <w:rPr>
                <w:rFonts w:ascii="Arial" w:cs="Arial" w:eastAsia="Arial" w:hAnsi="Arial"/>
                <w:sz w:val="16"/>
                <w:szCs w:val="16"/>
                <w:color w:val="0000FF"/>
              </w:rPr>
            </w:pPr>
            <w:hyperlink r:id="rId158">
              <w:r>
                <w:rPr>
                  <w:rFonts w:ascii="Arial" w:cs="Arial" w:eastAsia="Arial" w:hAnsi="Arial"/>
                  <w:sz w:val="16"/>
                  <w:szCs w:val="16"/>
                  <w:color w:val="0000FF"/>
                </w:rPr>
                <w:t>Form of 4.50% Senior Notes Due 2025 (Incorporated by reference to Exhibit 4.3 to the Company’s Quarterly Report on Form 10-Q for the</w:t>
              </w:r>
            </w:hyperlink>
          </w:p>
        </w:tc>
        <w:tc>
          <w:tcPr>
            <w:tcW w:w="300" w:type="dxa"/>
            <w:vAlign w:val="bottom"/>
            <w:tcBorders>
              <w:right w:val="single" w:sz="8" w:color="auto"/>
            </w:tcBorders>
            <w:gridSpan w:val="13"/>
          </w:tcPr>
          <w:p>
            <w:pPr>
              <w:spacing w:after="0"/>
              <w:rPr>
                <w:sz w:val="15"/>
                <w:szCs w:val="15"/>
                <w:color w:val="auto"/>
              </w:rPr>
            </w:pPr>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140" w:type="dxa"/>
            <w:vAlign w:val="bottom"/>
            <w:tcBorders>
              <w:right w:val="single" w:sz="8" w:color="auto"/>
            </w:tcBorders>
            <w:gridSpan w:val="40"/>
          </w:tcPr>
          <w:p>
            <w:pPr>
              <w:spacing w:after="0" w:line="169" w:lineRule="exact"/>
              <w:rPr>
                <w:rFonts w:ascii="Arial" w:cs="Arial" w:eastAsia="Arial" w:hAnsi="Arial"/>
                <w:sz w:val="16"/>
                <w:szCs w:val="16"/>
                <w:color w:val="0000FF"/>
              </w:rPr>
            </w:pPr>
            <w:hyperlink r:id="rId158">
              <w:r>
                <w:rPr>
                  <w:rFonts w:ascii="Arial" w:cs="Arial" w:eastAsia="Arial" w:hAnsi="Arial"/>
                  <w:sz w:val="16"/>
                  <w:szCs w:val="16"/>
                  <w:color w:val="0000FF"/>
                </w:rPr>
                <w:t>quarter ended March 31, 2017, dated May 4, 2017).</w:t>
              </w:r>
            </w:hyperlink>
          </w:p>
        </w:tc>
      </w:tr>
      <w:tr>
        <w:trPr>
          <w:trHeight w:val="34"/>
        </w:trPr>
        <w:tc>
          <w:tcPr>
            <w:tcW w:w="1160" w:type="dxa"/>
            <w:vAlign w:val="bottom"/>
            <w:tcBorders>
              <w:left w:val="single" w:sz="8" w:color="auto"/>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60" w:type="dxa"/>
            <w:vAlign w:val="bottom"/>
            <w:tcBorders>
              <w:top w:val="single" w:sz="8" w:color="0000FF"/>
              <w:bottom w:val="single" w:sz="8" w:color="auto"/>
            </w:tcBorders>
          </w:tcPr>
          <w:p>
            <w:pPr>
              <w:spacing w:after="0"/>
              <w:rPr>
                <w:sz w:val="2"/>
                <w:szCs w:val="2"/>
                <w:color w:val="auto"/>
              </w:rPr>
            </w:pPr>
          </w:p>
        </w:tc>
        <w:tc>
          <w:tcPr>
            <w:tcW w:w="280" w:type="dxa"/>
            <w:vAlign w:val="bottom"/>
            <w:tcBorders>
              <w:top w:val="single" w:sz="8" w:color="0000FF"/>
              <w:bottom w:val="single" w:sz="8" w:color="auto"/>
            </w:tcBorders>
          </w:tcPr>
          <w:p>
            <w:pPr>
              <w:spacing w:after="0"/>
              <w:rPr>
                <w:sz w:val="2"/>
                <w:szCs w:val="2"/>
                <w:color w:val="auto"/>
              </w:rPr>
            </w:pPr>
          </w:p>
        </w:tc>
        <w:tc>
          <w:tcPr>
            <w:tcW w:w="420" w:type="dxa"/>
            <w:vAlign w:val="bottom"/>
            <w:tcBorders>
              <w:top w:val="single" w:sz="8" w:color="0000FF"/>
              <w:bottom w:val="single" w:sz="8" w:color="auto"/>
            </w:tcBorders>
          </w:tcPr>
          <w:p>
            <w:pPr>
              <w:spacing w:after="0"/>
              <w:rPr>
                <w:sz w:val="2"/>
                <w:szCs w:val="2"/>
                <w:color w:val="auto"/>
              </w:rPr>
            </w:pPr>
          </w:p>
        </w:tc>
        <w:tc>
          <w:tcPr>
            <w:tcW w:w="40" w:type="dxa"/>
            <w:vAlign w:val="bottom"/>
            <w:tcBorders>
              <w:top w:val="single" w:sz="8" w:color="0000FF"/>
              <w:bottom w:val="single" w:sz="8" w:color="auto"/>
            </w:tcBorders>
          </w:tcPr>
          <w:p>
            <w:pPr>
              <w:spacing w:after="0"/>
              <w:rPr>
                <w:sz w:val="2"/>
                <w:szCs w:val="2"/>
                <w:color w:val="auto"/>
              </w:rPr>
            </w:pPr>
          </w:p>
        </w:tc>
        <w:tc>
          <w:tcPr>
            <w:tcW w:w="240" w:type="dxa"/>
            <w:vAlign w:val="bottom"/>
            <w:tcBorders>
              <w:top w:val="single" w:sz="8" w:color="0000FF"/>
              <w:bottom w:val="single" w:sz="8" w:color="auto"/>
            </w:tcBorders>
          </w:tcPr>
          <w:p>
            <w:pPr>
              <w:spacing w:after="0"/>
              <w:rPr>
                <w:sz w:val="2"/>
                <w:szCs w:val="2"/>
                <w:color w:val="auto"/>
              </w:rPr>
            </w:pPr>
          </w:p>
        </w:tc>
        <w:tc>
          <w:tcPr>
            <w:tcW w:w="1100" w:type="dxa"/>
            <w:vAlign w:val="bottom"/>
            <w:tcBorders>
              <w:top w:val="single" w:sz="8" w:color="0000FF"/>
              <w:bottom w:val="single" w:sz="8" w:color="auto"/>
            </w:tcBorders>
          </w:tcPr>
          <w:p>
            <w:pPr>
              <w:spacing w:after="0"/>
              <w:rPr>
                <w:sz w:val="2"/>
                <w:szCs w:val="2"/>
                <w:color w:val="auto"/>
              </w:rPr>
            </w:pPr>
          </w:p>
        </w:tc>
        <w:tc>
          <w:tcPr>
            <w:tcW w:w="1180" w:type="dxa"/>
            <w:vAlign w:val="bottom"/>
            <w:tcBorders>
              <w:top w:val="single" w:sz="8" w:color="0000FF"/>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right w:val="single" w:sz="8" w:color="auto"/>
            </w:tcBorders>
          </w:tcPr>
          <w:p>
            <w:pPr>
              <w:spacing w:after="0"/>
              <w:rPr>
                <w:sz w:val="2"/>
                <w:szCs w:val="2"/>
                <w:color w:val="auto"/>
              </w:rPr>
            </w:pPr>
          </w:p>
        </w:tc>
      </w:tr>
      <w:tr>
        <w:trPr>
          <w:trHeight w:val="183"/>
        </w:trPr>
        <w:tc>
          <w:tcPr>
            <w:tcW w:w="1160" w:type="dxa"/>
            <w:vAlign w:val="bottom"/>
            <w:tcBorders>
              <w:left w:val="single" w:sz="8" w:color="auto"/>
              <w:right w:val="single" w:sz="8" w:color="auto"/>
            </w:tcBorders>
          </w:tcPr>
          <w:p>
            <w:pPr>
              <w:ind w:left="40"/>
              <w:spacing w:after="0" w:line="183" w:lineRule="exact"/>
              <w:rPr>
                <w:sz w:val="20"/>
                <w:szCs w:val="20"/>
                <w:color w:val="auto"/>
              </w:rPr>
            </w:pPr>
            <w:r>
              <w:rPr>
                <w:rFonts w:ascii="Arial" w:cs="Arial" w:eastAsia="Arial" w:hAnsi="Arial"/>
                <w:sz w:val="16"/>
                <w:szCs w:val="16"/>
                <w:color w:val="auto"/>
              </w:rPr>
              <w:t>4.12</w:t>
            </w:r>
          </w:p>
        </w:tc>
        <w:tc>
          <w:tcPr>
            <w:tcW w:w="12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9740" w:type="dxa"/>
            <w:vAlign w:val="bottom"/>
            <w:tcBorders>
              <w:bottom w:val="single" w:sz="8" w:color="0000FF"/>
            </w:tcBorders>
            <w:gridSpan w:val="23"/>
          </w:tcPr>
          <w:p>
            <w:pPr>
              <w:spacing w:after="0" w:line="183" w:lineRule="exact"/>
              <w:rPr>
                <w:rFonts w:ascii="Arial" w:cs="Arial" w:eastAsia="Arial" w:hAnsi="Arial"/>
                <w:sz w:val="16"/>
                <w:szCs w:val="16"/>
                <w:color w:val="0000FF"/>
              </w:rPr>
            </w:pPr>
            <w:hyperlink r:id="rId159">
              <w:r>
                <w:rPr>
                  <w:rFonts w:ascii="Arial" w:cs="Arial" w:eastAsia="Arial" w:hAnsi="Arial"/>
                  <w:sz w:val="16"/>
                  <w:szCs w:val="16"/>
                  <w:color w:val="0000FF"/>
                </w:rPr>
                <w:t>Rights Agreement, dated as of January 23, 2017, between Avis Budget Group, Inc. and Computershare Trust Company, N.A., as Rights</w:t>
              </w:r>
            </w:hyperlink>
          </w:p>
        </w:tc>
        <w:tc>
          <w:tcPr>
            <w:tcW w:w="400" w:type="dxa"/>
            <w:vAlign w:val="bottom"/>
            <w:tcBorders>
              <w:right w:val="single" w:sz="8" w:color="auto"/>
            </w:tcBorders>
            <w:gridSpan w:val="17"/>
          </w:tcPr>
          <w:p>
            <w:pPr>
              <w:spacing w:after="0"/>
              <w:rPr>
                <w:sz w:val="15"/>
                <w:szCs w:val="15"/>
                <w:color w:val="auto"/>
              </w:rPr>
            </w:pPr>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140" w:type="dxa"/>
            <w:vAlign w:val="bottom"/>
            <w:tcBorders>
              <w:right w:val="single" w:sz="8" w:color="auto"/>
            </w:tcBorders>
            <w:gridSpan w:val="40"/>
          </w:tcPr>
          <w:p>
            <w:pPr>
              <w:spacing w:after="0" w:line="169" w:lineRule="exact"/>
              <w:rPr>
                <w:rFonts w:ascii="Arial" w:cs="Arial" w:eastAsia="Arial" w:hAnsi="Arial"/>
                <w:sz w:val="16"/>
                <w:szCs w:val="16"/>
                <w:color w:val="0000FF"/>
              </w:rPr>
            </w:pPr>
            <w:hyperlink r:id="rId159">
              <w:r>
                <w:rPr>
                  <w:rFonts w:ascii="Arial" w:cs="Arial" w:eastAsia="Arial" w:hAnsi="Arial"/>
                  <w:sz w:val="16"/>
                  <w:szCs w:val="16"/>
                  <w:color w:val="0000FF"/>
                </w:rPr>
                <w:t>Agent (Incorporated by reference to Exhibit 4.1 to the Company’s Current Report on Form 8-K dated January 23, 2017).</w:t>
              </w:r>
            </w:hyperlink>
          </w:p>
        </w:tc>
      </w:tr>
      <w:tr>
        <w:trPr>
          <w:trHeight w:val="34"/>
        </w:trPr>
        <w:tc>
          <w:tcPr>
            <w:tcW w:w="1160" w:type="dxa"/>
            <w:vAlign w:val="bottom"/>
            <w:tcBorders>
              <w:left w:val="single" w:sz="8" w:color="auto"/>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60" w:type="dxa"/>
            <w:vAlign w:val="bottom"/>
            <w:tcBorders>
              <w:top w:val="single" w:sz="8" w:color="0000FF"/>
              <w:bottom w:val="single" w:sz="8" w:color="auto"/>
            </w:tcBorders>
          </w:tcPr>
          <w:p>
            <w:pPr>
              <w:spacing w:after="0"/>
              <w:rPr>
                <w:sz w:val="2"/>
                <w:szCs w:val="2"/>
                <w:color w:val="auto"/>
              </w:rPr>
            </w:pPr>
          </w:p>
        </w:tc>
        <w:tc>
          <w:tcPr>
            <w:tcW w:w="280" w:type="dxa"/>
            <w:vAlign w:val="bottom"/>
            <w:tcBorders>
              <w:top w:val="single" w:sz="8" w:color="0000FF"/>
              <w:bottom w:val="single" w:sz="8" w:color="auto"/>
            </w:tcBorders>
          </w:tcPr>
          <w:p>
            <w:pPr>
              <w:spacing w:after="0"/>
              <w:rPr>
                <w:sz w:val="2"/>
                <w:szCs w:val="2"/>
                <w:color w:val="auto"/>
              </w:rPr>
            </w:pPr>
          </w:p>
        </w:tc>
        <w:tc>
          <w:tcPr>
            <w:tcW w:w="420" w:type="dxa"/>
            <w:vAlign w:val="bottom"/>
            <w:tcBorders>
              <w:top w:val="single" w:sz="8" w:color="0000FF"/>
              <w:bottom w:val="single" w:sz="8" w:color="auto"/>
            </w:tcBorders>
          </w:tcPr>
          <w:p>
            <w:pPr>
              <w:spacing w:after="0"/>
              <w:rPr>
                <w:sz w:val="2"/>
                <w:szCs w:val="2"/>
                <w:color w:val="auto"/>
              </w:rPr>
            </w:pPr>
          </w:p>
        </w:tc>
        <w:tc>
          <w:tcPr>
            <w:tcW w:w="40" w:type="dxa"/>
            <w:vAlign w:val="bottom"/>
            <w:tcBorders>
              <w:top w:val="single" w:sz="8" w:color="0000FF"/>
              <w:bottom w:val="single" w:sz="8" w:color="auto"/>
            </w:tcBorders>
          </w:tcPr>
          <w:p>
            <w:pPr>
              <w:spacing w:after="0"/>
              <w:rPr>
                <w:sz w:val="2"/>
                <w:szCs w:val="2"/>
                <w:color w:val="auto"/>
              </w:rPr>
            </w:pPr>
          </w:p>
        </w:tc>
        <w:tc>
          <w:tcPr>
            <w:tcW w:w="240" w:type="dxa"/>
            <w:vAlign w:val="bottom"/>
            <w:tcBorders>
              <w:top w:val="single" w:sz="8" w:color="0000FF"/>
              <w:bottom w:val="single" w:sz="8" w:color="auto"/>
            </w:tcBorders>
          </w:tcPr>
          <w:p>
            <w:pPr>
              <w:spacing w:after="0"/>
              <w:rPr>
                <w:sz w:val="2"/>
                <w:szCs w:val="2"/>
                <w:color w:val="auto"/>
              </w:rPr>
            </w:pPr>
          </w:p>
        </w:tc>
        <w:tc>
          <w:tcPr>
            <w:tcW w:w="1100" w:type="dxa"/>
            <w:vAlign w:val="bottom"/>
            <w:tcBorders>
              <w:top w:val="single" w:sz="8" w:color="0000FF"/>
              <w:bottom w:val="single" w:sz="8" w:color="auto"/>
            </w:tcBorders>
          </w:tcPr>
          <w:p>
            <w:pPr>
              <w:spacing w:after="0"/>
              <w:rPr>
                <w:sz w:val="2"/>
                <w:szCs w:val="2"/>
                <w:color w:val="auto"/>
              </w:rPr>
            </w:pPr>
          </w:p>
        </w:tc>
        <w:tc>
          <w:tcPr>
            <w:tcW w:w="1180" w:type="dxa"/>
            <w:vAlign w:val="bottom"/>
            <w:tcBorders>
              <w:top w:val="single" w:sz="8" w:color="0000FF"/>
              <w:bottom w:val="single" w:sz="8" w:color="auto"/>
            </w:tcBorders>
          </w:tcPr>
          <w:p>
            <w:pPr>
              <w:spacing w:after="0"/>
              <w:rPr>
                <w:sz w:val="2"/>
                <w:szCs w:val="2"/>
                <w:color w:val="auto"/>
              </w:rPr>
            </w:pPr>
          </w:p>
        </w:tc>
        <w:tc>
          <w:tcPr>
            <w:tcW w:w="220" w:type="dxa"/>
            <w:vAlign w:val="bottom"/>
            <w:tcBorders>
              <w:top w:val="single" w:sz="8" w:color="0000FF"/>
              <w:bottom w:val="single" w:sz="8" w:color="auto"/>
            </w:tcBorders>
          </w:tcPr>
          <w:p>
            <w:pPr>
              <w:spacing w:after="0"/>
              <w:rPr>
                <w:sz w:val="2"/>
                <w:szCs w:val="2"/>
                <w:color w:val="auto"/>
              </w:rPr>
            </w:pPr>
          </w:p>
        </w:tc>
        <w:tc>
          <w:tcPr>
            <w:tcW w:w="60" w:type="dxa"/>
            <w:vAlign w:val="bottom"/>
            <w:tcBorders>
              <w:top w:val="single" w:sz="8" w:color="0000FF"/>
              <w:bottom w:val="single" w:sz="8" w:color="auto"/>
            </w:tcBorders>
          </w:tcPr>
          <w:p>
            <w:pPr>
              <w:spacing w:after="0"/>
              <w:rPr>
                <w:sz w:val="2"/>
                <w:szCs w:val="2"/>
                <w:color w:val="auto"/>
              </w:rPr>
            </w:pPr>
          </w:p>
        </w:tc>
        <w:tc>
          <w:tcPr>
            <w:tcW w:w="460" w:type="dxa"/>
            <w:vAlign w:val="bottom"/>
            <w:tcBorders>
              <w:top w:val="single" w:sz="8" w:color="0000FF"/>
              <w:bottom w:val="single" w:sz="8" w:color="auto"/>
            </w:tcBorders>
          </w:tcPr>
          <w:p>
            <w:pPr>
              <w:spacing w:after="0"/>
              <w:rPr>
                <w:sz w:val="2"/>
                <w:szCs w:val="2"/>
                <w:color w:val="auto"/>
              </w:rPr>
            </w:pPr>
          </w:p>
        </w:tc>
        <w:tc>
          <w:tcPr>
            <w:tcW w:w="40" w:type="dxa"/>
            <w:vAlign w:val="bottom"/>
            <w:tcBorders>
              <w:top w:val="single" w:sz="8" w:color="0000FF"/>
              <w:bottom w:val="single" w:sz="8" w:color="auto"/>
            </w:tcBorders>
          </w:tcPr>
          <w:p>
            <w:pPr>
              <w:spacing w:after="0"/>
              <w:rPr>
                <w:sz w:val="2"/>
                <w:szCs w:val="2"/>
                <w:color w:val="auto"/>
              </w:rPr>
            </w:pPr>
          </w:p>
        </w:tc>
        <w:tc>
          <w:tcPr>
            <w:tcW w:w="140" w:type="dxa"/>
            <w:vAlign w:val="bottom"/>
            <w:tcBorders>
              <w:top w:val="single" w:sz="8" w:color="0000FF"/>
              <w:bottom w:val="single" w:sz="8" w:color="auto"/>
            </w:tcBorders>
          </w:tcPr>
          <w:p>
            <w:pPr>
              <w:spacing w:after="0"/>
              <w:rPr>
                <w:sz w:val="2"/>
                <w:szCs w:val="2"/>
                <w:color w:val="auto"/>
              </w:rPr>
            </w:pPr>
          </w:p>
        </w:tc>
        <w:tc>
          <w:tcPr>
            <w:tcW w:w="220" w:type="dxa"/>
            <w:vAlign w:val="bottom"/>
            <w:tcBorders>
              <w:top w:val="single" w:sz="8" w:color="0000FF"/>
              <w:bottom w:val="single" w:sz="8" w:color="auto"/>
            </w:tcBorders>
          </w:tcPr>
          <w:p>
            <w:pPr>
              <w:spacing w:after="0"/>
              <w:rPr>
                <w:sz w:val="2"/>
                <w:szCs w:val="2"/>
                <w:color w:val="auto"/>
              </w:rPr>
            </w:pPr>
          </w:p>
        </w:tc>
        <w:tc>
          <w:tcPr>
            <w:tcW w:w="80" w:type="dxa"/>
            <w:vAlign w:val="bottom"/>
            <w:tcBorders>
              <w:top w:val="single" w:sz="8" w:color="0000FF"/>
              <w:bottom w:val="single" w:sz="8" w:color="auto"/>
            </w:tcBorders>
          </w:tcPr>
          <w:p>
            <w:pPr>
              <w:spacing w:after="0"/>
              <w:rPr>
                <w:sz w:val="2"/>
                <w:szCs w:val="2"/>
                <w:color w:val="auto"/>
              </w:rPr>
            </w:pPr>
          </w:p>
        </w:tc>
        <w:tc>
          <w:tcPr>
            <w:tcW w:w="2460" w:type="dxa"/>
            <w:vAlign w:val="bottom"/>
            <w:tcBorders>
              <w:top w:val="single" w:sz="8" w:color="0000FF"/>
              <w:bottom w:val="single" w:sz="8" w:color="auto"/>
            </w:tcBorders>
          </w:tcPr>
          <w:p>
            <w:pPr>
              <w:spacing w:after="0"/>
              <w:rPr>
                <w:sz w:val="2"/>
                <w:szCs w:val="2"/>
                <w:color w:val="auto"/>
              </w:rPr>
            </w:pPr>
          </w:p>
        </w:tc>
        <w:tc>
          <w:tcPr>
            <w:tcW w:w="1180" w:type="dxa"/>
            <w:vAlign w:val="bottom"/>
            <w:tcBorders>
              <w:top w:val="single" w:sz="8" w:color="0000FF"/>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right w:val="single" w:sz="8" w:color="auto"/>
            </w:tcBorders>
          </w:tcPr>
          <w:p>
            <w:pPr>
              <w:spacing w:after="0"/>
              <w:rPr>
                <w:sz w:val="2"/>
                <w:szCs w:val="2"/>
                <w:color w:val="auto"/>
              </w:rPr>
            </w:pPr>
          </w:p>
        </w:tc>
      </w:tr>
      <w:tr>
        <w:trPr>
          <w:trHeight w:val="453"/>
        </w:trPr>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140" w:type="dxa"/>
            <w:vAlign w:val="bottom"/>
            <w:gridSpan w:val="31"/>
          </w:tcPr>
          <w:p>
            <w:pPr>
              <w:ind w:left="260"/>
              <w:spacing w:after="0"/>
              <w:rPr>
                <w:sz w:val="20"/>
                <w:szCs w:val="20"/>
                <w:color w:val="auto"/>
              </w:rPr>
            </w:pPr>
            <w:r>
              <w:rPr>
                <w:rFonts w:ascii="Arial" w:cs="Arial" w:eastAsia="Arial" w:hAnsi="Arial"/>
                <w:sz w:val="18"/>
                <w:szCs w:val="18"/>
                <w:color w:val="auto"/>
              </w:rPr>
              <w:t>H-1</w:t>
            </w:r>
          </w:p>
        </w:tc>
      </w:tr>
    </w:tbl>
    <w:p>
      <w:pPr>
        <w:sectPr>
          <w:pgSz w:w="11900" w:h="16838" w:orient="portrait"/>
          <w:cols w:equalWidth="0" w:num="1">
            <w:col w:w="11440"/>
          </w:cols>
          <w:pgMar w:left="240" w:top="140" w:right="219" w:bottom="1440" w:gutter="0" w:footer="0" w:header="0"/>
        </w:sectPr>
      </w:pPr>
    </w:p>
    <w:bookmarkStart w:id="127" w:name="page128"/>
    <w:bookmarkEnd w:id="1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7" w:lineRule="exact"/>
        <w:rPr>
          <w:sz w:val="20"/>
          <w:szCs w:val="20"/>
          <w:color w:val="auto"/>
        </w:rPr>
      </w:pPr>
    </w:p>
    <w:tbl>
      <w:tblPr>
        <w:tblLayout w:type="fixed"/>
        <w:tblInd w:w="10" w:type="dxa"/>
        <w:tblCellMar>
          <w:top w:w="0" w:type="dxa"/>
          <w:left w:w="0" w:type="dxa"/>
          <w:bottom w:w="0" w:type="dxa"/>
          <w:right w:w="0" w:type="dxa"/>
        </w:tblCellMar>
      </w:tblPr>
      <w:tr>
        <w:trPr>
          <w:trHeight w:val="203"/>
        </w:trPr>
        <w:tc>
          <w:tcPr>
            <w:tcW w:w="116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4.13</w:t>
            </w:r>
          </w:p>
        </w:tc>
        <w:tc>
          <w:tcPr>
            <w:tcW w:w="120" w:type="dxa"/>
            <w:vAlign w:val="bottom"/>
            <w:tcBorders>
              <w:top w:val="single" w:sz="8" w:color="auto"/>
              <w:right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0140" w:type="dxa"/>
            <w:vAlign w:val="bottom"/>
            <w:tcBorders>
              <w:top w:val="single" w:sz="8" w:color="auto"/>
              <w:right w:val="single" w:sz="8" w:color="auto"/>
            </w:tcBorders>
            <w:gridSpan w:val="41"/>
          </w:tcPr>
          <w:p>
            <w:pPr>
              <w:spacing w:after="0"/>
              <w:rPr>
                <w:rFonts w:ascii="Arial" w:cs="Arial" w:eastAsia="Arial" w:hAnsi="Arial"/>
                <w:sz w:val="16"/>
                <w:szCs w:val="16"/>
                <w:color w:val="0000FF"/>
              </w:rPr>
            </w:pPr>
            <w:hyperlink r:id="rId160">
              <w:r>
                <w:rPr>
                  <w:rFonts w:ascii="Arial" w:cs="Arial" w:eastAsia="Arial" w:hAnsi="Arial"/>
                  <w:sz w:val="16"/>
                  <w:szCs w:val="16"/>
                  <w:color w:val="0000FF"/>
                </w:rPr>
                <w:t>Amendment No. 1, dated May 3, 2017, to the Rights Agreement, dated as of January 23, 2017, between Avis Budget Group, Inc. and</w:t>
              </w:r>
            </w:hyperlink>
          </w:p>
        </w:tc>
      </w:tr>
      <w:tr>
        <w:trPr>
          <w:trHeight w:val="20"/>
        </w:trPr>
        <w:tc>
          <w:tcPr>
            <w:tcW w:w="1160" w:type="dxa"/>
            <w:vAlign w:val="bottom"/>
            <w:tcBorders>
              <w:left w:val="single" w:sz="8" w:color="auto"/>
              <w:right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100" w:type="dxa"/>
            <w:vAlign w:val="bottom"/>
            <w:tcBorders>
              <w:bottom w:val="single" w:sz="8" w:color="0000FF"/>
            </w:tcBorders>
            <w:gridSpan w:val="40"/>
          </w:tcPr>
          <w:p>
            <w:pPr>
              <w:spacing w:after="0" w:line="169" w:lineRule="exact"/>
              <w:rPr>
                <w:rFonts w:ascii="Arial" w:cs="Arial" w:eastAsia="Arial" w:hAnsi="Arial"/>
                <w:sz w:val="16"/>
                <w:szCs w:val="16"/>
                <w:color w:val="0000FF"/>
              </w:rPr>
            </w:pPr>
            <w:hyperlink r:id="rId160">
              <w:r>
                <w:rPr>
                  <w:rFonts w:ascii="Arial" w:cs="Arial" w:eastAsia="Arial" w:hAnsi="Arial"/>
                  <w:sz w:val="16"/>
                  <w:szCs w:val="16"/>
                  <w:color w:val="0000FF"/>
                </w:rPr>
                <w:t>Computershare Trust Company, N.A., as Rights Agent (Incorporated by reference to Exhibit 4.1 to the Company’s Current Report on Form 8-</w:t>
              </w:r>
            </w:hyperlink>
          </w:p>
        </w:tc>
        <w:tc>
          <w:tcPr>
            <w:tcW w:w="40" w:type="dxa"/>
            <w:vAlign w:val="bottom"/>
            <w:tcBorders>
              <w:right w:val="single" w:sz="8" w:color="auto"/>
            </w:tcBorders>
          </w:tcPr>
          <w:p>
            <w:pPr>
              <w:spacing w:after="0"/>
              <w:rPr>
                <w:sz w:val="14"/>
                <w:szCs w:val="14"/>
                <w:color w:val="auto"/>
              </w:rPr>
            </w:pPr>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140" w:type="dxa"/>
            <w:vAlign w:val="bottom"/>
            <w:tcBorders>
              <w:right w:val="single" w:sz="8" w:color="auto"/>
            </w:tcBorders>
            <w:gridSpan w:val="41"/>
          </w:tcPr>
          <w:p>
            <w:pPr>
              <w:spacing w:after="0" w:line="169" w:lineRule="exact"/>
              <w:rPr>
                <w:rFonts w:ascii="Arial" w:cs="Arial" w:eastAsia="Arial" w:hAnsi="Arial"/>
                <w:sz w:val="16"/>
                <w:szCs w:val="16"/>
                <w:color w:val="0000FF"/>
              </w:rPr>
            </w:pPr>
            <w:hyperlink r:id="rId160">
              <w:r>
                <w:rPr>
                  <w:rFonts w:ascii="Arial" w:cs="Arial" w:eastAsia="Arial" w:hAnsi="Arial"/>
                  <w:sz w:val="16"/>
                  <w:szCs w:val="16"/>
                  <w:color w:val="0000FF"/>
                </w:rPr>
                <w:t>K dated J May 3, 2017).</w:t>
              </w:r>
            </w:hyperlink>
          </w:p>
        </w:tc>
      </w:tr>
      <w:tr>
        <w:trPr>
          <w:trHeight w:val="34"/>
        </w:trPr>
        <w:tc>
          <w:tcPr>
            <w:tcW w:w="1160" w:type="dxa"/>
            <w:vAlign w:val="bottom"/>
            <w:tcBorders>
              <w:left w:val="single" w:sz="8" w:color="auto"/>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60" w:type="dxa"/>
            <w:vAlign w:val="bottom"/>
            <w:tcBorders>
              <w:top w:val="single" w:sz="8" w:color="0000FF"/>
              <w:bottom w:val="single" w:sz="8" w:color="auto"/>
            </w:tcBorders>
          </w:tcPr>
          <w:p>
            <w:pPr>
              <w:spacing w:after="0"/>
              <w:rPr>
                <w:sz w:val="2"/>
                <w:szCs w:val="2"/>
                <w:color w:val="auto"/>
              </w:rPr>
            </w:pPr>
          </w:p>
        </w:tc>
        <w:tc>
          <w:tcPr>
            <w:tcW w:w="260" w:type="dxa"/>
            <w:vAlign w:val="bottom"/>
            <w:tcBorders>
              <w:top w:val="single" w:sz="8" w:color="0000FF"/>
              <w:bottom w:val="single" w:sz="8" w:color="auto"/>
            </w:tcBorders>
          </w:tcPr>
          <w:p>
            <w:pPr>
              <w:spacing w:after="0"/>
              <w:rPr>
                <w:sz w:val="2"/>
                <w:szCs w:val="2"/>
                <w:color w:val="auto"/>
              </w:rPr>
            </w:pPr>
          </w:p>
        </w:tc>
        <w:tc>
          <w:tcPr>
            <w:tcW w:w="900" w:type="dxa"/>
            <w:vAlign w:val="bottom"/>
            <w:tcBorders>
              <w:top w:val="single" w:sz="8" w:color="0000FF"/>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right w:val="single" w:sz="8" w:color="auto"/>
            </w:tcBorders>
          </w:tcPr>
          <w:p>
            <w:pPr>
              <w:spacing w:after="0"/>
              <w:rPr>
                <w:sz w:val="2"/>
                <w:szCs w:val="2"/>
                <w:color w:val="auto"/>
              </w:rPr>
            </w:pPr>
          </w:p>
        </w:tc>
      </w:tr>
      <w:tr>
        <w:trPr>
          <w:trHeight w:val="183"/>
        </w:trPr>
        <w:tc>
          <w:tcPr>
            <w:tcW w:w="1160" w:type="dxa"/>
            <w:vAlign w:val="bottom"/>
            <w:tcBorders>
              <w:left w:val="single" w:sz="8" w:color="auto"/>
              <w:right w:val="single" w:sz="8" w:color="auto"/>
            </w:tcBorders>
          </w:tcPr>
          <w:p>
            <w:pPr>
              <w:ind w:left="40"/>
              <w:spacing w:after="0" w:line="183" w:lineRule="exact"/>
              <w:rPr>
                <w:sz w:val="20"/>
                <w:szCs w:val="20"/>
                <w:color w:val="auto"/>
              </w:rPr>
            </w:pPr>
            <w:r>
              <w:rPr>
                <w:rFonts w:ascii="Arial" w:cs="Arial" w:eastAsia="Arial" w:hAnsi="Arial"/>
                <w:sz w:val="16"/>
                <w:szCs w:val="16"/>
                <w:color w:val="auto"/>
              </w:rPr>
              <w:t>4.14</w:t>
            </w:r>
          </w:p>
        </w:tc>
        <w:tc>
          <w:tcPr>
            <w:tcW w:w="12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9740" w:type="dxa"/>
            <w:vAlign w:val="bottom"/>
            <w:tcBorders>
              <w:bottom w:val="single" w:sz="8" w:color="0000FF"/>
            </w:tcBorders>
            <w:gridSpan w:val="26"/>
          </w:tcPr>
          <w:p>
            <w:pPr>
              <w:spacing w:after="0" w:line="183" w:lineRule="exact"/>
              <w:rPr>
                <w:rFonts w:ascii="Arial" w:cs="Arial" w:eastAsia="Arial" w:hAnsi="Arial"/>
                <w:sz w:val="16"/>
                <w:szCs w:val="16"/>
                <w:color w:val="0000FF"/>
              </w:rPr>
            </w:pPr>
            <w:hyperlink r:id="rId161">
              <w:r>
                <w:rPr>
                  <w:rFonts w:ascii="Arial" w:cs="Arial" w:eastAsia="Arial" w:hAnsi="Arial"/>
                  <w:sz w:val="16"/>
                  <w:szCs w:val="16"/>
                  <w:color w:val="0000FF"/>
                </w:rPr>
                <w:t>Rights Agreement, dated as of January 14, 2018, between Avis Budget Group, Inc. and Computershare Trust Company, N.A., as Rights</w:t>
              </w:r>
            </w:hyperlink>
          </w:p>
        </w:tc>
        <w:tc>
          <w:tcPr>
            <w:tcW w:w="400" w:type="dxa"/>
            <w:vAlign w:val="bottom"/>
            <w:tcBorders>
              <w:right w:val="single" w:sz="8" w:color="auto"/>
            </w:tcBorders>
            <w:gridSpan w:val="15"/>
          </w:tcPr>
          <w:p>
            <w:pPr>
              <w:spacing w:after="0"/>
              <w:rPr>
                <w:sz w:val="15"/>
                <w:szCs w:val="15"/>
                <w:color w:val="auto"/>
              </w:rPr>
            </w:pPr>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140" w:type="dxa"/>
            <w:vAlign w:val="bottom"/>
            <w:tcBorders>
              <w:right w:val="single" w:sz="8" w:color="auto"/>
            </w:tcBorders>
            <w:gridSpan w:val="41"/>
          </w:tcPr>
          <w:p>
            <w:pPr>
              <w:spacing w:after="0" w:line="169" w:lineRule="exact"/>
              <w:rPr>
                <w:rFonts w:ascii="Arial" w:cs="Arial" w:eastAsia="Arial" w:hAnsi="Arial"/>
                <w:sz w:val="16"/>
                <w:szCs w:val="16"/>
                <w:color w:val="0000FF"/>
              </w:rPr>
            </w:pPr>
            <w:hyperlink r:id="rId161">
              <w:r>
                <w:rPr>
                  <w:rFonts w:ascii="Arial" w:cs="Arial" w:eastAsia="Arial" w:hAnsi="Arial"/>
                  <w:sz w:val="16"/>
                  <w:szCs w:val="16"/>
                  <w:color w:val="0000FF"/>
                </w:rPr>
                <w:t>Agent (Incorporated by reference to Exhibit 4.1 to the Company’s Current Report on Form 8-K dated January 16, 2018).</w:t>
              </w:r>
            </w:hyperlink>
          </w:p>
        </w:tc>
      </w:tr>
      <w:tr>
        <w:trPr>
          <w:trHeight w:val="34"/>
        </w:trPr>
        <w:tc>
          <w:tcPr>
            <w:tcW w:w="1160" w:type="dxa"/>
            <w:vAlign w:val="bottom"/>
            <w:tcBorders>
              <w:left w:val="single" w:sz="8" w:color="auto"/>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60" w:type="dxa"/>
            <w:vAlign w:val="bottom"/>
            <w:tcBorders>
              <w:top w:val="single" w:sz="8" w:color="0000FF"/>
              <w:bottom w:val="single" w:sz="8" w:color="auto"/>
            </w:tcBorders>
          </w:tcPr>
          <w:p>
            <w:pPr>
              <w:spacing w:after="0"/>
              <w:rPr>
                <w:sz w:val="2"/>
                <w:szCs w:val="2"/>
                <w:color w:val="auto"/>
              </w:rPr>
            </w:pPr>
          </w:p>
        </w:tc>
        <w:tc>
          <w:tcPr>
            <w:tcW w:w="260" w:type="dxa"/>
            <w:vAlign w:val="bottom"/>
            <w:tcBorders>
              <w:top w:val="single" w:sz="8" w:color="0000FF"/>
              <w:bottom w:val="single" w:sz="8" w:color="auto"/>
            </w:tcBorders>
          </w:tcPr>
          <w:p>
            <w:pPr>
              <w:spacing w:after="0"/>
              <w:rPr>
                <w:sz w:val="2"/>
                <w:szCs w:val="2"/>
                <w:color w:val="auto"/>
              </w:rPr>
            </w:pPr>
          </w:p>
        </w:tc>
        <w:tc>
          <w:tcPr>
            <w:tcW w:w="900" w:type="dxa"/>
            <w:vAlign w:val="bottom"/>
            <w:tcBorders>
              <w:top w:val="single" w:sz="8" w:color="0000FF"/>
              <w:bottom w:val="single" w:sz="8" w:color="auto"/>
            </w:tcBorders>
          </w:tcPr>
          <w:p>
            <w:pPr>
              <w:spacing w:after="0"/>
              <w:rPr>
                <w:sz w:val="2"/>
                <w:szCs w:val="2"/>
                <w:color w:val="auto"/>
              </w:rPr>
            </w:pPr>
          </w:p>
        </w:tc>
        <w:tc>
          <w:tcPr>
            <w:tcW w:w="320" w:type="dxa"/>
            <w:vAlign w:val="bottom"/>
            <w:tcBorders>
              <w:top w:val="single" w:sz="8" w:color="0000FF"/>
              <w:bottom w:val="single" w:sz="8" w:color="auto"/>
            </w:tcBorders>
          </w:tcPr>
          <w:p>
            <w:pPr>
              <w:spacing w:after="0"/>
              <w:rPr>
                <w:sz w:val="2"/>
                <w:szCs w:val="2"/>
                <w:color w:val="auto"/>
              </w:rPr>
            </w:pPr>
          </w:p>
        </w:tc>
        <w:tc>
          <w:tcPr>
            <w:tcW w:w="360" w:type="dxa"/>
            <w:vAlign w:val="bottom"/>
            <w:tcBorders>
              <w:top w:val="single" w:sz="8" w:color="0000FF"/>
              <w:bottom w:val="single" w:sz="8" w:color="auto"/>
            </w:tcBorders>
          </w:tcPr>
          <w:p>
            <w:pPr>
              <w:spacing w:after="0"/>
              <w:rPr>
                <w:sz w:val="2"/>
                <w:szCs w:val="2"/>
                <w:color w:val="auto"/>
              </w:rPr>
            </w:pPr>
          </w:p>
        </w:tc>
        <w:tc>
          <w:tcPr>
            <w:tcW w:w="1880" w:type="dxa"/>
            <w:vAlign w:val="bottom"/>
            <w:tcBorders>
              <w:top w:val="single" w:sz="8" w:color="0000FF"/>
              <w:bottom w:val="single" w:sz="8" w:color="auto"/>
            </w:tcBorders>
          </w:tcPr>
          <w:p>
            <w:pPr>
              <w:spacing w:after="0"/>
              <w:rPr>
                <w:sz w:val="2"/>
                <w:szCs w:val="2"/>
                <w:color w:val="auto"/>
              </w:rPr>
            </w:pPr>
          </w:p>
        </w:tc>
        <w:tc>
          <w:tcPr>
            <w:tcW w:w="320" w:type="dxa"/>
            <w:vAlign w:val="bottom"/>
            <w:tcBorders>
              <w:top w:val="single" w:sz="8" w:color="0000FF"/>
              <w:bottom w:val="single" w:sz="8" w:color="auto"/>
            </w:tcBorders>
          </w:tcPr>
          <w:p>
            <w:pPr>
              <w:spacing w:after="0"/>
              <w:rPr>
                <w:sz w:val="2"/>
                <w:szCs w:val="2"/>
                <w:color w:val="auto"/>
              </w:rPr>
            </w:pPr>
          </w:p>
        </w:tc>
        <w:tc>
          <w:tcPr>
            <w:tcW w:w="340" w:type="dxa"/>
            <w:vAlign w:val="bottom"/>
            <w:tcBorders>
              <w:top w:val="single" w:sz="8" w:color="0000FF"/>
              <w:bottom w:val="single" w:sz="8" w:color="auto"/>
            </w:tcBorders>
          </w:tcPr>
          <w:p>
            <w:pPr>
              <w:spacing w:after="0"/>
              <w:rPr>
                <w:sz w:val="2"/>
                <w:szCs w:val="2"/>
                <w:color w:val="auto"/>
              </w:rPr>
            </w:pPr>
          </w:p>
        </w:tc>
        <w:tc>
          <w:tcPr>
            <w:tcW w:w="100" w:type="dxa"/>
            <w:vAlign w:val="bottom"/>
            <w:tcBorders>
              <w:top w:val="single" w:sz="8" w:color="0000FF"/>
              <w:bottom w:val="single" w:sz="8" w:color="auto"/>
            </w:tcBorders>
          </w:tcPr>
          <w:p>
            <w:pPr>
              <w:spacing w:after="0"/>
              <w:rPr>
                <w:sz w:val="2"/>
                <w:szCs w:val="2"/>
                <w:color w:val="auto"/>
              </w:rPr>
            </w:pPr>
          </w:p>
        </w:tc>
        <w:tc>
          <w:tcPr>
            <w:tcW w:w="180" w:type="dxa"/>
            <w:vAlign w:val="bottom"/>
            <w:tcBorders>
              <w:top w:val="single" w:sz="8" w:color="0000FF"/>
              <w:bottom w:val="single" w:sz="8" w:color="auto"/>
            </w:tcBorders>
          </w:tcPr>
          <w:p>
            <w:pPr>
              <w:spacing w:after="0"/>
              <w:rPr>
                <w:sz w:val="2"/>
                <w:szCs w:val="2"/>
                <w:color w:val="auto"/>
              </w:rPr>
            </w:pPr>
          </w:p>
        </w:tc>
        <w:tc>
          <w:tcPr>
            <w:tcW w:w="20" w:type="dxa"/>
            <w:vAlign w:val="bottom"/>
            <w:tcBorders>
              <w:top w:val="single" w:sz="8" w:color="0000FF"/>
              <w:bottom w:val="single" w:sz="8" w:color="auto"/>
            </w:tcBorders>
          </w:tcPr>
          <w:p>
            <w:pPr>
              <w:spacing w:after="0"/>
              <w:rPr>
                <w:sz w:val="2"/>
                <w:szCs w:val="2"/>
                <w:color w:val="auto"/>
              </w:rPr>
            </w:pPr>
          </w:p>
        </w:tc>
        <w:tc>
          <w:tcPr>
            <w:tcW w:w="120" w:type="dxa"/>
            <w:vAlign w:val="bottom"/>
            <w:tcBorders>
              <w:top w:val="single" w:sz="8" w:color="0000FF"/>
              <w:bottom w:val="single" w:sz="8" w:color="auto"/>
            </w:tcBorders>
          </w:tcPr>
          <w:p>
            <w:pPr>
              <w:spacing w:after="0"/>
              <w:rPr>
                <w:sz w:val="2"/>
                <w:szCs w:val="2"/>
                <w:color w:val="auto"/>
              </w:rPr>
            </w:pPr>
          </w:p>
        </w:tc>
        <w:tc>
          <w:tcPr>
            <w:tcW w:w="520" w:type="dxa"/>
            <w:vAlign w:val="bottom"/>
            <w:tcBorders>
              <w:top w:val="single" w:sz="8" w:color="0000FF"/>
              <w:bottom w:val="single" w:sz="8" w:color="auto"/>
            </w:tcBorders>
          </w:tcPr>
          <w:p>
            <w:pPr>
              <w:spacing w:after="0"/>
              <w:rPr>
                <w:sz w:val="2"/>
                <w:szCs w:val="2"/>
                <w:color w:val="auto"/>
              </w:rPr>
            </w:pPr>
          </w:p>
        </w:tc>
        <w:tc>
          <w:tcPr>
            <w:tcW w:w="280" w:type="dxa"/>
            <w:vAlign w:val="bottom"/>
            <w:tcBorders>
              <w:top w:val="single" w:sz="8" w:color="0000FF"/>
              <w:bottom w:val="single" w:sz="8" w:color="auto"/>
            </w:tcBorders>
          </w:tcPr>
          <w:p>
            <w:pPr>
              <w:spacing w:after="0"/>
              <w:rPr>
                <w:sz w:val="2"/>
                <w:szCs w:val="2"/>
                <w:color w:val="auto"/>
              </w:rPr>
            </w:pPr>
          </w:p>
        </w:tc>
        <w:tc>
          <w:tcPr>
            <w:tcW w:w="240" w:type="dxa"/>
            <w:vAlign w:val="bottom"/>
            <w:tcBorders>
              <w:top w:val="single" w:sz="8" w:color="0000FF"/>
              <w:bottom w:val="single" w:sz="8" w:color="auto"/>
            </w:tcBorders>
          </w:tcPr>
          <w:p>
            <w:pPr>
              <w:spacing w:after="0"/>
              <w:rPr>
                <w:sz w:val="2"/>
                <w:szCs w:val="2"/>
                <w:color w:val="auto"/>
              </w:rPr>
            </w:pPr>
          </w:p>
        </w:tc>
        <w:tc>
          <w:tcPr>
            <w:tcW w:w="160" w:type="dxa"/>
            <w:vAlign w:val="bottom"/>
            <w:tcBorders>
              <w:top w:val="single" w:sz="8" w:color="0000FF"/>
              <w:bottom w:val="single" w:sz="8" w:color="auto"/>
            </w:tcBorders>
          </w:tcPr>
          <w:p>
            <w:pPr>
              <w:spacing w:after="0"/>
              <w:rPr>
                <w:sz w:val="2"/>
                <w:szCs w:val="2"/>
                <w:color w:val="auto"/>
              </w:rPr>
            </w:pPr>
          </w:p>
        </w:tc>
        <w:tc>
          <w:tcPr>
            <w:tcW w:w="60" w:type="dxa"/>
            <w:vAlign w:val="bottom"/>
            <w:tcBorders>
              <w:top w:val="single" w:sz="8" w:color="0000FF"/>
              <w:bottom w:val="single" w:sz="8" w:color="auto"/>
            </w:tcBorders>
          </w:tcPr>
          <w:p>
            <w:pPr>
              <w:spacing w:after="0"/>
              <w:rPr>
                <w:sz w:val="2"/>
                <w:szCs w:val="2"/>
                <w:color w:val="auto"/>
              </w:rPr>
            </w:pPr>
          </w:p>
        </w:tc>
        <w:tc>
          <w:tcPr>
            <w:tcW w:w="820" w:type="dxa"/>
            <w:vAlign w:val="bottom"/>
            <w:tcBorders>
              <w:top w:val="single" w:sz="8" w:color="0000FF"/>
              <w:bottom w:val="single" w:sz="8" w:color="auto"/>
            </w:tcBorders>
          </w:tcPr>
          <w:p>
            <w:pPr>
              <w:spacing w:after="0"/>
              <w:rPr>
                <w:sz w:val="2"/>
                <w:szCs w:val="2"/>
                <w:color w:val="auto"/>
              </w:rPr>
            </w:pPr>
          </w:p>
        </w:tc>
        <w:tc>
          <w:tcPr>
            <w:tcW w:w="1140" w:type="dxa"/>
            <w:vAlign w:val="bottom"/>
            <w:tcBorders>
              <w:top w:val="single" w:sz="8" w:color="0000FF"/>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right w:val="single" w:sz="8" w:color="auto"/>
            </w:tcBorders>
          </w:tcPr>
          <w:p>
            <w:pPr>
              <w:spacing w:after="0"/>
              <w:rPr>
                <w:sz w:val="2"/>
                <w:szCs w:val="2"/>
                <w:color w:val="auto"/>
              </w:rPr>
            </w:pPr>
          </w:p>
        </w:tc>
      </w:tr>
      <w:tr>
        <w:trPr>
          <w:trHeight w:val="183"/>
        </w:trPr>
        <w:tc>
          <w:tcPr>
            <w:tcW w:w="1160" w:type="dxa"/>
            <w:vAlign w:val="bottom"/>
            <w:tcBorders>
              <w:left w:val="single" w:sz="8" w:color="auto"/>
              <w:right w:val="single" w:sz="8" w:color="auto"/>
            </w:tcBorders>
          </w:tcPr>
          <w:p>
            <w:pPr>
              <w:ind w:left="40"/>
              <w:spacing w:after="0" w:line="183" w:lineRule="exact"/>
              <w:rPr>
                <w:sz w:val="20"/>
                <w:szCs w:val="20"/>
                <w:color w:val="auto"/>
              </w:rPr>
            </w:pPr>
            <w:r>
              <w:rPr>
                <w:rFonts w:ascii="Arial" w:cs="Arial" w:eastAsia="Arial" w:hAnsi="Arial"/>
                <w:sz w:val="16"/>
                <w:szCs w:val="16"/>
                <w:color w:val="auto"/>
              </w:rPr>
              <w:t>10.1</w:t>
            </w:r>
          </w:p>
        </w:tc>
        <w:tc>
          <w:tcPr>
            <w:tcW w:w="12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0060" w:type="dxa"/>
            <w:vAlign w:val="bottom"/>
            <w:tcBorders>
              <w:bottom w:val="single" w:sz="8" w:color="0000FF"/>
            </w:tcBorders>
            <w:gridSpan w:val="38"/>
          </w:tcPr>
          <w:p>
            <w:pPr>
              <w:spacing w:after="0" w:line="183" w:lineRule="exact"/>
              <w:rPr>
                <w:rFonts w:ascii="Arial" w:cs="Arial" w:eastAsia="Arial" w:hAnsi="Arial"/>
                <w:sz w:val="16"/>
                <w:szCs w:val="16"/>
                <w:color w:val="0000FF"/>
              </w:rPr>
            </w:pPr>
            <w:hyperlink r:id="rId162">
              <w:r>
                <w:rPr>
                  <w:rFonts w:ascii="Arial" w:cs="Arial" w:eastAsia="Arial" w:hAnsi="Arial"/>
                  <w:sz w:val="16"/>
                  <w:szCs w:val="16"/>
                  <w:color w:val="0000FF"/>
                </w:rPr>
                <w:t>Employment Agreement between Avis Budget Group, Inc. and Larry D. DeShon dated as of September 15, 2015 (Incorporated by reference</w:t>
              </w:r>
            </w:hyperlink>
          </w:p>
        </w:tc>
        <w:tc>
          <w:tcPr>
            <w:tcW w:w="80" w:type="dxa"/>
            <w:vAlign w:val="bottom"/>
            <w:tcBorders>
              <w:right w:val="single" w:sz="8" w:color="auto"/>
            </w:tcBorders>
            <w:gridSpan w:val="3"/>
          </w:tcPr>
          <w:p>
            <w:pPr>
              <w:spacing w:after="0"/>
              <w:rPr>
                <w:sz w:val="15"/>
                <w:szCs w:val="15"/>
                <w:color w:val="auto"/>
              </w:rPr>
            </w:pPr>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140" w:type="dxa"/>
            <w:vAlign w:val="bottom"/>
            <w:tcBorders>
              <w:right w:val="single" w:sz="8" w:color="auto"/>
            </w:tcBorders>
            <w:gridSpan w:val="41"/>
          </w:tcPr>
          <w:p>
            <w:pPr>
              <w:spacing w:after="0" w:line="169" w:lineRule="exact"/>
              <w:rPr>
                <w:rFonts w:ascii="Arial" w:cs="Arial" w:eastAsia="Arial" w:hAnsi="Arial"/>
                <w:sz w:val="16"/>
                <w:szCs w:val="16"/>
                <w:color w:val="0000FF"/>
              </w:rPr>
            </w:pPr>
            <w:hyperlink r:id="rId162">
              <w:r>
                <w:rPr>
                  <w:rFonts w:ascii="Arial" w:cs="Arial" w:eastAsia="Arial" w:hAnsi="Arial"/>
                  <w:sz w:val="16"/>
                  <w:szCs w:val="16"/>
                  <w:color w:val="0000FF"/>
                </w:rPr>
                <w:t>to Exhibit 10.1 to the Company’s Current Report on Form 8-K dated September 18, 2015).†</w:t>
              </w:r>
            </w:hyperlink>
          </w:p>
        </w:tc>
      </w:tr>
      <w:tr>
        <w:trPr>
          <w:trHeight w:val="34"/>
        </w:trPr>
        <w:tc>
          <w:tcPr>
            <w:tcW w:w="1160" w:type="dxa"/>
            <w:vAlign w:val="bottom"/>
            <w:tcBorders>
              <w:left w:val="single" w:sz="8" w:color="auto"/>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60" w:type="dxa"/>
            <w:vAlign w:val="bottom"/>
            <w:tcBorders>
              <w:top w:val="single" w:sz="8" w:color="0000FF"/>
              <w:bottom w:val="single" w:sz="8" w:color="auto"/>
            </w:tcBorders>
          </w:tcPr>
          <w:p>
            <w:pPr>
              <w:spacing w:after="0"/>
              <w:rPr>
                <w:sz w:val="2"/>
                <w:szCs w:val="2"/>
                <w:color w:val="auto"/>
              </w:rPr>
            </w:pPr>
          </w:p>
        </w:tc>
        <w:tc>
          <w:tcPr>
            <w:tcW w:w="260" w:type="dxa"/>
            <w:vAlign w:val="bottom"/>
            <w:tcBorders>
              <w:top w:val="single" w:sz="8" w:color="0000FF"/>
              <w:bottom w:val="single" w:sz="8" w:color="auto"/>
            </w:tcBorders>
          </w:tcPr>
          <w:p>
            <w:pPr>
              <w:spacing w:after="0"/>
              <w:rPr>
                <w:sz w:val="2"/>
                <w:szCs w:val="2"/>
                <w:color w:val="auto"/>
              </w:rPr>
            </w:pPr>
          </w:p>
        </w:tc>
        <w:tc>
          <w:tcPr>
            <w:tcW w:w="900" w:type="dxa"/>
            <w:vAlign w:val="bottom"/>
            <w:tcBorders>
              <w:top w:val="single" w:sz="8" w:color="0000FF"/>
              <w:bottom w:val="single" w:sz="8" w:color="auto"/>
            </w:tcBorders>
          </w:tcPr>
          <w:p>
            <w:pPr>
              <w:spacing w:after="0"/>
              <w:rPr>
                <w:sz w:val="2"/>
                <w:szCs w:val="2"/>
                <w:color w:val="auto"/>
              </w:rPr>
            </w:pPr>
          </w:p>
        </w:tc>
        <w:tc>
          <w:tcPr>
            <w:tcW w:w="320" w:type="dxa"/>
            <w:vAlign w:val="bottom"/>
            <w:tcBorders>
              <w:top w:val="single" w:sz="8" w:color="0000FF"/>
              <w:bottom w:val="single" w:sz="8" w:color="auto"/>
            </w:tcBorders>
          </w:tcPr>
          <w:p>
            <w:pPr>
              <w:spacing w:after="0"/>
              <w:rPr>
                <w:sz w:val="2"/>
                <w:szCs w:val="2"/>
                <w:color w:val="auto"/>
              </w:rPr>
            </w:pPr>
          </w:p>
        </w:tc>
        <w:tc>
          <w:tcPr>
            <w:tcW w:w="360" w:type="dxa"/>
            <w:vAlign w:val="bottom"/>
            <w:tcBorders>
              <w:top w:val="single" w:sz="8" w:color="0000FF"/>
              <w:bottom w:val="single" w:sz="8" w:color="auto"/>
            </w:tcBorders>
          </w:tcPr>
          <w:p>
            <w:pPr>
              <w:spacing w:after="0"/>
              <w:rPr>
                <w:sz w:val="2"/>
                <w:szCs w:val="2"/>
                <w:color w:val="auto"/>
              </w:rPr>
            </w:pPr>
          </w:p>
        </w:tc>
        <w:tc>
          <w:tcPr>
            <w:tcW w:w="1880" w:type="dxa"/>
            <w:vAlign w:val="bottom"/>
            <w:tcBorders>
              <w:top w:val="single" w:sz="8" w:color="0000FF"/>
              <w:bottom w:val="single" w:sz="8" w:color="auto"/>
            </w:tcBorders>
          </w:tcPr>
          <w:p>
            <w:pPr>
              <w:spacing w:after="0"/>
              <w:rPr>
                <w:sz w:val="2"/>
                <w:szCs w:val="2"/>
                <w:color w:val="auto"/>
              </w:rPr>
            </w:pPr>
          </w:p>
        </w:tc>
        <w:tc>
          <w:tcPr>
            <w:tcW w:w="320" w:type="dxa"/>
            <w:vAlign w:val="bottom"/>
            <w:tcBorders>
              <w:top w:val="single" w:sz="8" w:color="0000FF"/>
              <w:bottom w:val="single" w:sz="8" w:color="auto"/>
            </w:tcBorders>
          </w:tcPr>
          <w:p>
            <w:pPr>
              <w:spacing w:after="0"/>
              <w:rPr>
                <w:sz w:val="2"/>
                <w:szCs w:val="2"/>
                <w:color w:val="auto"/>
              </w:rPr>
            </w:pPr>
          </w:p>
        </w:tc>
        <w:tc>
          <w:tcPr>
            <w:tcW w:w="340" w:type="dxa"/>
            <w:vAlign w:val="bottom"/>
            <w:tcBorders>
              <w:top w:val="single" w:sz="8" w:color="0000FF"/>
              <w:bottom w:val="single" w:sz="8" w:color="auto"/>
            </w:tcBorders>
          </w:tcPr>
          <w:p>
            <w:pPr>
              <w:spacing w:after="0"/>
              <w:rPr>
                <w:sz w:val="2"/>
                <w:szCs w:val="2"/>
                <w:color w:val="auto"/>
              </w:rPr>
            </w:pPr>
          </w:p>
        </w:tc>
        <w:tc>
          <w:tcPr>
            <w:tcW w:w="100" w:type="dxa"/>
            <w:vAlign w:val="bottom"/>
            <w:tcBorders>
              <w:top w:val="single" w:sz="8" w:color="0000FF"/>
              <w:bottom w:val="single" w:sz="8" w:color="auto"/>
            </w:tcBorders>
          </w:tcPr>
          <w:p>
            <w:pPr>
              <w:spacing w:after="0"/>
              <w:rPr>
                <w:sz w:val="2"/>
                <w:szCs w:val="2"/>
                <w:color w:val="auto"/>
              </w:rPr>
            </w:pPr>
          </w:p>
        </w:tc>
        <w:tc>
          <w:tcPr>
            <w:tcW w:w="180" w:type="dxa"/>
            <w:vAlign w:val="bottom"/>
            <w:tcBorders>
              <w:top w:val="single" w:sz="8" w:color="0000FF"/>
              <w:bottom w:val="single" w:sz="8" w:color="auto"/>
            </w:tcBorders>
          </w:tcPr>
          <w:p>
            <w:pPr>
              <w:spacing w:after="0"/>
              <w:rPr>
                <w:sz w:val="2"/>
                <w:szCs w:val="2"/>
                <w:color w:val="auto"/>
              </w:rPr>
            </w:pPr>
          </w:p>
        </w:tc>
        <w:tc>
          <w:tcPr>
            <w:tcW w:w="20" w:type="dxa"/>
            <w:vAlign w:val="bottom"/>
            <w:tcBorders>
              <w:top w:val="single" w:sz="8" w:color="0000FF"/>
              <w:bottom w:val="single" w:sz="8" w:color="auto"/>
            </w:tcBorders>
          </w:tcPr>
          <w:p>
            <w:pPr>
              <w:spacing w:after="0"/>
              <w:rPr>
                <w:sz w:val="2"/>
                <w:szCs w:val="2"/>
                <w:color w:val="auto"/>
              </w:rPr>
            </w:pPr>
          </w:p>
        </w:tc>
        <w:tc>
          <w:tcPr>
            <w:tcW w:w="120" w:type="dxa"/>
            <w:vAlign w:val="bottom"/>
            <w:tcBorders>
              <w:top w:val="single" w:sz="8" w:color="0000FF"/>
              <w:bottom w:val="single" w:sz="8" w:color="auto"/>
            </w:tcBorders>
          </w:tcPr>
          <w:p>
            <w:pPr>
              <w:spacing w:after="0"/>
              <w:rPr>
                <w:sz w:val="2"/>
                <w:szCs w:val="2"/>
                <w:color w:val="auto"/>
              </w:rPr>
            </w:pPr>
          </w:p>
        </w:tc>
        <w:tc>
          <w:tcPr>
            <w:tcW w:w="520" w:type="dxa"/>
            <w:vAlign w:val="bottom"/>
            <w:tcBorders>
              <w:top w:val="single" w:sz="8" w:color="0000FF"/>
              <w:bottom w:val="single" w:sz="8" w:color="auto"/>
            </w:tcBorders>
          </w:tcPr>
          <w:p>
            <w:pPr>
              <w:spacing w:after="0"/>
              <w:rPr>
                <w:sz w:val="2"/>
                <w:szCs w:val="2"/>
                <w:color w:val="auto"/>
              </w:rPr>
            </w:pPr>
          </w:p>
        </w:tc>
        <w:tc>
          <w:tcPr>
            <w:tcW w:w="280" w:type="dxa"/>
            <w:vAlign w:val="bottom"/>
            <w:tcBorders>
              <w:top w:val="single" w:sz="8" w:color="0000FF"/>
              <w:bottom w:val="single" w:sz="8" w:color="auto"/>
            </w:tcBorders>
          </w:tcPr>
          <w:p>
            <w:pPr>
              <w:spacing w:after="0"/>
              <w:rPr>
                <w:sz w:val="2"/>
                <w:szCs w:val="2"/>
                <w:color w:val="auto"/>
              </w:rPr>
            </w:pPr>
          </w:p>
        </w:tc>
        <w:tc>
          <w:tcPr>
            <w:tcW w:w="240" w:type="dxa"/>
            <w:vAlign w:val="bottom"/>
            <w:tcBorders>
              <w:top w:val="single" w:sz="8" w:color="0000FF"/>
              <w:bottom w:val="single" w:sz="8" w:color="auto"/>
            </w:tcBorders>
          </w:tcPr>
          <w:p>
            <w:pPr>
              <w:spacing w:after="0"/>
              <w:rPr>
                <w:sz w:val="2"/>
                <w:szCs w:val="2"/>
                <w:color w:val="auto"/>
              </w:rPr>
            </w:pPr>
          </w:p>
        </w:tc>
        <w:tc>
          <w:tcPr>
            <w:tcW w:w="160" w:type="dxa"/>
            <w:vAlign w:val="bottom"/>
            <w:tcBorders>
              <w:top w:val="single" w:sz="8" w:color="0000FF"/>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right w:val="single" w:sz="8" w:color="auto"/>
            </w:tcBorders>
          </w:tcPr>
          <w:p>
            <w:pPr>
              <w:spacing w:after="0"/>
              <w:rPr>
                <w:sz w:val="2"/>
                <w:szCs w:val="2"/>
                <w:color w:val="auto"/>
              </w:rPr>
            </w:pPr>
          </w:p>
        </w:tc>
      </w:tr>
      <w:tr>
        <w:trPr>
          <w:trHeight w:val="183"/>
        </w:trPr>
        <w:tc>
          <w:tcPr>
            <w:tcW w:w="1160" w:type="dxa"/>
            <w:vAlign w:val="bottom"/>
            <w:tcBorders>
              <w:left w:val="single" w:sz="8" w:color="auto"/>
              <w:right w:val="single" w:sz="8" w:color="auto"/>
            </w:tcBorders>
          </w:tcPr>
          <w:p>
            <w:pPr>
              <w:ind w:left="40"/>
              <w:spacing w:after="0" w:line="183" w:lineRule="exact"/>
              <w:rPr>
                <w:sz w:val="20"/>
                <w:szCs w:val="20"/>
                <w:color w:val="auto"/>
              </w:rPr>
            </w:pPr>
            <w:r>
              <w:rPr>
                <w:rFonts w:ascii="Arial" w:cs="Arial" w:eastAsia="Arial" w:hAnsi="Arial"/>
                <w:sz w:val="16"/>
                <w:szCs w:val="16"/>
                <w:color w:val="auto"/>
              </w:rPr>
              <w:t>10.2</w:t>
            </w:r>
          </w:p>
        </w:tc>
        <w:tc>
          <w:tcPr>
            <w:tcW w:w="12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9900" w:type="dxa"/>
            <w:vAlign w:val="bottom"/>
            <w:tcBorders>
              <w:bottom w:val="single" w:sz="8" w:color="0000FF"/>
            </w:tcBorders>
            <w:gridSpan w:val="32"/>
          </w:tcPr>
          <w:p>
            <w:pPr>
              <w:spacing w:after="0" w:line="183" w:lineRule="exact"/>
              <w:rPr>
                <w:rFonts w:ascii="Arial" w:cs="Arial" w:eastAsia="Arial" w:hAnsi="Arial"/>
                <w:sz w:val="16"/>
                <w:szCs w:val="16"/>
                <w:color w:val="0000FF"/>
              </w:rPr>
            </w:pPr>
            <w:hyperlink r:id="rId163">
              <w:r>
                <w:rPr>
                  <w:rFonts w:ascii="Arial" w:cs="Arial" w:eastAsia="Arial" w:hAnsi="Arial"/>
                  <w:sz w:val="16"/>
                  <w:szCs w:val="16"/>
                  <w:color w:val="0000FF"/>
                </w:rPr>
                <w:t>Separation Agreement, dated June 7, 2017, between David B. Wyshner and Avis Budget Group, Inc. (Incorporated by reference to Exhibit</w:t>
              </w:r>
            </w:hyperlink>
          </w:p>
        </w:tc>
        <w:tc>
          <w:tcPr>
            <w:tcW w:w="240" w:type="dxa"/>
            <w:vAlign w:val="bottom"/>
            <w:tcBorders>
              <w:right w:val="single" w:sz="8" w:color="auto"/>
            </w:tcBorders>
            <w:gridSpan w:val="9"/>
          </w:tcPr>
          <w:p>
            <w:pPr>
              <w:spacing w:after="0"/>
              <w:rPr>
                <w:sz w:val="15"/>
                <w:szCs w:val="15"/>
                <w:color w:val="auto"/>
              </w:rPr>
            </w:pPr>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140" w:type="dxa"/>
            <w:vAlign w:val="bottom"/>
            <w:tcBorders>
              <w:right w:val="single" w:sz="8" w:color="auto"/>
            </w:tcBorders>
            <w:gridSpan w:val="41"/>
          </w:tcPr>
          <w:p>
            <w:pPr>
              <w:spacing w:after="0" w:line="169" w:lineRule="exact"/>
              <w:rPr>
                <w:rFonts w:ascii="Arial" w:cs="Arial" w:eastAsia="Arial" w:hAnsi="Arial"/>
                <w:sz w:val="16"/>
                <w:szCs w:val="16"/>
                <w:color w:val="0000FF"/>
              </w:rPr>
            </w:pPr>
            <w:hyperlink r:id="rId163">
              <w:r>
                <w:rPr>
                  <w:rFonts w:ascii="Arial" w:cs="Arial" w:eastAsia="Arial" w:hAnsi="Arial"/>
                  <w:sz w:val="16"/>
                  <w:szCs w:val="16"/>
                  <w:color w:val="0000FF"/>
                </w:rPr>
                <w:t>10.2 to the Company’s Current Report on Form 8-K dated June 8, 2017). †</w:t>
              </w:r>
            </w:hyperlink>
          </w:p>
        </w:tc>
      </w:tr>
      <w:tr>
        <w:trPr>
          <w:trHeight w:val="34"/>
        </w:trPr>
        <w:tc>
          <w:tcPr>
            <w:tcW w:w="1160" w:type="dxa"/>
            <w:vAlign w:val="bottom"/>
            <w:tcBorders>
              <w:left w:val="single" w:sz="8" w:color="auto"/>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60" w:type="dxa"/>
            <w:vAlign w:val="bottom"/>
            <w:tcBorders>
              <w:top w:val="single" w:sz="8" w:color="0000FF"/>
              <w:bottom w:val="single" w:sz="8" w:color="auto"/>
            </w:tcBorders>
          </w:tcPr>
          <w:p>
            <w:pPr>
              <w:spacing w:after="0"/>
              <w:rPr>
                <w:sz w:val="2"/>
                <w:szCs w:val="2"/>
                <w:color w:val="auto"/>
              </w:rPr>
            </w:pPr>
          </w:p>
        </w:tc>
        <w:tc>
          <w:tcPr>
            <w:tcW w:w="260" w:type="dxa"/>
            <w:vAlign w:val="bottom"/>
            <w:tcBorders>
              <w:top w:val="single" w:sz="8" w:color="0000FF"/>
              <w:bottom w:val="single" w:sz="8" w:color="auto"/>
            </w:tcBorders>
          </w:tcPr>
          <w:p>
            <w:pPr>
              <w:spacing w:after="0"/>
              <w:rPr>
                <w:sz w:val="2"/>
                <w:szCs w:val="2"/>
                <w:color w:val="auto"/>
              </w:rPr>
            </w:pPr>
          </w:p>
        </w:tc>
        <w:tc>
          <w:tcPr>
            <w:tcW w:w="900" w:type="dxa"/>
            <w:vAlign w:val="bottom"/>
            <w:tcBorders>
              <w:top w:val="single" w:sz="8" w:color="0000FF"/>
              <w:bottom w:val="single" w:sz="8" w:color="auto"/>
            </w:tcBorders>
          </w:tcPr>
          <w:p>
            <w:pPr>
              <w:spacing w:after="0"/>
              <w:rPr>
                <w:sz w:val="2"/>
                <w:szCs w:val="2"/>
                <w:color w:val="auto"/>
              </w:rPr>
            </w:pPr>
          </w:p>
        </w:tc>
        <w:tc>
          <w:tcPr>
            <w:tcW w:w="320" w:type="dxa"/>
            <w:vAlign w:val="bottom"/>
            <w:tcBorders>
              <w:top w:val="single" w:sz="8" w:color="0000FF"/>
              <w:bottom w:val="single" w:sz="8" w:color="auto"/>
            </w:tcBorders>
          </w:tcPr>
          <w:p>
            <w:pPr>
              <w:spacing w:after="0"/>
              <w:rPr>
                <w:sz w:val="2"/>
                <w:szCs w:val="2"/>
                <w:color w:val="auto"/>
              </w:rPr>
            </w:pPr>
          </w:p>
        </w:tc>
        <w:tc>
          <w:tcPr>
            <w:tcW w:w="360" w:type="dxa"/>
            <w:vAlign w:val="bottom"/>
            <w:tcBorders>
              <w:top w:val="single" w:sz="8" w:color="0000FF"/>
              <w:bottom w:val="single" w:sz="8" w:color="auto"/>
            </w:tcBorders>
          </w:tcPr>
          <w:p>
            <w:pPr>
              <w:spacing w:after="0"/>
              <w:rPr>
                <w:sz w:val="2"/>
                <w:szCs w:val="2"/>
                <w:color w:val="auto"/>
              </w:rPr>
            </w:pPr>
          </w:p>
        </w:tc>
        <w:tc>
          <w:tcPr>
            <w:tcW w:w="1880" w:type="dxa"/>
            <w:vAlign w:val="bottom"/>
            <w:tcBorders>
              <w:top w:val="single" w:sz="8" w:color="0000FF"/>
              <w:bottom w:val="single" w:sz="8" w:color="auto"/>
            </w:tcBorders>
          </w:tcPr>
          <w:p>
            <w:pPr>
              <w:spacing w:after="0"/>
              <w:rPr>
                <w:sz w:val="2"/>
                <w:szCs w:val="2"/>
                <w:color w:val="auto"/>
              </w:rPr>
            </w:pPr>
          </w:p>
        </w:tc>
        <w:tc>
          <w:tcPr>
            <w:tcW w:w="320" w:type="dxa"/>
            <w:vAlign w:val="bottom"/>
            <w:tcBorders>
              <w:top w:val="single" w:sz="8" w:color="0000FF"/>
              <w:bottom w:val="single" w:sz="8" w:color="auto"/>
            </w:tcBorders>
          </w:tcPr>
          <w:p>
            <w:pPr>
              <w:spacing w:after="0"/>
              <w:rPr>
                <w:sz w:val="2"/>
                <w:szCs w:val="2"/>
                <w:color w:val="auto"/>
              </w:rPr>
            </w:pPr>
          </w:p>
        </w:tc>
        <w:tc>
          <w:tcPr>
            <w:tcW w:w="340" w:type="dxa"/>
            <w:vAlign w:val="bottom"/>
            <w:tcBorders>
              <w:top w:val="single" w:sz="8" w:color="0000FF"/>
              <w:bottom w:val="single" w:sz="8" w:color="auto"/>
            </w:tcBorders>
          </w:tcPr>
          <w:p>
            <w:pPr>
              <w:spacing w:after="0"/>
              <w:rPr>
                <w:sz w:val="2"/>
                <w:szCs w:val="2"/>
                <w:color w:val="auto"/>
              </w:rPr>
            </w:pPr>
          </w:p>
        </w:tc>
        <w:tc>
          <w:tcPr>
            <w:tcW w:w="100" w:type="dxa"/>
            <w:vAlign w:val="bottom"/>
            <w:tcBorders>
              <w:top w:val="single" w:sz="8" w:color="0000FF"/>
              <w:bottom w:val="single" w:sz="8" w:color="auto"/>
            </w:tcBorders>
          </w:tcPr>
          <w:p>
            <w:pPr>
              <w:spacing w:after="0"/>
              <w:rPr>
                <w:sz w:val="2"/>
                <w:szCs w:val="2"/>
                <w:color w:val="auto"/>
              </w:rPr>
            </w:pPr>
          </w:p>
        </w:tc>
        <w:tc>
          <w:tcPr>
            <w:tcW w:w="180" w:type="dxa"/>
            <w:vAlign w:val="bottom"/>
            <w:tcBorders>
              <w:top w:val="single" w:sz="8" w:color="0000FF"/>
              <w:bottom w:val="single" w:sz="8" w:color="auto"/>
            </w:tcBorders>
          </w:tcPr>
          <w:p>
            <w:pPr>
              <w:spacing w:after="0"/>
              <w:rPr>
                <w:sz w:val="2"/>
                <w:szCs w:val="2"/>
                <w:color w:val="auto"/>
              </w:rPr>
            </w:pPr>
          </w:p>
        </w:tc>
        <w:tc>
          <w:tcPr>
            <w:tcW w:w="20" w:type="dxa"/>
            <w:vAlign w:val="bottom"/>
            <w:tcBorders>
              <w:top w:val="single" w:sz="8" w:color="0000FF"/>
              <w:bottom w:val="single" w:sz="8" w:color="auto"/>
            </w:tcBorders>
          </w:tcPr>
          <w:p>
            <w:pPr>
              <w:spacing w:after="0"/>
              <w:rPr>
                <w:sz w:val="2"/>
                <w:szCs w:val="2"/>
                <w:color w:val="auto"/>
              </w:rPr>
            </w:pPr>
          </w:p>
        </w:tc>
        <w:tc>
          <w:tcPr>
            <w:tcW w:w="120" w:type="dxa"/>
            <w:vAlign w:val="bottom"/>
            <w:tcBorders>
              <w:top w:val="single" w:sz="8" w:color="0000FF"/>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right w:val="single" w:sz="8" w:color="auto"/>
            </w:tcBorders>
          </w:tcPr>
          <w:p>
            <w:pPr>
              <w:spacing w:after="0"/>
              <w:rPr>
                <w:sz w:val="2"/>
                <w:szCs w:val="2"/>
                <w:color w:val="auto"/>
              </w:rPr>
            </w:pPr>
          </w:p>
        </w:tc>
      </w:tr>
      <w:tr>
        <w:trPr>
          <w:trHeight w:val="183"/>
        </w:trPr>
        <w:tc>
          <w:tcPr>
            <w:tcW w:w="1160" w:type="dxa"/>
            <w:vAlign w:val="bottom"/>
            <w:tcBorders>
              <w:left w:val="single" w:sz="8" w:color="auto"/>
              <w:right w:val="single" w:sz="8" w:color="auto"/>
            </w:tcBorders>
          </w:tcPr>
          <w:p>
            <w:pPr>
              <w:ind w:left="40"/>
              <w:spacing w:after="0" w:line="183" w:lineRule="exact"/>
              <w:rPr>
                <w:sz w:val="20"/>
                <w:szCs w:val="20"/>
                <w:color w:val="auto"/>
              </w:rPr>
            </w:pPr>
            <w:r>
              <w:rPr>
                <w:rFonts w:ascii="Arial" w:cs="Arial" w:eastAsia="Arial" w:hAnsi="Arial"/>
                <w:sz w:val="16"/>
                <w:szCs w:val="16"/>
                <w:color w:val="auto"/>
              </w:rPr>
              <w:t>10.3</w:t>
            </w:r>
          </w:p>
        </w:tc>
        <w:tc>
          <w:tcPr>
            <w:tcW w:w="12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9800" w:type="dxa"/>
            <w:vAlign w:val="bottom"/>
            <w:tcBorders>
              <w:bottom w:val="single" w:sz="8" w:color="0000FF"/>
            </w:tcBorders>
            <w:gridSpan w:val="29"/>
          </w:tcPr>
          <w:p>
            <w:pPr>
              <w:spacing w:after="0" w:line="183" w:lineRule="exact"/>
              <w:rPr>
                <w:rFonts w:ascii="Arial" w:cs="Arial" w:eastAsia="Arial" w:hAnsi="Arial"/>
                <w:sz w:val="16"/>
                <w:szCs w:val="16"/>
                <w:color w:val="0000FF"/>
              </w:rPr>
            </w:pPr>
            <w:hyperlink r:id="rId164">
              <w:r>
                <w:rPr>
                  <w:rFonts w:ascii="Arial" w:cs="Arial" w:eastAsia="Arial" w:hAnsi="Arial"/>
                  <w:sz w:val="16"/>
                  <w:szCs w:val="16"/>
                  <w:color w:val="0000FF"/>
                </w:rPr>
                <w:t>Agreement between Avis Budget Group, Inc. and Mark J. Servodidio (Incorporated by reference to Exhibit 10.4 to the Company’s Annual</w:t>
              </w:r>
            </w:hyperlink>
          </w:p>
        </w:tc>
        <w:tc>
          <w:tcPr>
            <w:tcW w:w="340" w:type="dxa"/>
            <w:vAlign w:val="bottom"/>
            <w:tcBorders>
              <w:right w:val="single" w:sz="8" w:color="auto"/>
            </w:tcBorders>
            <w:gridSpan w:val="12"/>
          </w:tcPr>
          <w:p>
            <w:pPr>
              <w:spacing w:after="0"/>
              <w:rPr>
                <w:sz w:val="15"/>
                <w:szCs w:val="15"/>
                <w:color w:val="auto"/>
              </w:rPr>
            </w:pPr>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140" w:type="dxa"/>
            <w:vAlign w:val="bottom"/>
            <w:tcBorders>
              <w:right w:val="single" w:sz="8" w:color="auto"/>
            </w:tcBorders>
            <w:gridSpan w:val="41"/>
          </w:tcPr>
          <w:p>
            <w:pPr>
              <w:spacing w:after="0" w:line="169" w:lineRule="exact"/>
              <w:rPr>
                <w:rFonts w:ascii="Arial" w:cs="Arial" w:eastAsia="Arial" w:hAnsi="Arial"/>
                <w:sz w:val="16"/>
                <w:szCs w:val="16"/>
                <w:color w:val="0000FF"/>
              </w:rPr>
            </w:pPr>
            <w:hyperlink r:id="rId164">
              <w:r>
                <w:rPr>
                  <w:rFonts w:ascii="Arial" w:cs="Arial" w:eastAsia="Arial" w:hAnsi="Arial"/>
                  <w:sz w:val="16"/>
                  <w:szCs w:val="16"/>
                  <w:color w:val="0000FF"/>
                </w:rPr>
                <w:t>Report on Form 10-K for the year ended December 31, 2015, dated February 24, 2016).†</w:t>
              </w:r>
            </w:hyperlink>
          </w:p>
        </w:tc>
      </w:tr>
      <w:tr>
        <w:trPr>
          <w:trHeight w:val="34"/>
        </w:trPr>
        <w:tc>
          <w:tcPr>
            <w:tcW w:w="1160" w:type="dxa"/>
            <w:vAlign w:val="bottom"/>
            <w:tcBorders>
              <w:left w:val="single" w:sz="8" w:color="auto"/>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60" w:type="dxa"/>
            <w:vAlign w:val="bottom"/>
            <w:tcBorders>
              <w:top w:val="single" w:sz="8" w:color="0000FF"/>
              <w:bottom w:val="single" w:sz="8" w:color="auto"/>
            </w:tcBorders>
          </w:tcPr>
          <w:p>
            <w:pPr>
              <w:spacing w:after="0"/>
              <w:rPr>
                <w:sz w:val="2"/>
                <w:szCs w:val="2"/>
                <w:color w:val="auto"/>
              </w:rPr>
            </w:pPr>
          </w:p>
        </w:tc>
        <w:tc>
          <w:tcPr>
            <w:tcW w:w="260" w:type="dxa"/>
            <w:vAlign w:val="bottom"/>
            <w:tcBorders>
              <w:top w:val="single" w:sz="8" w:color="0000FF"/>
              <w:bottom w:val="single" w:sz="8" w:color="auto"/>
            </w:tcBorders>
          </w:tcPr>
          <w:p>
            <w:pPr>
              <w:spacing w:after="0"/>
              <w:rPr>
                <w:sz w:val="2"/>
                <w:szCs w:val="2"/>
                <w:color w:val="auto"/>
              </w:rPr>
            </w:pPr>
          </w:p>
        </w:tc>
        <w:tc>
          <w:tcPr>
            <w:tcW w:w="900" w:type="dxa"/>
            <w:vAlign w:val="bottom"/>
            <w:tcBorders>
              <w:top w:val="single" w:sz="8" w:color="0000FF"/>
              <w:bottom w:val="single" w:sz="8" w:color="auto"/>
            </w:tcBorders>
          </w:tcPr>
          <w:p>
            <w:pPr>
              <w:spacing w:after="0"/>
              <w:rPr>
                <w:sz w:val="2"/>
                <w:szCs w:val="2"/>
                <w:color w:val="auto"/>
              </w:rPr>
            </w:pPr>
          </w:p>
        </w:tc>
        <w:tc>
          <w:tcPr>
            <w:tcW w:w="320" w:type="dxa"/>
            <w:vAlign w:val="bottom"/>
            <w:tcBorders>
              <w:top w:val="single" w:sz="8" w:color="0000FF"/>
              <w:bottom w:val="single" w:sz="8" w:color="auto"/>
            </w:tcBorders>
          </w:tcPr>
          <w:p>
            <w:pPr>
              <w:spacing w:after="0"/>
              <w:rPr>
                <w:sz w:val="2"/>
                <w:szCs w:val="2"/>
                <w:color w:val="auto"/>
              </w:rPr>
            </w:pPr>
          </w:p>
        </w:tc>
        <w:tc>
          <w:tcPr>
            <w:tcW w:w="360" w:type="dxa"/>
            <w:vAlign w:val="bottom"/>
            <w:tcBorders>
              <w:top w:val="single" w:sz="8" w:color="0000FF"/>
              <w:bottom w:val="single" w:sz="8" w:color="auto"/>
            </w:tcBorders>
          </w:tcPr>
          <w:p>
            <w:pPr>
              <w:spacing w:after="0"/>
              <w:rPr>
                <w:sz w:val="2"/>
                <w:szCs w:val="2"/>
                <w:color w:val="auto"/>
              </w:rPr>
            </w:pPr>
          </w:p>
        </w:tc>
        <w:tc>
          <w:tcPr>
            <w:tcW w:w="1880" w:type="dxa"/>
            <w:vAlign w:val="bottom"/>
            <w:tcBorders>
              <w:top w:val="single" w:sz="8" w:color="0000FF"/>
              <w:bottom w:val="single" w:sz="8" w:color="auto"/>
            </w:tcBorders>
          </w:tcPr>
          <w:p>
            <w:pPr>
              <w:spacing w:after="0"/>
              <w:rPr>
                <w:sz w:val="2"/>
                <w:szCs w:val="2"/>
                <w:color w:val="auto"/>
              </w:rPr>
            </w:pPr>
          </w:p>
        </w:tc>
        <w:tc>
          <w:tcPr>
            <w:tcW w:w="320" w:type="dxa"/>
            <w:vAlign w:val="bottom"/>
            <w:tcBorders>
              <w:top w:val="single" w:sz="8" w:color="0000FF"/>
              <w:bottom w:val="single" w:sz="8" w:color="auto"/>
            </w:tcBorders>
          </w:tcPr>
          <w:p>
            <w:pPr>
              <w:spacing w:after="0"/>
              <w:rPr>
                <w:sz w:val="2"/>
                <w:szCs w:val="2"/>
                <w:color w:val="auto"/>
              </w:rPr>
            </w:pPr>
          </w:p>
        </w:tc>
        <w:tc>
          <w:tcPr>
            <w:tcW w:w="340" w:type="dxa"/>
            <w:vAlign w:val="bottom"/>
            <w:tcBorders>
              <w:top w:val="single" w:sz="8" w:color="0000FF"/>
              <w:bottom w:val="single" w:sz="8" w:color="auto"/>
            </w:tcBorders>
          </w:tcPr>
          <w:p>
            <w:pPr>
              <w:spacing w:after="0"/>
              <w:rPr>
                <w:sz w:val="2"/>
                <w:szCs w:val="2"/>
                <w:color w:val="auto"/>
              </w:rPr>
            </w:pPr>
          </w:p>
        </w:tc>
        <w:tc>
          <w:tcPr>
            <w:tcW w:w="100" w:type="dxa"/>
            <w:vAlign w:val="bottom"/>
            <w:tcBorders>
              <w:top w:val="single" w:sz="8" w:color="0000FF"/>
              <w:bottom w:val="single" w:sz="8" w:color="auto"/>
            </w:tcBorders>
          </w:tcPr>
          <w:p>
            <w:pPr>
              <w:spacing w:after="0"/>
              <w:rPr>
                <w:sz w:val="2"/>
                <w:szCs w:val="2"/>
                <w:color w:val="auto"/>
              </w:rPr>
            </w:pPr>
          </w:p>
        </w:tc>
        <w:tc>
          <w:tcPr>
            <w:tcW w:w="180" w:type="dxa"/>
            <w:vAlign w:val="bottom"/>
            <w:tcBorders>
              <w:top w:val="single" w:sz="8" w:color="0000FF"/>
              <w:bottom w:val="single" w:sz="8" w:color="auto"/>
            </w:tcBorders>
          </w:tcPr>
          <w:p>
            <w:pPr>
              <w:spacing w:after="0"/>
              <w:rPr>
                <w:sz w:val="2"/>
                <w:szCs w:val="2"/>
                <w:color w:val="auto"/>
              </w:rPr>
            </w:pPr>
          </w:p>
        </w:tc>
        <w:tc>
          <w:tcPr>
            <w:tcW w:w="20" w:type="dxa"/>
            <w:vAlign w:val="bottom"/>
            <w:tcBorders>
              <w:top w:val="single" w:sz="8" w:color="0000FF"/>
              <w:bottom w:val="single" w:sz="8" w:color="auto"/>
            </w:tcBorders>
          </w:tcPr>
          <w:p>
            <w:pPr>
              <w:spacing w:after="0"/>
              <w:rPr>
                <w:sz w:val="2"/>
                <w:szCs w:val="2"/>
                <w:color w:val="auto"/>
              </w:rPr>
            </w:pPr>
          </w:p>
        </w:tc>
        <w:tc>
          <w:tcPr>
            <w:tcW w:w="120" w:type="dxa"/>
            <w:vAlign w:val="bottom"/>
            <w:tcBorders>
              <w:top w:val="single" w:sz="8" w:color="0000FF"/>
              <w:bottom w:val="single" w:sz="8" w:color="auto"/>
            </w:tcBorders>
          </w:tcPr>
          <w:p>
            <w:pPr>
              <w:spacing w:after="0"/>
              <w:rPr>
                <w:sz w:val="2"/>
                <w:szCs w:val="2"/>
                <w:color w:val="auto"/>
              </w:rPr>
            </w:pPr>
          </w:p>
        </w:tc>
        <w:tc>
          <w:tcPr>
            <w:tcW w:w="520" w:type="dxa"/>
            <w:vAlign w:val="bottom"/>
            <w:tcBorders>
              <w:top w:val="single" w:sz="8" w:color="0000FF"/>
              <w:bottom w:val="single" w:sz="8" w:color="auto"/>
            </w:tcBorders>
          </w:tcPr>
          <w:p>
            <w:pPr>
              <w:spacing w:after="0"/>
              <w:rPr>
                <w:sz w:val="2"/>
                <w:szCs w:val="2"/>
                <w:color w:val="auto"/>
              </w:rPr>
            </w:pPr>
          </w:p>
        </w:tc>
        <w:tc>
          <w:tcPr>
            <w:tcW w:w="280" w:type="dxa"/>
            <w:vAlign w:val="bottom"/>
            <w:tcBorders>
              <w:top w:val="single" w:sz="8" w:color="0000FF"/>
              <w:bottom w:val="single" w:sz="8" w:color="auto"/>
            </w:tcBorders>
          </w:tcPr>
          <w:p>
            <w:pPr>
              <w:spacing w:after="0"/>
              <w:rPr>
                <w:sz w:val="2"/>
                <w:szCs w:val="2"/>
                <w:color w:val="auto"/>
              </w:rPr>
            </w:pPr>
          </w:p>
        </w:tc>
        <w:tc>
          <w:tcPr>
            <w:tcW w:w="240" w:type="dxa"/>
            <w:vAlign w:val="bottom"/>
            <w:tcBorders>
              <w:top w:val="single" w:sz="8" w:color="0000FF"/>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right w:val="single" w:sz="8" w:color="auto"/>
            </w:tcBorders>
          </w:tcPr>
          <w:p>
            <w:pPr>
              <w:spacing w:after="0"/>
              <w:rPr>
                <w:sz w:val="2"/>
                <w:szCs w:val="2"/>
                <w:color w:val="auto"/>
              </w:rPr>
            </w:pPr>
          </w:p>
        </w:tc>
      </w:tr>
      <w:tr>
        <w:trPr>
          <w:trHeight w:val="183"/>
        </w:trPr>
        <w:tc>
          <w:tcPr>
            <w:tcW w:w="1160" w:type="dxa"/>
            <w:vAlign w:val="bottom"/>
            <w:tcBorders>
              <w:left w:val="single" w:sz="8" w:color="auto"/>
              <w:right w:val="single" w:sz="8" w:color="auto"/>
            </w:tcBorders>
          </w:tcPr>
          <w:p>
            <w:pPr>
              <w:ind w:left="40"/>
              <w:spacing w:after="0" w:line="183" w:lineRule="exact"/>
              <w:rPr>
                <w:sz w:val="20"/>
                <w:szCs w:val="20"/>
                <w:color w:val="auto"/>
              </w:rPr>
            </w:pPr>
            <w:r>
              <w:rPr>
                <w:rFonts w:ascii="Arial" w:cs="Arial" w:eastAsia="Arial" w:hAnsi="Arial"/>
                <w:sz w:val="16"/>
                <w:szCs w:val="16"/>
                <w:color w:val="auto"/>
              </w:rPr>
              <w:t>10.4</w:t>
            </w:r>
          </w:p>
        </w:tc>
        <w:tc>
          <w:tcPr>
            <w:tcW w:w="12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0080" w:type="dxa"/>
            <w:vAlign w:val="bottom"/>
            <w:tcBorders>
              <w:bottom w:val="single" w:sz="8" w:color="0000FF"/>
            </w:tcBorders>
            <w:gridSpan w:val="39"/>
          </w:tcPr>
          <w:p>
            <w:pPr>
              <w:spacing w:after="0" w:line="183" w:lineRule="exact"/>
              <w:rPr>
                <w:rFonts w:ascii="Arial" w:cs="Arial" w:eastAsia="Arial" w:hAnsi="Arial"/>
                <w:sz w:val="16"/>
                <w:szCs w:val="16"/>
                <w:color w:val="0000FF"/>
              </w:rPr>
            </w:pPr>
            <w:hyperlink r:id="rId165">
              <w:r>
                <w:rPr>
                  <w:rFonts w:ascii="Arial" w:cs="Arial" w:eastAsia="Arial" w:hAnsi="Arial"/>
                  <w:sz w:val="16"/>
                  <w:szCs w:val="16"/>
                  <w:color w:val="0000FF"/>
                </w:rPr>
                <w:t>Agreement between Avis Budget Group, Inc. and Joseph Ferraro (Incorporated by reference to Exhibit 10.5 to the Company’s Annual Report</w:t>
              </w:r>
            </w:hyperlink>
          </w:p>
        </w:tc>
        <w:tc>
          <w:tcPr>
            <w:tcW w:w="60" w:type="dxa"/>
            <w:vAlign w:val="bottom"/>
            <w:tcBorders>
              <w:right w:val="single" w:sz="8" w:color="auto"/>
            </w:tcBorders>
            <w:gridSpan w:val="2"/>
          </w:tcPr>
          <w:p>
            <w:pPr>
              <w:spacing w:after="0"/>
              <w:rPr>
                <w:sz w:val="15"/>
                <w:szCs w:val="15"/>
                <w:color w:val="auto"/>
              </w:rPr>
            </w:pPr>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140" w:type="dxa"/>
            <w:vAlign w:val="bottom"/>
            <w:tcBorders>
              <w:right w:val="single" w:sz="8" w:color="auto"/>
            </w:tcBorders>
            <w:gridSpan w:val="41"/>
          </w:tcPr>
          <w:p>
            <w:pPr>
              <w:spacing w:after="0" w:line="169" w:lineRule="exact"/>
              <w:rPr>
                <w:rFonts w:ascii="Arial" w:cs="Arial" w:eastAsia="Arial" w:hAnsi="Arial"/>
                <w:sz w:val="16"/>
                <w:szCs w:val="16"/>
                <w:color w:val="0000FF"/>
              </w:rPr>
            </w:pPr>
            <w:hyperlink r:id="rId165">
              <w:r>
                <w:rPr>
                  <w:rFonts w:ascii="Arial" w:cs="Arial" w:eastAsia="Arial" w:hAnsi="Arial"/>
                  <w:sz w:val="16"/>
                  <w:szCs w:val="16"/>
                  <w:color w:val="0000FF"/>
                </w:rPr>
                <w:t>on Form 10-K for the year ended December 31, 2015, dated February 24, 2016).†</w:t>
              </w:r>
            </w:hyperlink>
          </w:p>
        </w:tc>
      </w:tr>
      <w:tr>
        <w:trPr>
          <w:trHeight w:val="34"/>
        </w:trPr>
        <w:tc>
          <w:tcPr>
            <w:tcW w:w="1160" w:type="dxa"/>
            <w:vAlign w:val="bottom"/>
            <w:tcBorders>
              <w:left w:val="single" w:sz="8" w:color="auto"/>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60" w:type="dxa"/>
            <w:vAlign w:val="bottom"/>
            <w:tcBorders>
              <w:top w:val="single" w:sz="8" w:color="0000FF"/>
              <w:bottom w:val="single" w:sz="8" w:color="auto"/>
            </w:tcBorders>
          </w:tcPr>
          <w:p>
            <w:pPr>
              <w:spacing w:after="0"/>
              <w:rPr>
                <w:sz w:val="2"/>
                <w:szCs w:val="2"/>
                <w:color w:val="auto"/>
              </w:rPr>
            </w:pPr>
          </w:p>
        </w:tc>
        <w:tc>
          <w:tcPr>
            <w:tcW w:w="260" w:type="dxa"/>
            <w:vAlign w:val="bottom"/>
            <w:tcBorders>
              <w:top w:val="single" w:sz="8" w:color="0000FF"/>
              <w:bottom w:val="single" w:sz="8" w:color="auto"/>
            </w:tcBorders>
          </w:tcPr>
          <w:p>
            <w:pPr>
              <w:spacing w:after="0"/>
              <w:rPr>
                <w:sz w:val="2"/>
                <w:szCs w:val="2"/>
                <w:color w:val="auto"/>
              </w:rPr>
            </w:pPr>
          </w:p>
        </w:tc>
        <w:tc>
          <w:tcPr>
            <w:tcW w:w="900" w:type="dxa"/>
            <w:vAlign w:val="bottom"/>
            <w:tcBorders>
              <w:top w:val="single" w:sz="8" w:color="0000FF"/>
              <w:bottom w:val="single" w:sz="8" w:color="auto"/>
            </w:tcBorders>
          </w:tcPr>
          <w:p>
            <w:pPr>
              <w:spacing w:after="0"/>
              <w:rPr>
                <w:sz w:val="2"/>
                <w:szCs w:val="2"/>
                <w:color w:val="auto"/>
              </w:rPr>
            </w:pPr>
          </w:p>
        </w:tc>
        <w:tc>
          <w:tcPr>
            <w:tcW w:w="320" w:type="dxa"/>
            <w:vAlign w:val="bottom"/>
            <w:tcBorders>
              <w:top w:val="single" w:sz="8" w:color="0000FF"/>
              <w:bottom w:val="single" w:sz="8" w:color="auto"/>
            </w:tcBorders>
          </w:tcPr>
          <w:p>
            <w:pPr>
              <w:spacing w:after="0"/>
              <w:rPr>
                <w:sz w:val="2"/>
                <w:szCs w:val="2"/>
                <w:color w:val="auto"/>
              </w:rPr>
            </w:pPr>
          </w:p>
        </w:tc>
        <w:tc>
          <w:tcPr>
            <w:tcW w:w="360" w:type="dxa"/>
            <w:vAlign w:val="bottom"/>
            <w:tcBorders>
              <w:top w:val="single" w:sz="8" w:color="0000FF"/>
              <w:bottom w:val="single" w:sz="8" w:color="auto"/>
            </w:tcBorders>
          </w:tcPr>
          <w:p>
            <w:pPr>
              <w:spacing w:after="0"/>
              <w:rPr>
                <w:sz w:val="2"/>
                <w:szCs w:val="2"/>
                <w:color w:val="auto"/>
              </w:rPr>
            </w:pPr>
          </w:p>
        </w:tc>
        <w:tc>
          <w:tcPr>
            <w:tcW w:w="1880" w:type="dxa"/>
            <w:vAlign w:val="bottom"/>
            <w:tcBorders>
              <w:top w:val="single" w:sz="8" w:color="0000FF"/>
              <w:bottom w:val="single" w:sz="8" w:color="auto"/>
            </w:tcBorders>
          </w:tcPr>
          <w:p>
            <w:pPr>
              <w:spacing w:after="0"/>
              <w:rPr>
                <w:sz w:val="2"/>
                <w:szCs w:val="2"/>
                <w:color w:val="auto"/>
              </w:rPr>
            </w:pPr>
          </w:p>
        </w:tc>
        <w:tc>
          <w:tcPr>
            <w:tcW w:w="320" w:type="dxa"/>
            <w:vAlign w:val="bottom"/>
            <w:tcBorders>
              <w:top w:val="single" w:sz="8" w:color="0000FF"/>
              <w:bottom w:val="single" w:sz="8" w:color="auto"/>
            </w:tcBorders>
          </w:tcPr>
          <w:p>
            <w:pPr>
              <w:spacing w:after="0"/>
              <w:rPr>
                <w:sz w:val="2"/>
                <w:szCs w:val="2"/>
                <w:color w:val="auto"/>
              </w:rPr>
            </w:pPr>
          </w:p>
        </w:tc>
        <w:tc>
          <w:tcPr>
            <w:tcW w:w="340" w:type="dxa"/>
            <w:vAlign w:val="bottom"/>
            <w:tcBorders>
              <w:top w:val="single" w:sz="8" w:color="0000FF"/>
              <w:bottom w:val="single" w:sz="8" w:color="auto"/>
            </w:tcBorders>
          </w:tcPr>
          <w:p>
            <w:pPr>
              <w:spacing w:after="0"/>
              <w:rPr>
                <w:sz w:val="2"/>
                <w:szCs w:val="2"/>
                <w:color w:val="auto"/>
              </w:rPr>
            </w:pPr>
          </w:p>
        </w:tc>
        <w:tc>
          <w:tcPr>
            <w:tcW w:w="100" w:type="dxa"/>
            <w:vAlign w:val="bottom"/>
            <w:tcBorders>
              <w:top w:val="single" w:sz="8" w:color="0000FF"/>
              <w:bottom w:val="single" w:sz="8" w:color="auto"/>
            </w:tcBorders>
          </w:tcPr>
          <w:p>
            <w:pPr>
              <w:spacing w:after="0"/>
              <w:rPr>
                <w:sz w:val="2"/>
                <w:szCs w:val="2"/>
                <w:color w:val="auto"/>
              </w:rPr>
            </w:pPr>
          </w:p>
        </w:tc>
        <w:tc>
          <w:tcPr>
            <w:tcW w:w="180" w:type="dxa"/>
            <w:vAlign w:val="bottom"/>
            <w:tcBorders>
              <w:top w:val="single" w:sz="8" w:color="0000FF"/>
              <w:bottom w:val="single" w:sz="8" w:color="auto"/>
            </w:tcBorders>
          </w:tcPr>
          <w:p>
            <w:pPr>
              <w:spacing w:after="0"/>
              <w:rPr>
                <w:sz w:val="2"/>
                <w:szCs w:val="2"/>
                <w:color w:val="auto"/>
              </w:rPr>
            </w:pPr>
          </w:p>
        </w:tc>
        <w:tc>
          <w:tcPr>
            <w:tcW w:w="20" w:type="dxa"/>
            <w:vAlign w:val="bottom"/>
            <w:tcBorders>
              <w:top w:val="single" w:sz="8" w:color="0000FF"/>
              <w:bottom w:val="single" w:sz="8" w:color="auto"/>
            </w:tcBorders>
          </w:tcPr>
          <w:p>
            <w:pPr>
              <w:spacing w:after="0"/>
              <w:rPr>
                <w:sz w:val="2"/>
                <w:szCs w:val="2"/>
                <w:color w:val="auto"/>
              </w:rPr>
            </w:pPr>
          </w:p>
        </w:tc>
        <w:tc>
          <w:tcPr>
            <w:tcW w:w="120" w:type="dxa"/>
            <w:vAlign w:val="bottom"/>
            <w:tcBorders>
              <w:top w:val="single" w:sz="8" w:color="0000FF"/>
              <w:bottom w:val="single" w:sz="8" w:color="auto"/>
            </w:tcBorders>
          </w:tcPr>
          <w:p>
            <w:pPr>
              <w:spacing w:after="0"/>
              <w:rPr>
                <w:sz w:val="2"/>
                <w:szCs w:val="2"/>
                <w:color w:val="auto"/>
              </w:rPr>
            </w:pPr>
          </w:p>
        </w:tc>
        <w:tc>
          <w:tcPr>
            <w:tcW w:w="520" w:type="dxa"/>
            <w:vAlign w:val="bottom"/>
            <w:tcBorders>
              <w:top w:val="single" w:sz="8" w:color="0000FF"/>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right w:val="single" w:sz="8" w:color="auto"/>
            </w:tcBorders>
          </w:tcPr>
          <w:p>
            <w:pPr>
              <w:spacing w:after="0"/>
              <w:rPr>
                <w:sz w:val="2"/>
                <w:szCs w:val="2"/>
                <w:color w:val="auto"/>
              </w:rPr>
            </w:pPr>
          </w:p>
        </w:tc>
      </w:tr>
      <w:tr>
        <w:trPr>
          <w:trHeight w:val="183"/>
        </w:trPr>
        <w:tc>
          <w:tcPr>
            <w:tcW w:w="1160" w:type="dxa"/>
            <w:vAlign w:val="bottom"/>
            <w:tcBorders>
              <w:left w:val="single" w:sz="8" w:color="auto"/>
              <w:right w:val="single" w:sz="8" w:color="auto"/>
            </w:tcBorders>
          </w:tcPr>
          <w:p>
            <w:pPr>
              <w:ind w:left="40"/>
              <w:spacing w:after="0" w:line="183" w:lineRule="exact"/>
              <w:rPr>
                <w:sz w:val="20"/>
                <w:szCs w:val="20"/>
                <w:color w:val="auto"/>
              </w:rPr>
            </w:pPr>
            <w:r>
              <w:rPr>
                <w:rFonts w:ascii="Arial" w:cs="Arial" w:eastAsia="Arial" w:hAnsi="Arial"/>
                <w:sz w:val="16"/>
                <w:szCs w:val="16"/>
                <w:color w:val="auto"/>
              </w:rPr>
              <w:t>10.5</w:t>
            </w:r>
          </w:p>
        </w:tc>
        <w:tc>
          <w:tcPr>
            <w:tcW w:w="12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0000" w:type="dxa"/>
            <w:vAlign w:val="bottom"/>
            <w:tcBorders>
              <w:bottom w:val="single" w:sz="8" w:color="0000FF"/>
            </w:tcBorders>
            <w:gridSpan w:val="36"/>
          </w:tcPr>
          <w:p>
            <w:pPr>
              <w:spacing w:after="0" w:line="183" w:lineRule="exact"/>
              <w:rPr>
                <w:rFonts w:ascii="Arial" w:cs="Arial" w:eastAsia="Arial" w:hAnsi="Arial"/>
                <w:sz w:val="16"/>
                <w:szCs w:val="16"/>
                <w:color w:val="0000FF"/>
              </w:rPr>
            </w:pPr>
            <w:hyperlink r:id="rId166">
              <w:r>
                <w:rPr>
                  <w:rFonts w:ascii="Arial" w:cs="Arial" w:eastAsia="Arial" w:hAnsi="Arial"/>
                  <w:sz w:val="16"/>
                  <w:szCs w:val="16"/>
                  <w:color w:val="0000FF"/>
                </w:rPr>
                <w:t>Employment Letter, between Martyn Smith and Avis Budget Group, Inc. dated as of June 6, 2017,(Incorporated by reference to Exhibit 10.1</w:t>
              </w:r>
            </w:hyperlink>
          </w:p>
        </w:tc>
        <w:tc>
          <w:tcPr>
            <w:tcW w:w="140" w:type="dxa"/>
            <w:vAlign w:val="bottom"/>
            <w:tcBorders>
              <w:right w:val="single" w:sz="8" w:color="auto"/>
            </w:tcBorders>
            <w:gridSpan w:val="5"/>
          </w:tcPr>
          <w:p>
            <w:pPr>
              <w:spacing w:after="0"/>
              <w:rPr>
                <w:sz w:val="15"/>
                <w:szCs w:val="15"/>
                <w:color w:val="auto"/>
              </w:rPr>
            </w:pPr>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140" w:type="dxa"/>
            <w:vAlign w:val="bottom"/>
            <w:tcBorders>
              <w:right w:val="single" w:sz="8" w:color="auto"/>
            </w:tcBorders>
            <w:gridSpan w:val="41"/>
          </w:tcPr>
          <w:p>
            <w:pPr>
              <w:spacing w:after="0" w:line="169" w:lineRule="exact"/>
              <w:rPr>
                <w:rFonts w:ascii="Arial" w:cs="Arial" w:eastAsia="Arial" w:hAnsi="Arial"/>
                <w:sz w:val="16"/>
                <w:szCs w:val="16"/>
                <w:color w:val="0000FF"/>
              </w:rPr>
            </w:pPr>
            <w:hyperlink r:id="rId166">
              <w:r>
                <w:rPr>
                  <w:rFonts w:ascii="Arial" w:cs="Arial" w:eastAsia="Arial" w:hAnsi="Arial"/>
                  <w:sz w:val="16"/>
                  <w:szCs w:val="16"/>
                  <w:color w:val="0000FF"/>
                </w:rPr>
                <w:t>to the Company’s Current Report on Form 8-K dated June 8, 2017).†</w:t>
              </w:r>
            </w:hyperlink>
          </w:p>
        </w:tc>
      </w:tr>
      <w:tr>
        <w:trPr>
          <w:trHeight w:val="34"/>
        </w:trPr>
        <w:tc>
          <w:tcPr>
            <w:tcW w:w="1160" w:type="dxa"/>
            <w:vAlign w:val="bottom"/>
            <w:tcBorders>
              <w:left w:val="single" w:sz="8" w:color="auto"/>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60" w:type="dxa"/>
            <w:vAlign w:val="bottom"/>
            <w:tcBorders>
              <w:top w:val="single" w:sz="8" w:color="0000FF"/>
              <w:bottom w:val="single" w:sz="8" w:color="auto"/>
            </w:tcBorders>
          </w:tcPr>
          <w:p>
            <w:pPr>
              <w:spacing w:after="0"/>
              <w:rPr>
                <w:sz w:val="2"/>
                <w:szCs w:val="2"/>
                <w:color w:val="auto"/>
              </w:rPr>
            </w:pPr>
          </w:p>
        </w:tc>
        <w:tc>
          <w:tcPr>
            <w:tcW w:w="260" w:type="dxa"/>
            <w:vAlign w:val="bottom"/>
            <w:tcBorders>
              <w:top w:val="single" w:sz="8" w:color="0000FF"/>
              <w:bottom w:val="single" w:sz="8" w:color="auto"/>
            </w:tcBorders>
          </w:tcPr>
          <w:p>
            <w:pPr>
              <w:spacing w:after="0"/>
              <w:rPr>
                <w:sz w:val="2"/>
                <w:szCs w:val="2"/>
                <w:color w:val="auto"/>
              </w:rPr>
            </w:pPr>
          </w:p>
        </w:tc>
        <w:tc>
          <w:tcPr>
            <w:tcW w:w="900" w:type="dxa"/>
            <w:vAlign w:val="bottom"/>
            <w:tcBorders>
              <w:top w:val="single" w:sz="8" w:color="0000FF"/>
              <w:bottom w:val="single" w:sz="8" w:color="auto"/>
            </w:tcBorders>
          </w:tcPr>
          <w:p>
            <w:pPr>
              <w:spacing w:after="0"/>
              <w:rPr>
                <w:sz w:val="2"/>
                <w:szCs w:val="2"/>
                <w:color w:val="auto"/>
              </w:rPr>
            </w:pPr>
          </w:p>
        </w:tc>
        <w:tc>
          <w:tcPr>
            <w:tcW w:w="320" w:type="dxa"/>
            <w:vAlign w:val="bottom"/>
            <w:tcBorders>
              <w:top w:val="single" w:sz="8" w:color="0000FF"/>
              <w:bottom w:val="single" w:sz="8" w:color="auto"/>
            </w:tcBorders>
          </w:tcPr>
          <w:p>
            <w:pPr>
              <w:spacing w:after="0"/>
              <w:rPr>
                <w:sz w:val="2"/>
                <w:szCs w:val="2"/>
                <w:color w:val="auto"/>
              </w:rPr>
            </w:pPr>
          </w:p>
        </w:tc>
        <w:tc>
          <w:tcPr>
            <w:tcW w:w="360" w:type="dxa"/>
            <w:vAlign w:val="bottom"/>
            <w:tcBorders>
              <w:top w:val="single" w:sz="8" w:color="0000FF"/>
              <w:bottom w:val="single" w:sz="8" w:color="auto"/>
            </w:tcBorders>
          </w:tcPr>
          <w:p>
            <w:pPr>
              <w:spacing w:after="0"/>
              <w:rPr>
                <w:sz w:val="2"/>
                <w:szCs w:val="2"/>
                <w:color w:val="auto"/>
              </w:rPr>
            </w:pPr>
          </w:p>
        </w:tc>
        <w:tc>
          <w:tcPr>
            <w:tcW w:w="1880" w:type="dxa"/>
            <w:vAlign w:val="bottom"/>
            <w:tcBorders>
              <w:top w:val="single" w:sz="8" w:color="0000FF"/>
              <w:bottom w:val="single" w:sz="8" w:color="auto"/>
            </w:tcBorders>
          </w:tcPr>
          <w:p>
            <w:pPr>
              <w:spacing w:after="0"/>
              <w:rPr>
                <w:sz w:val="2"/>
                <w:szCs w:val="2"/>
                <w:color w:val="auto"/>
              </w:rPr>
            </w:pPr>
          </w:p>
        </w:tc>
        <w:tc>
          <w:tcPr>
            <w:tcW w:w="320" w:type="dxa"/>
            <w:vAlign w:val="bottom"/>
            <w:tcBorders>
              <w:top w:val="single" w:sz="8" w:color="0000FF"/>
              <w:bottom w:val="single" w:sz="8" w:color="auto"/>
            </w:tcBorders>
          </w:tcPr>
          <w:p>
            <w:pPr>
              <w:spacing w:after="0"/>
              <w:rPr>
                <w:sz w:val="2"/>
                <w:szCs w:val="2"/>
                <w:color w:val="auto"/>
              </w:rPr>
            </w:pPr>
          </w:p>
        </w:tc>
        <w:tc>
          <w:tcPr>
            <w:tcW w:w="340" w:type="dxa"/>
            <w:vAlign w:val="bottom"/>
            <w:tcBorders>
              <w:top w:val="single" w:sz="8" w:color="0000FF"/>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right w:val="single" w:sz="8" w:color="auto"/>
            </w:tcBorders>
          </w:tcPr>
          <w:p>
            <w:pPr>
              <w:spacing w:after="0"/>
              <w:rPr>
                <w:sz w:val="2"/>
                <w:szCs w:val="2"/>
                <w:color w:val="auto"/>
              </w:rPr>
            </w:pPr>
          </w:p>
        </w:tc>
      </w:tr>
      <w:tr>
        <w:trPr>
          <w:trHeight w:val="183"/>
        </w:trPr>
        <w:tc>
          <w:tcPr>
            <w:tcW w:w="1160" w:type="dxa"/>
            <w:vAlign w:val="bottom"/>
            <w:tcBorders>
              <w:left w:val="single" w:sz="8" w:color="auto"/>
              <w:right w:val="single" w:sz="8" w:color="auto"/>
            </w:tcBorders>
          </w:tcPr>
          <w:p>
            <w:pPr>
              <w:ind w:left="40"/>
              <w:spacing w:after="0" w:line="183" w:lineRule="exact"/>
              <w:rPr>
                <w:sz w:val="20"/>
                <w:szCs w:val="20"/>
                <w:color w:val="auto"/>
              </w:rPr>
            </w:pPr>
            <w:r>
              <w:rPr>
                <w:rFonts w:ascii="Arial" w:cs="Arial" w:eastAsia="Arial" w:hAnsi="Arial"/>
                <w:sz w:val="16"/>
                <w:szCs w:val="16"/>
                <w:color w:val="auto"/>
              </w:rPr>
              <w:t>10.6</w:t>
            </w:r>
          </w:p>
        </w:tc>
        <w:tc>
          <w:tcPr>
            <w:tcW w:w="12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9700" w:type="dxa"/>
            <w:vAlign w:val="bottom"/>
            <w:tcBorders>
              <w:bottom w:val="single" w:sz="8" w:color="0000FF"/>
            </w:tcBorders>
            <w:gridSpan w:val="24"/>
          </w:tcPr>
          <w:p>
            <w:pPr>
              <w:spacing w:after="0" w:line="183" w:lineRule="exact"/>
              <w:rPr>
                <w:rFonts w:ascii="Arial" w:cs="Arial" w:eastAsia="Arial" w:hAnsi="Arial"/>
                <w:sz w:val="16"/>
                <w:szCs w:val="16"/>
                <w:color w:val="0000FF"/>
              </w:rPr>
            </w:pPr>
            <w:hyperlink r:id="rId167">
              <w:r>
                <w:rPr>
                  <w:rFonts w:ascii="Arial" w:cs="Arial" w:eastAsia="Arial" w:hAnsi="Arial"/>
                  <w:sz w:val="16"/>
                  <w:szCs w:val="16"/>
                  <w:color w:val="0000FF"/>
                </w:rPr>
                <w:t>Amended and Restated Cooperation Agreement, dated May 3, 2017, by and among Avis Budget Group, Inc. and SRS (Incorporated by</w:t>
              </w:r>
            </w:hyperlink>
          </w:p>
        </w:tc>
        <w:tc>
          <w:tcPr>
            <w:tcW w:w="440" w:type="dxa"/>
            <w:vAlign w:val="bottom"/>
            <w:tcBorders>
              <w:right w:val="single" w:sz="8" w:color="auto"/>
            </w:tcBorders>
            <w:gridSpan w:val="17"/>
          </w:tcPr>
          <w:p>
            <w:pPr>
              <w:spacing w:after="0"/>
              <w:rPr>
                <w:sz w:val="15"/>
                <w:szCs w:val="15"/>
                <w:color w:val="auto"/>
              </w:rPr>
            </w:pPr>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140" w:type="dxa"/>
            <w:vAlign w:val="bottom"/>
            <w:tcBorders>
              <w:right w:val="single" w:sz="8" w:color="auto"/>
            </w:tcBorders>
            <w:gridSpan w:val="41"/>
          </w:tcPr>
          <w:p>
            <w:pPr>
              <w:spacing w:after="0" w:line="169" w:lineRule="exact"/>
              <w:rPr>
                <w:rFonts w:ascii="Arial" w:cs="Arial" w:eastAsia="Arial" w:hAnsi="Arial"/>
                <w:sz w:val="16"/>
                <w:szCs w:val="16"/>
                <w:color w:val="0000FF"/>
              </w:rPr>
            </w:pPr>
            <w:hyperlink r:id="rId167">
              <w:r>
                <w:rPr>
                  <w:rFonts w:ascii="Arial" w:cs="Arial" w:eastAsia="Arial" w:hAnsi="Arial"/>
                  <w:sz w:val="16"/>
                  <w:szCs w:val="16"/>
                  <w:color w:val="0000FF"/>
                </w:rPr>
                <w:t>reference to Exhibit 10.1 to the Company’s Current Report on Form 8-K dated May 3, 2017).</w:t>
              </w:r>
            </w:hyperlink>
          </w:p>
        </w:tc>
      </w:tr>
      <w:tr>
        <w:trPr>
          <w:trHeight w:val="34"/>
        </w:trPr>
        <w:tc>
          <w:tcPr>
            <w:tcW w:w="1160" w:type="dxa"/>
            <w:vAlign w:val="bottom"/>
            <w:tcBorders>
              <w:left w:val="single" w:sz="8" w:color="auto"/>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60" w:type="dxa"/>
            <w:vAlign w:val="bottom"/>
            <w:tcBorders>
              <w:top w:val="single" w:sz="8" w:color="0000FF"/>
              <w:bottom w:val="single" w:sz="8" w:color="auto"/>
            </w:tcBorders>
          </w:tcPr>
          <w:p>
            <w:pPr>
              <w:spacing w:after="0"/>
              <w:rPr>
                <w:sz w:val="2"/>
                <w:szCs w:val="2"/>
                <w:color w:val="auto"/>
              </w:rPr>
            </w:pPr>
          </w:p>
        </w:tc>
        <w:tc>
          <w:tcPr>
            <w:tcW w:w="260" w:type="dxa"/>
            <w:vAlign w:val="bottom"/>
            <w:tcBorders>
              <w:top w:val="single" w:sz="8" w:color="0000FF"/>
              <w:bottom w:val="single" w:sz="8" w:color="auto"/>
            </w:tcBorders>
          </w:tcPr>
          <w:p>
            <w:pPr>
              <w:spacing w:after="0"/>
              <w:rPr>
                <w:sz w:val="2"/>
                <w:szCs w:val="2"/>
                <w:color w:val="auto"/>
              </w:rPr>
            </w:pPr>
          </w:p>
        </w:tc>
        <w:tc>
          <w:tcPr>
            <w:tcW w:w="900" w:type="dxa"/>
            <w:vAlign w:val="bottom"/>
            <w:tcBorders>
              <w:top w:val="single" w:sz="8" w:color="0000FF"/>
              <w:bottom w:val="single" w:sz="8" w:color="auto"/>
            </w:tcBorders>
          </w:tcPr>
          <w:p>
            <w:pPr>
              <w:spacing w:after="0"/>
              <w:rPr>
                <w:sz w:val="2"/>
                <w:szCs w:val="2"/>
                <w:color w:val="auto"/>
              </w:rPr>
            </w:pPr>
          </w:p>
        </w:tc>
        <w:tc>
          <w:tcPr>
            <w:tcW w:w="320" w:type="dxa"/>
            <w:vAlign w:val="bottom"/>
            <w:tcBorders>
              <w:top w:val="single" w:sz="8" w:color="0000FF"/>
              <w:bottom w:val="single" w:sz="8" w:color="auto"/>
            </w:tcBorders>
          </w:tcPr>
          <w:p>
            <w:pPr>
              <w:spacing w:after="0"/>
              <w:rPr>
                <w:sz w:val="2"/>
                <w:szCs w:val="2"/>
                <w:color w:val="auto"/>
              </w:rPr>
            </w:pPr>
          </w:p>
        </w:tc>
        <w:tc>
          <w:tcPr>
            <w:tcW w:w="360" w:type="dxa"/>
            <w:vAlign w:val="bottom"/>
            <w:tcBorders>
              <w:top w:val="single" w:sz="8" w:color="0000FF"/>
              <w:bottom w:val="single" w:sz="8" w:color="auto"/>
            </w:tcBorders>
          </w:tcPr>
          <w:p>
            <w:pPr>
              <w:spacing w:after="0"/>
              <w:rPr>
                <w:sz w:val="2"/>
                <w:szCs w:val="2"/>
                <w:color w:val="auto"/>
              </w:rPr>
            </w:pPr>
          </w:p>
        </w:tc>
        <w:tc>
          <w:tcPr>
            <w:tcW w:w="1880" w:type="dxa"/>
            <w:vAlign w:val="bottom"/>
            <w:tcBorders>
              <w:top w:val="single" w:sz="8" w:color="0000FF"/>
              <w:bottom w:val="single" w:sz="8" w:color="auto"/>
            </w:tcBorders>
          </w:tcPr>
          <w:p>
            <w:pPr>
              <w:spacing w:after="0"/>
              <w:rPr>
                <w:sz w:val="2"/>
                <w:szCs w:val="2"/>
                <w:color w:val="auto"/>
              </w:rPr>
            </w:pPr>
          </w:p>
        </w:tc>
        <w:tc>
          <w:tcPr>
            <w:tcW w:w="320" w:type="dxa"/>
            <w:vAlign w:val="bottom"/>
            <w:tcBorders>
              <w:top w:val="single" w:sz="8" w:color="0000FF"/>
              <w:bottom w:val="single" w:sz="8" w:color="auto"/>
            </w:tcBorders>
          </w:tcPr>
          <w:p>
            <w:pPr>
              <w:spacing w:after="0"/>
              <w:rPr>
                <w:sz w:val="2"/>
                <w:szCs w:val="2"/>
                <w:color w:val="auto"/>
              </w:rPr>
            </w:pPr>
          </w:p>
        </w:tc>
        <w:tc>
          <w:tcPr>
            <w:tcW w:w="340" w:type="dxa"/>
            <w:vAlign w:val="bottom"/>
            <w:tcBorders>
              <w:top w:val="single" w:sz="8" w:color="0000FF"/>
              <w:bottom w:val="single" w:sz="8" w:color="auto"/>
            </w:tcBorders>
          </w:tcPr>
          <w:p>
            <w:pPr>
              <w:spacing w:after="0"/>
              <w:rPr>
                <w:sz w:val="2"/>
                <w:szCs w:val="2"/>
                <w:color w:val="auto"/>
              </w:rPr>
            </w:pPr>
          </w:p>
        </w:tc>
        <w:tc>
          <w:tcPr>
            <w:tcW w:w="100" w:type="dxa"/>
            <w:vAlign w:val="bottom"/>
            <w:tcBorders>
              <w:top w:val="single" w:sz="8" w:color="0000FF"/>
              <w:bottom w:val="single" w:sz="8" w:color="auto"/>
            </w:tcBorders>
          </w:tcPr>
          <w:p>
            <w:pPr>
              <w:spacing w:after="0"/>
              <w:rPr>
                <w:sz w:val="2"/>
                <w:szCs w:val="2"/>
                <w:color w:val="auto"/>
              </w:rPr>
            </w:pPr>
          </w:p>
        </w:tc>
        <w:tc>
          <w:tcPr>
            <w:tcW w:w="180" w:type="dxa"/>
            <w:vAlign w:val="bottom"/>
            <w:tcBorders>
              <w:top w:val="single" w:sz="8" w:color="0000FF"/>
              <w:bottom w:val="single" w:sz="8" w:color="auto"/>
            </w:tcBorders>
          </w:tcPr>
          <w:p>
            <w:pPr>
              <w:spacing w:after="0"/>
              <w:rPr>
                <w:sz w:val="2"/>
                <w:szCs w:val="2"/>
                <w:color w:val="auto"/>
              </w:rPr>
            </w:pPr>
          </w:p>
        </w:tc>
        <w:tc>
          <w:tcPr>
            <w:tcW w:w="20" w:type="dxa"/>
            <w:vAlign w:val="bottom"/>
            <w:tcBorders>
              <w:top w:val="single" w:sz="8" w:color="0000FF"/>
              <w:bottom w:val="single" w:sz="8" w:color="auto"/>
            </w:tcBorders>
          </w:tcPr>
          <w:p>
            <w:pPr>
              <w:spacing w:after="0"/>
              <w:rPr>
                <w:sz w:val="2"/>
                <w:szCs w:val="2"/>
                <w:color w:val="auto"/>
              </w:rPr>
            </w:pPr>
          </w:p>
        </w:tc>
        <w:tc>
          <w:tcPr>
            <w:tcW w:w="120" w:type="dxa"/>
            <w:vAlign w:val="bottom"/>
            <w:tcBorders>
              <w:top w:val="single" w:sz="8" w:color="0000FF"/>
              <w:bottom w:val="single" w:sz="8" w:color="auto"/>
            </w:tcBorders>
          </w:tcPr>
          <w:p>
            <w:pPr>
              <w:spacing w:after="0"/>
              <w:rPr>
                <w:sz w:val="2"/>
                <w:szCs w:val="2"/>
                <w:color w:val="auto"/>
              </w:rPr>
            </w:pPr>
          </w:p>
        </w:tc>
        <w:tc>
          <w:tcPr>
            <w:tcW w:w="520" w:type="dxa"/>
            <w:vAlign w:val="bottom"/>
            <w:tcBorders>
              <w:top w:val="single" w:sz="8" w:color="0000FF"/>
              <w:bottom w:val="single" w:sz="8" w:color="auto"/>
            </w:tcBorders>
          </w:tcPr>
          <w:p>
            <w:pPr>
              <w:spacing w:after="0"/>
              <w:rPr>
                <w:sz w:val="2"/>
                <w:szCs w:val="2"/>
                <w:color w:val="auto"/>
              </w:rPr>
            </w:pPr>
          </w:p>
        </w:tc>
        <w:tc>
          <w:tcPr>
            <w:tcW w:w="280" w:type="dxa"/>
            <w:vAlign w:val="bottom"/>
            <w:tcBorders>
              <w:top w:val="single" w:sz="8" w:color="0000FF"/>
              <w:bottom w:val="single" w:sz="8" w:color="auto"/>
            </w:tcBorders>
          </w:tcPr>
          <w:p>
            <w:pPr>
              <w:spacing w:after="0"/>
              <w:rPr>
                <w:sz w:val="2"/>
                <w:szCs w:val="2"/>
                <w:color w:val="auto"/>
              </w:rPr>
            </w:pPr>
          </w:p>
        </w:tc>
        <w:tc>
          <w:tcPr>
            <w:tcW w:w="240" w:type="dxa"/>
            <w:vAlign w:val="bottom"/>
            <w:tcBorders>
              <w:top w:val="single" w:sz="8" w:color="0000FF"/>
              <w:bottom w:val="single" w:sz="8" w:color="auto"/>
            </w:tcBorders>
          </w:tcPr>
          <w:p>
            <w:pPr>
              <w:spacing w:after="0"/>
              <w:rPr>
                <w:sz w:val="2"/>
                <w:szCs w:val="2"/>
                <w:color w:val="auto"/>
              </w:rPr>
            </w:pPr>
          </w:p>
        </w:tc>
        <w:tc>
          <w:tcPr>
            <w:tcW w:w="160" w:type="dxa"/>
            <w:vAlign w:val="bottom"/>
            <w:tcBorders>
              <w:top w:val="single" w:sz="8" w:color="0000FF"/>
              <w:bottom w:val="single" w:sz="8" w:color="auto"/>
            </w:tcBorders>
          </w:tcPr>
          <w:p>
            <w:pPr>
              <w:spacing w:after="0"/>
              <w:rPr>
                <w:sz w:val="2"/>
                <w:szCs w:val="2"/>
                <w:color w:val="auto"/>
              </w:rPr>
            </w:pPr>
          </w:p>
        </w:tc>
        <w:tc>
          <w:tcPr>
            <w:tcW w:w="60" w:type="dxa"/>
            <w:vAlign w:val="bottom"/>
            <w:tcBorders>
              <w:top w:val="single" w:sz="8" w:color="0000FF"/>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right w:val="single" w:sz="8" w:color="auto"/>
            </w:tcBorders>
          </w:tcPr>
          <w:p>
            <w:pPr>
              <w:spacing w:after="0"/>
              <w:rPr>
                <w:sz w:val="2"/>
                <w:szCs w:val="2"/>
                <w:color w:val="auto"/>
              </w:rPr>
            </w:pPr>
          </w:p>
        </w:tc>
      </w:tr>
      <w:tr>
        <w:trPr>
          <w:trHeight w:val="183"/>
        </w:trPr>
        <w:tc>
          <w:tcPr>
            <w:tcW w:w="1160" w:type="dxa"/>
            <w:vAlign w:val="bottom"/>
            <w:tcBorders>
              <w:left w:val="single" w:sz="8" w:color="auto"/>
              <w:right w:val="single" w:sz="8" w:color="auto"/>
            </w:tcBorders>
          </w:tcPr>
          <w:p>
            <w:pPr>
              <w:ind w:left="40"/>
              <w:spacing w:after="0" w:line="183" w:lineRule="exact"/>
              <w:rPr>
                <w:sz w:val="20"/>
                <w:szCs w:val="20"/>
                <w:color w:val="auto"/>
              </w:rPr>
            </w:pPr>
            <w:r>
              <w:rPr>
                <w:rFonts w:ascii="Arial" w:cs="Arial" w:eastAsia="Arial" w:hAnsi="Arial"/>
                <w:sz w:val="16"/>
                <w:szCs w:val="16"/>
                <w:color w:val="auto"/>
              </w:rPr>
              <w:t>10.7</w:t>
            </w:r>
          </w:p>
        </w:tc>
        <w:tc>
          <w:tcPr>
            <w:tcW w:w="12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0040" w:type="dxa"/>
            <w:vAlign w:val="bottom"/>
            <w:tcBorders>
              <w:bottom w:val="single" w:sz="8" w:color="0000FF"/>
            </w:tcBorders>
            <w:gridSpan w:val="37"/>
          </w:tcPr>
          <w:p>
            <w:pPr>
              <w:spacing w:after="0" w:line="183" w:lineRule="exact"/>
              <w:rPr>
                <w:rFonts w:ascii="Arial" w:cs="Arial" w:eastAsia="Arial" w:hAnsi="Arial"/>
                <w:sz w:val="16"/>
                <w:szCs w:val="16"/>
                <w:color w:val="0000FF"/>
              </w:rPr>
            </w:pPr>
            <w:hyperlink r:id="rId168">
              <w:r>
                <w:rPr>
                  <w:rFonts w:ascii="Arial" w:cs="Arial" w:eastAsia="Arial" w:hAnsi="Arial"/>
                  <w:sz w:val="16"/>
                  <w:szCs w:val="16"/>
                  <w:color w:val="0000FF"/>
                </w:rPr>
                <w:t>Form of Avis Budget Group, Inc. Severance Agreement (Incorporated by reference to Exhibit 10.8 to the Company’s Annual Report on Form</w:t>
              </w:r>
            </w:hyperlink>
          </w:p>
        </w:tc>
        <w:tc>
          <w:tcPr>
            <w:tcW w:w="100" w:type="dxa"/>
            <w:vAlign w:val="bottom"/>
            <w:tcBorders>
              <w:right w:val="single" w:sz="8" w:color="auto"/>
            </w:tcBorders>
            <w:gridSpan w:val="4"/>
          </w:tcPr>
          <w:p>
            <w:pPr>
              <w:spacing w:after="0"/>
              <w:rPr>
                <w:sz w:val="15"/>
                <w:szCs w:val="15"/>
                <w:color w:val="auto"/>
              </w:rPr>
            </w:pPr>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140" w:type="dxa"/>
            <w:vAlign w:val="bottom"/>
            <w:tcBorders>
              <w:right w:val="single" w:sz="8" w:color="auto"/>
            </w:tcBorders>
            <w:gridSpan w:val="41"/>
          </w:tcPr>
          <w:p>
            <w:pPr>
              <w:spacing w:after="0" w:line="169" w:lineRule="exact"/>
              <w:rPr>
                <w:rFonts w:ascii="Arial" w:cs="Arial" w:eastAsia="Arial" w:hAnsi="Arial"/>
                <w:sz w:val="16"/>
                <w:szCs w:val="16"/>
                <w:color w:val="0000FF"/>
              </w:rPr>
            </w:pPr>
            <w:hyperlink r:id="rId168">
              <w:r>
                <w:rPr>
                  <w:rFonts w:ascii="Arial" w:cs="Arial" w:eastAsia="Arial" w:hAnsi="Arial"/>
                  <w:sz w:val="16"/>
                  <w:szCs w:val="16"/>
                  <w:color w:val="0000FF"/>
                </w:rPr>
                <w:t>10-K for the year ended December 31, 2009, dated February 24, 2010).†</w:t>
              </w:r>
            </w:hyperlink>
          </w:p>
        </w:tc>
      </w:tr>
      <w:tr>
        <w:trPr>
          <w:trHeight w:val="34"/>
        </w:trPr>
        <w:tc>
          <w:tcPr>
            <w:tcW w:w="1160" w:type="dxa"/>
            <w:vAlign w:val="bottom"/>
            <w:tcBorders>
              <w:left w:val="single" w:sz="8" w:color="auto"/>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60" w:type="dxa"/>
            <w:vAlign w:val="bottom"/>
            <w:tcBorders>
              <w:top w:val="single" w:sz="8" w:color="0000FF"/>
              <w:bottom w:val="single" w:sz="8" w:color="auto"/>
            </w:tcBorders>
          </w:tcPr>
          <w:p>
            <w:pPr>
              <w:spacing w:after="0"/>
              <w:rPr>
                <w:sz w:val="2"/>
                <w:szCs w:val="2"/>
                <w:color w:val="auto"/>
              </w:rPr>
            </w:pPr>
          </w:p>
        </w:tc>
        <w:tc>
          <w:tcPr>
            <w:tcW w:w="260" w:type="dxa"/>
            <w:vAlign w:val="bottom"/>
            <w:tcBorders>
              <w:top w:val="single" w:sz="8" w:color="0000FF"/>
              <w:bottom w:val="single" w:sz="8" w:color="auto"/>
            </w:tcBorders>
          </w:tcPr>
          <w:p>
            <w:pPr>
              <w:spacing w:after="0"/>
              <w:rPr>
                <w:sz w:val="2"/>
                <w:szCs w:val="2"/>
                <w:color w:val="auto"/>
              </w:rPr>
            </w:pPr>
          </w:p>
        </w:tc>
        <w:tc>
          <w:tcPr>
            <w:tcW w:w="900" w:type="dxa"/>
            <w:vAlign w:val="bottom"/>
            <w:tcBorders>
              <w:top w:val="single" w:sz="8" w:color="0000FF"/>
              <w:bottom w:val="single" w:sz="8" w:color="auto"/>
            </w:tcBorders>
          </w:tcPr>
          <w:p>
            <w:pPr>
              <w:spacing w:after="0"/>
              <w:rPr>
                <w:sz w:val="2"/>
                <w:szCs w:val="2"/>
                <w:color w:val="auto"/>
              </w:rPr>
            </w:pPr>
          </w:p>
        </w:tc>
        <w:tc>
          <w:tcPr>
            <w:tcW w:w="320" w:type="dxa"/>
            <w:vAlign w:val="bottom"/>
            <w:tcBorders>
              <w:top w:val="single" w:sz="8" w:color="0000FF"/>
              <w:bottom w:val="single" w:sz="8" w:color="auto"/>
            </w:tcBorders>
          </w:tcPr>
          <w:p>
            <w:pPr>
              <w:spacing w:after="0"/>
              <w:rPr>
                <w:sz w:val="2"/>
                <w:szCs w:val="2"/>
                <w:color w:val="auto"/>
              </w:rPr>
            </w:pPr>
          </w:p>
        </w:tc>
        <w:tc>
          <w:tcPr>
            <w:tcW w:w="360" w:type="dxa"/>
            <w:vAlign w:val="bottom"/>
            <w:tcBorders>
              <w:top w:val="single" w:sz="8" w:color="0000FF"/>
              <w:bottom w:val="single" w:sz="8" w:color="auto"/>
            </w:tcBorders>
          </w:tcPr>
          <w:p>
            <w:pPr>
              <w:spacing w:after="0"/>
              <w:rPr>
                <w:sz w:val="2"/>
                <w:szCs w:val="2"/>
                <w:color w:val="auto"/>
              </w:rPr>
            </w:pPr>
          </w:p>
        </w:tc>
        <w:tc>
          <w:tcPr>
            <w:tcW w:w="1880" w:type="dxa"/>
            <w:vAlign w:val="bottom"/>
            <w:tcBorders>
              <w:top w:val="single" w:sz="8" w:color="0000FF"/>
              <w:bottom w:val="single" w:sz="8" w:color="auto"/>
            </w:tcBorders>
          </w:tcPr>
          <w:p>
            <w:pPr>
              <w:spacing w:after="0"/>
              <w:rPr>
                <w:sz w:val="2"/>
                <w:szCs w:val="2"/>
                <w:color w:val="auto"/>
              </w:rPr>
            </w:pPr>
          </w:p>
        </w:tc>
        <w:tc>
          <w:tcPr>
            <w:tcW w:w="320" w:type="dxa"/>
            <w:vAlign w:val="bottom"/>
            <w:tcBorders>
              <w:top w:val="single" w:sz="8" w:color="0000FF"/>
              <w:bottom w:val="single" w:sz="8" w:color="auto"/>
            </w:tcBorders>
          </w:tcPr>
          <w:p>
            <w:pPr>
              <w:spacing w:after="0"/>
              <w:rPr>
                <w:sz w:val="2"/>
                <w:szCs w:val="2"/>
                <w:color w:val="auto"/>
              </w:rPr>
            </w:pPr>
          </w:p>
        </w:tc>
        <w:tc>
          <w:tcPr>
            <w:tcW w:w="340" w:type="dxa"/>
            <w:vAlign w:val="bottom"/>
            <w:tcBorders>
              <w:top w:val="single" w:sz="8" w:color="0000FF"/>
              <w:bottom w:val="single" w:sz="8" w:color="auto"/>
            </w:tcBorders>
          </w:tcPr>
          <w:p>
            <w:pPr>
              <w:spacing w:after="0"/>
              <w:rPr>
                <w:sz w:val="2"/>
                <w:szCs w:val="2"/>
                <w:color w:val="auto"/>
              </w:rPr>
            </w:pPr>
          </w:p>
        </w:tc>
        <w:tc>
          <w:tcPr>
            <w:tcW w:w="100" w:type="dxa"/>
            <w:vAlign w:val="bottom"/>
            <w:tcBorders>
              <w:top w:val="single" w:sz="8" w:color="0000FF"/>
              <w:bottom w:val="single" w:sz="8" w:color="auto"/>
            </w:tcBorders>
          </w:tcPr>
          <w:p>
            <w:pPr>
              <w:spacing w:after="0"/>
              <w:rPr>
                <w:sz w:val="2"/>
                <w:szCs w:val="2"/>
                <w:color w:val="auto"/>
              </w:rPr>
            </w:pPr>
          </w:p>
        </w:tc>
        <w:tc>
          <w:tcPr>
            <w:tcW w:w="180" w:type="dxa"/>
            <w:vAlign w:val="bottom"/>
            <w:tcBorders>
              <w:top w:val="single" w:sz="8" w:color="0000FF"/>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right w:val="single" w:sz="8" w:color="auto"/>
            </w:tcBorders>
          </w:tcPr>
          <w:p>
            <w:pPr>
              <w:spacing w:after="0"/>
              <w:rPr>
                <w:sz w:val="2"/>
                <w:szCs w:val="2"/>
                <w:color w:val="auto"/>
              </w:rPr>
            </w:pPr>
          </w:p>
        </w:tc>
      </w:tr>
      <w:tr>
        <w:trPr>
          <w:trHeight w:val="183"/>
        </w:trPr>
        <w:tc>
          <w:tcPr>
            <w:tcW w:w="1160" w:type="dxa"/>
            <w:vAlign w:val="bottom"/>
            <w:tcBorders>
              <w:left w:val="single" w:sz="8" w:color="auto"/>
              <w:right w:val="single" w:sz="8" w:color="auto"/>
            </w:tcBorders>
          </w:tcPr>
          <w:p>
            <w:pPr>
              <w:ind w:left="40"/>
              <w:spacing w:after="0" w:line="183" w:lineRule="exact"/>
              <w:rPr>
                <w:sz w:val="20"/>
                <w:szCs w:val="20"/>
                <w:color w:val="auto"/>
              </w:rPr>
            </w:pPr>
            <w:r>
              <w:rPr>
                <w:rFonts w:ascii="Arial" w:cs="Arial" w:eastAsia="Arial" w:hAnsi="Arial"/>
                <w:sz w:val="16"/>
                <w:szCs w:val="16"/>
                <w:color w:val="auto"/>
              </w:rPr>
              <w:t>10.8</w:t>
            </w:r>
          </w:p>
        </w:tc>
        <w:tc>
          <w:tcPr>
            <w:tcW w:w="12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9440" w:type="dxa"/>
            <w:vAlign w:val="bottom"/>
            <w:tcBorders>
              <w:bottom w:val="single" w:sz="8" w:color="0000FF"/>
            </w:tcBorders>
            <w:gridSpan w:val="21"/>
          </w:tcPr>
          <w:p>
            <w:pPr>
              <w:spacing w:after="0" w:line="183" w:lineRule="exact"/>
              <w:rPr>
                <w:rFonts w:ascii="Arial" w:cs="Arial" w:eastAsia="Arial" w:hAnsi="Arial"/>
                <w:sz w:val="16"/>
                <w:szCs w:val="16"/>
                <w:color w:val="0000FF"/>
              </w:rPr>
            </w:pPr>
            <w:hyperlink r:id="rId169">
              <w:r>
                <w:rPr>
                  <w:rFonts w:ascii="Arial" w:cs="Arial" w:eastAsia="Arial" w:hAnsi="Arial"/>
                  <w:sz w:val="16"/>
                  <w:szCs w:val="16"/>
                  <w:color w:val="0000FF"/>
                </w:rPr>
                <w:t>Avis Budget Group, Inc. Amended and Restated Equity and Incentive Plan (Incorporated by reference to Annex A to the Company’s</w:t>
              </w:r>
            </w:hyperlink>
          </w:p>
        </w:tc>
        <w:tc>
          <w:tcPr>
            <w:tcW w:w="700" w:type="dxa"/>
            <w:vAlign w:val="bottom"/>
            <w:tcBorders>
              <w:right w:val="single" w:sz="8" w:color="auto"/>
            </w:tcBorders>
            <w:gridSpan w:val="20"/>
          </w:tcPr>
          <w:p>
            <w:pPr>
              <w:spacing w:after="0"/>
              <w:rPr>
                <w:sz w:val="15"/>
                <w:szCs w:val="15"/>
                <w:color w:val="auto"/>
              </w:rPr>
            </w:pPr>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140" w:type="dxa"/>
            <w:vAlign w:val="bottom"/>
            <w:tcBorders>
              <w:right w:val="single" w:sz="8" w:color="auto"/>
            </w:tcBorders>
            <w:gridSpan w:val="41"/>
          </w:tcPr>
          <w:p>
            <w:pPr>
              <w:spacing w:after="0" w:line="169" w:lineRule="exact"/>
              <w:rPr>
                <w:rFonts w:ascii="Arial" w:cs="Arial" w:eastAsia="Arial" w:hAnsi="Arial"/>
                <w:sz w:val="16"/>
                <w:szCs w:val="16"/>
                <w:color w:val="0000FF"/>
              </w:rPr>
            </w:pPr>
            <w:hyperlink r:id="rId169">
              <w:r>
                <w:rPr>
                  <w:rFonts w:ascii="Arial" w:cs="Arial" w:eastAsia="Arial" w:hAnsi="Arial"/>
                  <w:sz w:val="16"/>
                  <w:szCs w:val="16"/>
                  <w:color w:val="0000FF"/>
                </w:rPr>
                <w:t>Definitive Proxy Statement on Schedule 14A, dated March 29, 2016).†</w:t>
              </w:r>
            </w:hyperlink>
          </w:p>
        </w:tc>
      </w:tr>
      <w:tr>
        <w:trPr>
          <w:trHeight w:val="34"/>
        </w:trPr>
        <w:tc>
          <w:tcPr>
            <w:tcW w:w="1160" w:type="dxa"/>
            <w:vAlign w:val="bottom"/>
            <w:tcBorders>
              <w:left w:val="single" w:sz="8" w:color="auto"/>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60" w:type="dxa"/>
            <w:vAlign w:val="bottom"/>
            <w:tcBorders>
              <w:top w:val="single" w:sz="8" w:color="0000FF"/>
              <w:bottom w:val="single" w:sz="8" w:color="auto"/>
            </w:tcBorders>
          </w:tcPr>
          <w:p>
            <w:pPr>
              <w:spacing w:after="0"/>
              <w:rPr>
                <w:sz w:val="2"/>
                <w:szCs w:val="2"/>
                <w:color w:val="auto"/>
              </w:rPr>
            </w:pPr>
          </w:p>
        </w:tc>
        <w:tc>
          <w:tcPr>
            <w:tcW w:w="260" w:type="dxa"/>
            <w:vAlign w:val="bottom"/>
            <w:tcBorders>
              <w:top w:val="single" w:sz="8" w:color="0000FF"/>
              <w:bottom w:val="single" w:sz="8" w:color="auto"/>
            </w:tcBorders>
          </w:tcPr>
          <w:p>
            <w:pPr>
              <w:spacing w:after="0"/>
              <w:rPr>
                <w:sz w:val="2"/>
                <w:szCs w:val="2"/>
                <w:color w:val="auto"/>
              </w:rPr>
            </w:pPr>
          </w:p>
        </w:tc>
        <w:tc>
          <w:tcPr>
            <w:tcW w:w="900" w:type="dxa"/>
            <w:vAlign w:val="bottom"/>
            <w:tcBorders>
              <w:top w:val="single" w:sz="8" w:color="0000FF"/>
              <w:bottom w:val="single" w:sz="8" w:color="auto"/>
            </w:tcBorders>
          </w:tcPr>
          <w:p>
            <w:pPr>
              <w:spacing w:after="0"/>
              <w:rPr>
                <w:sz w:val="2"/>
                <w:szCs w:val="2"/>
                <w:color w:val="auto"/>
              </w:rPr>
            </w:pPr>
          </w:p>
        </w:tc>
        <w:tc>
          <w:tcPr>
            <w:tcW w:w="320" w:type="dxa"/>
            <w:vAlign w:val="bottom"/>
            <w:tcBorders>
              <w:top w:val="single" w:sz="8" w:color="0000FF"/>
              <w:bottom w:val="single" w:sz="8" w:color="auto"/>
            </w:tcBorders>
          </w:tcPr>
          <w:p>
            <w:pPr>
              <w:spacing w:after="0"/>
              <w:rPr>
                <w:sz w:val="2"/>
                <w:szCs w:val="2"/>
                <w:color w:val="auto"/>
              </w:rPr>
            </w:pPr>
          </w:p>
        </w:tc>
        <w:tc>
          <w:tcPr>
            <w:tcW w:w="360" w:type="dxa"/>
            <w:vAlign w:val="bottom"/>
            <w:tcBorders>
              <w:top w:val="single" w:sz="8" w:color="0000FF"/>
              <w:bottom w:val="single" w:sz="8" w:color="auto"/>
            </w:tcBorders>
          </w:tcPr>
          <w:p>
            <w:pPr>
              <w:spacing w:after="0"/>
              <w:rPr>
                <w:sz w:val="2"/>
                <w:szCs w:val="2"/>
                <w:color w:val="auto"/>
              </w:rPr>
            </w:pPr>
          </w:p>
        </w:tc>
        <w:tc>
          <w:tcPr>
            <w:tcW w:w="1880" w:type="dxa"/>
            <w:vAlign w:val="bottom"/>
            <w:tcBorders>
              <w:top w:val="single" w:sz="8" w:color="0000FF"/>
              <w:bottom w:val="single" w:sz="8" w:color="auto"/>
            </w:tcBorders>
          </w:tcPr>
          <w:p>
            <w:pPr>
              <w:spacing w:after="0"/>
              <w:rPr>
                <w:sz w:val="2"/>
                <w:szCs w:val="2"/>
                <w:color w:val="auto"/>
              </w:rPr>
            </w:pPr>
          </w:p>
        </w:tc>
        <w:tc>
          <w:tcPr>
            <w:tcW w:w="320" w:type="dxa"/>
            <w:vAlign w:val="bottom"/>
            <w:tcBorders>
              <w:top w:val="single" w:sz="8" w:color="0000FF"/>
              <w:bottom w:val="single" w:sz="8" w:color="auto"/>
            </w:tcBorders>
          </w:tcPr>
          <w:p>
            <w:pPr>
              <w:spacing w:after="0"/>
              <w:rPr>
                <w:sz w:val="2"/>
                <w:szCs w:val="2"/>
                <w:color w:val="auto"/>
              </w:rPr>
            </w:pPr>
          </w:p>
        </w:tc>
        <w:tc>
          <w:tcPr>
            <w:tcW w:w="340" w:type="dxa"/>
            <w:vAlign w:val="bottom"/>
            <w:tcBorders>
              <w:top w:val="single" w:sz="8" w:color="0000FF"/>
              <w:bottom w:val="single" w:sz="8" w:color="auto"/>
            </w:tcBorders>
          </w:tcPr>
          <w:p>
            <w:pPr>
              <w:spacing w:after="0"/>
              <w:rPr>
                <w:sz w:val="2"/>
                <w:szCs w:val="2"/>
                <w:color w:val="auto"/>
              </w:rPr>
            </w:pPr>
          </w:p>
        </w:tc>
        <w:tc>
          <w:tcPr>
            <w:tcW w:w="100" w:type="dxa"/>
            <w:vAlign w:val="bottom"/>
            <w:tcBorders>
              <w:top w:val="single" w:sz="8" w:color="0000FF"/>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right w:val="single" w:sz="8" w:color="auto"/>
            </w:tcBorders>
          </w:tcPr>
          <w:p>
            <w:pPr>
              <w:spacing w:after="0"/>
              <w:rPr>
                <w:sz w:val="2"/>
                <w:szCs w:val="2"/>
                <w:color w:val="auto"/>
              </w:rPr>
            </w:pPr>
          </w:p>
        </w:tc>
      </w:tr>
      <w:tr>
        <w:trPr>
          <w:trHeight w:val="183"/>
        </w:trPr>
        <w:tc>
          <w:tcPr>
            <w:tcW w:w="1160" w:type="dxa"/>
            <w:vAlign w:val="bottom"/>
            <w:tcBorders>
              <w:left w:val="single" w:sz="8" w:color="auto"/>
              <w:right w:val="single" w:sz="8" w:color="auto"/>
            </w:tcBorders>
          </w:tcPr>
          <w:p>
            <w:pPr>
              <w:ind w:left="40"/>
              <w:spacing w:after="0" w:line="183" w:lineRule="exact"/>
              <w:rPr>
                <w:sz w:val="20"/>
                <w:szCs w:val="20"/>
                <w:color w:val="auto"/>
              </w:rPr>
            </w:pPr>
            <w:r>
              <w:rPr>
                <w:rFonts w:ascii="Arial" w:cs="Arial" w:eastAsia="Arial" w:hAnsi="Arial"/>
                <w:sz w:val="16"/>
                <w:szCs w:val="16"/>
                <w:color w:val="auto"/>
              </w:rPr>
              <w:t>10.9</w:t>
            </w:r>
          </w:p>
        </w:tc>
        <w:tc>
          <w:tcPr>
            <w:tcW w:w="12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0140" w:type="dxa"/>
            <w:vAlign w:val="bottom"/>
            <w:tcBorders>
              <w:right w:val="single" w:sz="8" w:color="auto"/>
            </w:tcBorders>
            <w:gridSpan w:val="41"/>
          </w:tcPr>
          <w:p>
            <w:pPr>
              <w:spacing w:after="0" w:line="183" w:lineRule="exact"/>
              <w:rPr>
                <w:rFonts w:ascii="Arial" w:cs="Arial" w:eastAsia="Arial" w:hAnsi="Arial"/>
                <w:sz w:val="16"/>
                <w:szCs w:val="16"/>
                <w:color w:val="0000FF"/>
              </w:rPr>
            </w:pPr>
            <w:hyperlink r:id="rId170">
              <w:r>
                <w:rPr>
                  <w:rFonts w:ascii="Arial" w:cs="Arial" w:eastAsia="Arial" w:hAnsi="Arial"/>
                  <w:sz w:val="16"/>
                  <w:szCs w:val="16"/>
                  <w:color w:val="0000FF"/>
                </w:rPr>
                <w:t>1997 Stock Incentive Plan (Incorporated by reference to Appendix E to the Joint Proxy Statement/ Prospectus included as part of the</w:t>
              </w:r>
            </w:hyperlink>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9540" w:type="dxa"/>
            <w:vAlign w:val="bottom"/>
            <w:tcBorders>
              <w:top w:val="single" w:sz="8" w:color="0000FF"/>
            </w:tcBorders>
            <w:gridSpan w:val="22"/>
          </w:tcPr>
          <w:p>
            <w:pPr>
              <w:spacing w:after="0" w:line="169" w:lineRule="exact"/>
              <w:rPr>
                <w:rFonts w:ascii="Arial" w:cs="Arial" w:eastAsia="Arial" w:hAnsi="Arial"/>
                <w:sz w:val="16"/>
                <w:szCs w:val="16"/>
                <w:color w:val="0000FF"/>
              </w:rPr>
            </w:pPr>
            <w:hyperlink r:id="rId170">
              <w:r>
                <w:rPr>
                  <w:rFonts w:ascii="Arial" w:cs="Arial" w:eastAsia="Arial" w:hAnsi="Arial"/>
                  <w:sz w:val="16"/>
                  <w:szCs w:val="16"/>
                  <w:color w:val="0000FF"/>
                </w:rPr>
                <w:t>Company’s Registration Statement on Form S-4, Registration No. 333-34517, dated August 28, 1997).†</w:t>
              </w:r>
            </w:hyperlink>
          </w:p>
        </w:tc>
        <w:tc>
          <w:tcPr>
            <w:tcW w:w="600" w:type="dxa"/>
            <w:vAlign w:val="bottom"/>
            <w:tcBorders>
              <w:right w:val="single" w:sz="8" w:color="auto"/>
            </w:tcBorders>
            <w:gridSpan w:val="19"/>
          </w:tcPr>
          <w:p>
            <w:pPr>
              <w:spacing w:after="0"/>
              <w:rPr>
                <w:sz w:val="14"/>
                <w:szCs w:val="14"/>
                <w:color w:val="auto"/>
              </w:rPr>
            </w:pPr>
          </w:p>
        </w:tc>
      </w:tr>
      <w:tr>
        <w:trPr>
          <w:trHeight w:val="34"/>
        </w:trPr>
        <w:tc>
          <w:tcPr>
            <w:tcW w:w="1160" w:type="dxa"/>
            <w:vAlign w:val="bottom"/>
            <w:tcBorders>
              <w:left w:val="single" w:sz="8" w:color="auto"/>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60" w:type="dxa"/>
            <w:vAlign w:val="bottom"/>
            <w:tcBorders>
              <w:top w:val="single" w:sz="8" w:color="0000FF"/>
              <w:bottom w:val="single" w:sz="8" w:color="auto"/>
            </w:tcBorders>
          </w:tcPr>
          <w:p>
            <w:pPr>
              <w:spacing w:after="0"/>
              <w:rPr>
                <w:sz w:val="2"/>
                <w:szCs w:val="2"/>
                <w:color w:val="auto"/>
              </w:rPr>
            </w:pPr>
          </w:p>
        </w:tc>
        <w:tc>
          <w:tcPr>
            <w:tcW w:w="260" w:type="dxa"/>
            <w:vAlign w:val="bottom"/>
            <w:tcBorders>
              <w:top w:val="single" w:sz="8" w:color="0000FF"/>
              <w:bottom w:val="single" w:sz="8" w:color="auto"/>
            </w:tcBorders>
          </w:tcPr>
          <w:p>
            <w:pPr>
              <w:spacing w:after="0"/>
              <w:rPr>
                <w:sz w:val="2"/>
                <w:szCs w:val="2"/>
                <w:color w:val="auto"/>
              </w:rPr>
            </w:pPr>
          </w:p>
        </w:tc>
        <w:tc>
          <w:tcPr>
            <w:tcW w:w="900" w:type="dxa"/>
            <w:vAlign w:val="bottom"/>
            <w:tcBorders>
              <w:top w:val="single" w:sz="8" w:color="0000FF"/>
              <w:bottom w:val="single" w:sz="8" w:color="auto"/>
            </w:tcBorders>
          </w:tcPr>
          <w:p>
            <w:pPr>
              <w:spacing w:after="0"/>
              <w:rPr>
                <w:sz w:val="2"/>
                <w:szCs w:val="2"/>
                <w:color w:val="auto"/>
              </w:rPr>
            </w:pPr>
          </w:p>
        </w:tc>
        <w:tc>
          <w:tcPr>
            <w:tcW w:w="320" w:type="dxa"/>
            <w:vAlign w:val="bottom"/>
            <w:tcBorders>
              <w:top w:val="single" w:sz="8" w:color="0000FF"/>
              <w:bottom w:val="single" w:sz="8" w:color="auto"/>
            </w:tcBorders>
          </w:tcPr>
          <w:p>
            <w:pPr>
              <w:spacing w:after="0"/>
              <w:rPr>
                <w:sz w:val="2"/>
                <w:szCs w:val="2"/>
                <w:color w:val="auto"/>
              </w:rPr>
            </w:pPr>
          </w:p>
        </w:tc>
        <w:tc>
          <w:tcPr>
            <w:tcW w:w="360" w:type="dxa"/>
            <w:vAlign w:val="bottom"/>
            <w:tcBorders>
              <w:top w:val="single" w:sz="8" w:color="0000FF"/>
              <w:bottom w:val="single" w:sz="8" w:color="auto"/>
            </w:tcBorders>
          </w:tcPr>
          <w:p>
            <w:pPr>
              <w:spacing w:after="0"/>
              <w:rPr>
                <w:sz w:val="2"/>
                <w:szCs w:val="2"/>
                <w:color w:val="auto"/>
              </w:rPr>
            </w:pPr>
          </w:p>
        </w:tc>
        <w:tc>
          <w:tcPr>
            <w:tcW w:w="1880" w:type="dxa"/>
            <w:vAlign w:val="bottom"/>
            <w:tcBorders>
              <w:top w:val="single" w:sz="8" w:color="0000FF"/>
              <w:bottom w:val="single" w:sz="8" w:color="auto"/>
            </w:tcBorders>
          </w:tcPr>
          <w:p>
            <w:pPr>
              <w:spacing w:after="0"/>
              <w:rPr>
                <w:sz w:val="2"/>
                <w:szCs w:val="2"/>
                <w:color w:val="auto"/>
              </w:rPr>
            </w:pPr>
          </w:p>
        </w:tc>
        <w:tc>
          <w:tcPr>
            <w:tcW w:w="320" w:type="dxa"/>
            <w:vAlign w:val="bottom"/>
            <w:tcBorders>
              <w:top w:val="single" w:sz="8" w:color="0000FF"/>
              <w:bottom w:val="single" w:sz="8" w:color="auto"/>
            </w:tcBorders>
          </w:tcPr>
          <w:p>
            <w:pPr>
              <w:spacing w:after="0"/>
              <w:rPr>
                <w:sz w:val="2"/>
                <w:szCs w:val="2"/>
                <w:color w:val="auto"/>
              </w:rPr>
            </w:pPr>
          </w:p>
        </w:tc>
        <w:tc>
          <w:tcPr>
            <w:tcW w:w="340" w:type="dxa"/>
            <w:vAlign w:val="bottom"/>
            <w:tcBorders>
              <w:top w:val="single" w:sz="8" w:color="0000FF"/>
              <w:bottom w:val="single" w:sz="8" w:color="auto"/>
            </w:tcBorders>
          </w:tcPr>
          <w:p>
            <w:pPr>
              <w:spacing w:after="0"/>
              <w:rPr>
                <w:sz w:val="2"/>
                <w:szCs w:val="2"/>
                <w:color w:val="auto"/>
              </w:rPr>
            </w:pPr>
          </w:p>
        </w:tc>
        <w:tc>
          <w:tcPr>
            <w:tcW w:w="100" w:type="dxa"/>
            <w:vAlign w:val="bottom"/>
            <w:tcBorders>
              <w:top w:val="single" w:sz="8" w:color="0000FF"/>
              <w:bottom w:val="single" w:sz="8" w:color="auto"/>
            </w:tcBorders>
          </w:tcPr>
          <w:p>
            <w:pPr>
              <w:spacing w:after="0"/>
              <w:rPr>
                <w:sz w:val="2"/>
                <w:szCs w:val="2"/>
                <w:color w:val="auto"/>
              </w:rPr>
            </w:pPr>
          </w:p>
        </w:tc>
        <w:tc>
          <w:tcPr>
            <w:tcW w:w="180" w:type="dxa"/>
            <w:vAlign w:val="bottom"/>
            <w:tcBorders>
              <w:top w:val="single" w:sz="8" w:color="0000FF"/>
              <w:bottom w:val="single" w:sz="8" w:color="auto"/>
            </w:tcBorders>
          </w:tcPr>
          <w:p>
            <w:pPr>
              <w:spacing w:after="0"/>
              <w:rPr>
                <w:sz w:val="2"/>
                <w:szCs w:val="2"/>
                <w:color w:val="auto"/>
              </w:rPr>
            </w:pPr>
          </w:p>
        </w:tc>
        <w:tc>
          <w:tcPr>
            <w:tcW w:w="20" w:type="dxa"/>
            <w:vAlign w:val="bottom"/>
            <w:tcBorders>
              <w:top w:val="single" w:sz="8" w:color="0000FF"/>
              <w:bottom w:val="single" w:sz="8" w:color="auto"/>
            </w:tcBorders>
          </w:tcPr>
          <w:p>
            <w:pPr>
              <w:spacing w:after="0"/>
              <w:rPr>
                <w:sz w:val="2"/>
                <w:szCs w:val="2"/>
                <w:color w:val="auto"/>
              </w:rPr>
            </w:pPr>
          </w:p>
        </w:tc>
        <w:tc>
          <w:tcPr>
            <w:tcW w:w="120" w:type="dxa"/>
            <w:vAlign w:val="bottom"/>
            <w:tcBorders>
              <w:top w:val="single" w:sz="8" w:color="0000FF"/>
              <w:bottom w:val="single" w:sz="8" w:color="auto"/>
            </w:tcBorders>
          </w:tcPr>
          <w:p>
            <w:pPr>
              <w:spacing w:after="0"/>
              <w:rPr>
                <w:sz w:val="2"/>
                <w:szCs w:val="2"/>
                <w:color w:val="auto"/>
              </w:rPr>
            </w:pPr>
          </w:p>
        </w:tc>
        <w:tc>
          <w:tcPr>
            <w:tcW w:w="520" w:type="dxa"/>
            <w:vAlign w:val="bottom"/>
            <w:tcBorders>
              <w:top w:val="single" w:sz="8" w:color="0000FF"/>
              <w:bottom w:val="single" w:sz="8" w:color="auto"/>
            </w:tcBorders>
          </w:tcPr>
          <w:p>
            <w:pPr>
              <w:spacing w:after="0"/>
              <w:rPr>
                <w:sz w:val="2"/>
                <w:szCs w:val="2"/>
                <w:color w:val="auto"/>
              </w:rPr>
            </w:pPr>
          </w:p>
        </w:tc>
        <w:tc>
          <w:tcPr>
            <w:tcW w:w="280" w:type="dxa"/>
            <w:vAlign w:val="bottom"/>
            <w:tcBorders>
              <w:top w:val="single" w:sz="8" w:color="0000FF"/>
              <w:bottom w:val="single" w:sz="8" w:color="auto"/>
            </w:tcBorders>
          </w:tcPr>
          <w:p>
            <w:pPr>
              <w:spacing w:after="0"/>
              <w:rPr>
                <w:sz w:val="2"/>
                <w:szCs w:val="2"/>
                <w:color w:val="auto"/>
              </w:rPr>
            </w:pPr>
          </w:p>
        </w:tc>
        <w:tc>
          <w:tcPr>
            <w:tcW w:w="240" w:type="dxa"/>
            <w:vAlign w:val="bottom"/>
            <w:tcBorders>
              <w:top w:val="single" w:sz="8" w:color="0000FF"/>
              <w:bottom w:val="single" w:sz="8" w:color="auto"/>
            </w:tcBorders>
          </w:tcPr>
          <w:p>
            <w:pPr>
              <w:spacing w:after="0"/>
              <w:rPr>
                <w:sz w:val="2"/>
                <w:szCs w:val="2"/>
                <w:color w:val="auto"/>
              </w:rPr>
            </w:pPr>
          </w:p>
        </w:tc>
        <w:tc>
          <w:tcPr>
            <w:tcW w:w="160" w:type="dxa"/>
            <w:vAlign w:val="bottom"/>
            <w:tcBorders>
              <w:top w:val="single" w:sz="8" w:color="0000FF"/>
              <w:bottom w:val="single" w:sz="8" w:color="auto"/>
            </w:tcBorders>
          </w:tcPr>
          <w:p>
            <w:pPr>
              <w:spacing w:after="0"/>
              <w:rPr>
                <w:sz w:val="2"/>
                <w:szCs w:val="2"/>
                <w:color w:val="auto"/>
              </w:rPr>
            </w:pPr>
          </w:p>
        </w:tc>
        <w:tc>
          <w:tcPr>
            <w:tcW w:w="60" w:type="dxa"/>
            <w:vAlign w:val="bottom"/>
            <w:tcBorders>
              <w:top w:val="single" w:sz="8" w:color="0000FF"/>
              <w:bottom w:val="single" w:sz="8" w:color="auto"/>
            </w:tcBorders>
          </w:tcPr>
          <w:p>
            <w:pPr>
              <w:spacing w:after="0"/>
              <w:rPr>
                <w:sz w:val="2"/>
                <w:szCs w:val="2"/>
                <w:color w:val="auto"/>
              </w:rPr>
            </w:pPr>
          </w:p>
        </w:tc>
        <w:tc>
          <w:tcPr>
            <w:tcW w:w="820" w:type="dxa"/>
            <w:vAlign w:val="bottom"/>
            <w:tcBorders>
              <w:top w:val="single" w:sz="8" w:color="0000FF"/>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right w:val="single" w:sz="8" w:color="auto"/>
            </w:tcBorders>
          </w:tcPr>
          <w:p>
            <w:pPr>
              <w:spacing w:after="0"/>
              <w:rPr>
                <w:sz w:val="2"/>
                <w:szCs w:val="2"/>
                <w:color w:val="auto"/>
              </w:rPr>
            </w:pPr>
          </w:p>
        </w:tc>
      </w:tr>
      <w:tr>
        <w:trPr>
          <w:trHeight w:val="183"/>
        </w:trPr>
        <w:tc>
          <w:tcPr>
            <w:tcW w:w="1160" w:type="dxa"/>
            <w:vAlign w:val="bottom"/>
            <w:tcBorders>
              <w:left w:val="single" w:sz="8" w:color="auto"/>
              <w:right w:val="single" w:sz="8" w:color="auto"/>
            </w:tcBorders>
          </w:tcPr>
          <w:p>
            <w:pPr>
              <w:ind w:left="40"/>
              <w:spacing w:after="0" w:line="183" w:lineRule="exact"/>
              <w:rPr>
                <w:sz w:val="20"/>
                <w:szCs w:val="20"/>
                <w:color w:val="auto"/>
              </w:rPr>
            </w:pPr>
            <w:r>
              <w:rPr>
                <w:rFonts w:ascii="Arial" w:cs="Arial" w:eastAsia="Arial" w:hAnsi="Arial"/>
                <w:sz w:val="16"/>
                <w:szCs w:val="16"/>
                <w:color w:val="auto"/>
              </w:rPr>
              <w:t>10.9(a)</w:t>
            </w:r>
          </w:p>
        </w:tc>
        <w:tc>
          <w:tcPr>
            <w:tcW w:w="12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9780" w:type="dxa"/>
            <w:vAlign w:val="bottom"/>
            <w:tcBorders>
              <w:bottom w:val="single" w:sz="8" w:color="0000FF"/>
            </w:tcBorders>
            <w:gridSpan w:val="28"/>
          </w:tcPr>
          <w:p>
            <w:pPr>
              <w:spacing w:after="0" w:line="183" w:lineRule="exact"/>
              <w:rPr>
                <w:rFonts w:ascii="Arial" w:cs="Arial" w:eastAsia="Arial" w:hAnsi="Arial"/>
                <w:sz w:val="16"/>
                <w:szCs w:val="16"/>
                <w:color w:val="0000FF"/>
              </w:rPr>
            </w:pPr>
            <w:hyperlink r:id="rId171">
              <w:r>
                <w:rPr>
                  <w:rFonts w:ascii="Arial" w:cs="Arial" w:eastAsia="Arial" w:hAnsi="Arial"/>
                  <w:sz w:val="16"/>
                  <w:szCs w:val="16"/>
                  <w:color w:val="0000FF"/>
                </w:rPr>
                <w:t>Amendment to 1997 Stock Incentive Plan dated March 27, 2000 (Incorporated by reference to Exhibit 10.12(b) to the Company’s Annual</w:t>
              </w:r>
            </w:hyperlink>
          </w:p>
        </w:tc>
        <w:tc>
          <w:tcPr>
            <w:tcW w:w="360" w:type="dxa"/>
            <w:vAlign w:val="bottom"/>
            <w:tcBorders>
              <w:right w:val="single" w:sz="8" w:color="auto"/>
            </w:tcBorders>
            <w:gridSpan w:val="13"/>
          </w:tcPr>
          <w:p>
            <w:pPr>
              <w:spacing w:after="0"/>
              <w:rPr>
                <w:sz w:val="15"/>
                <w:szCs w:val="15"/>
                <w:color w:val="auto"/>
              </w:rPr>
            </w:pPr>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140" w:type="dxa"/>
            <w:vAlign w:val="bottom"/>
            <w:tcBorders>
              <w:right w:val="single" w:sz="8" w:color="auto"/>
            </w:tcBorders>
            <w:gridSpan w:val="41"/>
          </w:tcPr>
          <w:p>
            <w:pPr>
              <w:spacing w:after="0" w:line="169" w:lineRule="exact"/>
              <w:rPr>
                <w:rFonts w:ascii="Arial" w:cs="Arial" w:eastAsia="Arial" w:hAnsi="Arial"/>
                <w:sz w:val="16"/>
                <w:szCs w:val="16"/>
                <w:color w:val="0000FF"/>
              </w:rPr>
            </w:pPr>
            <w:hyperlink r:id="rId171">
              <w:r>
                <w:rPr>
                  <w:rFonts w:ascii="Arial" w:cs="Arial" w:eastAsia="Arial" w:hAnsi="Arial"/>
                  <w:sz w:val="16"/>
                  <w:szCs w:val="16"/>
                  <w:color w:val="0000FF"/>
                </w:rPr>
                <w:t>Report on Form 10-K for the year ended December 31, 2000 dated March 29, 2001).†</w:t>
              </w:r>
            </w:hyperlink>
          </w:p>
        </w:tc>
      </w:tr>
      <w:tr>
        <w:trPr>
          <w:trHeight w:val="34"/>
        </w:trPr>
        <w:tc>
          <w:tcPr>
            <w:tcW w:w="1160" w:type="dxa"/>
            <w:vAlign w:val="bottom"/>
            <w:tcBorders>
              <w:left w:val="single" w:sz="8" w:color="auto"/>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60" w:type="dxa"/>
            <w:vAlign w:val="bottom"/>
            <w:tcBorders>
              <w:top w:val="single" w:sz="8" w:color="0000FF"/>
              <w:bottom w:val="single" w:sz="8" w:color="auto"/>
            </w:tcBorders>
          </w:tcPr>
          <w:p>
            <w:pPr>
              <w:spacing w:after="0"/>
              <w:rPr>
                <w:sz w:val="2"/>
                <w:szCs w:val="2"/>
                <w:color w:val="auto"/>
              </w:rPr>
            </w:pPr>
          </w:p>
        </w:tc>
        <w:tc>
          <w:tcPr>
            <w:tcW w:w="260" w:type="dxa"/>
            <w:vAlign w:val="bottom"/>
            <w:tcBorders>
              <w:top w:val="single" w:sz="8" w:color="0000FF"/>
              <w:bottom w:val="single" w:sz="8" w:color="auto"/>
            </w:tcBorders>
          </w:tcPr>
          <w:p>
            <w:pPr>
              <w:spacing w:after="0"/>
              <w:rPr>
                <w:sz w:val="2"/>
                <w:szCs w:val="2"/>
                <w:color w:val="auto"/>
              </w:rPr>
            </w:pPr>
          </w:p>
        </w:tc>
        <w:tc>
          <w:tcPr>
            <w:tcW w:w="900" w:type="dxa"/>
            <w:vAlign w:val="bottom"/>
            <w:tcBorders>
              <w:top w:val="single" w:sz="8" w:color="0000FF"/>
              <w:bottom w:val="single" w:sz="8" w:color="auto"/>
            </w:tcBorders>
          </w:tcPr>
          <w:p>
            <w:pPr>
              <w:spacing w:after="0"/>
              <w:rPr>
                <w:sz w:val="2"/>
                <w:szCs w:val="2"/>
                <w:color w:val="auto"/>
              </w:rPr>
            </w:pPr>
          </w:p>
        </w:tc>
        <w:tc>
          <w:tcPr>
            <w:tcW w:w="320" w:type="dxa"/>
            <w:vAlign w:val="bottom"/>
            <w:tcBorders>
              <w:top w:val="single" w:sz="8" w:color="0000FF"/>
              <w:bottom w:val="single" w:sz="8" w:color="auto"/>
            </w:tcBorders>
          </w:tcPr>
          <w:p>
            <w:pPr>
              <w:spacing w:after="0"/>
              <w:rPr>
                <w:sz w:val="2"/>
                <w:szCs w:val="2"/>
                <w:color w:val="auto"/>
              </w:rPr>
            </w:pPr>
          </w:p>
        </w:tc>
        <w:tc>
          <w:tcPr>
            <w:tcW w:w="360" w:type="dxa"/>
            <w:vAlign w:val="bottom"/>
            <w:tcBorders>
              <w:top w:val="single" w:sz="8" w:color="0000FF"/>
              <w:bottom w:val="single" w:sz="8" w:color="auto"/>
            </w:tcBorders>
          </w:tcPr>
          <w:p>
            <w:pPr>
              <w:spacing w:after="0"/>
              <w:rPr>
                <w:sz w:val="2"/>
                <w:szCs w:val="2"/>
                <w:color w:val="auto"/>
              </w:rPr>
            </w:pPr>
          </w:p>
        </w:tc>
        <w:tc>
          <w:tcPr>
            <w:tcW w:w="1880" w:type="dxa"/>
            <w:vAlign w:val="bottom"/>
            <w:tcBorders>
              <w:top w:val="single" w:sz="8" w:color="0000FF"/>
              <w:bottom w:val="single" w:sz="8" w:color="auto"/>
            </w:tcBorders>
          </w:tcPr>
          <w:p>
            <w:pPr>
              <w:spacing w:after="0"/>
              <w:rPr>
                <w:sz w:val="2"/>
                <w:szCs w:val="2"/>
                <w:color w:val="auto"/>
              </w:rPr>
            </w:pPr>
          </w:p>
        </w:tc>
        <w:tc>
          <w:tcPr>
            <w:tcW w:w="320" w:type="dxa"/>
            <w:vAlign w:val="bottom"/>
            <w:tcBorders>
              <w:top w:val="single" w:sz="8" w:color="0000FF"/>
              <w:bottom w:val="single" w:sz="8" w:color="auto"/>
            </w:tcBorders>
          </w:tcPr>
          <w:p>
            <w:pPr>
              <w:spacing w:after="0"/>
              <w:rPr>
                <w:sz w:val="2"/>
                <w:szCs w:val="2"/>
                <w:color w:val="auto"/>
              </w:rPr>
            </w:pPr>
          </w:p>
        </w:tc>
        <w:tc>
          <w:tcPr>
            <w:tcW w:w="340" w:type="dxa"/>
            <w:vAlign w:val="bottom"/>
            <w:tcBorders>
              <w:top w:val="single" w:sz="8" w:color="0000FF"/>
              <w:bottom w:val="single" w:sz="8" w:color="auto"/>
            </w:tcBorders>
          </w:tcPr>
          <w:p>
            <w:pPr>
              <w:spacing w:after="0"/>
              <w:rPr>
                <w:sz w:val="2"/>
                <w:szCs w:val="2"/>
                <w:color w:val="auto"/>
              </w:rPr>
            </w:pPr>
          </w:p>
        </w:tc>
        <w:tc>
          <w:tcPr>
            <w:tcW w:w="100" w:type="dxa"/>
            <w:vAlign w:val="bottom"/>
            <w:tcBorders>
              <w:top w:val="single" w:sz="8" w:color="0000FF"/>
              <w:bottom w:val="single" w:sz="8" w:color="auto"/>
            </w:tcBorders>
          </w:tcPr>
          <w:p>
            <w:pPr>
              <w:spacing w:after="0"/>
              <w:rPr>
                <w:sz w:val="2"/>
                <w:szCs w:val="2"/>
                <w:color w:val="auto"/>
              </w:rPr>
            </w:pPr>
          </w:p>
        </w:tc>
        <w:tc>
          <w:tcPr>
            <w:tcW w:w="180" w:type="dxa"/>
            <w:vAlign w:val="bottom"/>
            <w:tcBorders>
              <w:top w:val="single" w:sz="8" w:color="0000FF"/>
              <w:bottom w:val="single" w:sz="8" w:color="auto"/>
            </w:tcBorders>
          </w:tcPr>
          <w:p>
            <w:pPr>
              <w:spacing w:after="0"/>
              <w:rPr>
                <w:sz w:val="2"/>
                <w:szCs w:val="2"/>
                <w:color w:val="auto"/>
              </w:rPr>
            </w:pPr>
          </w:p>
        </w:tc>
        <w:tc>
          <w:tcPr>
            <w:tcW w:w="20" w:type="dxa"/>
            <w:vAlign w:val="bottom"/>
            <w:tcBorders>
              <w:top w:val="single" w:sz="8" w:color="0000FF"/>
              <w:bottom w:val="single" w:sz="8" w:color="auto"/>
            </w:tcBorders>
          </w:tcPr>
          <w:p>
            <w:pPr>
              <w:spacing w:after="0"/>
              <w:rPr>
                <w:sz w:val="2"/>
                <w:szCs w:val="2"/>
                <w:color w:val="auto"/>
              </w:rPr>
            </w:pPr>
          </w:p>
        </w:tc>
        <w:tc>
          <w:tcPr>
            <w:tcW w:w="120" w:type="dxa"/>
            <w:vAlign w:val="bottom"/>
            <w:tcBorders>
              <w:top w:val="single" w:sz="8" w:color="0000FF"/>
              <w:bottom w:val="single" w:sz="8" w:color="auto"/>
            </w:tcBorders>
          </w:tcPr>
          <w:p>
            <w:pPr>
              <w:spacing w:after="0"/>
              <w:rPr>
                <w:sz w:val="2"/>
                <w:szCs w:val="2"/>
                <w:color w:val="auto"/>
              </w:rPr>
            </w:pPr>
          </w:p>
        </w:tc>
        <w:tc>
          <w:tcPr>
            <w:tcW w:w="520" w:type="dxa"/>
            <w:vAlign w:val="bottom"/>
            <w:tcBorders>
              <w:top w:val="single" w:sz="8" w:color="0000FF"/>
              <w:bottom w:val="single" w:sz="8" w:color="auto"/>
            </w:tcBorders>
          </w:tcPr>
          <w:p>
            <w:pPr>
              <w:spacing w:after="0"/>
              <w:rPr>
                <w:sz w:val="2"/>
                <w:szCs w:val="2"/>
                <w:color w:val="auto"/>
              </w:rPr>
            </w:pPr>
          </w:p>
        </w:tc>
        <w:tc>
          <w:tcPr>
            <w:tcW w:w="280" w:type="dxa"/>
            <w:vAlign w:val="bottom"/>
            <w:tcBorders>
              <w:top w:val="single" w:sz="8" w:color="0000FF"/>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right w:val="single" w:sz="8" w:color="auto"/>
            </w:tcBorders>
          </w:tcPr>
          <w:p>
            <w:pPr>
              <w:spacing w:after="0"/>
              <w:rPr>
                <w:sz w:val="2"/>
                <w:szCs w:val="2"/>
                <w:color w:val="auto"/>
              </w:rPr>
            </w:pPr>
          </w:p>
        </w:tc>
      </w:tr>
      <w:tr>
        <w:trPr>
          <w:trHeight w:val="183"/>
        </w:trPr>
        <w:tc>
          <w:tcPr>
            <w:tcW w:w="1160" w:type="dxa"/>
            <w:vAlign w:val="bottom"/>
            <w:tcBorders>
              <w:left w:val="single" w:sz="8" w:color="auto"/>
              <w:right w:val="single" w:sz="8" w:color="auto"/>
            </w:tcBorders>
          </w:tcPr>
          <w:p>
            <w:pPr>
              <w:ind w:left="40"/>
              <w:spacing w:after="0" w:line="183" w:lineRule="exact"/>
              <w:rPr>
                <w:sz w:val="20"/>
                <w:szCs w:val="20"/>
                <w:color w:val="auto"/>
              </w:rPr>
            </w:pPr>
            <w:r>
              <w:rPr>
                <w:rFonts w:ascii="Arial" w:cs="Arial" w:eastAsia="Arial" w:hAnsi="Arial"/>
                <w:sz w:val="16"/>
                <w:szCs w:val="16"/>
                <w:color w:val="auto"/>
              </w:rPr>
              <w:t>10.9(b)</w:t>
            </w:r>
          </w:p>
        </w:tc>
        <w:tc>
          <w:tcPr>
            <w:tcW w:w="12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9760" w:type="dxa"/>
            <w:vAlign w:val="bottom"/>
            <w:tcBorders>
              <w:bottom w:val="single" w:sz="8" w:color="0000FF"/>
            </w:tcBorders>
            <w:gridSpan w:val="27"/>
          </w:tcPr>
          <w:p>
            <w:pPr>
              <w:spacing w:after="0" w:line="183" w:lineRule="exact"/>
              <w:rPr>
                <w:rFonts w:ascii="Arial" w:cs="Arial" w:eastAsia="Arial" w:hAnsi="Arial"/>
                <w:sz w:val="16"/>
                <w:szCs w:val="16"/>
                <w:color w:val="0000FF"/>
              </w:rPr>
            </w:pPr>
            <w:hyperlink r:id="rId172">
              <w:r>
                <w:rPr>
                  <w:rFonts w:ascii="Arial" w:cs="Arial" w:eastAsia="Arial" w:hAnsi="Arial"/>
                  <w:sz w:val="16"/>
                  <w:szCs w:val="16"/>
                  <w:color w:val="0000FF"/>
                </w:rPr>
                <w:t>Amendment to 1997 Stock Incentive Plan dated March 28, 2000 (Incorporated by reference to Exhibit 10.12(c) to the Company’s Annual</w:t>
              </w:r>
            </w:hyperlink>
          </w:p>
        </w:tc>
        <w:tc>
          <w:tcPr>
            <w:tcW w:w="380" w:type="dxa"/>
            <w:vAlign w:val="bottom"/>
            <w:tcBorders>
              <w:right w:val="single" w:sz="8" w:color="auto"/>
            </w:tcBorders>
            <w:gridSpan w:val="14"/>
          </w:tcPr>
          <w:p>
            <w:pPr>
              <w:spacing w:after="0"/>
              <w:rPr>
                <w:sz w:val="15"/>
                <w:szCs w:val="15"/>
                <w:color w:val="auto"/>
              </w:rPr>
            </w:pPr>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140" w:type="dxa"/>
            <w:vAlign w:val="bottom"/>
            <w:tcBorders>
              <w:right w:val="single" w:sz="8" w:color="auto"/>
            </w:tcBorders>
            <w:gridSpan w:val="41"/>
          </w:tcPr>
          <w:p>
            <w:pPr>
              <w:spacing w:after="0" w:line="169" w:lineRule="exact"/>
              <w:rPr>
                <w:rFonts w:ascii="Arial" w:cs="Arial" w:eastAsia="Arial" w:hAnsi="Arial"/>
                <w:sz w:val="16"/>
                <w:szCs w:val="16"/>
                <w:color w:val="0000FF"/>
              </w:rPr>
            </w:pPr>
            <w:hyperlink r:id="rId172">
              <w:r>
                <w:rPr>
                  <w:rFonts w:ascii="Arial" w:cs="Arial" w:eastAsia="Arial" w:hAnsi="Arial"/>
                  <w:sz w:val="16"/>
                  <w:szCs w:val="16"/>
                  <w:color w:val="0000FF"/>
                </w:rPr>
                <w:t>Report on Form 10-K for the year ended December 31, 2000 dated March 29, 2001).†</w:t>
              </w:r>
            </w:hyperlink>
          </w:p>
        </w:tc>
      </w:tr>
      <w:tr>
        <w:trPr>
          <w:trHeight w:val="34"/>
        </w:trPr>
        <w:tc>
          <w:tcPr>
            <w:tcW w:w="1160" w:type="dxa"/>
            <w:vAlign w:val="bottom"/>
            <w:tcBorders>
              <w:left w:val="single" w:sz="8" w:color="auto"/>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60" w:type="dxa"/>
            <w:vAlign w:val="bottom"/>
            <w:tcBorders>
              <w:top w:val="single" w:sz="8" w:color="0000FF"/>
              <w:bottom w:val="single" w:sz="8" w:color="auto"/>
            </w:tcBorders>
          </w:tcPr>
          <w:p>
            <w:pPr>
              <w:spacing w:after="0"/>
              <w:rPr>
                <w:sz w:val="2"/>
                <w:szCs w:val="2"/>
                <w:color w:val="auto"/>
              </w:rPr>
            </w:pPr>
          </w:p>
        </w:tc>
        <w:tc>
          <w:tcPr>
            <w:tcW w:w="260" w:type="dxa"/>
            <w:vAlign w:val="bottom"/>
            <w:tcBorders>
              <w:top w:val="single" w:sz="8" w:color="0000FF"/>
              <w:bottom w:val="single" w:sz="8" w:color="auto"/>
            </w:tcBorders>
          </w:tcPr>
          <w:p>
            <w:pPr>
              <w:spacing w:after="0"/>
              <w:rPr>
                <w:sz w:val="2"/>
                <w:szCs w:val="2"/>
                <w:color w:val="auto"/>
              </w:rPr>
            </w:pPr>
          </w:p>
        </w:tc>
        <w:tc>
          <w:tcPr>
            <w:tcW w:w="900" w:type="dxa"/>
            <w:vAlign w:val="bottom"/>
            <w:tcBorders>
              <w:top w:val="single" w:sz="8" w:color="0000FF"/>
              <w:bottom w:val="single" w:sz="8" w:color="auto"/>
            </w:tcBorders>
          </w:tcPr>
          <w:p>
            <w:pPr>
              <w:spacing w:after="0"/>
              <w:rPr>
                <w:sz w:val="2"/>
                <w:szCs w:val="2"/>
                <w:color w:val="auto"/>
              </w:rPr>
            </w:pPr>
          </w:p>
        </w:tc>
        <w:tc>
          <w:tcPr>
            <w:tcW w:w="320" w:type="dxa"/>
            <w:vAlign w:val="bottom"/>
            <w:tcBorders>
              <w:top w:val="single" w:sz="8" w:color="0000FF"/>
              <w:bottom w:val="single" w:sz="8" w:color="auto"/>
            </w:tcBorders>
          </w:tcPr>
          <w:p>
            <w:pPr>
              <w:spacing w:after="0"/>
              <w:rPr>
                <w:sz w:val="2"/>
                <w:szCs w:val="2"/>
                <w:color w:val="auto"/>
              </w:rPr>
            </w:pPr>
          </w:p>
        </w:tc>
        <w:tc>
          <w:tcPr>
            <w:tcW w:w="360" w:type="dxa"/>
            <w:vAlign w:val="bottom"/>
            <w:tcBorders>
              <w:top w:val="single" w:sz="8" w:color="0000FF"/>
              <w:bottom w:val="single" w:sz="8" w:color="auto"/>
            </w:tcBorders>
          </w:tcPr>
          <w:p>
            <w:pPr>
              <w:spacing w:after="0"/>
              <w:rPr>
                <w:sz w:val="2"/>
                <w:szCs w:val="2"/>
                <w:color w:val="auto"/>
              </w:rPr>
            </w:pPr>
          </w:p>
        </w:tc>
        <w:tc>
          <w:tcPr>
            <w:tcW w:w="1880" w:type="dxa"/>
            <w:vAlign w:val="bottom"/>
            <w:tcBorders>
              <w:top w:val="single" w:sz="8" w:color="0000FF"/>
              <w:bottom w:val="single" w:sz="8" w:color="auto"/>
            </w:tcBorders>
          </w:tcPr>
          <w:p>
            <w:pPr>
              <w:spacing w:after="0"/>
              <w:rPr>
                <w:sz w:val="2"/>
                <w:szCs w:val="2"/>
                <w:color w:val="auto"/>
              </w:rPr>
            </w:pPr>
          </w:p>
        </w:tc>
        <w:tc>
          <w:tcPr>
            <w:tcW w:w="320" w:type="dxa"/>
            <w:vAlign w:val="bottom"/>
            <w:tcBorders>
              <w:top w:val="single" w:sz="8" w:color="0000FF"/>
              <w:bottom w:val="single" w:sz="8" w:color="auto"/>
            </w:tcBorders>
          </w:tcPr>
          <w:p>
            <w:pPr>
              <w:spacing w:after="0"/>
              <w:rPr>
                <w:sz w:val="2"/>
                <w:szCs w:val="2"/>
                <w:color w:val="auto"/>
              </w:rPr>
            </w:pPr>
          </w:p>
        </w:tc>
        <w:tc>
          <w:tcPr>
            <w:tcW w:w="340" w:type="dxa"/>
            <w:vAlign w:val="bottom"/>
            <w:tcBorders>
              <w:top w:val="single" w:sz="8" w:color="0000FF"/>
              <w:bottom w:val="single" w:sz="8" w:color="auto"/>
            </w:tcBorders>
          </w:tcPr>
          <w:p>
            <w:pPr>
              <w:spacing w:after="0"/>
              <w:rPr>
                <w:sz w:val="2"/>
                <w:szCs w:val="2"/>
                <w:color w:val="auto"/>
              </w:rPr>
            </w:pPr>
          </w:p>
        </w:tc>
        <w:tc>
          <w:tcPr>
            <w:tcW w:w="100" w:type="dxa"/>
            <w:vAlign w:val="bottom"/>
            <w:tcBorders>
              <w:top w:val="single" w:sz="8" w:color="0000FF"/>
              <w:bottom w:val="single" w:sz="8" w:color="auto"/>
            </w:tcBorders>
          </w:tcPr>
          <w:p>
            <w:pPr>
              <w:spacing w:after="0"/>
              <w:rPr>
                <w:sz w:val="2"/>
                <w:szCs w:val="2"/>
                <w:color w:val="auto"/>
              </w:rPr>
            </w:pPr>
          </w:p>
        </w:tc>
        <w:tc>
          <w:tcPr>
            <w:tcW w:w="180" w:type="dxa"/>
            <w:vAlign w:val="bottom"/>
            <w:tcBorders>
              <w:top w:val="single" w:sz="8" w:color="0000FF"/>
              <w:bottom w:val="single" w:sz="8" w:color="auto"/>
            </w:tcBorders>
          </w:tcPr>
          <w:p>
            <w:pPr>
              <w:spacing w:after="0"/>
              <w:rPr>
                <w:sz w:val="2"/>
                <w:szCs w:val="2"/>
                <w:color w:val="auto"/>
              </w:rPr>
            </w:pPr>
          </w:p>
        </w:tc>
        <w:tc>
          <w:tcPr>
            <w:tcW w:w="20" w:type="dxa"/>
            <w:vAlign w:val="bottom"/>
            <w:tcBorders>
              <w:top w:val="single" w:sz="8" w:color="0000FF"/>
              <w:bottom w:val="single" w:sz="8" w:color="auto"/>
            </w:tcBorders>
          </w:tcPr>
          <w:p>
            <w:pPr>
              <w:spacing w:after="0"/>
              <w:rPr>
                <w:sz w:val="2"/>
                <w:szCs w:val="2"/>
                <w:color w:val="auto"/>
              </w:rPr>
            </w:pPr>
          </w:p>
        </w:tc>
        <w:tc>
          <w:tcPr>
            <w:tcW w:w="120" w:type="dxa"/>
            <w:vAlign w:val="bottom"/>
            <w:tcBorders>
              <w:top w:val="single" w:sz="8" w:color="0000FF"/>
              <w:bottom w:val="single" w:sz="8" w:color="auto"/>
            </w:tcBorders>
          </w:tcPr>
          <w:p>
            <w:pPr>
              <w:spacing w:after="0"/>
              <w:rPr>
                <w:sz w:val="2"/>
                <w:szCs w:val="2"/>
                <w:color w:val="auto"/>
              </w:rPr>
            </w:pPr>
          </w:p>
        </w:tc>
        <w:tc>
          <w:tcPr>
            <w:tcW w:w="520" w:type="dxa"/>
            <w:vAlign w:val="bottom"/>
            <w:tcBorders>
              <w:top w:val="single" w:sz="8" w:color="0000FF"/>
              <w:bottom w:val="single" w:sz="8" w:color="auto"/>
            </w:tcBorders>
          </w:tcPr>
          <w:p>
            <w:pPr>
              <w:spacing w:after="0"/>
              <w:rPr>
                <w:sz w:val="2"/>
                <w:szCs w:val="2"/>
                <w:color w:val="auto"/>
              </w:rPr>
            </w:pPr>
          </w:p>
        </w:tc>
        <w:tc>
          <w:tcPr>
            <w:tcW w:w="280" w:type="dxa"/>
            <w:vAlign w:val="bottom"/>
            <w:tcBorders>
              <w:top w:val="single" w:sz="8" w:color="0000FF"/>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right w:val="single" w:sz="8" w:color="auto"/>
            </w:tcBorders>
          </w:tcPr>
          <w:p>
            <w:pPr>
              <w:spacing w:after="0"/>
              <w:rPr>
                <w:sz w:val="2"/>
                <w:szCs w:val="2"/>
                <w:color w:val="auto"/>
              </w:rPr>
            </w:pPr>
          </w:p>
        </w:tc>
      </w:tr>
      <w:tr>
        <w:trPr>
          <w:trHeight w:val="183"/>
        </w:trPr>
        <w:tc>
          <w:tcPr>
            <w:tcW w:w="1160" w:type="dxa"/>
            <w:vAlign w:val="bottom"/>
            <w:tcBorders>
              <w:left w:val="single" w:sz="8" w:color="auto"/>
              <w:right w:val="single" w:sz="8" w:color="auto"/>
            </w:tcBorders>
          </w:tcPr>
          <w:p>
            <w:pPr>
              <w:ind w:left="40"/>
              <w:spacing w:after="0" w:line="183" w:lineRule="exact"/>
              <w:rPr>
                <w:sz w:val="20"/>
                <w:szCs w:val="20"/>
                <w:color w:val="auto"/>
              </w:rPr>
            </w:pPr>
            <w:r>
              <w:rPr>
                <w:rFonts w:ascii="Arial" w:cs="Arial" w:eastAsia="Arial" w:hAnsi="Arial"/>
                <w:sz w:val="16"/>
                <w:szCs w:val="16"/>
                <w:color w:val="auto"/>
              </w:rPr>
              <w:t>10.9(c)</w:t>
            </w:r>
          </w:p>
        </w:tc>
        <w:tc>
          <w:tcPr>
            <w:tcW w:w="12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0140" w:type="dxa"/>
            <w:vAlign w:val="bottom"/>
            <w:tcBorders>
              <w:right w:val="single" w:sz="8" w:color="auto"/>
            </w:tcBorders>
            <w:gridSpan w:val="41"/>
          </w:tcPr>
          <w:p>
            <w:pPr>
              <w:spacing w:after="0" w:line="183" w:lineRule="exact"/>
              <w:rPr>
                <w:rFonts w:ascii="Arial" w:cs="Arial" w:eastAsia="Arial" w:hAnsi="Arial"/>
                <w:sz w:val="16"/>
                <w:szCs w:val="16"/>
                <w:color w:val="0000FF"/>
              </w:rPr>
            </w:pPr>
            <w:hyperlink r:id="rId173">
              <w:r>
                <w:rPr>
                  <w:rFonts w:ascii="Arial" w:cs="Arial" w:eastAsia="Arial" w:hAnsi="Arial"/>
                  <w:sz w:val="16"/>
                  <w:szCs w:val="16"/>
                  <w:color w:val="0000FF"/>
                </w:rPr>
                <w:t>Amendment to 1997 Stock Incentive Plan dated January 3, 2001 (Incorporated by reference to Exhibit 10.12(d) to the Company’s Annual</w:t>
              </w:r>
            </w:hyperlink>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9800" w:type="dxa"/>
            <w:vAlign w:val="bottom"/>
            <w:tcBorders>
              <w:top w:val="single" w:sz="8" w:color="0000FF"/>
            </w:tcBorders>
            <w:gridSpan w:val="29"/>
          </w:tcPr>
          <w:p>
            <w:pPr>
              <w:spacing w:after="0" w:line="169" w:lineRule="exact"/>
              <w:rPr>
                <w:rFonts w:ascii="Arial" w:cs="Arial" w:eastAsia="Arial" w:hAnsi="Arial"/>
                <w:sz w:val="16"/>
                <w:szCs w:val="16"/>
                <w:color w:val="0000FF"/>
              </w:rPr>
            </w:pPr>
            <w:hyperlink r:id="rId173">
              <w:r>
                <w:rPr>
                  <w:rFonts w:ascii="Arial" w:cs="Arial" w:eastAsia="Arial" w:hAnsi="Arial"/>
                  <w:sz w:val="16"/>
                  <w:szCs w:val="16"/>
                  <w:color w:val="0000FF"/>
                </w:rPr>
                <w:t>Report on Form 10-K for the year ended December 31, 2000 dated March 29, 2001).†</w:t>
              </w:r>
            </w:hyperlink>
          </w:p>
        </w:tc>
        <w:tc>
          <w:tcPr>
            <w:tcW w:w="340" w:type="dxa"/>
            <w:vAlign w:val="bottom"/>
            <w:tcBorders>
              <w:right w:val="single" w:sz="8" w:color="auto"/>
            </w:tcBorders>
            <w:gridSpan w:val="12"/>
          </w:tcPr>
          <w:p>
            <w:pPr>
              <w:spacing w:after="0"/>
              <w:rPr>
                <w:sz w:val="14"/>
                <w:szCs w:val="14"/>
                <w:color w:val="auto"/>
              </w:rPr>
            </w:pPr>
          </w:p>
        </w:tc>
      </w:tr>
      <w:tr>
        <w:trPr>
          <w:trHeight w:val="34"/>
        </w:trPr>
        <w:tc>
          <w:tcPr>
            <w:tcW w:w="1160" w:type="dxa"/>
            <w:vAlign w:val="bottom"/>
            <w:tcBorders>
              <w:left w:val="single" w:sz="8" w:color="auto"/>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60" w:type="dxa"/>
            <w:vAlign w:val="bottom"/>
            <w:tcBorders>
              <w:top w:val="single" w:sz="8" w:color="0000FF"/>
              <w:bottom w:val="single" w:sz="8" w:color="auto"/>
            </w:tcBorders>
          </w:tcPr>
          <w:p>
            <w:pPr>
              <w:spacing w:after="0"/>
              <w:rPr>
                <w:sz w:val="2"/>
                <w:szCs w:val="2"/>
                <w:color w:val="auto"/>
              </w:rPr>
            </w:pPr>
          </w:p>
        </w:tc>
        <w:tc>
          <w:tcPr>
            <w:tcW w:w="260" w:type="dxa"/>
            <w:vAlign w:val="bottom"/>
            <w:tcBorders>
              <w:top w:val="single" w:sz="8" w:color="0000FF"/>
              <w:bottom w:val="single" w:sz="8" w:color="auto"/>
            </w:tcBorders>
          </w:tcPr>
          <w:p>
            <w:pPr>
              <w:spacing w:after="0"/>
              <w:rPr>
                <w:sz w:val="2"/>
                <w:szCs w:val="2"/>
                <w:color w:val="auto"/>
              </w:rPr>
            </w:pPr>
          </w:p>
        </w:tc>
        <w:tc>
          <w:tcPr>
            <w:tcW w:w="900" w:type="dxa"/>
            <w:vAlign w:val="bottom"/>
            <w:tcBorders>
              <w:top w:val="single" w:sz="8" w:color="0000FF"/>
              <w:bottom w:val="single" w:sz="8" w:color="auto"/>
            </w:tcBorders>
          </w:tcPr>
          <w:p>
            <w:pPr>
              <w:spacing w:after="0"/>
              <w:rPr>
                <w:sz w:val="2"/>
                <w:szCs w:val="2"/>
                <w:color w:val="auto"/>
              </w:rPr>
            </w:pPr>
          </w:p>
        </w:tc>
        <w:tc>
          <w:tcPr>
            <w:tcW w:w="320" w:type="dxa"/>
            <w:vAlign w:val="bottom"/>
            <w:tcBorders>
              <w:top w:val="single" w:sz="8" w:color="0000FF"/>
              <w:bottom w:val="single" w:sz="8" w:color="auto"/>
            </w:tcBorders>
          </w:tcPr>
          <w:p>
            <w:pPr>
              <w:spacing w:after="0"/>
              <w:rPr>
                <w:sz w:val="2"/>
                <w:szCs w:val="2"/>
                <w:color w:val="auto"/>
              </w:rPr>
            </w:pPr>
          </w:p>
        </w:tc>
        <w:tc>
          <w:tcPr>
            <w:tcW w:w="360" w:type="dxa"/>
            <w:vAlign w:val="bottom"/>
            <w:tcBorders>
              <w:top w:val="single" w:sz="8" w:color="0000FF"/>
              <w:bottom w:val="single" w:sz="8" w:color="auto"/>
            </w:tcBorders>
          </w:tcPr>
          <w:p>
            <w:pPr>
              <w:spacing w:after="0"/>
              <w:rPr>
                <w:sz w:val="2"/>
                <w:szCs w:val="2"/>
                <w:color w:val="auto"/>
              </w:rPr>
            </w:pPr>
          </w:p>
        </w:tc>
        <w:tc>
          <w:tcPr>
            <w:tcW w:w="1880" w:type="dxa"/>
            <w:vAlign w:val="bottom"/>
            <w:tcBorders>
              <w:top w:val="single" w:sz="8" w:color="0000FF"/>
              <w:bottom w:val="single" w:sz="8" w:color="auto"/>
            </w:tcBorders>
          </w:tcPr>
          <w:p>
            <w:pPr>
              <w:spacing w:after="0"/>
              <w:rPr>
                <w:sz w:val="2"/>
                <w:szCs w:val="2"/>
                <w:color w:val="auto"/>
              </w:rPr>
            </w:pPr>
          </w:p>
        </w:tc>
        <w:tc>
          <w:tcPr>
            <w:tcW w:w="320" w:type="dxa"/>
            <w:vAlign w:val="bottom"/>
            <w:tcBorders>
              <w:top w:val="single" w:sz="8" w:color="0000FF"/>
              <w:bottom w:val="single" w:sz="8" w:color="auto"/>
            </w:tcBorders>
          </w:tcPr>
          <w:p>
            <w:pPr>
              <w:spacing w:after="0"/>
              <w:rPr>
                <w:sz w:val="2"/>
                <w:szCs w:val="2"/>
                <w:color w:val="auto"/>
              </w:rPr>
            </w:pPr>
          </w:p>
        </w:tc>
        <w:tc>
          <w:tcPr>
            <w:tcW w:w="340" w:type="dxa"/>
            <w:vAlign w:val="bottom"/>
            <w:tcBorders>
              <w:top w:val="single" w:sz="8" w:color="0000FF"/>
              <w:bottom w:val="single" w:sz="8" w:color="auto"/>
            </w:tcBorders>
          </w:tcPr>
          <w:p>
            <w:pPr>
              <w:spacing w:after="0"/>
              <w:rPr>
                <w:sz w:val="2"/>
                <w:szCs w:val="2"/>
                <w:color w:val="auto"/>
              </w:rPr>
            </w:pPr>
          </w:p>
        </w:tc>
        <w:tc>
          <w:tcPr>
            <w:tcW w:w="100" w:type="dxa"/>
            <w:vAlign w:val="bottom"/>
            <w:tcBorders>
              <w:top w:val="single" w:sz="8" w:color="0000FF"/>
              <w:bottom w:val="single" w:sz="8" w:color="auto"/>
            </w:tcBorders>
          </w:tcPr>
          <w:p>
            <w:pPr>
              <w:spacing w:after="0"/>
              <w:rPr>
                <w:sz w:val="2"/>
                <w:szCs w:val="2"/>
                <w:color w:val="auto"/>
              </w:rPr>
            </w:pPr>
          </w:p>
        </w:tc>
        <w:tc>
          <w:tcPr>
            <w:tcW w:w="180" w:type="dxa"/>
            <w:vAlign w:val="bottom"/>
            <w:tcBorders>
              <w:top w:val="single" w:sz="8" w:color="0000FF"/>
              <w:bottom w:val="single" w:sz="8" w:color="auto"/>
            </w:tcBorders>
          </w:tcPr>
          <w:p>
            <w:pPr>
              <w:spacing w:after="0"/>
              <w:rPr>
                <w:sz w:val="2"/>
                <w:szCs w:val="2"/>
                <w:color w:val="auto"/>
              </w:rPr>
            </w:pPr>
          </w:p>
        </w:tc>
        <w:tc>
          <w:tcPr>
            <w:tcW w:w="20" w:type="dxa"/>
            <w:vAlign w:val="bottom"/>
            <w:tcBorders>
              <w:top w:val="single" w:sz="8" w:color="0000FF"/>
              <w:bottom w:val="single" w:sz="8" w:color="auto"/>
            </w:tcBorders>
          </w:tcPr>
          <w:p>
            <w:pPr>
              <w:spacing w:after="0"/>
              <w:rPr>
                <w:sz w:val="2"/>
                <w:szCs w:val="2"/>
                <w:color w:val="auto"/>
              </w:rPr>
            </w:pPr>
          </w:p>
        </w:tc>
        <w:tc>
          <w:tcPr>
            <w:tcW w:w="120" w:type="dxa"/>
            <w:vAlign w:val="bottom"/>
            <w:tcBorders>
              <w:top w:val="single" w:sz="8" w:color="0000FF"/>
              <w:bottom w:val="single" w:sz="8" w:color="auto"/>
            </w:tcBorders>
          </w:tcPr>
          <w:p>
            <w:pPr>
              <w:spacing w:after="0"/>
              <w:rPr>
                <w:sz w:val="2"/>
                <w:szCs w:val="2"/>
                <w:color w:val="auto"/>
              </w:rPr>
            </w:pPr>
          </w:p>
        </w:tc>
        <w:tc>
          <w:tcPr>
            <w:tcW w:w="520" w:type="dxa"/>
            <w:vAlign w:val="bottom"/>
            <w:tcBorders>
              <w:top w:val="single" w:sz="8" w:color="0000FF"/>
              <w:bottom w:val="single" w:sz="8" w:color="auto"/>
            </w:tcBorders>
          </w:tcPr>
          <w:p>
            <w:pPr>
              <w:spacing w:after="0"/>
              <w:rPr>
                <w:sz w:val="2"/>
                <w:szCs w:val="2"/>
                <w:color w:val="auto"/>
              </w:rPr>
            </w:pPr>
          </w:p>
        </w:tc>
        <w:tc>
          <w:tcPr>
            <w:tcW w:w="280" w:type="dxa"/>
            <w:vAlign w:val="bottom"/>
            <w:tcBorders>
              <w:top w:val="single" w:sz="8" w:color="0000FF"/>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right w:val="single" w:sz="8" w:color="auto"/>
            </w:tcBorders>
          </w:tcPr>
          <w:p>
            <w:pPr>
              <w:spacing w:after="0"/>
              <w:rPr>
                <w:sz w:val="2"/>
                <w:szCs w:val="2"/>
                <w:color w:val="auto"/>
              </w:rPr>
            </w:pPr>
          </w:p>
        </w:tc>
      </w:tr>
      <w:tr>
        <w:trPr>
          <w:trHeight w:val="183"/>
        </w:trPr>
        <w:tc>
          <w:tcPr>
            <w:tcW w:w="1160" w:type="dxa"/>
            <w:vAlign w:val="bottom"/>
            <w:tcBorders>
              <w:left w:val="single" w:sz="8" w:color="auto"/>
              <w:right w:val="single" w:sz="8" w:color="auto"/>
            </w:tcBorders>
          </w:tcPr>
          <w:p>
            <w:pPr>
              <w:ind w:left="40"/>
              <w:spacing w:after="0" w:line="183" w:lineRule="exact"/>
              <w:rPr>
                <w:sz w:val="20"/>
                <w:szCs w:val="20"/>
                <w:color w:val="auto"/>
              </w:rPr>
            </w:pPr>
            <w:r>
              <w:rPr>
                <w:rFonts w:ascii="Arial" w:cs="Arial" w:eastAsia="Arial" w:hAnsi="Arial"/>
                <w:sz w:val="16"/>
                <w:szCs w:val="16"/>
                <w:color w:val="auto"/>
              </w:rPr>
              <w:t>10.10</w:t>
            </w:r>
          </w:p>
        </w:tc>
        <w:tc>
          <w:tcPr>
            <w:tcW w:w="12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9880" w:type="dxa"/>
            <w:vAlign w:val="bottom"/>
            <w:tcBorders>
              <w:bottom w:val="single" w:sz="8" w:color="0000FF"/>
            </w:tcBorders>
            <w:gridSpan w:val="31"/>
          </w:tcPr>
          <w:p>
            <w:pPr>
              <w:spacing w:after="0" w:line="183" w:lineRule="exact"/>
              <w:rPr>
                <w:rFonts w:ascii="Arial" w:cs="Arial" w:eastAsia="Arial" w:hAnsi="Arial"/>
                <w:sz w:val="16"/>
                <w:szCs w:val="16"/>
                <w:color w:val="0000FF"/>
              </w:rPr>
            </w:pPr>
            <w:hyperlink r:id="rId174">
              <w:r>
                <w:rPr>
                  <w:rFonts w:ascii="Arial" w:cs="Arial" w:eastAsia="Arial" w:hAnsi="Arial"/>
                  <w:sz w:val="16"/>
                  <w:szCs w:val="16"/>
                  <w:color w:val="0000FF"/>
                </w:rPr>
                <w:t>Amendment to Various Equity-Based Plans (Incorporated by reference to Exhibit 10.16 to the Company’s Annual Report on Form 10-K for</w:t>
              </w:r>
            </w:hyperlink>
          </w:p>
        </w:tc>
        <w:tc>
          <w:tcPr>
            <w:tcW w:w="260" w:type="dxa"/>
            <w:vAlign w:val="bottom"/>
            <w:tcBorders>
              <w:right w:val="single" w:sz="8" w:color="auto"/>
            </w:tcBorders>
            <w:gridSpan w:val="10"/>
          </w:tcPr>
          <w:p>
            <w:pPr>
              <w:spacing w:after="0"/>
              <w:rPr>
                <w:sz w:val="15"/>
                <w:szCs w:val="15"/>
                <w:color w:val="auto"/>
              </w:rPr>
            </w:pPr>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140" w:type="dxa"/>
            <w:vAlign w:val="bottom"/>
            <w:tcBorders>
              <w:right w:val="single" w:sz="8" w:color="auto"/>
            </w:tcBorders>
            <w:gridSpan w:val="41"/>
          </w:tcPr>
          <w:p>
            <w:pPr>
              <w:spacing w:after="0" w:line="169" w:lineRule="exact"/>
              <w:rPr>
                <w:rFonts w:ascii="Arial" w:cs="Arial" w:eastAsia="Arial" w:hAnsi="Arial"/>
                <w:sz w:val="16"/>
                <w:szCs w:val="16"/>
                <w:color w:val="0000FF"/>
              </w:rPr>
            </w:pPr>
            <w:hyperlink r:id="rId174">
              <w:r>
                <w:rPr>
                  <w:rFonts w:ascii="Arial" w:cs="Arial" w:eastAsia="Arial" w:hAnsi="Arial"/>
                  <w:sz w:val="16"/>
                  <w:szCs w:val="16"/>
                  <w:color w:val="0000FF"/>
                </w:rPr>
                <w:t>the year ended December 31, 2005 dated March 1, 2006).†</w:t>
              </w:r>
            </w:hyperlink>
          </w:p>
        </w:tc>
      </w:tr>
      <w:tr>
        <w:trPr>
          <w:trHeight w:val="34"/>
        </w:trPr>
        <w:tc>
          <w:tcPr>
            <w:tcW w:w="1160" w:type="dxa"/>
            <w:vAlign w:val="bottom"/>
            <w:tcBorders>
              <w:left w:val="single" w:sz="8" w:color="auto"/>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60" w:type="dxa"/>
            <w:vAlign w:val="bottom"/>
            <w:tcBorders>
              <w:top w:val="single" w:sz="8" w:color="0000FF"/>
              <w:bottom w:val="single" w:sz="8" w:color="auto"/>
            </w:tcBorders>
          </w:tcPr>
          <w:p>
            <w:pPr>
              <w:spacing w:after="0"/>
              <w:rPr>
                <w:sz w:val="2"/>
                <w:szCs w:val="2"/>
                <w:color w:val="auto"/>
              </w:rPr>
            </w:pPr>
          </w:p>
        </w:tc>
        <w:tc>
          <w:tcPr>
            <w:tcW w:w="260" w:type="dxa"/>
            <w:vAlign w:val="bottom"/>
            <w:tcBorders>
              <w:top w:val="single" w:sz="8" w:color="0000FF"/>
              <w:bottom w:val="single" w:sz="8" w:color="auto"/>
            </w:tcBorders>
          </w:tcPr>
          <w:p>
            <w:pPr>
              <w:spacing w:after="0"/>
              <w:rPr>
                <w:sz w:val="2"/>
                <w:szCs w:val="2"/>
                <w:color w:val="auto"/>
              </w:rPr>
            </w:pPr>
          </w:p>
        </w:tc>
        <w:tc>
          <w:tcPr>
            <w:tcW w:w="900" w:type="dxa"/>
            <w:vAlign w:val="bottom"/>
            <w:tcBorders>
              <w:top w:val="single" w:sz="8" w:color="0000FF"/>
              <w:bottom w:val="single" w:sz="8" w:color="auto"/>
            </w:tcBorders>
          </w:tcPr>
          <w:p>
            <w:pPr>
              <w:spacing w:after="0"/>
              <w:rPr>
                <w:sz w:val="2"/>
                <w:szCs w:val="2"/>
                <w:color w:val="auto"/>
              </w:rPr>
            </w:pPr>
          </w:p>
        </w:tc>
        <w:tc>
          <w:tcPr>
            <w:tcW w:w="320" w:type="dxa"/>
            <w:vAlign w:val="bottom"/>
            <w:tcBorders>
              <w:top w:val="single" w:sz="8" w:color="0000FF"/>
              <w:bottom w:val="single" w:sz="8" w:color="auto"/>
            </w:tcBorders>
          </w:tcPr>
          <w:p>
            <w:pPr>
              <w:spacing w:after="0"/>
              <w:rPr>
                <w:sz w:val="2"/>
                <w:szCs w:val="2"/>
                <w:color w:val="auto"/>
              </w:rPr>
            </w:pPr>
          </w:p>
        </w:tc>
        <w:tc>
          <w:tcPr>
            <w:tcW w:w="360" w:type="dxa"/>
            <w:vAlign w:val="bottom"/>
            <w:tcBorders>
              <w:top w:val="single" w:sz="8" w:color="0000FF"/>
              <w:bottom w:val="single" w:sz="8" w:color="auto"/>
            </w:tcBorders>
          </w:tcPr>
          <w:p>
            <w:pPr>
              <w:spacing w:after="0"/>
              <w:rPr>
                <w:sz w:val="2"/>
                <w:szCs w:val="2"/>
                <w:color w:val="auto"/>
              </w:rPr>
            </w:pPr>
          </w:p>
        </w:tc>
        <w:tc>
          <w:tcPr>
            <w:tcW w:w="1880" w:type="dxa"/>
            <w:vAlign w:val="bottom"/>
            <w:tcBorders>
              <w:top w:val="single" w:sz="8" w:color="0000FF"/>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right w:val="single" w:sz="8" w:color="auto"/>
            </w:tcBorders>
          </w:tcPr>
          <w:p>
            <w:pPr>
              <w:spacing w:after="0"/>
              <w:rPr>
                <w:sz w:val="2"/>
                <w:szCs w:val="2"/>
                <w:color w:val="auto"/>
              </w:rPr>
            </w:pPr>
          </w:p>
        </w:tc>
      </w:tr>
      <w:tr>
        <w:trPr>
          <w:trHeight w:val="183"/>
        </w:trPr>
        <w:tc>
          <w:tcPr>
            <w:tcW w:w="1160" w:type="dxa"/>
            <w:vAlign w:val="bottom"/>
            <w:tcBorders>
              <w:left w:val="single" w:sz="8" w:color="auto"/>
              <w:right w:val="single" w:sz="8" w:color="auto"/>
            </w:tcBorders>
          </w:tcPr>
          <w:p>
            <w:pPr>
              <w:ind w:left="40"/>
              <w:spacing w:after="0" w:line="183" w:lineRule="exact"/>
              <w:rPr>
                <w:sz w:val="20"/>
                <w:szCs w:val="20"/>
                <w:color w:val="auto"/>
              </w:rPr>
            </w:pPr>
            <w:r>
              <w:rPr>
                <w:rFonts w:ascii="Arial" w:cs="Arial" w:eastAsia="Arial" w:hAnsi="Arial"/>
                <w:sz w:val="16"/>
                <w:szCs w:val="16"/>
                <w:color w:val="auto"/>
              </w:rPr>
              <w:t>10.11</w:t>
            </w:r>
          </w:p>
        </w:tc>
        <w:tc>
          <w:tcPr>
            <w:tcW w:w="12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0140" w:type="dxa"/>
            <w:vAlign w:val="bottom"/>
            <w:tcBorders>
              <w:right w:val="single" w:sz="8" w:color="auto"/>
            </w:tcBorders>
            <w:gridSpan w:val="41"/>
          </w:tcPr>
          <w:p>
            <w:pPr>
              <w:spacing w:after="0" w:line="183" w:lineRule="exact"/>
              <w:rPr>
                <w:rFonts w:ascii="Arial" w:cs="Arial" w:eastAsia="Arial" w:hAnsi="Arial"/>
                <w:sz w:val="16"/>
                <w:szCs w:val="16"/>
                <w:color w:val="0000FF"/>
              </w:rPr>
            </w:pPr>
            <w:hyperlink r:id="rId175">
              <w:r>
                <w:rPr>
                  <w:rFonts w:ascii="Arial" w:cs="Arial" w:eastAsia="Arial" w:hAnsi="Arial"/>
                  <w:sz w:val="16"/>
                  <w:szCs w:val="16"/>
                  <w:color w:val="0000FF"/>
                </w:rPr>
                <w:t>Avis Budget Group, Inc. Employee Stock Purchase Plan (Incorporated by reference to Exhibit 10.2 to the Company’s Current Report on</w:t>
              </w:r>
            </w:hyperlink>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9700" w:type="dxa"/>
            <w:vAlign w:val="bottom"/>
            <w:tcBorders>
              <w:top w:val="single" w:sz="8" w:color="0000FF"/>
            </w:tcBorders>
            <w:gridSpan w:val="24"/>
          </w:tcPr>
          <w:p>
            <w:pPr>
              <w:spacing w:after="0" w:line="169" w:lineRule="exact"/>
              <w:rPr>
                <w:rFonts w:ascii="Arial" w:cs="Arial" w:eastAsia="Arial" w:hAnsi="Arial"/>
                <w:sz w:val="16"/>
                <w:szCs w:val="16"/>
                <w:color w:val="0000FF"/>
              </w:rPr>
            </w:pPr>
            <w:hyperlink r:id="rId175">
              <w:r>
                <w:rPr>
                  <w:rFonts w:ascii="Arial" w:cs="Arial" w:eastAsia="Arial" w:hAnsi="Arial"/>
                  <w:sz w:val="16"/>
                  <w:szCs w:val="16"/>
                  <w:color w:val="0000FF"/>
                </w:rPr>
                <w:t>Form 8-K dated June 18, 2009).†</w:t>
              </w:r>
            </w:hyperlink>
          </w:p>
        </w:tc>
        <w:tc>
          <w:tcPr>
            <w:tcW w:w="440" w:type="dxa"/>
            <w:vAlign w:val="bottom"/>
            <w:tcBorders>
              <w:right w:val="single" w:sz="8" w:color="auto"/>
            </w:tcBorders>
            <w:gridSpan w:val="17"/>
          </w:tcPr>
          <w:p>
            <w:pPr>
              <w:spacing w:after="0"/>
              <w:rPr>
                <w:sz w:val="14"/>
                <w:szCs w:val="14"/>
                <w:color w:val="auto"/>
              </w:rPr>
            </w:pPr>
          </w:p>
        </w:tc>
      </w:tr>
      <w:tr>
        <w:trPr>
          <w:trHeight w:val="34"/>
        </w:trPr>
        <w:tc>
          <w:tcPr>
            <w:tcW w:w="1160" w:type="dxa"/>
            <w:vAlign w:val="bottom"/>
            <w:tcBorders>
              <w:left w:val="single" w:sz="8" w:color="auto"/>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60" w:type="dxa"/>
            <w:vAlign w:val="bottom"/>
            <w:tcBorders>
              <w:top w:val="single" w:sz="8" w:color="0000FF"/>
              <w:bottom w:val="single" w:sz="8" w:color="auto"/>
            </w:tcBorders>
          </w:tcPr>
          <w:p>
            <w:pPr>
              <w:spacing w:after="0"/>
              <w:rPr>
                <w:sz w:val="2"/>
                <w:szCs w:val="2"/>
                <w:color w:val="auto"/>
              </w:rPr>
            </w:pPr>
          </w:p>
        </w:tc>
        <w:tc>
          <w:tcPr>
            <w:tcW w:w="260" w:type="dxa"/>
            <w:vAlign w:val="bottom"/>
            <w:tcBorders>
              <w:top w:val="single" w:sz="8" w:color="0000FF"/>
              <w:bottom w:val="single" w:sz="8" w:color="auto"/>
            </w:tcBorders>
          </w:tcPr>
          <w:p>
            <w:pPr>
              <w:spacing w:after="0"/>
              <w:rPr>
                <w:sz w:val="2"/>
                <w:szCs w:val="2"/>
                <w:color w:val="auto"/>
              </w:rPr>
            </w:pPr>
          </w:p>
        </w:tc>
        <w:tc>
          <w:tcPr>
            <w:tcW w:w="900" w:type="dxa"/>
            <w:vAlign w:val="bottom"/>
            <w:tcBorders>
              <w:top w:val="single" w:sz="8" w:color="0000FF"/>
              <w:bottom w:val="single" w:sz="8" w:color="auto"/>
            </w:tcBorders>
          </w:tcPr>
          <w:p>
            <w:pPr>
              <w:spacing w:after="0"/>
              <w:rPr>
                <w:sz w:val="2"/>
                <w:szCs w:val="2"/>
                <w:color w:val="auto"/>
              </w:rPr>
            </w:pPr>
          </w:p>
        </w:tc>
        <w:tc>
          <w:tcPr>
            <w:tcW w:w="320" w:type="dxa"/>
            <w:vAlign w:val="bottom"/>
            <w:tcBorders>
              <w:top w:val="single" w:sz="8" w:color="0000FF"/>
              <w:bottom w:val="single" w:sz="8" w:color="auto"/>
            </w:tcBorders>
          </w:tcPr>
          <w:p>
            <w:pPr>
              <w:spacing w:after="0"/>
              <w:rPr>
                <w:sz w:val="2"/>
                <w:szCs w:val="2"/>
                <w:color w:val="auto"/>
              </w:rPr>
            </w:pPr>
          </w:p>
        </w:tc>
        <w:tc>
          <w:tcPr>
            <w:tcW w:w="360" w:type="dxa"/>
            <w:vAlign w:val="bottom"/>
            <w:tcBorders>
              <w:top w:val="single" w:sz="8" w:color="0000FF"/>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right w:val="single" w:sz="8" w:color="auto"/>
            </w:tcBorders>
          </w:tcPr>
          <w:p>
            <w:pPr>
              <w:spacing w:after="0"/>
              <w:rPr>
                <w:sz w:val="2"/>
                <w:szCs w:val="2"/>
                <w:color w:val="auto"/>
              </w:rPr>
            </w:pPr>
          </w:p>
        </w:tc>
      </w:tr>
      <w:tr>
        <w:trPr>
          <w:trHeight w:val="183"/>
        </w:trPr>
        <w:tc>
          <w:tcPr>
            <w:tcW w:w="1160" w:type="dxa"/>
            <w:vAlign w:val="bottom"/>
            <w:tcBorders>
              <w:left w:val="single" w:sz="8" w:color="auto"/>
              <w:right w:val="single" w:sz="8" w:color="auto"/>
            </w:tcBorders>
          </w:tcPr>
          <w:p>
            <w:pPr>
              <w:ind w:left="40"/>
              <w:spacing w:after="0" w:line="183" w:lineRule="exact"/>
              <w:rPr>
                <w:sz w:val="20"/>
                <w:szCs w:val="20"/>
                <w:color w:val="auto"/>
              </w:rPr>
            </w:pPr>
            <w:r>
              <w:rPr>
                <w:rFonts w:ascii="Arial" w:cs="Arial" w:eastAsia="Arial" w:hAnsi="Arial"/>
                <w:sz w:val="16"/>
                <w:szCs w:val="16"/>
                <w:color w:val="auto"/>
              </w:rPr>
              <w:t>10.11(a)</w:t>
            </w:r>
          </w:p>
        </w:tc>
        <w:tc>
          <w:tcPr>
            <w:tcW w:w="12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9680" w:type="dxa"/>
            <w:vAlign w:val="bottom"/>
            <w:tcBorders>
              <w:bottom w:val="single" w:sz="8" w:color="0000FF"/>
            </w:tcBorders>
            <w:gridSpan w:val="23"/>
          </w:tcPr>
          <w:p>
            <w:pPr>
              <w:spacing w:after="0" w:line="183" w:lineRule="exact"/>
              <w:rPr>
                <w:rFonts w:ascii="Arial" w:cs="Arial" w:eastAsia="Arial" w:hAnsi="Arial"/>
                <w:sz w:val="16"/>
                <w:szCs w:val="16"/>
                <w:color w:val="0000FF"/>
              </w:rPr>
            </w:pPr>
            <w:hyperlink r:id="rId176">
              <w:r>
                <w:rPr>
                  <w:rFonts w:ascii="Arial" w:cs="Arial" w:eastAsia="Arial" w:hAnsi="Arial"/>
                  <w:sz w:val="16"/>
                  <w:szCs w:val="16"/>
                  <w:color w:val="0000FF"/>
                </w:rPr>
                <w:t>Amendment No. 1 to the Avis Budget Group, Inc. Employee Stock Purchase Plan (Incorporated by reference to Exhibit 10.17(b) to Avis</w:t>
              </w:r>
            </w:hyperlink>
          </w:p>
        </w:tc>
        <w:tc>
          <w:tcPr>
            <w:tcW w:w="460" w:type="dxa"/>
            <w:vAlign w:val="bottom"/>
            <w:tcBorders>
              <w:right w:val="single" w:sz="8" w:color="auto"/>
            </w:tcBorders>
            <w:gridSpan w:val="18"/>
          </w:tcPr>
          <w:p>
            <w:pPr>
              <w:spacing w:after="0"/>
              <w:rPr>
                <w:sz w:val="15"/>
                <w:szCs w:val="15"/>
                <w:color w:val="auto"/>
              </w:rPr>
            </w:pPr>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140" w:type="dxa"/>
            <w:vAlign w:val="bottom"/>
            <w:tcBorders>
              <w:right w:val="single" w:sz="8" w:color="auto"/>
            </w:tcBorders>
            <w:gridSpan w:val="41"/>
          </w:tcPr>
          <w:p>
            <w:pPr>
              <w:spacing w:after="0" w:line="169" w:lineRule="exact"/>
              <w:rPr>
                <w:rFonts w:ascii="Arial" w:cs="Arial" w:eastAsia="Arial" w:hAnsi="Arial"/>
                <w:sz w:val="16"/>
                <w:szCs w:val="16"/>
                <w:color w:val="0000FF"/>
              </w:rPr>
            </w:pPr>
            <w:hyperlink r:id="rId176">
              <w:r>
                <w:rPr>
                  <w:rFonts w:ascii="Arial" w:cs="Arial" w:eastAsia="Arial" w:hAnsi="Arial"/>
                  <w:sz w:val="16"/>
                  <w:szCs w:val="16"/>
                  <w:color w:val="0000FF"/>
                </w:rPr>
                <w:t>Budget Car Rental, LLC and Avis Budget Finance, Inc.’s Registration Statement on Form S-4, Registration No. 333-17490, dated October</w:t>
              </w:r>
            </w:hyperlink>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9860" w:type="dxa"/>
            <w:vAlign w:val="bottom"/>
            <w:tcBorders>
              <w:top w:val="single" w:sz="8" w:color="0000FF"/>
            </w:tcBorders>
            <w:gridSpan w:val="30"/>
          </w:tcPr>
          <w:p>
            <w:pPr>
              <w:spacing w:after="0" w:line="169" w:lineRule="exact"/>
              <w:rPr>
                <w:rFonts w:ascii="Arial" w:cs="Arial" w:eastAsia="Arial" w:hAnsi="Arial"/>
                <w:sz w:val="16"/>
                <w:szCs w:val="16"/>
                <w:color w:val="0000FF"/>
              </w:rPr>
            </w:pPr>
            <w:hyperlink r:id="rId176">
              <w:r>
                <w:rPr>
                  <w:rFonts w:ascii="Arial" w:cs="Arial" w:eastAsia="Arial" w:hAnsi="Arial"/>
                  <w:sz w:val="16"/>
                  <w:szCs w:val="16"/>
                  <w:color w:val="0000FF"/>
                </w:rPr>
                <w:t>25, 2011).†</w:t>
              </w:r>
            </w:hyperlink>
          </w:p>
        </w:tc>
        <w:tc>
          <w:tcPr>
            <w:tcW w:w="280" w:type="dxa"/>
            <w:vAlign w:val="bottom"/>
            <w:tcBorders>
              <w:right w:val="single" w:sz="8" w:color="auto"/>
            </w:tcBorders>
            <w:gridSpan w:val="11"/>
          </w:tcPr>
          <w:p>
            <w:pPr>
              <w:spacing w:after="0"/>
              <w:rPr>
                <w:sz w:val="14"/>
                <w:szCs w:val="14"/>
                <w:color w:val="auto"/>
              </w:rPr>
            </w:pPr>
          </w:p>
        </w:tc>
      </w:tr>
      <w:tr>
        <w:trPr>
          <w:trHeight w:val="34"/>
        </w:trPr>
        <w:tc>
          <w:tcPr>
            <w:tcW w:w="1160" w:type="dxa"/>
            <w:vAlign w:val="bottom"/>
            <w:tcBorders>
              <w:left w:val="single" w:sz="8" w:color="auto"/>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60" w:type="dxa"/>
            <w:vAlign w:val="bottom"/>
            <w:tcBorders>
              <w:top w:val="single" w:sz="8" w:color="0000FF"/>
              <w:bottom w:val="single" w:sz="8" w:color="auto"/>
            </w:tcBorders>
          </w:tcPr>
          <w:p>
            <w:pPr>
              <w:spacing w:after="0"/>
              <w:rPr>
                <w:sz w:val="2"/>
                <w:szCs w:val="2"/>
                <w:color w:val="auto"/>
              </w:rPr>
            </w:pPr>
          </w:p>
        </w:tc>
        <w:tc>
          <w:tcPr>
            <w:tcW w:w="260" w:type="dxa"/>
            <w:vAlign w:val="bottom"/>
            <w:tcBorders>
              <w:top w:val="single" w:sz="8" w:color="0000FF"/>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right w:val="single" w:sz="8" w:color="auto"/>
            </w:tcBorders>
          </w:tcPr>
          <w:p>
            <w:pPr>
              <w:spacing w:after="0"/>
              <w:rPr>
                <w:sz w:val="2"/>
                <w:szCs w:val="2"/>
                <w:color w:val="auto"/>
              </w:rPr>
            </w:pPr>
          </w:p>
        </w:tc>
      </w:tr>
      <w:tr>
        <w:trPr>
          <w:trHeight w:val="183"/>
        </w:trPr>
        <w:tc>
          <w:tcPr>
            <w:tcW w:w="1160" w:type="dxa"/>
            <w:vAlign w:val="bottom"/>
            <w:tcBorders>
              <w:left w:val="single" w:sz="8" w:color="auto"/>
              <w:right w:val="single" w:sz="8" w:color="auto"/>
            </w:tcBorders>
          </w:tcPr>
          <w:p>
            <w:pPr>
              <w:ind w:left="40"/>
              <w:spacing w:after="0" w:line="183" w:lineRule="exact"/>
              <w:rPr>
                <w:sz w:val="20"/>
                <w:szCs w:val="20"/>
                <w:color w:val="auto"/>
              </w:rPr>
            </w:pPr>
            <w:r>
              <w:rPr>
                <w:rFonts w:ascii="Arial" w:cs="Arial" w:eastAsia="Arial" w:hAnsi="Arial"/>
                <w:sz w:val="16"/>
                <w:szCs w:val="16"/>
                <w:color w:val="auto"/>
              </w:rPr>
              <w:t>10.12</w:t>
            </w:r>
          </w:p>
        </w:tc>
        <w:tc>
          <w:tcPr>
            <w:tcW w:w="12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9900" w:type="dxa"/>
            <w:vAlign w:val="bottom"/>
            <w:tcBorders>
              <w:bottom w:val="single" w:sz="8" w:color="0000FF"/>
            </w:tcBorders>
            <w:gridSpan w:val="32"/>
          </w:tcPr>
          <w:p>
            <w:pPr>
              <w:spacing w:after="0" w:line="183" w:lineRule="exact"/>
              <w:rPr>
                <w:rFonts w:ascii="Arial" w:cs="Arial" w:eastAsia="Arial" w:hAnsi="Arial"/>
                <w:sz w:val="16"/>
                <w:szCs w:val="16"/>
                <w:color w:val="0000FF"/>
              </w:rPr>
            </w:pPr>
            <w:hyperlink r:id="rId177">
              <w:r>
                <w:rPr>
                  <w:rFonts w:ascii="Arial" w:cs="Arial" w:eastAsia="Arial" w:hAnsi="Arial"/>
                  <w:sz w:val="16"/>
                  <w:szCs w:val="16"/>
                  <w:color w:val="0000FF"/>
                </w:rPr>
                <w:t>Form of Award Agreement-Restricted Stock Units (Incorporated by reference to Exhibit 10.17(a) to the Company’s Annual Report on Form</w:t>
              </w:r>
            </w:hyperlink>
          </w:p>
        </w:tc>
        <w:tc>
          <w:tcPr>
            <w:tcW w:w="240" w:type="dxa"/>
            <w:vAlign w:val="bottom"/>
            <w:tcBorders>
              <w:right w:val="single" w:sz="8" w:color="auto"/>
            </w:tcBorders>
            <w:gridSpan w:val="9"/>
          </w:tcPr>
          <w:p>
            <w:pPr>
              <w:spacing w:after="0"/>
              <w:rPr>
                <w:sz w:val="15"/>
                <w:szCs w:val="15"/>
                <w:color w:val="auto"/>
              </w:rPr>
            </w:pPr>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140" w:type="dxa"/>
            <w:vAlign w:val="bottom"/>
            <w:tcBorders>
              <w:right w:val="single" w:sz="8" w:color="auto"/>
            </w:tcBorders>
            <w:gridSpan w:val="41"/>
          </w:tcPr>
          <w:p>
            <w:pPr>
              <w:spacing w:after="0" w:line="169" w:lineRule="exact"/>
              <w:rPr>
                <w:rFonts w:ascii="Arial" w:cs="Arial" w:eastAsia="Arial" w:hAnsi="Arial"/>
                <w:sz w:val="16"/>
                <w:szCs w:val="16"/>
                <w:color w:val="0000FF"/>
              </w:rPr>
            </w:pPr>
            <w:hyperlink r:id="rId177">
              <w:r>
                <w:rPr>
                  <w:rFonts w:ascii="Arial" w:cs="Arial" w:eastAsia="Arial" w:hAnsi="Arial"/>
                  <w:sz w:val="16"/>
                  <w:szCs w:val="16"/>
                  <w:color w:val="0000FF"/>
                </w:rPr>
                <w:t>10-K for the year ended December 31, 2011, dated February 29, 2012).†</w:t>
              </w:r>
            </w:hyperlink>
          </w:p>
        </w:tc>
      </w:tr>
      <w:tr>
        <w:trPr>
          <w:trHeight w:val="34"/>
        </w:trPr>
        <w:tc>
          <w:tcPr>
            <w:tcW w:w="1160" w:type="dxa"/>
            <w:vAlign w:val="bottom"/>
            <w:tcBorders>
              <w:left w:val="single" w:sz="8" w:color="auto"/>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60" w:type="dxa"/>
            <w:vAlign w:val="bottom"/>
            <w:tcBorders>
              <w:top w:val="single" w:sz="8" w:color="0000FF"/>
              <w:bottom w:val="single" w:sz="8" w:color="auto"/>
            </w:tcBorders>
          </w:tcPr>
          <w:p>
            <w:pPr>
              <w:spacing w:after="0"/>
              <w:rPr>
                <w:sz w:val="2"/>
                <w:szCs w:val="2"/>
                <w:color w:val="auto"/>
              </w:rPr>
            </w:pPr>
          </w:p>
        </w:tc>
        <w:tc>
          <w:tcPr>
            <w:tcW w:w="260" w:type="dxa"/>
            <w:vAlign w:val="bottom"/>
            <w:tcBorders>
              <w:top w:val="single" w:sz="8" w:color="0000FF"/>
              <w:bottom w:val="single" w:sz="8" w:color="auto"/>
            </w:tcBorders>
          </w:tcPr>
          <w:p>
            <w:pPr>
              <w:spacing w:after="0"/>
              <w:rPr>
                <w:sz w:val="2"/>
                <w:szCs w:val="2"/>
                <w:color w:val="auto"/>
              </w:rPr>
            </w:pPr>
          </w:p>
        </w:tc>
        <w:tc>
          <w:tcPr>
            <w:tcW w:w="900" w:type="dxa"/>
            <w:vAlign w:val="bottom"/>
            <w:tcBorders>
              <w:top w:val="single" w:sz="8" w:color="0000FF"/>
              <w:bottom w:val="single" w:sz="8" w:color="auto"/>
            </w:tcBorders>
          </w:tcPr>
          <w:p>
            <w:pPr>
              <w:spacing w:after="0"/>
              <w:rPr>
                <w:sz w:val="2"/>
                <w:szCs w:val="2"/>
                <w:color w:val="auto"/>
              </w:rPr>
            </w:pPr>
          </w:p>
        </w:tc>
        <w:tc>
          <w:tcPr>
            <w:tcW w:w="320" w:type="dxa"/>
            <w:vAlign w:val="bottom"/>
            <w:tcBorders>
              <w:top w:val="single" w:sz="8" w:color="0000FF"/>
              <w:bottom w:val="single" w:sz="8" w:color="auto"/>
            </w:tcBorders>
          </w:tcPr>
          <w:p>
            <w:pPr>
              <w:spacing w:after="0"/>
              <w:rPr>
                <w:sz w:val="2"/>
                <w:szCs w:val="2"/>
                <w:color w:val="auto"/>
              </w:rPr>
            </w:pPr>
          </w:p>
        </w:tc>
        <w:tc>
          <w:tcPr>
            <w:tcW w:w="360" w:type="dxa"/>
            <w:vAlign w:val="bottom"/>
            <w:tcBorders>
              <w:top w:val="single" w:sz="8" w:color="0000FF"/>
              <w:bottom w:val="single" w:sz="8" w:color="auto"/>
            </w:tcBorders>
          </w:tcPr>
          <w:p>
            <w:pPr>
              <w:spacing w:after="0"/>
              <w:rPr>
                <w:sz w:val="2"/>
                <w:szCs w:val="2"/>
                <w:color w:val="auto"/>
              </w:rPr>
            </w:pPr>
          </w:p>
        </w:tc>
        <w:tc>
          <w:tcPr>
            <w:tcW w:w="1880" w:type="dxa"/>
            <w:vAlign w:val="bottom"/>
            <w:tcBorders>
              <w:top w:val="single" w:sz="8" w:color="0000FF"/>
              <w:bottom w:val="single" w:sz="8" w:color="auto"/>
            </w:tcBorders>
          </w:tcPr>
          <w:p>
            <w:pPr>
              <w:spacing w:after="0"/>
              <w:rPr>
                <w:sz w:val="2"/>
                <w:szCs w:val="2"/>
                <w:color w:val="auto"/>
              </w:rPr>
            </w:pPr>
          </w:p>
        </w:tc>
        <w:tc>
          <w:tcPr>
            <w:tcW w:w="320" w:type="dxa"/>
            <w:vAlign w:val="bottom"/>
            <w:tcBorders>
              <w:top w:val="single" w:sz="8" w:color="0000FF"/>
              <w:bottom w:val="single" w:sz="8" w:color="auto"/>
            </w:tcBorders>
          </w:tcPr>
          <w:p>
            <w:pPr>
              <w:spacing w:after="0"/>
              <w:rPr>
                <w:sz w:val="2"/>
                <w:szCs w:val="2"/>
                <w:color w:val="auto"/>
              </w:rPr>
            </w:pPr>
          </w:p>
        </w:tc>
        <w:tc>
          <w:tcPr>
            <w:tcW w:w="340" w:type="dxa"/>
            <w:vAlign w:val="bottom"/>
            <w:tcBorders>
              <w:top w:val="single" w:sz="8" w:color="0000FF"/>
              <w:bottom w:val="single" w:sz="8" w:color="auto"/>
            </w:tcBorders>
          </w:tcPr>
          <w:p>
            <w:pPr>
              <w:spacing w:after="0"/>
              <w:rPr>
                <w:sz w:val="2"/>
                <w:szCs w:val="2"/>
                <w:color w:val="auto"/>
              </w:rPr>
            </w:pPr>
          </w:p>
        </w:tc>
        <w:tc>
          <w:tcPr>
            <w:tcW w:w="100" w:type="dxa"/>
            <w:vAlign w:val="bottom"/>
            <w:tcBorders>
              <w:top w:val="single" w:sz="8" w:color="0000FF"/>
              <w:bottom w:val="single" w:sz="8" w:color="auto"/>
            </w:tcBorders>
          </w:tcPr>
          <w:p>
            <w:pPr>
              <w:spacing w:after="0"/>
              <w:rPr>
                <w:sz w:val="2"/>
                <w:szCs w:val="2"/>
                <w:color w:val="auto"/>
              </w:rPr>
            </w:pPr>
          </w:p>
        </w:tc>
        <w:tc>
          <w:tcPr>
            <w:tcW w:w="180" w:type="dxa"/>
            <w:vAlign w:val="bottom"/>
            <w:tcBorders>
              <w:top w:val="single" w:sz="8" w:color="0000FF"/>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right w:val="single" w:sz="8" w:color="auto"/>
            </w:tcBorders>
          </w:tcPr>
          <w:p>
            <w:pPr>
              <w:spacing w:after="0"/>
              <w:rPr>
                <w:sz w:val="2"/>
                <w:szCs w:val="2"/>
                <w:color w:val="auto"/>
              </w:rPr>
            </w:pPr>
          </w:p>
        </w:tc>
      </w:tr>
      <w:tr>
        <w:trPr>
          <w:trHeight w:val="183"/>
        </w:trPr>
        <w:tc>
          <w:tcPr>
            <w:tcW w:w="1160" w:type="dxa"/>
            <w:vAlign w:val="bottom"/>
            <w:tcBorders>
              <w:left w:val="single" w:sz="8" w:color="auto"/>
              <w:right w:val="single" w:sz="8" w:color="auto"/>
            </w:tcBorders>
          </w:tcPr>
          <w:p>
            <w:pPr>
              <w:ind w:left="40"/>
              <w:spacing w:after="0" w:line="183" w:lineRule="exact"/>
              <w:rPr>
                <w:sz w:val="20"/>
                <w:szCs w:val="20"/>
                <w:color w:val="auto"/>
              </w:rPr>
            </w:pPr>
            <w:r>
              <w:rPr>
                <w:rFonts w:ascii="Arial" w:cs="Arial" w:eastAsia="Arial" w:hAnsi="Arial"/>
                <w:sz w:val="16"/>
                <w:szCs w:val="16"/>
                <w:color w:val="auto"/>
              </w:rPr>
              <w:t>10.13</w:t>
            </w:r>
          </w:p>
        </w:tc>
        <w:tc>
          <w:tcPr>
            <w:tcW w:w="12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0140" w:type="dxa"/>
            <w:vAlign w:val="bottom"/>
            <w:tcBorders>
              <w:right w:val="single" w:sz="8" w:color="auto"/>
            </w:tcBorders>
            <w:gridSpan w:val="41"/>
          </w:tcPr>
          <w:p>
            <w:pPr>
              <w:spacing w:after="0" w:line="183" w:lineRule="exact"/>
              <w:rPr>
                <w:rFonts w:ascii="Arial" w:cs="Arial" w:eastAsia="Arial" w:hAnsi="Arial"/>
                <w:sz w:val="16"/>
                <w:szCs w:val="16"/>
                <w:color w:val="0000FF"/>
              </w:rPr>
            </w:pPr>
            <w:hyperlink r:id="rId178">
              <w:r>
                <w:rPr>
                  <w:rFonts w:ascii="Arial" w:cs="Arial" w:eastAsia="Arial" w:hAnsi="Arial"/>
                  <w:sz w:val="16"/>
                  <w:szCs w:val="16"/>
                  <w:color w:val="0000FF"/>
                </w:rPr>
                <w:t>Form of Award Agreement-Stock Appreciation Rights (Incorporated by reference to Exhibit 10.2 to the Company’s Current Report on Form</w:t>
              </w:r>
            </w:hyperlink>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9900" w:type="dxa"/>
            <w:vAlign w:val="bottom"/>
            <w:tcBorders>
              <w:top w:val="single" w:sz="8" w:color="0000FF"/>
            </w:tcBorders>
            <w:gridSpan w:val="32"/>
          </w:tcPr>
          <w:p>
            <w:pPr>
              <w:spacing w:after="0" w:line="169" w:lineRule="exact"/>
              <w:rPr>
                <w:rFonts w:ascii="Arial" w:cs="Arial" w:eastAsia="Arial" w:hAnsi="Arial"/>
                <w:sz w:val="16"/>
                <w:szCs w:val="16"/>
                <w:color w:val="0000FF"/>
              </w:rPr>
            </w:pPr>
            <w:hyperlink r:id="rId178">
              <w:r>
                <w:rPr>
                  <w:rFonts w:ascii="Arial" w:cs="Arial" w:eastAsia="Arial" w:hAnsi="Arial"/>
                  <w:sz w:val="16"/>
                  <w:szCs w:val="16"/>
                  <w:color w:val="0000FF"/>
                </w:rPr>
                <w:t>8-K dated August 4, 2006).†</w:t>
              </w:r>
            </w:hyperlink>
          </w:p>
        </w:tc>
        <w:tc>
          <w:tcPr>
            <w:tcW w:w="240" w:type="dxa"/>
            <w:vAlign w:val="bottom"/>
            <w:tcBorders>
              <w:right w:val="single" w:sz="8" w:color="auto"/>
            </w:tcBorders>
            <w:gridSpan w:val="9"/>
          </w:tcPr>
          <w:p>
            <w:pPr>
              <w:spacing w:after="0"/>
              <w:rPr>
                <w:sz w:val="14"/>
                <w:szCs w:val="14"/>
                <w:color w:val="auto"/>
              </w:rPr>
            </w:pPr>
          </w:p>
        </w:tc>
      </w:tr>
      <w:tr>
        <w:trPr>
          <w:trHeight w:val="34"/>
        </w:trPr>
        <w:tc>
          <w:tcPr>
            <w:tcW w:w="1160" w:type="dxa"/>
            <w:vAlign w:val="bottom"/>
            <w:tcBorders>
              <w:left w:val="single" w:sz="8" w:color="auto"/>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60" w:type="dxa"/>
            <w:vAlign w:val="bottom"/>
            <w:tcBorders>
              <w:top w:val="single" w:sz="8" w:color="0000FF"/>
              <w:bottom w:val="single" w:sz="8" w:color="auto"/>
            </w:tcBorders>
          </w:tcPr>
          <w:p>
            <w:pPr>
              <w:spacing w:after="0"/>
              <w:rPr>
                <w:sz w:val="2"/>
                <w:szCs w:val="2"/>
                <w:color w:val="auto"/>
              </w:rPr>
            </w:pPr>
          </w:p>
        </w:tc>
        <w:tc>
          <w:tcPr>
            <w:tcW w:w="260" w:type="dxa"/>
            <w:vAlign w:val="bottom"/>
            <w:tcBorders>
              <w:top w:val="single" w:sz="8" w:color="0000FF"/>
              <w:bottom w:val="single" w:sz="8" w:color="auto"/>
            </w:tcBorders>
          </w:tcPr>
          <w:p>
            <w:pPr>
              <w:spacing w:after="0"/>
              <w:rPr>
                <w:sz w:val="2"/>
                <w:szCs w:val="2"/>
                <w:color w:val="auto"/>
              </w:rPr>
            </w:pPr>
          </w:p>
        </w:tc>
        <w:tc>
          <w:tcPr>
            <w:tcW w:w="900" w:type="dxa"/>
            <w:vAlign w:val="bottom"/>
            <w:tcBorders>
              <w:top w:val="single" w:sz="8" w:color="0000FF"/>
              <w:bottom w:val="single" w:sz="8" w:color="auto"/>
            </w:tcBorders>
          </w:tcPr>
          <w:p>
            <w:pPr>
              <w:spacing w:after="0"/>
              <w:rPr>
                <w:sz w:val="2"/>
                <w:szCs w:val="2"/>
                <w:color w:val="auto"/>
              </w:rPr>
            </w:pPr>
          </w:p>
        </w:tc>
        <w:tc>
          <w:tcPr>
            <w:tcW w:w="320" w:type="dxa"/>
            <w:vAlign w:val="bottom"/>
            <w:tcBorders>
              <w:top w:val="single" w:sz="8" w:color="0000FF"/>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right w:val="single" w:sz="8" w:color="auto"/>
            </w:tcBorders>
          </w:tcPr>
          <w:p>
            <w:pPr>
              <w:spacing w:after="0"/>
              <w:rPr>
                <w:sz w:val="2"/>
                <w:szCs w:val="2"/>
                <w:color w:val="auto"/>
              </w:rPr>
            </w:pPr>
          </w:p>
        </w:tc>
      </w:tr>
      <w:tr>
        <w:trPr>
          <w:trHeight w:val="183"/>
        </w:trPr>
        <w:tc>
          <w:tcPr>
            <w:tcW w:w="1160" w:type="dxa"/>
            <w:vAlign w:val="bottom"/>
            <w:tcBorders>
              <w:left w:val="single" w:sz="8" w:color="auto"/>
              <w:right w:val="single" w:sz="8" w:color="auto"/>
            </w:tcBorders>
          </w:tcPr>
          <w:p>
            <w:pPr>
              <w:ind w:left="40"/>
              <w:spacing w:after="0" w:line="183" w:lineRule="exact"/>
              <w:rPr>
                <w:sz w:val="20"/>
                <w:szCs w:val="20"/>
                <w:color w:val="auto"/>
              </w:rPr>
            </w:pPr>
            <w:r>
              <w:rPr>
                <w:rFonts w:ascii="Arial" w:cs="Arial" w:eastAsia="Arial" w:hAnsi="Arial"/>
                <w:sz w:val="16"/>
                <w:szCs w:val="16"/>
                <w:color w:val="auto"/>
              </w:rPr>
              <w:t>10.14</w:t>
            </w:r>
          </w:p>
        </w:tc>
        <w:tc>
          <w:tcPr>
            <w:tcW w:w="12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0140" w:type="dxa"/>
            <w:vAlign w:val="bottom"/>
            <w:tcBorders>
              <w:right w:val="single" w:sz="8" w:color="auto"/>
            </w:tcBorders>
            <w:gridSpan w:val="41"/>
          </w:tcPr>
          <w:p>
            <w:pPr>
              <w:spacing w:after="0" w:line="183" w:lineRule="exact"/>
              <w:rPr>
                <w:rFonts w:ascii="Arial" w:cs="Arial" w:eastAsia="Arial" w:hAnsi="Arial"/>
                <w:sz w:val="16"/>
                <w:szCs w:val="16"/>
                <w:color w:val="0000FF"/>
              </w:rPr>
            </w:pPr>
            <w:hyperlink r:id="rId179">
              <w:r>
                <w:rPr>
                  <w:rFonts w:ascii="Arial" w:cs="Arial" w:eastAsia="Arial" w:hAnsi="Arial"/>
                  <w:sz w:val="16"/>
                  <w:szCs w:val="16"/>
                  <w:color w:val="0000FF"/>
                </w:rPr>
                <w:t>Form of Award Agreement-Stock Options (Incorporated by reference to Exhibit 10.15(c) to the Company’s Annual Report on Form 10-K for</w:t>
              </w:r>
            </w:hyperlink>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9920" w:type="dxa"/>
            <w:vAlign w:val="bottom"/>
            <w:tcBorders>
              <w:top w:val="single" w:sz="8" w:color="0000FF"/>
            </w:tcBorders>
            <w:gridSpan w:val="33"/>
          </w:tcPr>
          <w:p>
            <w:pPr>
              <w:spacing w:after="0" w:line="169" w:lineRule="exact"/>
              <w:rPr>
                <w:rFonts w:ascii="Arial" w:cs="Arial" w:eastAsia="Arial" w:hAnsi="Arial"/>
                <w:sz w:val="16"/>
                <w:szCs w:val="16"/>
                <w:color w:val="0000FF"/>
              </w:rPr>
            </w:pPr>
            <w:hyperlink r:id="rId179">
              <w:r>
                <w:rPr>
                  <w:rFonts w:ascii="Arial" w:cs="Arial" w:eastAsia="Arial" w:hAnsi="Arial"/>
                  <w:sz w:val="16"/>
                  <w:szCs w:val="16"/>
                  <w:color w:val="0000FF"/>
                </w:rPr>
                <w:t>the year ended December 31, 2008, dated February 26, 2009).†</w:t>
              </w:r>
            </w:hyperlink>
          </w:p>
        </w:tc>
        <w:tc>
          <w:tcPr>
            <w:tcW w:w="220" w:type="dxa"/>
            <w:vAlign w:val="bottom"/>
            <w:tcBorders>
              <w:right w:val="single" w:sz="8" w:color="auto"/>
            </w:tcBorders>
            <w:gridSpan w:val="8"/>
          </w:tcPr>
          <w:p>
            <w:pPr>
              <w:spacing w:after="0"/>
              <w:rPr>
                <w:sz w:val="14"/>
                <w:szCs w:val="14"/>
                <w:color w:val="auto"/>
              </w:rPr>
            </w:pPr>
          </w:p>
        </w:tc>
      </w:tr>
      <w:tr>
        <w:trPr>
          <w:trHeight w:val="34"/>
        </w:trPr>
        <w:tc>
          <w:tcPr>
            <w:tcW w:w="1160" w:type="dxa"/>
            <w:vAlign w:val="bottom"/>
            <w:tcBorders>
              <w:left w:val="single" w:sz="8" w:color="auto"/>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60" w:type="dxa"/>
            <w:vAlign w:val="bottom"/>
            <w:tcBorders>
              <w:top w:val="single" w:sz="8" w:color="0000FF"/>
              <w:bottom w:val="single" w:sz="8" w:color="auto"/>
            </w:tcBorders>
          </w:tcPr>
          <w:p>
            <w:pPr>
              <w:spacing w:after="0"/>
              <w:rPr>
                <w:sz w:val="2"/>
                <w:szCs w:val="2"/>
                <w:color w:val="auto"/>
              </w:rPr>
            </w:pPr>
          </w:p>
        </w:tc>
        <w:tc>
          <w:tcPr>
            <w:tcW w:w="260" w:type="dxa"/>
            <w:vAlign w:val="bottom"/>
            <w:tcBorders>
              <w:top w:val="single" w:sz="8" w:color="0000FF"/>
              <w:bottom w:val="single" w:sz="8" w:color="auto"/>
            </w:tcBorders>
          </w:tcPr>
          <w:p>
            <w:pPr>
              <w:spacing w:after="0"/>
              <w:rPr>
                <w:sz w:val="2"/>
                <w:szCs w:val="2"/>
                <w:color w:val="auto"/>
              </w:rPr>
            </w:pPr>
          </w:p>
        </w:tc>
        <w:tc>
          <w:tcPr>
            <w:tcW w:w="900" w:type="dxa"/>
            <w:vAlign w:val="bottom"/>
            <w:tcBorders>
              <w:top w:val="single" w:sz="8" w:color="0000FF"/>
              <w:bottom w:val="single" w:sz="8" w:color="auto"/>
            </w:tcBorders>
          </w:tcPr>
          <w:p>
            <w:pPr>
              <w:spacing w:after="0"/>
              <w:rPr>
                <w:sz w:val="2"/>
                <w:szCs w:val="2"/>
                <w:color w:val="auto"/>
              </w:rPr>
            </w:pPr>
          </w:p>
        </w:tc>
        <w:tc>
          <w:tcPr>
            <w:tcW w:w="320" w:type="dxa"/>
            <w:vAlign w:val="bottom"/>
            <w:tcBorders>
              <w:top w:val="single" w:sz="8" w:color="0000FF"/>
              <w:bottom w:val="single" w:sz="8" w:color="auto"/>
            </w:tcBorders>
          </w:tcPr>
          <w:p>
            <w:pPr>
              <w:spacing w:after="0"/>
              <w:rPr>
                <w:sz w:val="2"/>
                <w:szCs w:val="2"/>
                <w:color w:val="auto"/>
              </w:rPr>
            </w:pPr>
          </w:p>
        </w:tc>
        <w:tc>
          <w:tcPr>
            <w:tcW w:w="360" w:type="dxa"/>
            <w:vAlign w:val="bottom"/>
            <w:tcBorders>
              <w:top w:val="single" w:sz="8" w:color="0000FF"/>
              <w:bottom w:val="single" w:sz="8" w:color="auto"/>
            </w:tcBorders>
          </w:tcPr>
          <w:p>
            <w:pPr>
              <w:spacing w:after="0"/>
              <w:rPr>
                <w:sz w:val="2"/>
                <w:szCs w:val="2"/>
                <w:color w:val="auto"/>
              </w:rPr>
            </w:pPr>
          </w:p>
        </w:tc>
        <w:tc>
          <w:tcPr>
            <w:tcW w:w="1880" w:type="dxa"/>
            <w:vAlign w:val="bottom"/>
            <w:tcBorders>
              <w:top w:val="single" w:sz="8" w:color="0000FF"/>
              <w:bottom w:val="single" w:sz="8" w:color="auto"/>
            </w:tcBorders>
          </w:tcPr>
          <w:p>
            <w:pPr>
              <w:spacing w:after="0"/>
              <w:rPr>
                <w:sz w:val="2"/>
                <w:szCs w:val="2"/>
                <w:color w:val="auto"/>
              </w:rPr>
            </w:pPr>
          </w:p>
        </w:tc>
        <w:tc>
          <w:tcPr>
            <w:tcW w:w="320" w:type="dxa"/>
            <w:vAlign w:val="bottom"/>
            <w:tcBorders>
              <w:top w:val="single" w:sz="8" w:color="0000FF"/>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right w:val="single" w:sz="8" w:color="auto"/>
            </w:tcBorders>
          </w:tcPr>
          <w:p>
            <w:pPr>
              <w:spacing w:after="0"/>
              <w:rPr>
                <w:sz w:val="2"/>
                <w:szCs w:val="2"/>
                <w:color w:val="auto"/>
              </w:rPr>
            </w:pPr>
          </w:p>
        </w:tc>
      </w:tr>
      <w:tr>
        <w:trPr>
          <w:trHeight w:val="183"/>
        </w:trPr>
        <w:tc>
          <w:tcPr>
            <w:tcW w:w="1160" w:type="dxa"/>
            <w:vAlign w:val="bottom"/>
            <w:tcBorders>
              <w:left w:val="single" w:sz="8" w:color="auto"/>
              <w:right w:val="single" w:sz="8" w:color="auto"/>
            </w:tcBorders>
          </w:tcPr>
          <w:p>
            <w:pPr>
              <w:ind w:left="40"/>
              <w:spacing w:after="0" w:line="183" w:lineRule="exact"/>
              <w:rPr>
                <w:sz w:val="20"/>
                <w:szCs w:val="20"/>
                <w:color w:val="auto"/>
              </w:rPr>
            </w:pPr>
            <w:r>
              <w:rPr>
                <w:rFonts w:ascii="Arial" w:cs="Arial" w:eastAsia="Arial" w:hAnsi="Arial"/>
                <w:sz w:val="16"/>
                <w:szCs w:val="16"/>
                <w:color w:val="auto"/>
              </w:rPr>
              <w:t>10.15</w:t>
            </w:r>
          </w:p>
        </w:tc>
        <w:tc>
          <w:tcPr>
            <w:tcW w:w="12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9940" w:type="dxa"/>
            <w:vAlign w:val="bottom"/>
            <w:tcBorders>
              <w:bottom w:val="single" w:sz="8" w:color="0000FF"/>
            </w:tcBorders>
            <w:gridSpan w:val="34"/>
          </w:tcPr>
          <w:p>
            <w:pPr>
              <w:spacing w:after="0" w:line="183" w:lineRule="exact"/>
              <w:rPr>
                <w:rFonts w:ascii="Arial" w:cs="Arial" w:eastAsia="Arial" w:hAnsi="Arial"/>
                <w:sz w:val="16"/>
                <w:szCs w:val="16"/>
                <w:color w:val="0000FF"/>
              </w:rPr>
            </w:pPr>
            <w:hyperlink r:id="rId180">
              <w:r>
                <w:rPr>
                  <w:rFonts w:ascii="Arial" w:cs="Arial" w:eastAsia="Arial" w:hAnsi="Arial"/>
                  <w:sz w:val="16"/>
                  <w:szCs w:val="16"/>
                  <w:color w:val="0000FF"/>
                </w:rPr>
                <w:t>Form of Award Agreement-Stock Options (Incorporated by reference to Exhibit 10.15(d) to the Company’s Annual Report on Form 10-K for</w:t>
              </w:r>
            </w:hyperlink>
          </w:p>
        </w:tc>
        <w:tc>
          <w:tcPr>
            <w:tcW w:w="200" w:type="dxa"/>
            <w:vAlign w:val="bottom"/>
            <w:tcBorders>
              <w:right w:val="single" w:sz="8" w:color="auto"/>
            </w:tcBorders>
            <w:gridSpan w:val="7"/>
          </w:tcPr>
          <w:p>
            <w:pPr>
              <w:spacing w:after="0"/>
              <w:rPr>
                <w:sz w:val="15"/>
                <w:szCs w:val="15"/>
                <w:color w:val="auto"/>
              </w:rPr>
            </w:pPr>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140" w:type="dxa"/>
            <w:vAlign w:val="bottom"/>
            <w:tcBorders>
              <w:right w:val="single" w:sz="8" w:color="auto"/>
            </w:tcBorders>
            <w:gridSpan w:val="41"/>
          </w:tcPr>
          <w:p>
            <w:pPr>
              <w:spacing w:after="0" w:line="169" w:lineRule="exact"/>
              <w:rPr>
                <w:rFonts w:ascii="Arial" w:cs="Arial" w:eastAsia="Arial" w:hAnsi="Arial"/>
                <w:sz w:val="16"/>
                <w:szCs w:val="16"/>
                <w:color w:val="0000FF"/>
              </w:rPr>
            </w:pPr>
            <w:hyperlink r:id="rId180">
              <w:r>
                <w:rPr>
                  <w:rFonts w:ascii="Arial" w:cs="Arial" w:eastAsia="Arial" w:hAnsi="Arial"/>
                  <w:sz w:val="16"/>
                  <w:szCs w:val="16"/>
                  <w:color w:val="0000FF"/>
                </w:rPr>
                <w:t>the year ended December 31, 2008, dated February 26, 2009).†</w:t>
              </w:r>
            </w:hyperlink>
          </w:p>
        </w:tc>
      </w:tr>
      <w:tr>
        <w:trPr>
          <w:trHeight w:val="34"/>
        </w:trPr>
        <w:tc>
          <w:tcPr>
            <w:tcW w:w="1160" w:type="dxa"/>
            <w:vAlign w:val="bottom"/>
            <w:tcBorders>
              <w:left w:val="single" w:sz="8" w:color="auto"/>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60" w:type="dxa"/>
            <w:vAlign w:val="bottom"/>
            <w:tcBorders>
              <w:top w:val="single" w:sz="8" w:color="0000FF"/>
              <w:bottom w:val="single" w:sz="8" w:color="auto"/>
            </w:tcBorders>
          </w:tcPr>
          <w:p>
            <w:pPr>
              <w:spacing w:after="0"/>
              <w:rPr>
                <w:sz w:val="2"/>
                <w:szCs w:val="2"/>
                <w:color w:val="auto"/>
              </w:rPr>
            </w:pPr>
          </w:p>
        </w:tc>
        <w:tc>
          <w:tcPr>
            <w:tcW w:w="260" w:type="dxa"/>
            <w:vAlign w:val="bottom"/>
            <w:tcBorders>
              <w:top w:val="single" w:sz="8" w:color="0000FF"/>
              <w:bottom w:val="single" w:sz="8" w:color="auto"/>
            </w:tcBorders>
          </w:tcPr>
          <w:p>
            <w:pPr>
              <w:spacing w:after="0"/>
              <w:rPr>
                <w:sz w:val="2"/>
                <w:szCs w:val="2"/>
                <w:color w:val="auto"/>
              </w:rPr>
            </w:pPr>
          </w:p>
        </w:tc>
        <w:tc>
          <w:tcPr>
            <w:tcW w:w="900" w:type="dxa"/>
            <w:vAlign w:val="bottom"/>
            <w:tcBorders>
              <w:top w:val="single" w:sz="8" w:color="0000FF"/>
              <w:bottom w:val="single" w:sz="8" w:color="auto"/>
            </w:tcBorders>
          </w:tcPr>
          <w:p>
            <w:pPr>
              <w:spacing w:after="0"/>
              <w:rPr>
                <w:sz w:val="2"/>
                <w:szCs w:val="2"/>
                <w:color w:val="auto"/>
              </w:rPr>
            </w:pPr>
          </w:p>
        </w:tc>
        <w:tc>
          <w:tcPr>
            <w:tcW w:w="320" w:type="dxa"/>
            <w:vAlign w:val="bottom"/>
            <w:tcBorders>
              <w:top w:val="single" w:sz="8" w:color="0000FF"/>
              <w:bottom w:val="single" w:sz="8" w:color="auto"/>
            </w:tcBorders>
          </w:tcPr>
          <w:p>
            <w:pPr>
              <w:spacing w:after="0"/>
              <w:rPr>
                <w:sz w:val="2"/>
                <w:szCs w:val="2"/>
                <w:color w:val="auto"/>
              </w:rPr>
            </w:pPr>
          </w:p>
        </w:tc>
        <w:tc>
          <w:tcPr>
            <w:tcW w:w="360" w:type="dxa"/>
            <w:vAlign w:val="bottom"/>
            <w:tcBorders>
              <w:top w:val="single" w:sz="8" w:color="0000FF"/>
              <w:bottom w:val="single" w:sz="8" w:color="auto"/>
            </w:tcBorders>
          </w:tcPr>
          <w:p>
            <w:pPr>
              <w:spacing w:after="0"/>
              <w:rPr>
                <w:sz w:val="2"/>
                <w:szCs w:val="2"/>
                <w:color w:val="auto"/>
              </w:rPr>
            </w:pPr>
          </w:p>
        </w:tc>
        <w:tc>
          <w:tcPr>
            <w:tcW w:w="1880" w:type="dxa"/>
            <w:vAlign w:val="bottom"/>
            <w:tcBorders>
              <w:top w:val="single" w:sz="8" w:color="0000FF"/>
              <w:bottom w:val="single" w:sz="8" w:color="auto"/>
            </w:tcBorders>
          </w:tcPr>
          <w:p>
            <w:pPr>
              <w:spacing w:after="0"/>
              <w:rPr>
                <w:sz w:val="2"/>
                <w:szCs w:val="2"/>
                <w:color w:val="auto"/>
              </w:rPr>
            </w:pPr>
          </w:p>
        </w:tc>
        <w:tc>
          <w:tcPr>
            <w:tcW w:w="320" w:type="dxa"/>
            <w:vAlign w:val="bottom"/>
            <w:tcBorders>
              <w:top w:val="single" w:sz="8" w:color="0000FF"/>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right w:val="single" w:sz="8" w:color="auto"/>
            </w:tcBorders>
          </w:tcPr>
          <w:p>
            <w:pPr>
              <w:spacing w:after="0"/>
              <w:rPr>
                <w:sz w:val="2"/>
                <w:szCs w:val="2"/>
                <w:color w:val="auto"/>
              </w:rPr>
            </w:pPr>
          </w:p>
        </w:tc>
      </w:tr>
      <w:tr>
        <w:trPr>
          <w:trHeight w:val="183"/>
        </w:trPr>
        <w:tc>
          <w:tcPr>
            <w:tcW w:w="1160" w:type="dxa"/>
            <w:vAlign w:val="bottom"/>
            <w:tcBorders>
              <w:left w:val="single" w:sz="8" w:color="auto"/>
              <w:right w:val="single" w:sz="8" w:color="auto"/>
            </w:tcBorders>
          </w:tcPr>
          <w:p>
            <w:pPr>
              <w:ind w:left="40"/>
              <w:spacing w:after="0" w:line="183" w:lineRule="exact"/>
              <w:rPr>
                <w:sz w:val="20"/>
                <w:szCs w:val="20"/>
                <w:color w:val="auto"/>
              </w:rPr>
            </w:pPr>
            <w:r>
              <w:rPr>
                <w:rFonts w:ascii="Arial" w:cs="Arial" w:eastAsia="Arial" w:hAnsi="Arial"/>
                <w:sz w:val="16"/>
                <w:szCs w:val="16"/>
                <w:color w:val="auto"/>
              </w:rPr>
              <w:t>10.16</w:t>
            </w:r>
          </w:p>
        </w:tc>
        <w:tc>
          <w:tcPr>
            <w:tcW w:w="12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0140" w:type="dxa"/>
            <w:vAlign w:val="bottom"/>
            <w:tcBorders>
              <w:right w:val="single" w:sz="8" w:color="auto"/>
            </w:tcBorders>
            <w:gridSpan w:val="41"/>
          </w:tcPr>
          <w:p>
            <w:pPr>
              <w:spacing w:after="0" w:line="183" w:lineRule="exact"/>
              <w:rPr>
                <w:rFonts w:ascii="Arial" w:cs="Arial" w:eastAsia="Arial" w:hAnsi="Arial"/>
                <w:sz w:val="16"/>
                <w:szCs w:val="16"/>
                <w:color w:val="0000FF"/>
              </w:rPr>
            </w:pPr>
            <w:hyperlink r:id="rId181">
              <w:r>
                <w:rPr>
                  <w:rFonts w:ascii="Arial" w:cs="Arial" w:eastAsia="Arial" w:hAnsi="Arial"/>
                  <w:sz w:val="16"/>
                  <w:szCs w:val="16"/>
                  <w:color w:val="0000FF"/>
                </w:rPr>
                <w:t>Form of Other Stock or Cash-Based Award Agreement (Incorporated by reference to Exhibit 10.4 to the Company’s Quarterly Report on</w:t>
              </w:r>
            </w:hyperlink>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9720" w:type="dxa"/>
            <w:vAlign w:val="bottom"/>
            <w:tcBorders>
              <w:top w:val="single" w:sz="8" w:color="0000FF"/>
            </w:tcBorders>
            <w:gridSpan w:val="25"/>
          </w:tcPr>
          <w:p>
            <w:pPr>
              <w:spacing w:after="0" w:line="169" w:lineRule="exact"/>
              <w:rPr>
                <w:rFonts w:ascii="Arial" w:cs="Arial" w:eastAsia="Arial" w:hAnsi="Arial"/>
                <w:sz w:val="16"/>
                <w:szCs w:val="16"/>
                <w:color w:val="0000FF"/>
              </w:rPr>
            </w:pPr>
            <w:hyperlink r:id="rId181">
              <w:r>
                <w:rPr>
                  <w:rFonts w:ascii="Arial" w:cs="Arial" w:eastAsia="Arial" w:hAnsi="Arial"/>
                  <w:sz w:val="16"/>
                  <w:szCs w:val="16"/>
                  <w:color w:val="0000FF"/>
                </w:rPr>
                <w:t>Form 10-Q for the quarter ended June 30, 2009, dated August 6, 2009).†</w:t>
              </w:r>
            </w:hyperlink>
          </w:p>
        </w:tc>
        <w:tc>
          <w:tcPr>
            <w:tcW w:w="420" w:type="dxa"/>
            <w:vAlign w:val="bottom"/>
            <w:tcBorders>
              <w:right w:val="single" w:sz="8" w:color="auto"/>
            </w:tcBorders>
            <w:gridSpan w:val="16"/>
          </w:tcPr>
          <w:p>
            <w:pPr>
              <w:spacing w:after="0"/>
              <w:rPr>
                <w:sz w:val="14"/>
                <w:szCs w:val="14"/>
                <w:color w:val="auto"/>
              </w:rPr>
            </w:pPr>
          </w:p>
        </w:tc>
      </w:tr>
      <w:tr>
        <w:trPr>
          <w:trHeight w:val="34"/>
        </w:trPr>
        <w:tc>
          <w:tcPr>
            <w:tcW w:w="1160" w:type="dxa"/>
            <w:vAlign w:val="bottom"/>
            <w:tcBorders>
              <w:left w:val="single" w:sz="8" w:color="auto"/>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60" w:type="dxa"/>
            <w:vAlign w:val="bottom"/>
            <w:tcBorders>
              <w:top w:val="single" w:sz="8" w:color="0000FF"/>
              <w:bottom w:val="single" w:sz="8" w:color="auto"/>
            </w:tcBorders>
          </w:tcPr>
          <w:p>
            <w:pPr>
              <w:spacing w:after="0"/>
              <w:rPr>
                <w:sz w:val="2"/>
                <w:szCs w:val="2"/>
                <w:color w:val="auto"/>
              </w:rPr>
            </w:pPr>
          </w:p>
        </w:tc>
        <w:tc>
          <w:tcPr>
            <w:tcW w:w="260" w:type="dxa"/>
            <w:vAlign w:val="bottom"/>
            <w:tcBorders>
              <w:top w:val="single" w:sz="8" w:color="0000FF"/>
              <w:bottom w:val="single" w:sz="8" w:color="auto"/>
            </w:tcBorders>
          </w:tcPr>
          <w:p>
            <w:pPr>
              <w:spacing w:after="0"/>
              <w:rPr>
                <w:sz w:val="2"/>
                <w:szCs w:val="2"/>
                <w:color w:val="auto"/>
              </w:rPr>
            </w:pPr>
          </w:p>
        </w:tc>
        <w:tc>
          <w:tcPr>
            <w:tcW w:w="900" w:type="dxa"/>
            <w:vAlign w:val="bottom"/>
            <w:tcBorders>
              <w:top w:val="single" w:sz="8" w:color="0000FF"/>
              <w:bottom w:val="single" w:sz="8" w:color="auto"/>
            </w:tcBorders>
          </w:tcPr>
          <w:p>
            <w:pPr>
              <w:spacing w:after="0"/>
              <w:rPr>
                <w:sz w:val="2"/>
                <w:szCs w:val="2"/>
                <w:color w:val="auto"/>
              </w:rPr>
            </w:pPr>
          </w:p>
        </w:tc>
        <w:tc>
          <w:tcPr>
            <w:tcW w:w="320" w:type="dxa"/>
            <w:vAlign w:val="bottom"/>
            <w:tcBorders>
              <w:top w:val="single" w:sz="8" w:color="0000FF"/>
              <w:bottom w:val="single" w:sz="8" w:color="auto"/>
            </w:tcBorders>
          </w:tcPr>
          <w:p>
            <w:pPr>
              <w:spacing w:after="0"/>
              <w:rPr>
                <w:sz w:val="2"/>
                <w:szCs w:val="2"/>
                <w:color w:val="auto"/>
              </w:rPr>
            </w:pPr>
          </w:p>
        </w:tc>
        <w:tc>
          <w:tcPr>
            <w:tcW w:w="360" w:type="dxa"/>
            <w:vAlign w:val="bottom"/>
            <w:tcBorders>
              <w:top w:val="single" w:sz="8" w:color="0000FF"/>
              <w:bottom w:val="single" w:sz="8" w:color="auto"/>
            </w:tcBorders>
          </w:tcPr>
          <w:p>
            <w:pPr>
              <w:spacing w:after="0"/>
              <w:rPr>
                <w:sz w:val="2"/>
                <w:szCs w:val="2"/>
                <w:color w:val="auto"/>
              </w:rPr>
            </w:pPr>
          </w:p>
        </w:tc>
        <w:tc>
          <w:tcPr>
            <w:tcW w:w="1880" w:type="dxa"/>
            <w:vAlign w:val="bottom"/>
            <w:tcBorders>
              <w:top w:val="single" w:sz="8" w:color="0000FF"/>
              <w:bottom w:val="single" w:sz="8" w:color="auto"/>
            </w:tcBorders>
          </w:tcPr>
          <w:p>
            <w:pPr>
              <w:spacing w:after="0"/>
              <w:rPr>
                <w:sz w:val="2"/>
                <w:szCs w:val="2"/>
                <w:color w:val="auto"/>
              </w:rPr>
            </w:pPr>
          </w:p>
        </w:tc>
        <w:tc>
          <w:tcPr>
            <w:tcW w:w="320" w:type="dxa"/>
            <w:vAlign w:val="bottom"/>
            <w:tcBorders>
              <w:top w:val="single" w:sz="8" w:color="0000FF"/>
              <w:bottom w:val="single" w:sz="8" w:color="auto"/>
            </w:tcBorders>
          </w:tcPr>
          <w:p>
            <w:pPr>
              <w:spacing w:after="0"/>
              <w:rPr>
                <w:sz w:val="2"/>
                <w:szCs w:val="2"/>
                <w:color w:val="auto"/>
              </w:rPr>
            </w:pPr>
          </w:p>
        </w:tc>
        <w:tc>
          <w:tcPr>
            <w:tcW w:w="340" w:type="dxa"/>
            <w:vAlign w:val="bottom"/>
            <w:tcBorders>
              <w:top w:val="single" w:sz="8" w:color="0000FF"/>
              <w:bottom w:val="single" w:sz="8" w:color="auto"/>
            </w:tcBorders>
          </w:tcPr>
          <w:p>
            <w:pPr>
              <w:spacing w:after="0"/>
              <w:rPr>
                <w:sz w:val="2"/>
                <w:szCs w:val="2"/>
                <w:color w:val="auto"/>
              </w:rPr>
            </w:pPr>
          </w:p>
        </w:tc>
        <w:tc>
          <w:tcPr>
            <w:tcW w:w="100" w:type="dxa"/>
            <w:vAlign w:val="bottom"/>
            <w:tcBorders>
              <w:top w:val="single" w:sz="8" w:color="0000FF"/>
              <w:bottom w:val="single" w:sz="8" w:color="auto"/>
            </w:tcBorders>
          </w:tcPr>
          <w:p>
            <w:pPr>
              <w:spacing w:after="0"/>
              <w:rPr>
                <w:sz w:val="2"/>
                <w:szCs w:val="2"/>
                <w:color w:val="auto"/>
              </w:rPr>
            </w:pPr>
          </w:p>
        </w:tc>
        <w:tc>
          <w:tcPr>
            <w:tcW w:w="180" w:type="dxa"/>
            <w:vAlign w:val="bottom"/>
            <w:tcBorders>
              <w:top w:val="single" w:sz="8" w:color="0000FF"/>
              <w:bottom w:val="single" w:sz="8" w:color="auto"/>
            </w:tcBorders>
          </w:tcPr>
          <w:p>
            <w:pPr>
              <w:spacing w:after="0"/>
              <w:rPr>
                <w:sz w:val="2"/>
                <w:szCs w:val="2"/>
                <w:color w:val="auto"/>
              </w:rPr>
            </w:pPr>
          </w:p>
        </w:tc>
        <w:tc>
          <w:tcPr>
            <w:tcW w:w="20" w:type="dxa"/>
            <w:vAlign w:val="bottom"/>
            <w:tcBorders>
              <w:top w:val="single" w:sz="8" w:color="0000FF"/>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right w:val="single" w:sz="8" w:color="auto"/>
            </w:tcBorders>
          </w:tcPr>
          <w:p>
            <w:pPr>
              <w:spacing w:after="0"/>
              <w:rPr>
                <w:sz w:val="2"/>
                <w:szCs w:val="2"/>
                <w:color w:val="auto"/>
              </w:rPr>
            </w:pPr>
          </w:p>
        </w:tc>
      </w:tr>
      <w:tr>
        <w:trPr>
          <w:trHeight w:val="183"/>
        </w:trPr>
        <w:tc>
          <w:tcPr>
            <w:tcW w:w="1160" w:type="dxa"/>
            <w:vAlign w:val="bottom"/>
            <w:tcBorders>
              <w:left w:val="single" w:sz="8" w:color="auto"/>
              <w:right w:val="single" w:sz="8" w:color="auto"/>
            </w:tcBorders>
          </w:tcPr>
          <w:p>
            <w:pPr>
              <w:ind w:left="40"/>
              <w:spacing w:after="0" w:line="183" w:lineRule="exact"/>
              <w:rPr>
                <w:sz w:val="20"/>
                <w:szCs w:val="20"/>
                <w:color w:val="auto"/>
              </w:rPr>
            </w:pPr>
            <w:r>
              <w:rPr>
                <w:rFonts w:ascii="Arial" w:cs="Arial" w:eastAsia="Arial" w:hAnsi="Arial"/>
                <w:sz w:val="16"/>
                <w:szCs w:val="16"/>
                <w:color w:val="auto"/>
              </w:rPr>
              <w:t>10.17</w:t>
            </w:r>
          </w:p>
        </w:tc>
        <w:tc>
          <w:tcPr>
            <w:tcW w:w="12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0140" w:type="dxa"/>
            <w:vAlign w:val="bottom"/>
            <w:tcBorders>
              <w:right w:val="single" w:sz="8" w:color="auto"/>
            </w:tcBorders>
            <w:gridSpan w:val="41"/>
          </w:tcPr>
          <w:p>
            <w:pPr>
              <w:spacing w:after="0" w:line="183" w:lineRule="exact"/>
              <w:rPr>
                <w:rFonts w:ascii="Arial" w:cs="Arial" w:eastAsia="Arial" w:hAnsi="Arial"/>
                <w:sz w:val="16"/>
                <w:szCs w:val="16"/>
                <w:color w:val="0000FF"/>
              </w:rPr>
            </w:pPr>
            <w:hyperlink r:id="rId182">
              <w:r>
                <w:rPr>
                  <w:rFonts w:ascii="Arial" w:cs="Arial" w:eastAsia="Arial" w:hAnsi="Arial"/>
                  <w:sz w:val="16"/>
                  <w:szCs w:val="16"/>
                  <w:color w:val="0000FF"/>
                </w:rPr>
                <w:t>Avis Budget Group, Inc. Non-Employee Directors Deferred Compensation Plan, amended and restated as of January 1, 2013 (Incorporated</w:t>
              </w:r>
            </w:hyperlink>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9740" w:type="dxa"/>
            <w:vAlign w:val="bottom"/>
            <w:tcBorders>
              <w:top w:val="single" w:sz="8" w:color="0000FF"/>
              <w:bottom w:val="single" w:sz="8" w:color="0000FF"/>
            </w:tcBorders>
            <w:gridSpan w:val="26"/>
          </w:tcPr>
          <w:p>
            <w:pPr>
              <w:spacing w:after="0" w:line="169" w:lineRule="exact"/>
              <w:rPr>
                <w:rFonts w:ascii="Arial" w:cs="Arial" w:eastAsia="Arial" w:hAnsi="Arial"/>
                <w:sz w:val="16"/>
                <w:szCs w:val="16"/>
                <w:color w:val="0000FF"/>
              </w:rPr>
            </w:pPr>
            <w:hyperlink r:id="rId182">
              <w:r>
                <w:rPr>
                  <w:rFonts w:ascii="Arial" w:cs="Arial" w:eastAsia="Arial" w:hAnsi="Arial"/>
                  <w:sz w:val="16"/>
                  <w:szCs w:val="16"/>
                  <w:color w:val="0000FF"/>
                </w:rPr>
                <w:t>by reference to Exhibit 10.20 to the Company’s Annual Report on Form 10-K for the year ended December 31, 2012 dated February 21,</w:t>
              </w:r>
            </w:hyperlink>
          </w:p>
        </w:tc>
        <w:tc>
          <w:tcPr>
            <w:tcW w:w="240" w:type="dxa"/>
            <w:vAlign w:val="bottom"/>
            <w:tcBorders>
              <w:top w:val="single" w:sz="8" w:color="0000FF"/>
            </w:tcBorders>
            <w:gridSpan w:val="9"/>
          </w:tcPr>
          <w:p>
            <w:pPr>
              <w:spacing w:after="0"/>
              <w:rPr>
                <w:sz w:val="14"/>
                <w:szCs w:val="14"/>
                <w:color w:val="auto"/>
              </w:rPr>
            </w:pPr>
          </w:p>
        </w:tc>
        <w:tc>
          <w:tcPr>
            <w:tcW w:w="160" w:type="dxa"/>
            <w:vAlign w:val="bottom"/>
            <w:tcBorders>
              <w:right w:val="single" w:sz="8" w:color="auto"/>
            </w:tcBorders>
            <w:gridSpan w:val="6"/>
          </w:tcPr>
          <w:p>
            <w:pPr>
              <w:spacing w:after="0"/>
              <w:rPr>
                <w:sz w:val="14"/>
                <w:szCs w:val="14"/>
                <w:color w:val="auto"/>
              </w:rPr>
            </w:pPr>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140" w:type="dxa"/>
            <w:vAlign w:val="bottom"/>
            <w:tcBorders>
              <w:right w:val="single" w:sz="8" w:color="auto"/>
            </w:tcBorders>
            <w:gridSpan w:val="41"/>
          </w:tcPr>
          <w:p>
            <w:pPr>
              <w:spacing w:after="0" w:line="169" w:lineRule="exact"/>
              <w:rPr>
                <w:rFonts w:ascii="Arial" w:cs="Arial" w:eastAsia="Arial" w:hAnsi="Arial"/>
                <w:sz w:val="16"/>
                <w:szCs w:val="16"/>
                <w:color w:val="0000FF"/>
              </w:rPr>
            </w:pPr>
            <w:hyperlink r:id="rId182">
              <w:r>
                <w:rPr>
                  <w:rFonts w:ascii="Arial" w:cs="Arial" w:eastAsia="Arial" w:hAnsi="Arial"/>
                  <w:sz w:val="16"/>
                  <w:szCs w:val="16"/>
                  <w:color w:val="0000FF"/>
                </w:rPr>
                <w:t>2013).†</w:t>
              </w:r>
            </w:hyperlink>
          </w:p>
        </w:tc>
      </w:tr>
      <w:tr>
        <w:trPr>
          <w:trHeight w:val="34"/>
        </w:trPr>
        <w:tc>
          <w:tcPr>
            <w:tcW w:w="1160" w:type="dxa"/>
            <w:vAlign w:val="bottom"/>
            <w:tcBorders>
              <w:left w:val="single" w:sz="8" w:color="auto"/>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60" w:type="dxa"/>
            <w:vAlign w:val="bottom"/>
            <w:tcBorders>
              <w:top w:val="single" w:sz="8" w:color="0000FF"/>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right w:val="single" w:sz="8" w:color="auto"/>
            </w:tcBorders>
          </w:tcPr>
          <w:p>
            <w:pPr>
              <w:spacing w:after="0"/>
              <w:rPr>
                <w:sz w:val="2"/>
                <w:szCs w:val="2"/>
                <w:color w:val="auto"/>
              </w:rPr>
            </w:pPr>
          </w:p>
        </w:tc>
      </w:tr>
      <w:tr>
        <w:trPr>
          <w:trHeight w:val="183"/>
        </w:trPr>
        <w:tc>
          <w:tcPr>
            <w:tcW w:w="1160" w:type="dxa"/>
            <w:vAlign w:val="bottom"/>
            <w:tcBorders>
              <w:left w:val="single" w:sz="8" w:color="auto"/>
              <w:right w:val="single" w:sz="8" w:color="auto"/>
            </w:tcBorders>
          </w:tcPr>
          <w:p>
            <w:pPr>
              <w:ind w:left="40"/>
              <w:spacing w:after="0" w:line="183" w:lineRule="exact"/>
              <w:rPr>
                <w:sz w:val="20"/>
                <w:szCs w:val="20"/>
                <w:color w:val="auto"/>
              </w:rPr>
            </w:pPr>
            <w:r>
              <w:rPr>
                <w:rFonts w:ascii="Arial" w:cs="Arial" w:eastAsia="Arial" w:hAnsi="Arial"/>
                <w:sz w:val="16"/>
                <w:szCs w:val="16"/>
                <w:color w:val="auto"/>
              </w:rPr>
              <w:t>10.18</w:t>
            </w:r>
          </w:p>
        </w:tc>
        <w:tc>
          <w:tcPr>
            <w:tcW w:w="12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0140" w:type="dxa"/>
            <w:vAlign w:val="bottom"/>
            <w:tcBorders>
              <w:right w:val="single" w:sz="8" w:color="auto"/>
            </w:tcBorders>
            <w:gridSpan w:val="41"/>
          </w:tcPr>
          <w:p>
            <w:pPr>
              <w:spacing w:after="0" w:line="183" w:lineRule="exact"/>
              <w:rPr>
                <w:rFonts w:ascii="Arial" w:cs="Arial" w:eastAsia="Arial" w:hAnsi="Arial"/>
                <w:sz w:val="16"/>
                <w:szCs w:val="16"/>
                <w:color w:val="0000FF"/>
              </w:rPr>
            </w:pPr>
            <w:hyperlink r:id="rId183">
              <w:r>
                <w:rPr>
                  <w:rFonts w:ascii="Arial" w:cs="Arial" w:eastAsia="Arial" w:hAnsi="Arial"/>
                  <w:sz w:val="16"/>
                  <w:szCs w:val="16"/>
                  <w:color w:val="0000FF"/>
                </w:rPr>
                <w:t>Avis Budget Group, Inc. Deferred Compensation Plan, amended and restated as of November 1, 2008 (Incorporated by reference to Exhibit</w:t>
              </w:r>
            </w:hyperlink>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00" w:type="dxa"/>
            <w:vAlign w:val="bottom"/>
            <w:tcBorders>
              <w:top w:val="single" w:sz="8" w:color="0000FF"/>
            </w:tcBorders>
            <w:gridSpan w:val="36"/>
          </w:tcPr>
          <w:p>
            <w:pPr>
              <w:spacing w:after="0" w:line="169" w:lineRule="exact"/>
              <w:rPr>
                <w:rFonts w:ascii="Arial" w:cs="Arial" w:eastAsia="Arial" w:hAnsi="Arial"/>
                <w:sz w:val="16"/>
                <w:szCs w:val="16"/>
                <w:color w:val="0000FF"/>
              </w:rPr>
            </w:pPr>
            <w:hyperlink r:id="rId183">
              <w:r>
                <w:rPr>
                  <w:rFonts w:ascii="Arial" w:cs="Arial" w:eastAsia="Arial" w:hAnsi="Arial"/>
                  <w:sz w:val="16"/>
                  <w:szCs w:val="16"/>
                  <w:color w:val="0000FF"/>
                </w:rPr>
                <w:t>10.17 to the Company’s Annual Report on Form 10-K for the year ended December 31, 2008, dated February 26, 2009).†</w:t>
              </w:r>
            </w:hyperlink>
          </w:p>
        </w:tc>
        <w:tc>
          <w:tcPr>
            <w:tcW w:w="140" w:type="dxa"/>
            <w:vAlign w:val="bottom"/>
            <w:tcBorders>
              <w:right w:val="single" w:sz="8" w:color="auto"/>
            </w:tcBorders>
            <w:gridSpan w:val="5"/>
          </w:tcPr>
          <w:p>
            <w:pPr>
              <w:spacing w:after="0"/>
              <w:rPr>
                <w:sz w:val="14"/>
                <w:szCs w:val="14"/>
                <w:color w:val="auto"/>
              </w:rPr>
            </w:pPr>
          </w:p>
        </w:tc>
      </w:tr>
      <w:tr>
        <w:trPr>
          <w:trHeight w:val="34"/>
        </w:trPr>
        <w:tc>
          <w:tcPr>
            <w:tcW w:w="1160" w:type="dxa"/>
            <w:vAlign w:val="bottom"/>
            <w:tcBorders>
              <w:left w:val="single" w:sz="8" w:color="auto"/>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60" w:type="dxa"/>
            <w:vAlign w:val="bottom"/>
            <w:tcBorders>
              <w:top w:val="single" w:sz="8" w:color="0000FF"/>
              <w:bottom w:val="single" w:sz="8" w:color="auto"/>
            </w:tcBorders>
          </w:tcPr>
          <w:p>
            <w:pPr>
              <w:spacing w:after="0"/>
              <w:rPr>
                <w:sz w:val="2"/>
                <w:szCs w:val="2"/>
                <w:color w:val="auto"/>
              </w:rPr>
            </w:pPr>
          </w:p>
        </w:tc>
        <w:tc>
          <w:tcPr>
            <w:tcW w:w="260" w:type="dxa"/>
            <w:vAlign w:val="bottom"/>
            <w:tcBorders>
              <w:top w:val="single" w:sz="8" w:color="0000FF"/>
              <w:bottom w:val="single" w:sz="8" w:color="auto"/>
            </w:tcBorders>
          </w:tcPr>
          <w:p>
            <w:pPr>
              <w:spacing w:after="0"/>
              <w:rPr>
                <w:sz w:val="2"/>
                <w:szCs w:val="2"/>
                <w:color w:val="auto"/>
              </w:rPr>
            </w:pPr>
          </w:p>
        </w:tc>
        <w:tc>
          <w:tcPr>
            <w:tcW w:w="900" w:type="dxa"/>
            <w:vAlign w:val="bottom"/>
            <w:tcBorders>
              <w:top w:val="single" w:sz="8" w:color="0000FF"/>
              <w:bottom w:val="single" w:sz="8" w:color="auto"/>
            </w:tcBorders>
          </w:tcPr>
          <w:p>
            <w:pPr>
              <w:spacing w:after="0"/>
              <w:rPr>
                <w:sz w:val="2"/>
                <w:szCs w:val="2"/>
                <w:color w:val="auto"/>
              </w:rPr>
            </w:pPr>
          </w:p>
        </w:tc>
        <w:tc>
          <w:tcPr>
            <w:tcW w:w="320" w:type="dxa"/>
            <w:vAlign w:val="bottom"/>
            <w:tcBorders>
              <w:top w:val="single" w:sz="8" w:color="0000FF"/>
              <w:bottom w:val="single" w:sz="8" w:color="auto"/>
            </w:tcBorders>
          </w:tcPr>
          <w:p>
            <w:pPr>
              <w:spacing w:after="0"/>
              <w:rPr>
                <w:sz w:val="2"/>
                <w:szCs w:val="2"/>
                <w:color w:val="auto"/>
              </w:rPr>
            </w:pPr>
          </w:p>
        </w:tc>
        <w:tc>
          <w:tcPr>
            <w:tcW w:w="360" w:type="dxa"/>
            <w:vAlign w:val="bottom"/>
            <w:tcBorders>
              <w:top w:val="single" w:sz="8" w:color="0000FF"/>
              <w:bottom w:val="single" w:sz="8" w:color="auto"/>
            </w:tcBorders>
          </w:tcPr>
          <w:p>
            <w:pPr>
              <w:spacing w:after="0"/>
              <w:rPr>
                <w:sz w:val="2"/>
                <w:szCs w:val="2"/>
                <w:color w:val="auto"/>
              </w:rPr>
            </w:pPr>
          </w:p>
        </w:tc>
        <w:tc>
          <w:tcPr>
            <w:tcW w:w="1880" w:type="dxa"/>
            <w:vAlign w:val="bottom"/>
            <w:tcBorders>
              <w:top w:val="single" w:sz="8" w:color="0000FF"/>
              <w:bottom w:val="single" w:sz="8" w:color="auto"/>
            </w:tcBorders>
          </w:tcPr>
          <w:p>
            <w:pPr>
              <w:spacing w:after="0"/>
              <w:rPr>
                <w:sz w:val="2"/>
                <w:szCs w:val="2"/>
                <w:color w:val="auto"/>
              </w:rPr>
            </w:pPr>
          </w:p>
        </w:tc>
        <w:tc>
          <w:tcPr>
            <w:tcW w:w="320" w:type="dxa"/>
            <w:vAlign w:val="bottom"/>
            <w:tcBorders>
              <w:top w:val="single" w:sz="8" w:color="0000FF"/>
              <w:bottom w:val="single" w:sz="8" w:color="auto"/>
            </w:tcBorders>
          </w:tcPr>
          <w:p>
            <w:pPr>
              <w:spacing w:after="0"/>
              <w:rPr>
                <w:sz w:val="2"/>
                <w:szCs w:val="2"/>
                <w:color w:val="auto"/>
              </w:rPr>
            </w:pPr>
          </w:p>
        </w:tc>
        <w:tc>
          <w:tcPr>
            <w:tcW w:w="340" w:type="dxa"/>
            <w:vAlign w:val="bottom"/>
            <w:tcBorders>
              <w:top w:val="single" w:sz="8" w:color="0000FF"/>
              <w:bottom w:val="single" w:sz="8" w:color="auto"/>
            </w:tcBorders>
          </w:tcPr>
          <w:p>
            <w:pPr>
              <w:spacing w:after="0"/>
              <w:rPr>
                <w:sz w:val="2"/>
                <w:szCs w:val="2"/>
                <w:color w:val="auto"/>
              </w:rPr>
            </w:pPr>
          </w:p>
        </w:tc>
        <w:tc>
          <w:tcPr>
            <w:tcW w:w="100" w:type="dxa"/>
            <w:vAlign w:val="bottom"/>
            <w:tcBorders>
              <w:top w:val="single" w:sz="8" w:color="0000FF"/>
              <w:bottom w:val="single" w:sz="8" w:color="auto"/>
            </w:tcBorders>
          </w:tcPr>
          <w:p>
            <w:pPr>
              <w:spacing w:after="0"/>
              <w:rPr>
                <w:sz w:val="2"/>
                <w:szCs w:val="2"/>
                <w:color w:val="auto"/>
              </w:rPr>
            </w:pPr>
          </w:p>
        </w:tc>
        <w:tc>
          <w:tcPr>
            <w:tcW w:w="180" w:type="dxa"/>
            <w:vAlign w:val="bottom"/>
            <w:tcBorders>
              <w:top w:val="single" w:sz="8" w:color="0000FF"/>
              <w:bottom w:val="single" w:sz="8" w:color="auto"/>
            </w:tcBorders>
          </w:tcPr>
          <w:p>
            <w:pPr>
              <w:spacing w:after="0"/>
              <w:rPr>
                <w:sz w:val="2"/>
                <w:szCs w:val="2"/>
                <w:color w:val="auto"/>
              </w:rPr>
            </w:pPr>
          </w:p>
        </w:tc>
        <w:tc>
          <w:tcPr>
            <w:tcW w:w="20" w:type="dxa"/>
            <w:vAlign w:val="bottom"/>
            <w:tcBorders>
              <w:top w:val="single" w:sz="8" w:color="0000FF"/>
              <w:bottom w:val="single" w:sz="8" w:color="auto"/>
            </w:tcBorders>
          </w:tcPr>
          <w:p>
            <w:pPr>
              <w:spacing w:after="0"/>
              <w:rPr>
                <w:sz w:val="2"/>
                <w:szCs w:val="2"/>
                <w:color w:val="auto"/>
              </w:rPr>
            </w:pPr>
          </w:p>
        </w:tc>
        <w:tc>
          <w:tcPr>
            <w:tcW w:w="120" w:type="dxa"/>
            <w:vAlign w:val="bottom"/>
            <w:tcBorders>
              <w:top w:val="single" w:sz="8" w:color="0000FF"/>
              <w:bottom w:val="single" w:sz="8" w:color="auto"/>
            </w:tcBorders>
          </w:tcPr>
          <w:p>
            <w:pPr>
              <w:spacing w:after="0"/>
              <w:rPr>
                <w:sz w:val="2"/>
                <w:szCs w:val="2"/>
                <w:color w:val="auto"/>
              </w:rPr>
            </w:pPr>
          </w:p>
        </w:tc>
        <w:tc>
          <w:tcPr>
            <w:tcW w:w="520" w:type="dxa"/>
            <w:vAlign w:val="bottom"/>
            <w:tcBorders>
              <w:top w:val="single" w:sz="8" w:color="0000FF"/>
              <w:bottom w:val="single" w:sz="8" w:color="auto"/>
            </w:tcBorders>
          </w:tcPr>
          <w:p>
            <w:pPr>
              <w:spacing w:after="0"/>
              <w:rPr>
                <w:sz w:val="2"/>
                <w:szCs w:val="2"/>
                <w:color w:val="auto"/>
              </w:rPr>
            </w:pPr>
          </w:p>
        </w:tc>
        <w:tc>
          <w:tcPr>
            <w:tcW w:w="280" w:type="dxa"/>
            <w:vAlign w:val="bottom"/>
            <w:tcBorders>
              <w:top w:val="single" w:sz="8" w:color="0000FF"/>
              <w:bottom w:val="single" w:sz="8" w:color="auto"/>
            </w:tcBorders>
          </w:tcPr>
          <w:p>
            <w:pPr>
              <w:spacing w:after="0"/>
              <w:rPr>
                <w:sz w:val="2"/>
                <w:szCs w:val="2"/>
                <w:color w:val="auto"/>
              </w:rPr>
            </w:pPr>
          </w:p>
        </w:tc>
        <w:tc>
          <w:tcPr>
            <w:tcW w:w="240" w:type="dxa"/>
            <w:vAlign w:val="bottom"/>
            <w:tcBorders>
              <w:top w:val="single" w:sz="8" w:color="0000FF"/>
              <w:bottom w:val="single" w:sz="8" w:color="auto"/>
            </w:tcBorders>
          </w:tcPr>
          <w:p>
            <w:pPr>
              <w:spacing w:after="0"/>
              <w:rPr>
                <w:sz w:val="2"/>
                <w:szCs w:val="2"/>
                <w:color w:val="auto"/>
              </w:rPr>
            </w:pPr>
          </w:p>
        </w:tc>
        <w:tc>
          <w:tcPr>
            <w:tcW w:w="160" w:type="dxa"/>
            <w:vAlign w:val="bottom"/>
            <w:tcBorders>
              <w:top w:val="single" w:sz="8" w:color="0000FF"/>
              <w:bottom w:val="single" w:sz="8" w:color="auto"/>
            </w:tcBorders>
          </w:tcPr>
          <w:p>
            <w:pPr>
              <w:spacing w:after="0"/>
              <w:rPr>
                <w:sz w:val="2"/>
                <w:szCs w:val="2"/>
                <w:color w:val="auto"/>
              </w:rPr>
            </w:pPr>
          </w:p>
        </w:tc>
        <w:tc>
          <w:tcPr>
            <w:tcW w:w="60" w:type="dxa"/>
            <w:vAlign w:val="bottom"/>
            <w:tcBorders>
              <w:top w:val="single" w:sz="8" w:color="0000FF"/>
              <w:bottom w:val="single" w:sz="8" w:color="auto"/>
            </w:tcBorders>
          </w:tcPr>
          <w:p>
            <w:pPr>
              <w:spacing w:after="0"/>
              <w:rPr>
                <w:sz w:val="2"/>
                <w:szCs w:val="2"/>
                <w:color w:val="auto"/>
              </w:rPr>
            </w:pPr>
          </w:p>
        </w:tc>
        <w:tc>
          <w:tcPr>
            <w:tcW w:w="820" w:type="dxa"/>
            <w:vAlign w:val="bottom"/>
            <w:tcBorders>
              <w:top w:val="single" w:sz="8" w:color="0000FF"/>
              <w:bottom w:val="single" w:sz="8" w:color="auto"/>
            </w:tcBorders>
          </w:tcPr>
          <w:p>
            <w:pPr>
              <w:spacing w:after="0"/>
              <w:rPr>
                <w:sz w:val="2"/>
                <w:szCs w:val="2"/>
                <w:color w:val="auto"/>
              </w:rPr>
            </w:pPr>
          </w:p>
        </w:tc>
        <w:tc>
          <w:tcPr>
            <w:tcW w:w="1140" w:type="dxa"/>
            <w:vAlign w:val="bottom"/>
            <w:tcBorders>
              <w:top w:val="single" w:sz="8" w:color="0000FF"/>
              <w:bottom w:val="single" w:sz="8" w:color="auto"/>
            </w:tcBorders>
          </w:tcPr>
          <w:p>
            <w:pPr>
              <w:spacing w:after="0"/>
              <w:rPr>
                <w:sz w:val="2"/>
                <w:szCs w:val="2"/>
                <w:color w:val="auto"/>
              </w:rPr>
            </w:pPr>
          </w:p>
        </w:tc>
        <w:tc>
          <w:tcPr>
            <w:tcW w:w="140" w:type="dxa"/>
            <w:vAlign w:val="bottom"/>
            <w:tcBorders>
              <w:top w:val="single" w:sz="8" w:color="0000FF"/>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right w:val="single" w:sz="8" w:color="auto"/>
            </w:tcBorders>
          </w:tcPr>
          <w:p>
            <w:pPr>
              <w:spacing w:after="0"/>
              <w:rPr>
                <w:sz w:val="2"/>
                <w:szCs w:val="2"/>
                <w:color w:val="auto"/>
              </w:rPr>
            </w:pPr>
          </w:p>
        </w:tc>
      </w:tr>
      <w:tr>
        <w:trPr>
          <w:trHeight w:val="453"/>
        </w:trPr>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740" w:type="dxa"/>
            <w:vAlign w:val="bottom"/>
            <w:gridSpan w:val="36"/>
          </w:tcPr>
          <w:p>
            <w:pPr>
              <w:ind w:left="1860"/>
              <w:spacing w:after="0"/>
              <w:rPr>
                <w:sz w:val="20"/>
                <w:szCs w:val="20"/>
                <w:color w:val="auto"/>
              </w:rPr>
            </w:pPr>
            <w:r>
              <w:rPr>
                <w:rFonts w:ascii="Arial" w:cs="Arial" w:eastAsia="Arial" w:hAnsi="Arial"/>
                <w:sz w:val="18"/>
                <w:szCs w:val="18"/>
                <w:color w:val="auto"/>
              </w:rPr>
              <w:t>H-2</w:t>
            </w:r>
          </w:p>
        </w:tc>
      </w:tr>
    </w:tbl>
    <w:p>
      <w:pPr>
        <w:sectPr>
          <w:pgSz w:w="11900" w:h="16838" w:orient="portrait"/>
          <w:cols w:equalWidth="0" w:num="1">
            <w:col w:w="11440"/>
          </w:cols>
          <w:pgMar w:left="240" w:top="140" w:right="219" w:bottom="1440" w:gutter="0" w:footer="0" w:header="0"/>
        </w:sectPr>
      </w:pPr>
    </w:p>
    <w:bookmarkStart w:id="128" w:name="page129"/>
    <w:bookmarkEnd w:id="1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7" w:lineRule="exact"/>
        <w:rPr>
          <w:sz w:val="20"/>
          <w:szCs w:val="20"/>
          <w:color w:val="auto"/>
        </w:rPr>
      </w:pPr>
    </w:p>
    <w:tbl>
      <w:tblPr>
        <w:tblLayout w:type="fixed"/>
        <w:tblInd w:w="10" w:type="dxa"/>
        <w:tblCellMar>
          <w:top w:w="0" w:type="dxa"/>
          <w:left w:w="0" w:type="dxa"/>
          <w:bottom w:w="0" w:type="dxa"/>
          <w:right w:w="0" w:type="dxa"/>
        </w:tblCellMar>
      </w:tblPr>
      <w:tr>
        <w:trPr>
          <w:trHeight w:val="203"/>
        </w:trPr>
        <w:tc>
          <w:tcPr>
            <w:tcW w:w="116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10.19</w:t>
            </w:r>
          </w:p>
        </w:tc>
        <w:tc>
          <w:tcPr>
            <w:tcW w:w="120" w:type="dxa"/>
            <w:vAlign w:val="bottom"/>
            <w:tcBorders>
              <w:top w:val="single" w:sz="8" w:color="auto"/>
              <w:right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9740" w:type="dxa"/>
            <w:vAlign w:val="bottom"/>
            <w:tcBorders>
              <w:top w:val="single" w:sz="8" w:color="auto"/>
              <w:bottom w:val="single" w:sz="8" w:color="0000FF"/>
            </w:tcBorders>
            <w:gridSpan w:val="26"/>
          </w:tcPr>
          <w:p>
            <w:pPr>
              <w:spacing w:after="0"/>
              <w:rPr>
                <w:rFonts w:ascii="Arial" w:cs="Arial" w:eastAsia="Arial" w:hAnsi="Arial"/>
                <w:sz w:val="16"/>
                <w:szCs w:val="16"/>
                <w:color w:val="0000FF"/>
              </w:rPr>
            </w:pPr>
            <w:hyperlink r:id="rId184">
              <w:r>
                <w:rPr>
                  <w:rFonts w:ascii="Arial" w:cs="Arial" w:eastAsia="Arial" w:hAnsi="Arial"/>
                  <w:sz w:val="16"/>
                  <w:szCs w:val="16"/>
                  <w:color w:val="0000FF"/>
                </w:rPr>
                <w:t>Avis Budget Group, Inc. Savings Restoration Plan, amended and restated as of November 1, 2008 (Incorporated by reference to Exhibit</w:t>
              </w:r>
            </w:hyperlink>
          </w:p>
        </w:tc>
        <w:tc>
          <w:tcPr>
            <w:tcW w:w="400" w:type="dxa"/>
            <w:vAlign w:val="bottom"/>
            <w:tcBorders>
              <w:top w:val="single" w:sz="8" w:color="auto"/>
              <w:right w:val="single" w:sz="8" w:color="auto"/>
            </w:tcBorders>
            <w:gridSpan w:val="12"/>
          </w:tcPr>
          <w:p>
            <w:pPr>
              <w:spacing w:after="0"/>
              <w:rPr>
                <w:sz w:val="17"/>
                <w:szCs w:val="17"/>
                <w:color w:val="auto"/>
              </w:rPr>
            </w:pPr>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140" w:type="dxa"/>
            <w:vAlign w:val="bottom"/>
            <w:tcBorders>
              <w:right w:val="single" w:sz="8" w:color="auto"/>
            </w:tcBorders>
            <w:gridSpan w:val="38"/>
          </w:tcPr>
          <w:p>
            <w:pPr>
              <w:spacing w:after="0" w:line="169" w:lineRule="exact"/>
              <w:rPr>
                <w:rFonts w:ascii="Arial" w:cs="Arial" w:eastAsia="Arial" w:hAnsi="Arial"/>
                <w:sz w:val="16"/>
                <w:szCs w:val="16"/>
                <w:color w:val="0000FF"/>
              </w:rPr>
            </w:pPr>
            <w:hyperlink r:id="rId184">
              <w:r>
                <w:rPr>
                  <w:rFonts w:ascii="Arial" w:cs="Arial" w:eastAsia="Arial" w:hAnsi="Arial"/>
                  <w:sz w:val="16"/>
                  <w:szCs w:val="16"/>
                  <w:color w:val="0000FF"/>
                </w:rPr>
                <w:t>10.18 to the Company’s Annual Report on Form 10-K for the year ended December 31, 2008, dated February 26, 2009).†</w:t>
              </w:r>
            </w:hyperlink>
          </w:p>
        </w:tc>
      </w:tr>
      <w:tr>
        <w:trPr>
          <w:trHeight w:val="34"/>
        </w:trPr>
        <w:tc>
          <w:tcPr>
            <w:tcW w:w="1160" w:type="dxa"/>
            <w:vAlign w:val="bottom"/>
            <w:tcBorders>
              <w:left w:val="single" w:sz="8" w:color="auto"/>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40" w:type="dxa"/>
            <w:vAlign w:val="bottom"/>
            <w:tcBorders>
              <w:top w:val="single" w:sz="8" w:color="0000FF"/>
              <w:bottom w:val="single" w:sz="8" w:color="auto"/>
            </w:tcBorders>
          </w:tcPr>
          <w:p>
            <w:pPr>
              <w:spacing w:after="0"/>
              <w:rPr>
                <w:sz w:val="2"/>
                <w:szCs w:val="2"/>
                <w:color w:val="auto"/>
              </w:rPr>
            </w:pPr>
          </w:p>
        </w:tc>
        <w:tc>
          <w:tcPr>
            <w:tcW w:w="2100" w:type="dxa"/>
            <w:vAlign w:val="bottom"/>
            <w:tcBorders>
              <w:top w:val="single" w:sz="8" w:color="0000FF"/>
              <w:bottom w:val="single" w:sz="8" w:color="auto"/>
            </w:tcBorders>
          </w:tcPr>
          <w:p>
            <w:pPr>
              <w:spacing w:after="0"/>
              <w:rPr>
                <w:sz w:val="2"/>
                <w:szCs w:val="2"/>
                <w:color w:val="auto"/>
              </w:rPr>
            </w:pPr>
          </w:p>
        </w:tc>
        <w:tc>
          <w:tcPr>
            <w:tcW w:w="20" w:type="dxa"/>
            <w:vAlign w:val="bottom"/>
            <w:tcBorders>
              <w:top w:val="single" w:sz="8" w:color="0000FF"/>
              <w:bottom w:val="single" w:sz="8" w:color="auto"/>
            </w:tcBorders>
          </w:tcPr>
          <w:p>
            <w:pPr>
              <w:spacing w:after="0"/>
              <w:rPr>
                <w:sz w:val="2"/>
                <w:szCs w:val="2"/>
                <w:color w:val="auto"/>
              </w:rPr>
            </w:pPr>
          </w:p>
        </w:tc>
        <w:tc>
          <w:tcPr>
            <w:tcW w:w="220" w:type="dxa"/>
            <w:vAlign w:val="bottom"/>
            <w:tcBorders>
              <w:top w:val="single" w:sz="8" w:color="0000FF"/>
              <w:bottom w:val="single" w:sz="8" w:color="auto"/>
            </w:tcBorders>
          </w:tcPr>
          <w:p>
            <w:pPr>
              <w:spacing w:after="0"/>
              <w:rPr>
                <w:sz w:val="2"/>
                <w:szCs w:val="2"/>
                <w:color w:val="auto"/>
              </w:rPr>
            </w:pPr>
          </w:p>
        </w:tc>
        <w:tc>
          <w:tcPr>
            <w:tcW w:w="420" w:type="dxa"/>
            <w:vAlign w:val="bottom"/>
            <w:tcBorders>
              <w:top w:val="single" w:sz="8" w:color="0000FF"/>
              <w:bottom w:val="single" w:sz="8" w:color="auto"/>
            </w:tcBorders>
          </w:tcPr>
          <w:p>
            <w:pPr>
              <w:spacing w:after="0"/>
              <w:rPr>
                <w:sz w:val="2"/>
                <w:szCs w:val="2"/>
                <w:color w:val="auto"/>
              </w:rPr>
            </w:pPr>
          </w:p>
        </w:tc>
        <w:tc>
          <w:tcPr>
            <w:tcW w:w="1020" w:type="dxa"/>
            <w:vAlign w:val="bottom"/>
            <w:tcBorders>
              <w:top w:val="single" w:sz="8" w:color="0000FF"/>
              <w:bottom w:val="single" w:sz="8" w:color="auto"/>
            </w:tcBorders>
          </w:tcPr>
          <w:p>
            <w:pPr>
              <w:spacing w:after="0"/>
              <w:rPr>
                <w:sz w:val="2"/>
                <w:szCs w:val="2"/>
                <w:color w:val="auto"/>
              </w:rPr>
            </w:pPr>
          </w:p>
        </w:tc>
        <w:tc>
          <w:tcPr>
            <w:tcW w:w="240" w:type="dxa"/>
            <w:vAlign w:val="bottom"/>
            <w:tcBorders>
              <w:top w:val="single" w:sz="8" w:color="0000FF"/>
              <w:bottom w:val="single" w:sz="8" w:color="auto"/>
            </w:tcBorders>
          </w:tcPr>
          <w:p>
            <w:pPr>
              <w:spacing w:after="0"/>
              <w:rPr>
                <w:sz w:val="2"/>
                <w:szCs w:val="2"/>
                <w:color w:val="auto"/>
              </w:rPr>
            </w:pPr>
          </w:p>
        </w:tc>
        <w:tc>
          <w:tcPr>
            <w:tcW w:w="180" w:type="dxa"/>
            <w:vAlign w:val="bottom"/>
            <w:tcBorders>
              <w:top w:val="single" w:sz="8" w:color="0000FF"/>
              <w:bottom w:val="single" w:sz="8" w:color="auto"/>
            </w:tcBorders>
          </w:tcPr>
          <w:p>
            <w:pPr>
              <w:spacing w:after="0"/>
              <w:rPr>
                <w:sz w:val="2"/>
                <w:szCs w:val="2"/>
                <w:color w:val="auto"/>
              </w:rPr>
            </w:pPr>
          </w:p>
        </w:tc>
        <w:tc>
          <w:tcPr>
            <w:tcW w:w="960" w:type="dxa"/>
            <w:vAlign w:val="bottom"/>
            <w:tcBorders>
              <w:top w:val="single" w:sz="8" w:color="0000FF"/>
              <w:bottom w:val="single" w:sz="8" w:color="auto"/>
            </w:tcBorders>
          </w:tcPr>
          <w:p>
            <w:pPr>
              <w:spacing w:after="0"/>
              <w:rPr>
                <w:sz w:val="2"/>
                <w:szCs w:val="2"/>
                <w:color w:val="auto"/>
              </w:rPr>
            </w:pPr>
          </w:p>
        </w:tc>
        <w:tc>
          <w:tcPr>
            <w:tcW w:w="100" w:type="dxa"/>
            <w:vAlign w:val="bottom"/>
            <w:tcBorders>
              <w:top w:val="single" w:sz="8" w:color="0000FF"/>
              <w:bottom w:val="single" w:sz="8" w:color="auto"/>
            </w:tcBorders>
          </w:tcPr>
          <w:p>
            <w:pPr>
              <w:spacing w:after="0"/>
              <w:rPr>
                <w:sz w:val="2"/>
                <w:szCs w:val="2"/>
                <w:color w:val="auto"/>
              </w:rPr>
            </w:pPr>
          </w:p>
        </w:tc>
        <w:tc>
          <w:tcPr>
            <w:tcW w:w="340" w:type="dxa"/>
            <w:vAlign w:val="bottom"/>
            <w:tcBorders>
              <w:top w:val="single" w:sz="8" w:color="0000FF"/>
              <w:bottom w:val="single" w:sz="8" w:color="auto"/>
            </w:tcBorders>
          </w:tcPr>
          <w:p>
            <w:pPr>
              <w:spacing w:after="0"/>
              <w:rPr>
                <w:sz w:val="2"/>
                <w:szCs w:val="2"/>
                <w:color w:val="auto"/>
              </w:rPr>
            </w:pPr>
          </w:p>
        </w:tc>
        <w:tc>
          <w:tcPr>
            <w:tcW w:w="500" w:type="dxa"/>
            <w:vAlign w:val="bottom"/>
            <w:tcBorders>
              <w:top w:val="single" w:sz="8" w:color="0000FF"/>
              <w:bottom w:val="single" w:sz="8" w:color="auto"/>
            </w:tcBorders>
          </w:tcPr>
          <w:p>
            <w:pPr>
              <w:spacing w:after="0"/>
              <w:rPr>
                <w:sz w:val="2"/>
                <w:szCs w:val="2"/>
                <w:color w:val="auto"/>
              </w:rPr>
            </w:pPr>
          </w:p>
        </w:tc>
        <w:tc>
          <w:tcPr>
            <w:tcW w:w="220" w:type="dxa"/>
            <w:vAlign w:val="bottom"/>
            <w:tcBorders>
              <w:top w:val="single" w:sz="8" w:color="0000FF"/>
              <w:bottom w:val="single" w:sz="8" w:color="auto"/>
            </w:tcBorders>
          </w:tcPr>
          <w:p>
            <w:pPr>
              <w:spacing w:after="0"/>
              <w:rPr>
                <w:sz w:val="2"/>
                <w:szCs w:val="2"/>
                <w:color w:val="auto"/>
              </w:rPr>
            </w:pPr>
          </w:p>
        </w:tc>
        <w:tc>
          <w:tcPr>
            <w:tcW w:w="880" w:type="dxa"/>
            <w:vAlign w:val="bottom"/>
            <w:tcBorders>
              <w:top w:val="single" w:sz="8" w:color="0000FF"/>
              <w:bottom w:val="single" w:sz="8" w:color="auto"/>
            </w:tcBorders>
          </w:tcPr>
          <w:p>
            <w:pPr>
              <w:spacing w:after="0"/>
              <w:rPr>
                <w:sz w:val="2"/>
                <w:szCs w:val="2"/>
                <w:color w:val="auto"/>
              </w:rPr>
            </w:pPr>
          </w:p>
        </w:tc>
        <w:tc>
          <w:tcPr>
            <w:tcW w:w="880" w:type="dxa"/>
            <w:vAlign w:val="bottom"/>
            <w:tcBorders>
              <w:top w:val="single" w:sz="8" w:color="0000FF"/>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right w:val="single" w:sz="8" w:color="auto"/>
            </w:tcBorders>
          </w:tcPr>
          <w:p>
            <w:pPr>
              <w:spacing w:after="0"/>
              <w:rPr>
                <w:sz w:val="2"/>
                <w:szCs w:val="2"/>
                <w:color w:val="auto"/>
              </w:rPr>
            </w:pPr>
          </w:p>
        </w:tc>
      </w:tr>
      <w:tr>
        <w:trPr>
          <w:trHeight w:val="183"/>
        </w:trPr>
        <w:tc>
          <w:tcPr>
            <w:tcW w:w="1160" w:type="dxa"/>
            <w:vAlign w:val="bottom"/>
            <w:tcBorders>
              <w:left w:val="single" w:sz="8" w:color="auto"/>
              <w:right w:val="single" w:sz="8" w:color="auto"/>
            </w:tcBorders>
          </w:tcPr>
          <w:p>
            <w:pPr>
              <w:ind w:left="40"/>
              <w:spacing w:after="0" w:line="183" w:lineRule="exact"/>
              <w:rPr>
                <w:sz w:val="20"/>
                <w:szCs w:val="20"/>
                <w:color w:val="auto"/>
              </w:rPr>
            </w:pPr>
            <w:r>
              <w:rPr>
                <w:rFonts w:ascii="Arial" w:cs="Arial" w:eastAsia="Arial" w:hAnsi="Arial"/>
                <w:sz w:val="16"/>
                <w:szCs w:val="16"/>
                <w:color w:val="auto"/>
              </w:rPr>
              <w:t>10.20</w:t>
            </w:r>
          </w:p>
        </w:tc>
        <w:tc>
          <w:tcPr>
            <w:tcW w:w="12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0100" w:type="dxa"/>
            <w:vAlign w:val="bottom"/>
            <w:tcBorders>
              <w:bottom w:val="single" w:sz="8" w:color="0000FF"/>
            </w:tcBorders>
            <w:gridSpan w:val="37"/>
          </w:tcPr>
          <w:p>
            <w:pPr>
              <w:spacing w:after="0" w:line="183" w:lineRule="exact"/>
              <w:rPr>
                <w:rFonts w:ascii="Arial" w:cs="Arial" w:eastAsia="Arial" w:hAnsi="Arial"/>
                <w:sz w:val="16"/>
                <w:szCs w:val="16"/>
                <w:color w:val="0000FF"/>
              </w:rPr>
            </w:pPr>
            <w:hyperlink r:id="rId185">
              <w:r>
                <w:rPr>
                  <w:rFonts w:ascii="Arial" w:cs="Arial" w:eastAsia="Arial" w:hAnsi="Arial"/>
                  <w:sz w:val="16"/>
                  <w:szCs w:val="16"/>
                  <w:color w:val="0000FF"/>
                </w:rPr>
                <w:t>Amended and Restated Equalization Benefit Plan (Incorporated by reference to Exhibit 10.59 to the Company’s Annual Report on Form 10-K</w:t>
              </w:r>
            </w:hyperlink>
          </w:p>
        </w:tc>
        <w:tc>
          <w:tcPr>
            <w:tcW w:w="40" w:type="dxa"/>
            <w:vAlign w:val="bottom"/>
            <w:tcBorders>
              <w:right w:val="single" w:sz="8" w:color="auto"/>
            </w:tcBorders>
          </w:tcPr>
          <w:p>
            <w:pPr>
              <w:spacing w:after="0"/>
              <w:rPr>
                <w:sz w:val="15"/>
                <w:szCs w:val="15"/>
                <w:color w:val="auto"/>
              </w:rPr>
            </w:pPr>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140" w:type="dxa"/>
            <w:vAlign w:val="bottom"/>
            <w:tcBorders>
              <w:right w:val="single" w:sz="8" w:color="auto"/>
            </w:tcBorders>
            <w:gridSpan w:val="38"/>
          </w:tcPr>
          <w:p>
            <w:pPr>
              <w:spacing w:after="0" w:line="169" w:lineRule="exact"/>
              <w:rPr>
                <w:rFonts w:ascii="Arial" w:cs="Arial" w:eastAsia="Arial" w:hAnsi="Arial"/>
                <w:sz w:val="16"/>
                <w:szCs w:val="16"/>
                <w:color w:val="0000FF"/>
              </w:rPr>
            </w:pPr>
            <w:hyperlink r:id="rId185">
              <w:r>
                <w:rPr>
                  <w:rFonts w:ascii="Arial" w:cs="Arial" w:eastAsia="Arial" w:hAnsi="Arial"/>
                  <w:sz w:val="16"/>
                  <w:szCs w:val="16"/>
                  <w:color w:val="0000FF"/>
                </w:rPr>
                <w:t>for the year ended December 31, 2007, dated February 29, 2008).†</w:t>
              </w:r>
            </w:hyperlink>
          </w:p>
        </w:tc>
      </w:tr>
      <w:tr>
        <w:trPr>
          <w:trHeight w:val="34"/>
        </w:trPr>
        <w:tc>
          <w:tcPr>
            <w:tcW w:w="1160" w:type="dxa"/>
            <w:vAlign w:val="bottom"/>
            <w:tcBorders>
              <w:left w:val="single" w:sz="8" w:color="auto"/>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40" w:type="dxa"/>
            <w:vAlign w:val="bottom"/>
            <w:tcBorders>
              <w:top w:val="single" w:sz="8" w:color="0000FF"/>
              <w:bottom w:val="single" w:sz="8" w:color="auto"/>
            </w:tcBorders>
          </w:tcPr>
          <w:p>
            <w:pPr>
              <w:spacing w:after="0"/>
              <w:rPr>
                <w:sz w:val="2"/>
                <w:szCs w:val="2"/>
                <w:color w:val="auto"/>
              </w:rPr>
            </w:pPr>
          </w:p>
        </w:tc>
        <w:tc>
          <w:tcPr>
            <w:tcW w:w="2100" w:type="dxa"/>
            <w:vAlign w:val="bottom"/>
            <w:tcBorders>
              <w:top w:val="single" w:sz="8" w:color="0000FF"/>
              <w:bottom w:val="single" w:sz="8" w:color="auto"/>
            </w:tcBorders>
          </w:tcPr>
          <w:p>
            <w:pPr>
              <w:spacing w:after="0"/>
              <w:rPr>
                <w:sz w:val="2"/>
                <w:szCs w:val="2"/>
                <w:color w:val="auto"/>
              </w:rPr>
            </w:pPr>
          </w:p>
        </w:tc>
        <w:tc>
          <w:tcPr>
            <w:tcW w:w="20" w:type="dxa"/>
            <w:vAlign w:val="bottom"/>
            <w:tcBorders>
              <w:top w:val="single" w:sz="8" w:color="0000FF"/>
              <w:bottom w:val="single" w:sz="8" w:color="auto"/>
            </w:tcBorders>
          </w:tcPr>
          <w:p>
            <w:pPr>
              <w:spacing w:after="0"/>
              <w:rPr>
                <w:sz w:val="2"/>
                <w:szCs w:val="2"/>
                <w:color w:val="auto"/>
              </w:rPr>
            </w:pPr>
          </w:p>
        </w:tc>
        <w:tc>
          <w:tcPr>
            <w:tcW w:w="220" w:type="dxa"/>
            <w:vAlign w:val="bottom"/>
            <w:tcBorders>
              <w:top w:val="single" w:sz="8" w:color="0000FF"/>
              <w:bottom w:val="single" w:sz="8" w:color="auto"/>
            </w:tcBorders>
          </w:tcPr>
          <w:p>
            <w:pPr>
              <w:spacing w:after="0"/>
              <w:rPr>
                <w:sz w:val="2"/>
                <w:szCs w:val="2"/>
                <w:color w:val="auto"/>
              </w:rPr>
            </w:pPr>
          </w:p>
        </w:tc>
        <w:tc>
          <w:tcPr>
            <w:tcW w:w="420" w:type="dxa"/>
            <w:vAlign w:val="bottom"/>
            <w:tcBorders>
              <w:top w:val="single" w:sz="8" w:color="0000FF"/>
              <w:bottom w:val="single" w:sz="8" w:color="auto"/>
            </w:tcBorders>
          </w:tcPr>
          <w:p>
            <w:pPr>
              <w:spacing w:after="0"/>
              <w:rPr>
                <w:sz w:val="2"/>
                <w:szCs w:val="2"/>
                <w:color w:val="auto"/>
              </w:rPr>
            </w:pPr>
          </w:p>
        </w:tc>
        <w:tc>
          <w:tcPr>
            <w:tcW w:w="1020" w:type="dxa"/>
            <w:vAlign w:val="bottom"/>
            <w:tcBorders>
              <w:top w:val="single" w:sz="8" w:color="0000FF"/>
              <w:bottom w:val="single" w:sz="8" w:color="auto"/>
            </w:tcBorders>
          </w:tcPr>
          <w:p>
            <w:pPr>
              <w:spacing w:after="0"/>
              <w:rPr>
                <w:sz w:val="2"/>
                <w:szCs w:val="2"/>
                <w:color w:val="auto"/>
              </w:rPr>
            </w:pPr>
          </w:p>
        </w:tc>
        <w:tc>
          <w:tcPr>
            <w:tcW w:w="240" w:type="dxa"/>
            <w:vAlign w:val="bottom"/>
            <w:tcBorders>
              <w:top w:val="single" w:sz="8" w:color="0000FF"/>
              <w:bottom w:val="single" w:sz="8" w:color="auto"/>
            </w:tcBorders>
          </w:tcPr>
          <w:p>
            <w:pPr>
              <w:spacing w:after="0"/>
              <w:rPr>
                <w:sz w:val="2"/>
                <w:szCs w:val="2"/>
                <w:color w:val="auto"/>
              </w:rPr>
            </w:pPr>
          </w:p>
        </w:tc>
        <w:tc>
          <w:tcPr>
            <w:tcW w:w="180" w:type="dxa"/>
            <w:vAlign w:val="bottom"/>
            <w:tcBorders>
              <w:top w:val="single" w:sz="8" w:color="0000FF"/>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right w:val="single" w:sz="8" w:color="auto"/>
            </w:tcBorders>
          </w:tcPr>
          <w:p>
            <w:pPr>
              <w:spacing w:after="0"/>
              <w:rPr>
                <w:sz w:val="2"/>
                <w:szCs w:val="2"/>
                <w:color w:val="auto"/>
              </w:rPr>
            </w:pPr>
          </w:p>
        </w:tc>
      </w:tr>
      <w:tr>
        <w:trPr>
          <w:trHeight w:val="183"/>
        </w:trPr>
        <w:tc>
          <w:tcPr>
            <w:tcW w:w="1160" w:type="dxa"/>
            <w:vAlign w:val="bottom"/>
            <w:tcBorders>
              <w:left w:val="single" w:sz="8" w:color="auto"/>
              <w:right w:val="single" w:sz="8" w:color="auto"/>
            </w:tcBorders>
          </w:tcPr>
          <w:p>
            <w:pPr>
              <w:ind w:left="40"/>
              <w:spacing w:after="0" w:line="183" w:lineRule="exact"/>
              <w:rPr>
                <w:sz w:val="20"/>
                <w:szCs w:val="20"/>
                <w:color w:val="auto"/>
              </w:rPr>
            </w:pPr>
            <w:r>
              <w:rPr>
                <w:rFonts w:ascii="Arial" w:cs="Arial" w:eastAsia="Arial" w:hAnsi="Arial"/>
                <w:sz w:val="16"/>
                <w:szCs w:val="16"/>
                <w:color w:val="auto"/>
              </w:rPr>
              <w:t>10.21</w:t>
            </w:r>
          </w:p>
        </w:tc>
        <w:tc>
          <w:tcPr>
            <w:tcW w:w="12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9900" w:type="dxa"/>
            <w:vAlign w:val="bottom"/>
            <w:tcBorders>
              <w:bottom w:val="single" w:sz="8" w:color="0000FF"/>
            </w:tcBorders>
            <w:gridSpan w:val="30"/>
          </w:tcPr>
          <w:p>
            <w:pPr>
              <w:spacing w:after="0" w:line="183" w:lineRule="exact"/>
              <w:rPr>
                <w:rFonts w:ascii="Arial" w:cs="Arial" w:eastAsia="Arial" w:hAnsi="Arial"/>
                <w:sz w:val="16"/>
                <w:szCs w:val="16"/>
                <w:color w:val="0000FF"/>
              </w:rPr>
            </w:pPr>
            <w:hyperlink r:id="rId186">
              <w:r>
                <w:rPr>
                  <w:rFonts w:ascii="Arial" w:cs="Arial" w:eastAsia="Arial" w:hAnsi="Arial"/>
                  <w:sz w:val="16"/>
                  <w:szCs w:val="16"/>
                  <w:color w:val="0000FF"/>
                </w:rPr>
                <w:t>Avis Rent A Car System, LLC Pension Plan (Incorporated by reference to Exhibit 10.20 to the Company’s Annual Report on Form 10-K for</w:t>
              </w:r>
            </w:hyperlink>
          </w:p>
        </w:tc>
        <w:tc>
          <w:tcPr>
            <w:tcW w:w="240" w:type="dxa"/>
            <w:vAlign w:val="bottom"/>
            <w:tcBorders>
              <w:right w:val="single" w:sz="8" w:color="auto"/>
            </w:tcBorders>
            <w:gridSpan w:val="8"/>
          </w:tcPr>
          <w:p>
            <w:pPr>
              <w:spacing w:after="0"/>
              <w:rPr>
                <w:sz w:val="15"/>
                <w:szCs w:val="15"/>
                <w:color w:val="auto"/>
              </w:rPr>
            </w:pPr>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140" w:type="dxa"/>
            <w:vAlign w:val="bottom"/>
            <w:tcBorders>
              <w:right w:val="single" w:sz="8" w:color="auto"/>
            </w:tcBorders>
            <w:gridSpan w:val="38"/>
          </w:tcPr>
          <w:p>
            <w:pPr>
              <w:spacing w:after="0" w:line="169" w:lineRule="exact"/>
              <w:rPr>
                <w:rFonts w:ascii="Arial" w:cs="Arial" w:eastAsia="Arial" w:hAnsi="Arial"/>
                <w:sz w:val="16"/>
                <w:szCs w:val="16"/>
                <w:color w:val="0000FF"/>
              </w:rPr>
            </w:pPr>
            <w:hyperlink r:id="rId186">
              <w:r>
                <w:rPr>
                  <w:rFonts w:ascii="Arial" w:cs="Arial" w:eastAsia="Arial" w:hAnsi="Arial"/>
                  <w:sz w:val="16"/>
                  <w:szCs w:val="16"/>
                  <w:color w:val="0000FF"/>
                </w:rPr>
                <w:t>the year ended December 31, 2008).†</w:t>
              </w:r>
            </w:hyperlink>
          </w:p>
        </w:tc>
      </w:tr>
      <w:tr>
        <w:trPr>
          <w:trHeight w:val="34"/>
        </w:trPr>
        <w:tc>
          <w:tcPr>
            <w:tcW w:w="1160" w:type="dxa"/>
            <w:vAlign w:val="bottom"/>
            <w:tcBorders>
              <w:left w:val="single" w:sz="8" w:color="auto"/>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40" w:type="dxa"/>
            <w:vAlign w:val="bottom"/>
            <w:tcBorders>
              <w:top w:val="single" w:sz="8" w:color="0000FF"/>
              <w:bottom w:val="single" w:sz="8" w:color="auto"/>
            </w:tcBorders>
          </w:tcPr>
          <w:p>
            <w:pPr>
              <w:spacing w:after="0"/>
              <w:rPr>
                <w:sz w:val="2"/>
                <w:szCs w:val="2"/>
                <w:color w:val="auto"/>
              </w:rPr>
            </w:pPr>
          </w:p>
        </w:tc>
        <w:tc>
          <w:tcPr>
            <w:tcW w:w="2100" w:type="dxa"/>
            <w:vAlign w:val="bottom"/>
            <w:tcBorders>
              <w:top w:val="single" w:sz="8" w:color="0000FF"/>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right w:val="single" w:sz="8" w:color="auto"/>
            </w:tcBorders>
          </w:tcPr>
          <w:p>
            <w:pPr>
              <w:spacing w:after="0"/>
              <w:rPr>
                <w:sz w:val="2"/>
                <w:szCs w:val="2"/>
                <w:color w:val="auto"/>
              </w:rPr>
            </w:pPr>
          </w:p>
        </w:tc>
      </w:tr>
      <w:tr>
        <w:trPr>
          <w:trHeight w:val="183"/>
        </w:trPr>
        <w:tc>
          <w:tcPr>
            <w:tcW w:w="1160" w:type="dxa"/>
            <w:vAlign w:val="bottom"/>
            <w:tcBorders>
              <w:left w:val="single" w:sz="8" w:color="auto"/>
              <w:right w:val="single" w:sz="8" w:color="auto"/>
            </w:tcBorders>
          </w:tcPr>
          <w:p>
            <w:pPr>
              <w:ind w:left="40"/>
              <w:spacing w:after="0" w:line="183" w:lineRule="exact"/>
              <w:rPr>
                <w:sz w:val="20"/>
                <w:szCs w:val="20"/>
                <w:color w:val="auto"/>
              </w:rPr>
            </w:pPr>
            <w:r>
              <w:rPr>
                <w:rFonts w:ascii="Arial" w:cs="Arial" w:eastAsia="Arial" w:hAnsi="Arial"/>
                <w:sz w:val="16"/>
                <w:szCs w:val="16"/>
                <w:color w:val="auto"/>
              </w:rPr>
              <w:t>10.22</w:t>
            </w:r>
          </w:p>
        </w:tc>
        <w:tc>
          <w:tcPr>
            <w:tcW w:w="12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9360" w:type="dxa"/>
            <w:vAlign w:val="bottom"/>
            <w:tcBorders>
              <w:bottom w:val="single" w:sz="8" w:color="0000FF"/>
            </w:tcBorders>
            <w:gridSpan w:val="19"/>
          </w:tcPr>
          <w:p>
            <w:pPr>
              <w:spacing w:after="0" w:line="183" w:lineRule="exact"/>
              <w:rPr>
                <w:rFonts w:ascii="Arial" w:cs="Arial" w:eastAsia="Arial" w:hAnsi="Arial"/>
                <w:sz w:val="16"/>
                <w:szCs w:val="16"/>
                <w:color w:val="0000FF"/>
              </w:rPr>
            </w:pPr>
            <w:hyperlink r:id="rId187">
              <w:r>
                <w:rPr>
                  <w:rFonts w:ascii="Arial" w:cs="Arial" w:eastAsia="Arial" w:hAnsi="Arial"/>
                  <w:sz w:val="16"/>
                  <w:szCs w:val="16"/>
                  <w:color w:val="0000FF"/>
                </w:rPr>
                <w:t>Asset and Stock Purchase Agreement by and among Budget Group, Inc. and certain of its Subsidiaries, Cendant Corporation* and</w:t>
              </w:r>
            </w:hyperlink>
          </w:p>
        </w:tc>
        <w:tc>
          <w:tcPr>
            <w:tcW w:w="780" w:type="dxa"/>
            <w:vAlign w:val="bottom"/>
            <w:tcBorders>
              <w:right w:val="single" w:sz="8" w:color="auto"/>
            </w:tcBorders>
            <w:gridSpan w:val="19"/>
          </w:tcPr>
          <w:p>
            <w:pPr>
              <w:spacing w:after="0"/>
              <w:rPr>
                <w:sz w:val="15"/>
                <w:szCs w:val="15"/>
                <w:color w:val="auto"/>
              </w:rPr>
            </w:pPr>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20" w:type="dxa"/>
            <w:vAlign w:val="bottom"/>
            <w:tcBorders>
              <w:bottom w:val="single" w:sz="8" w:color="0000FF"/>
            </w:tcBorders>
            <w:gridSpan w:val="33"/>
          </w:tcPr>
          <w:p>
            <w:pPr>
              <w:spacing w:after="0" w:line="169" w:lineRule="exact"/>
              <w:rPr>
                <w:rFonts w:ascii="Arial" w:cs="Arial" w:eastAsia="Arial" w:hAnsi="Arial"/>
                <w:sz w:val="16"/>
                <w:szCs w:val="16"/>
                <w:color w:val="0000FF"/>
              </w:rPr>
            </w:pPr>
            <w:hyperlink r:id="rId187">
              <w:r>
                <w:rPr>
                  <w:rFonts w:ascii="Arial" w:cs="Arial" w:eastAsia="Arial" w:hAnsi="Arial"/>
                  <w:sz w:val="16"/>
                  <w:szCs w:val="16"/>
                  <w:color w:val="0000FF"/>
                </w:rPr>
                <w:t>Cherokee Acquisition Corporation dated as of August 22, 2002 (Incorporated by reference to Exhibit 10.71 to the Company’s Annual Report</w:t>
              </w:r>
            </w:hyperlink>
          </w:p>
        </w:tc>
        <w:tc>
          <w:tcPr>
            <w:tcW w:w="120" w:type="dxa"/>
            <w:vAlign w:val="bottom"/>
            <w:tcBorders>
              <w:right w:val="single" w:sz="8" w:color="auto"/>
            </w:tcBorders>
            <w:gridSpan w:val="5"/>
          </w:tcPr>
          <w:p>
            <w:pPr>
              <w:spacing w:after="0"/>
              <w:rPr>
                <w:sz w:val="14"/>
                <w:szCs w:val="14"/>
                <w:color w:val="auto"/>
              </w:rPr>
            </w:pPr>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140" w:type="dxa"/>
            <w:vAlign w:val="bottom"/>
            <w:tcBorders>
              <w:right w:val="single" w:sz="8" w:color="auto"/>
            </w:tcBorders>
            <w:gridSpan w:val="38"/>
          </w:tcPr>
          <w:p>
            <w:pPr>
              <w:spacing w:after="0" w:line="169" w:lineRule="exact"/>
              <w:rPr>
                <w:rFonts w:ascii="Arial" w:cs="Arial" w:eastAsia="Arial" w:hAnsi="Arial"/>
                <w:sz w:val="16"/>
                <w:szCs w:val="16"/>
                <w:color w:val="0000FF"/>
              </w:rPr>
            </w:pPr>
            <w:hyperlink r:id="rId187">
              <w:r>
                <w:rPr>
                  <w:rFonts w:ascii="Arial" w:cs="Arial" w:eastAsia="Arial" w:hAnsi="Arial"/>
                  <w:sz w:val="16"/>
                  <w:szCs w:val="16"/>
                  <w:color w:val="0000FF"/>
                </w:rPr>
                <w:t>on Form 10-K/A for the year ended December 31, 2001 dated November 4, 2002).</w:t>
              </w:r>
            </w:hyperlink>
          </w:p>
        </w:tc>
      </w:tr>
      <w:tr>
        <w:trPr>
          <w:trHeight w:val="34"/>
        </w:trPr>
        <w:tc>
          <w:tcPr>
            <w:tcW w:w="1160" w:type="dxa"/>
            <w:vAlign w:val="bottom"/>
            <w:tcBorders>
              <w:left w:val="single" w:sz="8" w:color="auto"/>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40" w:type="dxa"/>
            <w:vAlign w:val="bottom"/>
            <w:tcBorders>
              <w:top w:val="single" w:sz="8" w:color="0000FF"/>
              <w:bottom w:val="single" w:sz="8" w:color="auto"/>
            </w:tcBorders>
          </w:tcPr>
          <w:p>
            <w:pPr>
              <w:spacing w:after="0"/>
              <w:rPr>
                <w:sz w:val="2"/>
                <w:szCs w:val="2"/>
                <w:color w:val="auto"/>
              </w:rPr>
            </w:pPr>
          </w:p>
        </w:tc>
        <w:tc>
          <w:tcPr>
            <w:tcW w:w="2100" w:type="dxa"/>
            <w:vAlign w:val="bottom"/>
            <w:tcBorders>
              <w:top w:val="single" w:sz="8" w:color="0000FF"/>
              <w:bottom w:val="single" w:sz="8" w:color="auto"/>
            </w:tcBorders>
          </w:tcPr>
          <w:p>
            <w:pPr>
              <w:spacing w:after="0"/>
              <w:rPr>
                <w:sz w:val="2"/>
                <w:szCs w:val="2"/>
                <w:color w:val="auto"/>
              </w:rPr>
            </w:pPr>
          </w:p>
        </w:tc>
        <w:tc>
          <w:tcPr>
            <w:tcW w:w="20" w:type="dxa"/>
            <w:vAlign w:val="bottom"/>
            <w:tcBorders>
              <w:top w:val="single" w:sz="8" w:color="0000FF"/>
              <w:bottom w:val="single" w:sz="8" w:color="auto"/>
            </w:tcBorders>
          </w:tcPr>
          <w:p>
            <w:pPr>
              <w:spacing w:after="0"/>
              <w:rPr>
                <w:sz w:val="2"/>
                <w:szCs w:val="2"/>
                <w:color w:val="auto"/>
              </w:rPr>
            </w:pPr>
          </w:p>
        </w:tc>
        <w:tc>
          <w:tcPr>
            <w:tcW w:w="220" w:type="dxa"/>
            <w:vAlign w:val="bottom"/>
            <w:tcBorders>
              <w:top w:val="single" w:sz="8" w:color="0000FF"/>
              <w:bottom w:val="single" w:sz="8" w:color="auto"/>
            </w:tcBorders>
          </w:tcPr>
          <w:p>
            <w:pPr>
              <w:spacing w:after="0"/>
              <w:rPr>
                <w:sz w:val="2"/>
                <w:szCs w:val="2"/>
                <w:color w:val="auto"/>
              </w:rPr>
            </w:pPr>
          </w:p>
        </w:tc>
        <w:tc>
          <w:tcPr>
            <w:tcW w:w="420" w:type="dxa"/>
            <w:vAlign w:val="bottom"/>
            <w:tcBorders>
              <w:top w:val="single" w:sz="8" w:color="0000FF"/>
              <w:bottom w:val="single" w:sz="8" w:color="auto"/>
            </w:tcBorders>
          </w:tcPr>
          <w:p>
            <w:pPr>
              <w:spacing w:after="0"/>
              <w:rPr>
                <w:sz w:val="2"/>
                <w:szCs w:val="2"/>
                <w:color w:val="auto"/>
              </w:rPr>
            </w:pPr>
          </w:p>
        </w:tc>
        <w:tc>
          <w:tcPr>
            <w:tcW w:w="1020" w:type="dxa"/>
            <w:vAlign w:val="bottom"/>
            <w:tcBorders>
              <w:top w:val="single" w:sz="8" w:color="0000FF"/>
              <w:bottom w:val="single" w:sz="8" w:color="auto"/>
            </w:tcBorders>
          </w:tcPr>
          <w:p>
            <w:pPr>
              <w:spacing w:after="0"/>
              <w:rPr>
                <w:sz w:val="2"/>
                <w:szCs w:val="2"/>
                <w:color w:val="auto"/>
              </w:rPr>
            </w:pPr>
          </w:p>
        </w:tc>
        <w:tc>
          <w:tcPr>
            <w:tcW w:w="240" w:type="dxa"/>
            <w:vAlign w:val="bottom"/>
            <w:tcBorders>
              <w:top w:val="single" w:sz="8" w:color="0000FF"/>
              <w:bottom w:val="single" w:sz="8" w:color="auto"/>
            </w:tcBorders>
          </w:tcPr>
          <w:p>
            <w:pPr>
              <w:spacing w:after="0"/>
              <w:rPr>
                <w:sz w:val="2"/>
                <w:szCs w:val="2"/>
                <w:color w:val="auto"/>
              </w:rPr>
            </w:pPr>
          </w:p>
        </w:tc>
        <w:tc>
          <w:tcPr>
            <w:tcW w:w="180" w:type="dxa"/>
            <w:vAlign w:val="bottom"/>
            <w:tcBorders>
              <w:top w:val="single" w:sz="8" w:color="0000FF"/>
              <w:bottom w:val="single" w:sz="8" w:color="auto"/>
            </w:tcBorders>
          </w:tcPr>
          <w:p>
            <w:pPr>
              <w:spacing w:after="0"/>
              <w:rPr>
                <w:sz w:val="2"/>
                <w:szCs w:val="2"/>
                <w:color w:val="auto"/>
              </w:rPr>
            </w:pPr>
          </w:p>
        </w:tc>
        <w:tc>
          <w:tcPr>
            <w:tcW w:w="960" w:type="dxa"/>
            <w:vAlign w:val="bottom"/>
            <w:tcBorders>
              <w:top w:val="single" w:sz="8" w:color="0000FF"/>
              <w:bottom w:val="single" w:sz="8" w:color="auto"/>
            </w:tcBorders>
          </w:tcPr>
          <w:p>
            <w:pPr>
              <w:spacing w:after="0"/>
              <w:rPr>
                <w:sz w:val="2"/>
                <w:szCs w:val="2"/>
                <w:color w:val="auto"/>
              </w:rPr>
            </w:pPr>
          </w:p>
        </w:tc>
        <w:tc>
          <w:tcPr>
            <w:tcW w:w="100" w:type="dxa"/>
            <w:vAlign w:val="bottom"/>
            <w:tcBorders>
              <w:top w:val="single" w:sz="8" w:color="0000FF"/>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right w:val="single" w:sz="8" w:color="auto"/>
            </w:tcBorders>
          </w:tcPr>
          <w:p>
            <w:pPr>
              <w:spacing w:after="0"/>
              <w:rPr>
                <w:sz w:val="2"/>
                <w:szCs w:val="2"/>
                <w:color w:val="auto"/>
              </w:rPr>
            </w:pPr>
          </w:p>
        </w:tc>
      </w:tr>
      <w:tr>
        <w:trPr>
          <w:trHeight w:val="183"/>
        </w:trPr>
        <w:tc>
          <w:tcPr>
            <w:tcW w:w="1160" w:type="dxa"/>
            <w:vAlign w:val="bottom"/>
            <w:tcBorders>
              <w:left w:val="single" w:sz="8" w:color="auto"/>
              <w:right w:val="single" w:sz="8" w:color="auto"/>
            </w:tcBorders>
          </w:tcPr>
          <w:p>
            <w:pPr>
              <w:ind w:left="40"/>
              <w:spacing w:after="0" w:line="183" w:lineRule="exact"/>
              <w:rPr>
                <w:sz w:val="20"/>
                <w:szCs w:val="20"/>
                <w:color w:val="auto"/>
              </w:rPr>
            </w:pPr>
            <w:r>
              <w:rPr>
                <w:rFonts w:ascii="Arial" w:cs="Arial" w:eastAsia="Arial" w:hAnsi="Arial"/>
                <w:sz w:val="16"/>
                <w:szCs w:val="16"/>
                <w:color w:val="auto"/>
              </w:rPr>
              <w:t>10.23</w:t>
            </w:r>
          </w:p>
        </w:tc>
        <w:tc>
          <w:tcPr>
            <w:tcW w:w="12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0140" w:type="dxa"/>
            <w:vAlign w:val="bottom"/>
            <w:tcBorders>
              <w:right w:val="single" w:sz="8" w:color="auto"/>
            </w:tcBorders>
            <w:gridSpan w:val="38"/>
          </w:tcPr>
          <w:p>
            <w:pPr>
              <w:spacing w:after="0" w:line="183" w:lineRule="exact"/>
              <w:rPr>
                <w:rFonts w:ascii="Arial" w:cs="Arial" w:eastAsia="Arial" w:hAnsi="Arial"/>
                <w:sz w:val="16"/>
                <w:szCs w:val="16"/>
                <w:color w:val="0000FF"/>
              </w:rPr>
            </w:pPr>
            <w:hyperlink r:id="rId188">
              <w:r>
                <w:rPr>
                  <w:rFonts w:ascii="Arial" w:cs="Arial" w:eastAsia="Arial" w:hAnsi="Arial"/>
                  <w:sz w:val="16"/>
                  <w:szCs w:val="16"/>
                  <w:color w:val="0000FF"/>
                </w:rPr>
                <w:t>First Amendment to Asset and Stock Purchase Agreement by and among Budget Group, Inc. and certain of its Subsidiaries, Cendant</w:t>
              </w:r>
            </w:hyperlink>
          </w:p>
        </w:tc>
      </w:tr>
      <w:tr>
        <w:trPr>
          <w:trHeight w:val="20"/>
        </w:trPr>
        <w:tc>
          <w:tcPr>
            <w:tcW w:w="1160" w:type="dxa"/>
            <w:vAlign w:val="bottom"/>
            <w:tcBorders>
              <w:left w:val="single" w:sz="8" w:color="auto"/>
              <w:right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12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right w:val="single" w:sz="8" w:color="auto"/>
            </w:tcBorders>
            <w:gridSpan w:val="2"/>
          </w:tcPr>
          <w:p>
            <w:pPr>
              <w:spacing w:after="0" w:line="20" w:lineRule="exact"/>
              <w:rPr>
                <w:sz w:val="1"/>
                <w:szCs w:val="1"/>
                <w:color w:val="auto"/>
              </w:rPr>
            </w:pPr>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140" w:type="dxa"/>
            <w:vAlign w:val="bottom"/>
            <w:tcBorders>
              <w:right w:val="single" w:sz="8" w:color="auto"/>
            </w:tcBorders>
            <w:gridSpan w:val="38"/>
          </w:tcPr>
          <w:p>
            <w:pPr>
              <w:spacing w:after="0" w:line="169" w:lineRule="exact"/>
              <w:rPr>
                <w:rFonts w:ascii="Arial" w:cs="Arial" w:eastAsia="Arial" w:hAnsi="Arial"/>
                <w:sz w:val="16"/>
                <w:szCs w:val="16"/>
                <w:color w:val="0000FF"/>
              </w:rPr>
            </w:pPr>
            <w:hyperlink r:id="rId188">
              <w:r>
                <w:rPr>
                  <w:rFonts w:ascii="Arial" w:cs="Arial" w:eastAsia="Arial" w:hAnsi="Arial"/>
                  <w:sz w:val="16"/>
                  <w:szCs w:val="16"/>
                  <w:color w:val="0000FF"/>
                </w:rPr>
                <w:t>Corporation* and Cherokee Acquisition Corporation dated as of September 10, 2002 (Incorporated by reference to Exhibit 10.72 to the</w:t>
              </w:r>
            </w:hyperlink>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9620" w:type="dxa"/>
            <w:vAlign w:val="bottom"/>
            <w:tcBorders>
              <w:top w:val="single" w:sz="8" w:color="0000FF"/>
            </w:tcBorders>
            <w:gridSpan w:val="23"/>
          </w:tcPr>
          <w:p>
            <w:pPr>
              <w:spacing w:after="0" w:line="169" w:lineRule="exact"/>
              <w:rPr>
                <w:rFonts w:ascii="Arial" w:cs="Arial" w:eastAsia="Arial" w:hAnsi="Arial"/>
                <w:sz w:val="16"/>
                <w:szCs w:val="16"/>
                <w:color w:val="0000FF"/>
              </w:rPr>
            </w:pPr>
            <w:hyperlink r:id="rId188">
              <w:r>
                <w:rPr>
                  <w:rFonts w:ascii="Arial" w:cs="Arial" w:eastAsia="Arial" w:hAnsi="Arial"/>
                  <w:sz w:val="16"/>
                  <w:szCs w:val="16"/>
                  <w:color w:val="0000FF"/>
                </w:rPr>
                <w:t>Company’s Annual Report on Form 10-K/A for the year ended December 31, 2001 dated November 4, 2002).</w:t>
              </w:r>
            </w:hyperlink>
          </w:p>
        </w:tc>
        <w:tc>
          <w:tcPr>
            <w:tcW w:w="520" w:type="dxa"/>
            <w:vAlign w:val="bottom"/>
            <w:tcBorders>
              <w:right w:val="single" w:sz="8" w:color="auto"/>
            </w:tcBorders>
            <w:gridSpan w:val="15"/>
          </w:tcPr>
          <w:p>
            <w:pPr>
              <w:spacing w:after="0"/>
              <w:rPr>
                <w:sz w:val="14"/>
                <w:szCs w:val="14"/>
                <w:color w:val="auto"/>
              </w:rPr>
            </w:pPr>
          </w:p>
        </w:tc>
      </w:tr>
      <w:tr>
        <w:trPr>
          <w:trHeight w:val="34"/>
        </w:trPr>
        <w:tc>
          <w:tcPr>
            <w:tcW w:w="1160" w:type="dxa"/>
            <w:vAlign w:val="bottom"/>
            <w:tcBorders>
              <w:left w:val="single" w:sz="8" w:color="auto"/>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40" w:type="dxa"/>
            <w:vAlign w:val="bottom"/>
            <w:tcBorders>
              <w:top w:val="single" w:sz="8" w:color="0000FF"/>
              <w:bottom w:val="single" w:sz="8" w:color="auto"/>
            </w:tcBorders>
          </w:tcPr>
          <w:p>
            <w:pPr>
              <w:spacing w:after="0"/>
              <w:rPr>
                <w:sz w:val="2"/>
                <w:szCs w:val="2"/>
                <w:color w:val="auto"/>
              </w:rPr>
            </w:pPr>
          </w:p>
        </w:tc>
        <w:tc>
          <w:tcPr>
            <w:tcW w:w="2100" w:type="dxa"/>
            <w:vAlign w:val="bottom"/>
            <w:tcBorders>
              <w:top w:val="single" w:sz="8" w:color="0000FF"/>
              <w:bottom w:val="single" w:sz="8" w:color="auto"/>
            </w:tcBorders>
          </w:tcPr>
          <w:p>
            <w:pPr>
              <w:spacing w:after="0"/>
              <w:rPr>
                <w:sz w:val="2"/>
                <w:szCs w:val="2"/>
                <w:color w:val="auto"/>
              </w:rPr>
            </w:pPr>
          </w:p>
        </w:tc>
        <w:tc>
          <w:tcPr>
            <w:tcW w:w="20" w:type="dxa"/>
            <w:vAlign w:val="bottom"/>
            <w:tcBorders>
              <w:top w:val="single" w:sz="8" w:color="0000FF"/>
              <w:bottom w:val="single" w:sz="8" w:color="auto"/>
            </w:tcBorders>
          </w:tcPr>
          <w:p>
            <w:pPr>
              <w:spacing w:after="0"/>
              <w:rPr>
                <w:sz w:val="2"/>
                <w:szCs w:val="2"/>
                <w:color w:val="auto"/>
              </w:rPr>
            </w:pPr>
          </w:p>
        </w:tc>
        <w:tc>
          <w:tcPr>
            <w:tcW w:w="220" w:type="dxa"/>
            <w:vAlign w:val="bottom"/>
            <w:tcBorders>
              <w:top w:val="single" w:sz="8" w:color="0000FF"/>
              <w:bottom w:val="single" w:sz="8" w:color="auto"/>
            </w:tcBorders>
          </w:tcPr>
          <w:p>
            <w:pPr>
              <w:spacing w:after="0"/>
              <w:rPr>
                <w:sz w:val="2"/>
                <w:szCs w:val="2"/>
                <w:color w:val="auto"/>
              </w:rPr>
            </w:pPr>
          </w:p>
        </w:tc>
        <w:tc>
          <w:tcPr>
            <w:tcW w:w="420" w:type="dxa"/>
            <w:vAlign w:val="bottom"/>
            <w:tcBorders>
              <w:top w:val="single" w:sz="8" w:color="0000FF"/>
              <w:bottom w:val="single" w:sz="8" w:color="auto"/>
            </w:tcBorders>
          </w:tcPr>
          <w:p>
            <w:pPr>
              <w:spacing w:after="0"/>
              <w:rPr>
                <w:sz w:val="2"/>
                <w:szCs w:val="2"/>
                <w:color w:val="auto"/>
              </w:rPr>
            </w:pPr>
          </w:p>
        </w:tc>
        <w:tc>
          <w:tcPr>
            <w:tcW w:w="1020" w:type="dxa"/>
            <w:vAlign w:val="bottom"/>
            <w:tcBorders>
              <w:top w:val="single" w:sz="8" w:color="0000FF"/>
              <w:bottom w:val="single" w:sz="8" w:color="auto"/>
            </w:tcBorders>
          </w:tcPr>
          <w:p>
            <w:pPr>
              <w:spacing w:after="0"/>
              <w:rPr>
                <w:sz w:val="2"/>
                <w:szCs w:val="2"/>
                <w:color w:val="auto"/>
              </w:rPr>
            </w:pPr>
          </w:p>
        </w:tc>
        <w:tc>
          <w:tcPr>
            <w:tcW w:w="240" w:type="dxa"/>
            <w:vAlign w:val="bottom"/>
            <w:tcBorders>
              <w:top w:val="single" w:sz="8" w:color="0000FF"/>
              <w:bottom w:val="single" w:sz="8" w:color="auto"/>
            </w:tcBorders>
          </w:tcPr>
          <w:p>
            <w:pPr>
              <w:spacing w:after="0"/>
              <w:rPr>
                <w:sz w:val="2"/>
                <w:szCs w:val="2"/>
                <w:color w:val="auto"/>
              </w:rPr>
            </w:pPr>
          </w:p>
        </w:tc>
        <w:tc>
          <w:tcPr>
            <w:tcW w:w="180" w:type="dxa"/>
            <w:vAlign w:val="bottom"/>
            <w:tcBorders>
              <w:top w:val="single" w:sz="8" w:color="0000FF"/>
              <w:bottom w:val="single" w:sz="8" w:color="auto"/>
            </w:tcBorders>
          </w:tcPr>
          <w:p>
            <w:pPr>
              <w:spacing w:after="0"/>
              <w:rPr>
                <w:sz w:val="2"/>
                <w:szCs w:val="2"/>
                <w:color w:val="auto"/>
              </w:rPr>
            </w:pPr>
          </w:p>
        </w:tc>
        <w:tc>
          <w:tcPr>
            <w:tcW w:w="960" w:type="dxa"/>
            <w:vAlign w:val="bottom"/>
            <w:tcBorders>
              <w:top w:val="single" w:sz="8" w:color="0000FF"/>
              <w:bottom w:val="single" w:sz="8" w:color="auto"/>
            </w:tcBorders>
          </w:tcPr>
          <w:p>
            <w:pPr>
              <w:spacing w:after="0"/>
              <w:rPr>
                <w:sz w:val="2"/>
                <w:szCs w:val="2"/>
                <w:color w:val="auto"/>
              </w:rPr>
            </w:pPr>
          </w:p>
        </w:tc>
        <w:tc>
          <w:tcPr>
            <w:tcW w:w="100" w:type="dxa"/>
            <w:vAlign w:val="bottom"/>
            <w:tcBorders>
              <w:top w:val="single" w:sz="8" w:color="0000FF"/>
              <w:bottom w:val="single" w:sz="8" w:color="auto"/>
            </w:tcBorders>
          </w:tcPr>
          <w:p>
            <w:pPr>
              <w:spacing w:after="0"/>
              <w:rPr>
                <w:sz w:val="2"/>
                <w:szCs w:val="2"/>
                <w:color w:val="auto"/>
              </w:rPr>
            </w:pPr>
          </w:p>
        </w:tc>
        <w:tc>
          <w:tcPr>
            <w:tcW w:w="340" w:type="dxa"/>
            <w:vAlign w:val="bottom"/>
            <w:tcBorders>
              <w:top w:val="single" w:sz="8" w:color="0000FF"/>
              <w:bottom w:val="single" w:sz="8" w:color="auto"/>
            </w:tcBorders>
          </w:tcPr>
          <w:p>
            <w:pPr>
              <w:spacing w:after="0"/>
              <w:rPr>
                <w:sz w:val="2"/>
                <w:szCs w:val="2"/>
                <w:color w:val="auto"/>
              </w:rPr>
            </w:pPr>
          </w:p>
        </w:tc>
        <w:tc>
          <w:tcPr>
            <w:tcW w:w="500" w:type="dxa"/>
            <w:vAlign w:val="bottom"/>
            <w:tcBorders>
              <w:top w:val="single" w:sz="8" w:color="0000FF"/>
              <w:bottom w:val="single" w:sz="8" w:color="auto"/>
            </w:tcBorders>
          </w:tcPr>
          <w:p>
            <w:pPr>
              <w:spacing w:after="0"/>
              <w:rPr>
                <w:sz w:val="2"/>
                <w:szCs w:val="2"/>
                <w:color w:val="auto"/>
              </w:rPr>
            </w:pPr>
          </w:p>
        </w:tc>
        <w:tc>
          <w:tcPr>
            <w:tcW w:w="220" w:type="dxa"/>
            <w:vAlign w:val="bottom"/>
            <w:tcBorders>
              <w:top w:val="single" w:sz="8" w:color="0000FF"/>
              <w:bottom w:val="single" w:sz="8" w:color="auto"/>
            </w:tcBorders>
          </w:tcPr>
          <w:p>
            <w:pPr>
              <w:spacing w:after="0"/>
              <w:rPr>
                <w:sz w:val="2"/>
                <w:szCs w:val="2"/>
                <w:color w:val="auto"/>
              </w:rPr>
            </w:pPr>
          </w:p>
        </w:tc>
        <w:tc>
          <w:tcPr>
            <w:tcW w:w="880" w:type="dxa"/>
            <w:vAlign w:val="bottom"/>
            <w:tcBorders>
              <w:top w:val="single" w:sz="8" w:color="0000FF"/>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right w:val="single" w:sz="8" w:color="auto"/>
            </w:tcBorders>
          </w:tcPr>
          <w:p>
            <w:pPr>
              <w:spacing w:after="0"/>
              <w:rPr>
                <w:sz w:val="2"/>
                <w:szCs w:val="2"/>
                <w:color w:val="auto"/>
              </w:rPr>
            </w:pPr>
          </w:p>
        </w:tc>
      </w:tr>
      <w:tr>
        <w:trPr>
          <w:trHeight w:val="183"/>
        </w:trPr>
        <w:tc>
          <w:tcPr>
            <w:tcW w:w="1160" w:type="dxa"/>
            <w:vAlign w:val="bottom"/>
            <w:tcBorders>
              <w:left w:val="single" w:sz="8" w:color="auto"/>
              <w:right w:val="single" w:sz="8" w:color="auto"/>
            </w:tcBorders>
          </w:tcPr>
          <w:p>
            <w:pPr>
              <w:ind w:left="40"/>
              <w:spacing w:after="0" w:line="183" w:lineRule="exact"/>
              <w:rPr>
                <w:sz w:val="20"/>
                <w:szCs w:val="20"/>
                <w:color w:val="auto"/>
              </w:rPr>
            </w:pPr>
            <w:r>
              <w:rPr>
                <w:rFonts w:ascii="Arial" w:cs="Arial" w:eastAsia="Arial" w:hAnsi="Arial"/>
                <w:sz w:val="16"/>
                <w:szCs w:val="16"/>
                <w:color w:val="auto"/>
              </w:rPr>
              <w:t>10.24</w:t>
            </w:r>
          </w:p>
        </w:tc>
        <w:tc>
          <w:tcPr>
            <w:tcW w:w="12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0140" w:type="dxa"/>
            <w:vAlign w:val="bottom"/>
            <w:tcBorders>
              <w:right w:val="single" w:sz="8" w:color="auto"/>
            </w:tcBorders>
            <w:gridSpan w:val="38"/>
          </w:tcPr>
          <w:p>
            <w:pPr>
              <w:spacing w:after="0" w:line="183" w:lineRule="exact"/>
              <w:rPr>
                <w:rFonts w:ascii="Arial" w:cs="Arial" w:eastAsia="Arial" w:hAnsi="Arial"/>
                <w:sz w:val="16"/>
                <w:szCs w:val="16"/>
                <w:color w:val="0000FF"/>
              </w:rPr>
            </w:pPr>
            <w:hyperlink r:id="rId189">
              <w:r>
                <w:rPr>
                  <w:rFonts w:ascii="Arial" w:cs="Arial" w:eastAsia="Arial" w:hAnsi="Arial"/>
                  <w:sz w:val="16"/>
                  <w:szCs w:val="16"/>
                  <w:color w:val="0000FF"/>
                </w:rPr>
                <w:t>Separation Agreement, dated as of January 31, 2005, by and between Cendant Corporation* and PHH Corporation (Incorporated by</w:t>
              </w:r>
            </w:hyperlink>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9540" w:type="dxa"/>
            <w:vAlign w:val="bottom"/>
            <w:tcBorders>
              <w:top w:val="single" w:sz="8" w:color="0000FF"/>
            </w:tcBorders>
            <w:gridSpan w:val="21"/>
          </w:tcPr>
          <w:p>
            <w:pPr>
              <w:spacing w:after="0" w:line="169" w:lineRule="exact"/>
              <w:rPr>
                <w:rFonts w:ascii="Arial" w:cs="Arial" w:eastAsia="Arial" w:hAnsi="Arial"/>
                <w:sz w:val="16"/>
                <w:szCs w:val="16"/>
                <w:color w:val="0000FF"/>
              </w:rPr>
            </w:pPr>
            <w:hyperlink r:id="rId189">
              <w:r>
                <w:rPr>
                  <w:rFonts w:ascii="Arial" w:cs="Arial" w:eastAsia="Arial" w:hAnsi="Arial"/>
                  <w:sz w:val="16"/>
                  <w:szCs w:val="16"/>
                  <w:color w:val="0000FF"/>
                </w:rPr>
                <w:t>reference to Exhibit 10.3 to the Company’s Current Report on Form 8-K dated February 4, 2005).</w:t>
              </w:r>
            </w:hyperlink>
          </w:p>
        </w:tc>
        <w:tc>
          <w:tcPr>
            <w:tcW w:w="600" w:type="dxa"/>
            <w:vAlign w:val="bottom"/>
            <w:tcBorders>
              <w:right w:val="single" w:sz="8" w:color="auto"/>
            </w:tcBorders>
            <w:gridSpan w:val="17"/>
          </w:tcPr>
          <w:p>
            <w:pPr>
              <w:spacing w:after="0"/>
              <w:rPr>
                <w:sz w:val="14"/>
                <w:szCs w:val="14"/>
                <w:color w:val="auto"/>
              </w:rPr>
            </w:pPr>
          </w:p>
        </w:tc>
      </w:tr>
      <w:tr>
        <w:trPr>
          <w:trHeight w:val="34"/>
        </w:trPr>
        <w:tc>
          <w:tcPr>
            <w:tcW w:w="1160" w:type="dxa"/>
            <w:vAlign w:val="bottom"/>
            <w:tcBorders>
              <w:left w:val="single" w:sz="8" w:color="auto"/>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40" w:type="dxa"/>
            <w:vAlign w:val="bottom"/>
            <w:tcBorders>
              <w:top w:val="single" w:sz="8" w:color="0000FF"/>
              <w:bottom w:val="single" w:sz="8" w:color="auto"/>
            </w:tcBorders>
          </w:tcPr>
          <w:p>
            <w:pPr>
              <w:spacing w:after="0"/>
              <w:rPr>
                <w:sz w:val="2"/>
                <w:szCs w:val="2"/>
                <w:color w:val="auto"/>
              </w:rPr>
            </w:pPr>
          </w:p>
        </w:tc>
        <w:tc>
          <w:tcPr>
            <w:tcW w:w="2100" w:type="dxa"/>
            <w:vAlign w:val="bottom"/>
            <w:tcBorders>
              <w:top w:val="single" w:sz="8" w:color="0000FF"/>
              <w:bottom w:val="single" w:sz="8" w:color="auto"/>
            </w:tcBorders>
          </w:tcPr>
          <w:p>
            <w:pPr>
              <w:spacing w:after="0"/>
              <w:rPr>
                <w:sz w:val="2"/>
                <w:szCs w:val="2"/>
                <w:color w:val="auto"/>
              </w:rPr>
            </w:pPr>
          </w:p>
        </w:tc>
        <w:tc>
          <w:tcPr>
            <w:tcW w:w="20" w:type="dxa"/>
            <w:vAlign w:val="bottom"/>
            <w:tcBorders>
              <w:top w:val="single" w:sz="8" w:color="0000FF"/>
              <w:bottom w:val="single" w:sz="8" w:color="auto"/>
            </w:tcBorders>
          </w:tcPr>
          <w:p>
            <w:pPr>
              <w:spacing w:after="0"/>
              <w:rPr>
                <w:sz w:val="2"/>
                <w:szCs w:val="2"/>
                <w:color w:val="auto"/>
              </w:rPr>
            </w:pPr>
          </w:p>
        </w:tc>
        <w:tc>
          <w:tcPr>
            <w:tcW w:w="220" w:type="dxa"/>
            <w:vAlign w:val="bottom"/>
            <w:tcBorders>
              <w:top w:val="single" w:sz="8" w:color="0000FF"/>
              <w:bottom w:val="single" w:sz="8" w:color="auto"/>
            </w:tcBorders>
          </w:tcPr>
          <w:p>
            <w:pPr>
              <w:spacing w:after="0"/>
              <w:rPr>
                <w:sz w:val="2"/>
                <w:szCs w:val="2"/>
                <w:color w:val="auto"/>
              </w:rPr>
            </w:pPr>
          </w:p>
        </w:tc>
        <w:tc>
          <w:tcPr>
            <w:tcW w:w="420" w:type="dxa"/>
            <w:vAlign w:val="bottom"/>
            <w:tcBorders>
              <w:top w:val="single" w:sz="8" w:color="0000FF"/>
              <w:bottom w:val="single" w:sz="8" w:color="auto"/>
            </w:tcBorders>
          </w:tcPr>
          <w:p>
            <w:pPr>
              <w:spacing w:after="0"/>
              <w:rPr>
                <w:sz w:val="2"/>
                <w:szCs w:val="2"/>
                <w:color w:val="auto"/>
              </w:rPr>
            </w:pPr>
          </w:p>
        </w:tc>
        <w:tc>
          <w:tcPr>
            <w:tcW w:w="1020" w:type="dxa"/>
            <w:vAlign w:val="bottom"/>
            <w:tcBorders>
              <w:top w:val="single" w:sz="8" w:color="0000FF"/>
              <w:bottom w:val="single" w:sz="8" w:color="auto"/>
            </w:tcBorders>
          </w:tcPr>
          <w:p>
            <w:pPr>
              <w:spacing w:after="0"/>
              <w:rPr>
                <w:sz w:val="2"/>
                <w:szCs w:val="2"/>
                <w:color w:val="auto"/>
              </w:rPr>
            </w:pPr>
          </w:p>
        </w:tc>
        <w:tc>
          <w:tcPr>
            <w:tcW w:w="240" w:type="dxa"/>
            <w:vAlign w:val="bottom"/>
            <w:tcBorders>
              <w:top w:val="single" w:sz="8" w:color="0000FF"/>
              <w:bottom w:val="single" w:sz="8" w:color="auto"/>
            </w:tcBorders>
          </w:tcPr>
          <w:p>
            <w:pPr>
              <w:spacing w:after="0"/>
              <w:rPr>
                <w:sz w:val="2"/>
                <w:szCs w:val="2"/>
                <w:color w:val="auto"/>
              </w:rPr>
            </w:pPr>
          </w:p>
        </w:tc>
        <w:tc>
          <w:tcPr>
            <w:tcW w:w="180" w:type="dxa"/>
            <w:vAlign w:val="bottom"/>
            <w:tcBorders>
              <w:top w:val="single" w:sz="8" w:color="0000FF"/>
              <w:bottom w:val="single" w:sz="8" w:color="auto"/>
            </w:tcBorders>
          </w:tcPr>
          <w:p>
            <w:pPr>
              <w:spacing w:after="0"/>
              <w:rPr>
                <w:sz w:val="2"/>
                <w:szCs w:val="2"/>
                <w:color w:val="auto"/>
              </w:rPr>
            </w:pPr>
          </w:p>
        </w:tc>
        <w:tc>
          <w:tcPr>
            <w:tcW w:w="960" w:type="dxa"/>
            <w:vAlign w:val="bottom"/>
            <w:tcBorders>
              <w:top w:val="single" w:sz="8" w:color="0000FF"/>
              <w:bottom w:val="single" w:sz="8" w:color="auto"/>
            </w:tcBorders>
          </w:tcPr>
          <w:p>
            <w:pPr>
              <w:spacing w:after="0"/>
              <w:rPr>
                <w:sz w:val="2"/>
                <w:szCs w:val="2"/>
                <w:color w:val="auto"/>
              </w:rPr>
            </w:pPr>
          </w:p>
        </w:tc>
        <w:tc>
          <w:tcPr>
            <w:tcW w:w="100" w:type="dxa"/>
            <w:vAlign w:val="bottom"/>
            <w:tcBorders>
              <w:top w:val="single" w:sz="8" w:color="0000FF"/>
              <w:bottom w:val="single" w:sz="8" w:color="auto"/>
            </w:tcBorders>
          </w:tcPr>
          <w:p>
            <w:pPr>
              <w:spacing w:after="0"/>
              <w:rPr>
                <w:sz w:val="2"/>
                <w:szCs w:val="2"/>
                <w:color w:val="auto"/>
              </w:rPr>
            </w:pPr>
          </w:p>
        </w:tc>
        <w:tc>
          <w:tcPr>
            <w:tcW w:w="340" w:type="dxa"/>
            <w:vAlign w:val="bottom"/>
            <w:tcBorders>
              <w:top w:val="single" w:sz="8" w:color="0000FF"/>
              <w:bottom w:val="single" w:sz="8" w:color="auto"/>
            </w:tcBorders>
          </w:tcPr>
          <w:p>
            <w:pPr>
              <w:spacing w:after="0"/>
              <w:rPr>
                <w:sz w:val="2"/>
                <w:szCs w:val="2"/>
                <w:color w:val="auto"/>
              </w:rPr>
            </w:pPr>
          </w:p>
        </w:tc>
        <w:tc>
          <w:tcPr>
            <w:tcW w:w="500" w:type="dxa"/>
            <w:vAlign w:val="bottom"/>
            <w:tcBorders>
              <w:top w:val="single" w:sz="8" w:color="0000FF"/>
              <w:bottom w:val="single" w:sz="8" w:color="auto"/>
            </w:tcBorders>
          </w:tcPr>
          <w:p>
            <w:pPr>
              <w:spacing w:after="0"/>
              <w:rPr>
                <w:sz w:val="2"/>
                <w:szCs w:val="2"/>
                <w:color w:val="auto"/>
              </w:rPr>
            </w:pPr>
          </w:p>
        </w:tc>
        <w:tc>
          <w:tcPr>
            <w:tcW w:w="220" w:type="dxa"/>
            <w:vAlign w:val="bottom"/>
            <w:tcBorders>
              <w:top w:val="single" w:sz="8" w:color="0000FF"/>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right w:val="single" w:sz="8" w:color="auto"/>
            </w:tcBorders>
          </w:tcPr>
          <w:p>
            <w:pPr>
              <w:spacing w:after="0"/>
              <w:rPr>
                <w:sz w:val="2"/>
                <w:szCs w:val="2"/>
                <w:color w:val="auto"/>
              </w:rPr>
            </w:pPr>
          </w:p>
        </w:tc>
      </w:tr>
      <w:tr>
        <w:trPr>
          <w:trHeight w:val="183"/>
        </w:trPr>
        <w:tc>
          <w:tcPr>
            <w:tcW w:w="1160" w:type="dxa"/>
            <w:vAlign w:val="bottom"/>
            <w:tcBorders>
              <w:left w:val="single" w:sz="8" w:color="auto"/>
              <w:right w:val="single" w:sz="8" w:color="auto"/>
            </w:tcBorders>
          </w:tcPr>
          <w:p>
            <w:pPr>
              <w:ind w:left="40"/>
              <w:spacing w:after="0" w:line="183" w:lineRule="exact"/>
              <w:rPr>
                <w:sz w:val="20"/>
                <w:szCs w:val="20"/>
                <w:color w:val="auto"/>
              </w:rPr>
            </w:pPr>
            <w:r>
              <w:rPr>
                <w:rFonts w:ascii="Arial" w:cs="Arial" w:eastAsia="Arial" w:hAnsi="Arial"/>
                <w:sz w:val="16"/>
                <w:szCs w:val="16"/>
                <w:color w:val="auto"/>
              </w:rPr>
              <w:t>10.25</w:t>
            </w:r>
          </w:p>
        </w:tc>
        <w:tc>
          <w:tcPr>
            <w:tcW w:w="12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0000" w:type="dxa"/>
            <w:vAlign w:val="bottom"/>
            <w:tcBorders>
              <w:bottom w:val="single" w:sz="8" w:color="0000FF"/>
            </w:tcBorders>
            <w:gridSpan w:val="32"/>
          </w:tcPr>
          <w:p>
            <w:pPr>
              <w:spacing w:after="0" w:line="183" w:lineRule="exact"/>
              <w:rPr>
                <w:rFonts w:ascii="Arial" w:cs="Arial" w:eastAsia="Arial" w:hAnsi="Arial"/>
                <w:sz w:val="16"/>
                <w:szCs w:val="16"/>
                <w:color w:val="0000FF"/>
              </w:rPr>
            </w:pPr>
            <w:hyperlink r:id="rId190">
              <w:r>
                <w:rPr>
                  <w:rFonts w:ascii="Arial" w:cs="Arial" w:eastAsia="Arial" w:hAnsi="Arial"/>
                  <w:sz w:val="16"/>
                  <w:szCs w:val="16"/>
                  <w:color w:val="0000FF"/>
                </w:rPr>
                <w:t>Tax Sharing Agreement, dated as of January 31, 2005, by and among Cendant Corporation*, PHH Corporation and certain affiliates of PHH</w:t>
              </w:r>
            </w:hyperlink>
          </w:p>
        </w:tc>
        <w:tc>
          <w:tcPr>
            <w:tcW w:w="140" w:type="dxa"/>
            <w:vAlign w:val="bottom"/>
            <w:tcBorders>
              <w:right w:val="single" w:sz="8" w:color="auto"/>
            </w:tcBorders>
            <w:gridSpan w:val="6"/>
          </w:tcPr>
          <w:p>
            <w:pPr>
              <w:spacing w:after="0"/>
              <w:rPr>
                <w:sz w:val="15"/>
                <w:szCs w:val="15"/>
                <w:color w:val="auto"/>
              </w:rPr>
            </w:pPr>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140" w:type="dxa"/>
            <w:vAlign w:val="bottom"/>
            <w:tcBorders>
              <w:right w:val="single" w:sz="8" w:color="auto"/>
            </w:tcBorders>
            <w:gridSpan w:val="38"/>
          </w:tcPr>
          <w:p>
            <w:pPr>
              <w:spacing w:after="0" w:line="169" w:lineRule="exact"/>
              <w:rPr>
                <w:rFonts w:ascii="Arial" w:cs="Arial" w:eastAsia="Arial" w:hAnsi="Arial"/>
                <w:sz w:val="16"/>
                <w:szCs w:val="16"/>
                <w:color w:val="0000FF"/>
              </w:rPr>
            </w:pPr>
            <w:hyperlink r:id="rId190">
              <w:r>
                <w:rPr>
                  <w:rFonts w:ascii="Arial" w:cs="Arial" w:eastAsia="Arial" w:hAnsi="Arial"/>
                  <w:sz w:val="16"/>
                  <w:szCs w:val="16"/>
                  <w:color w:val="0000FF"/>
                </w:rPr>
                <w:t>Corporation named therein (Incorporated by reference to Exhibit 10.4 to the Company’s Current Report on Form 8-K dated February 4,</w:t>
              </w:r>
            </w:hyperlink>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9640" w:type="dxa"/>
            <w:vAlign w:val="bottom"/>
            <w:tcBorders>
              <w:top w:val="single" w:sz="8" w:color="0000FF"/>
            </w:tcBorders>
            <w:gridSpan w:val="24"/>
          </w:tcPr>
          <w:p>
            <w:pPr>
              <w:spacing w:after="0" w:line="169" w:lineRule="exact"/>
              <w:rPr>
                <w:rFonts w:ascii="Arial" w:cs="Arial" w:eastAsia="Arial" w:hAnsi="Arial"/>
                <w:sz w:val="16"/>
                <w:szCs w:val="16"/>
                <w:color w:val="0000FF"/>
              </w:rPr>
            </w:pPr>
            <w:hyperlink r:id="rId190">
              <w:r>
                <w:rPr>
                  <w:rFonts w:ascii="Arial" w:cs="Arial" w:eastAsia="Arial" w:hAnsi="Arial"/>
                  <w:sz w:val="16"/>
                  <w:szCs w:val="16"/>
                  <w:color w:val="0000FF"/>
                </w:rPr>
                <w:t>2005).††</w:t>
              </w:r>
            </w:hyperlink>
          </w:p>
        </w:tc>
        <w:tc>
          <w:tcPr>
            <w:tcW w:w="500" w:type="dxa"/>
            <w:vAlign w:val="bottom"/>
            <w:tcBorders>
              <w:right w:val="single" w:sz="8" w:color="auto"/>
            </w:tcBorders>
            <w:gridSpan w:val="14"/>
          </w:tcPr>
          <w:p>
            <w:pPr>
              <w:spacing w:after="0"/>
              <w:rPr>
                <w:sz w:val="14"/>
                <w:szCs w:val="14"/>
                <w:color w:val="auto"/>
              </w:rPr>
            </w:pPr>
          </w:p>
        </w:tc>
      </w:tr>
      <w:tr>
        <w:trPr>
          <w:trHeight w:val="34"/>
        </w:trPr>
        <w:tc>
          <w:tcPr>
            <w:tcW w:w="1160" w:type="dxa"/>
            <w:vAlign w:val="bottom"/>
            <w:tcBorders>
              <w:left w:val="single" w:sz="8" w:color="auto"/>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40" w:type="dxa"/>
            <w:vAlign w:val="bottom"/>
            <w:tcBorders>
              <w:top w:val="single" w:sz="8" w:color="0000FF"/>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right w:val="single" w:sz="8" w:color="auto"/>
            </w:tcBorders>
          </w:tcPr>
          <w:p>
            <w:pPr>
              <w:spacing w:after="0"/>
              <w:rPr>
                <w:sz w:val="2"/>
                <w:szCs w:val="2"/>
                <w:color w:val="auto"/>
              </w:rPr>
            </w:pPr>
          </w:p>
        </w:tc>
      </w:tr>
      <w:tr>
        <w:trPr>
          <w:trHeight w:val="183"/>
        </w:trPr>
        <w:tc>
          <w:tcPr>
            <w:tcW w:w="1160" w:type="dxa"/>
            <w:vAlign w:val="bottom"/>
            <w:tcBorders>
              <w:left w:val="single" w:sz="8" w:color="auto"/>
              <w:right w:val="single" w:sz="8" w:color="auto"/>
            </w:tcBorders>
          </w:tcPr>
          <w:p>
            <w:pPr>
              <w:ind w:left="40"/>
              <w:spacing w:after="0" w:line="183" w:lineRule="exact"/>
              <w:rPr>
                <w:sz w:val="20"/>
                <w:szCs w:val="20"/>
                <w:color w:val="auto"/>
              </w:rPr>
            </w:pPr>
            <w:r>
              <w:rPr>
                <w:rFonts w:ascii="Arial" w:cs="Arial" w:eastAsia="Arial" w:hAnsi="Arial"/>
                <w:sz w:val="16"/>
                <w:szCs w:val="16"/>
                <w:color w:val="auto"/>
              </w:rPr>
              <w:t>10.26</w:t>
            </w:r>
          </w:p>
        </w:tc>
        <w:tc>
          <w:tcPr>
            <w:tcW w:w="12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0080" w:type="dxa"/>
            <w:vAlign w:val="bottom"/>
            <w:tcBorders>
              <w:bottom w:val="single" w:sz="8" w:color="0000FF"/>
            </w:tcBorders>
            <w:gridSpan w:val="36"/>
          </w:tcPr>
          <w:p>
            <w:pPr>
              <w:spacing w:after="0" w:line="183" w:lineRule="exact"/>
              <w:rPr>
                <w:rFonts w:ascii="Arial" w:cs="Arial" w:eastAsia="Arial" w:hAnsi="Arial"/>
                <w:sz w:val="16"/>
                <w:szCs w:val="16"/>
                <w:color w:val="0000FF"/>
              </w:rPr>
            </w:pPr>
            <w:hyperlink r:id="rId191">
              <w:r>
                <w:rPr>
                  <w:rFonts w:ascii="Arial" w:cs="Arial" w:eastAsia="Arial" w:hAnsi="Arial"/>
                  <w:sz w:val="16"/>
                  <w:szCs w:val="16"/>
                  <w:color w:val="0000FF"/>
                </w:rPr>
                <w:t>Cendant Corporation* Officer Personal Financial Services Policy (Incorporated by reference to Exhibit 10.3 to the Company’s Current Report</w:t>
              </w:r>
            </w:hyperlink>
          </w:p>
        </w:tc>
        <w:tc>
          <w:tcPr>
            <w:tcW w:w="60" w:type="dxa"/>
            <w:vAlign w:val="bottom"/>
            <w:tcBorders>
              <w:right w:val="single" w:sz="8" w:color="auto"/>
            </w:tcBorders>
            <w:gridSpan w:val="2"/>
          </w:tcPr>
          <w:p>
            <w:pPr>
              <w:spacing w:after="0"/>
              <w:rPr>
                <w:sz w:val="15"/>
                <w:szCs w:val="15"/>
                <w:color w:val="auto"/>
              </w:rPr>
            </w:pPr>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140" w:type="dxa"/>
            <w:vAlign w:val="bottom"/>
            <w:tcBorders>
              <w:right w:val="single" w:sz="8" w:color="auto"/>
            </w:tcBorders>
            <w:gridSpan w:val="38"/>
          </w:tcPr>
          <w:p>
            <w:pPr>
              <w:spacing w:after="0" w:line="169" w:lineRule="exact"/>
              <w:rPr>
                <w:rFonts w:ascii="Arial" w:cs="Arial" w:eastAsia="Arial" w:hAnsi="Arial"/>
                <w:sz w:val="16"/>
                <w:szCs w:val="16"/>
                <w:color w:val="0000FF"/>
              </w:rPr>
            </w:pPr>
            <w:hyperlink r:id="rId191">
              <w:r>
                <w:rPr>
                  <w:rFonts w:ascii="Arial" w:cs="Arial" w:eastAsia="Arial" w:hAnsi="Arial"/>
                  <w:sz w:val="16"/>
                  <w:szCs w:val="16"/>
                  <w:color w:val="0000FF"/>
                </w:rPr>
                <w:t>on Form 8-K dated January 26, 2005).</w:t>
              </w:r>
            </w:hyperlink>
          </w:p>
        </w:tc>
      </w:tr>
      <w:tr>
        <w:trPr>
          <w:trHeight w:val="34"/>
        </w:trPr>
        <w:tc>
          <w:tcPr>
            <w:tcW w:w="1160" w:type="dxa"/>
            <w:vAlign w:val="bottom"/>
            <w:tcBorders>
              <w:left w:val="single" w:sz="8" w:color="auto"/>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40" w:type="dxa"/>
            <w:vAlign w:val="bottom"/>
            <w:tcBorders>
              <w:top w:val="single" w:sz="8" w:color="0000FF"/>
              <w:bottom w:val="single" w:sz="8" w:color="auto"/>
            </w:tcBorders>
          </w:tcPr>
          <w:p>
            <w:pPr>
              <w:spacing w:after="0"/>
              <w:rPr>
                <w:sz w:val="2"/>
                <w:szCs w:val="2"/>
                <w:color w:val="auto"/>
              </w:rPr>
            </w:pPr>
          </w:p>
        </w:tc>
        <w:tc>
          <w:tcPr>
            <w:tcW w:w="2100" w:type="dxa"/>
            <w:vAlign w:val="bottom"/>
            <w:tcBorders>
              <w:top w:val="single" w:sz="8" w:color="0000FF"/>
              <w:bottom w:val="single" w:sz="8" w:color="auto"/>
            </w:tcBorders>
          </w:tcPr>
          <w:p>
            <w:pPr>
              <w:spacing w:after="0"/>
              <w:rPr>
                <w:sz w:val="2"/>
                <w:szCs w:val="2"/>
                <w:color w:val="auto"/>
              </w:rPr>
            </w:pPr>
          </w:p>
        </w:tc>
        <w:tc>
          <w:tcPr>
            <w:tcW w:w="20" w:type="dxa"/>
            <w:vAlign w:val="bottom"/>
            <w:tcBorders>
              <w:top w:val="single" w:sz="8" w:color="0000FF"/>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right w:val="single" w:sz="8" w:color="auto"/>
            </w:tcBorders>
          </w:tcPr>
          <w:p>
            <w:pPr>
              <w:spacing w:after="0"/>
              <w:rPr>
                <w:sz w:val="2"/>
                <w:szCs w:val="2"/>
                <w:color w:val="auto"/>
              </w:rPr>
            </w:pPr>
          </w:p>
        </w:tc>
      </w:tr>
      <w:tr>
        <w:trPr>
          <w:trHeight w:val="183"/>
        </w:trPr>
        <w:tc>
          <w:tcPr>
            <w:tcW w:w="1160" w:type="dxa"/>
            <w:vAlign w:val="bottom"/>
            <w:tcBorders>
              <w:left w:val="single" w:sz="8" w:color="auto"/>
              <w:right w:val="single" w:sz="8" w:color="auto"/>
            </w:tcBorders>
          </w:tcPr>
          <w:p>
            <w:pPr>
              <w:ind w:left="40"/>
              <w:spacing w:after="0" w:line="183" w:lineRule="exact"/>
              <w:rPr>
                <w:sz w:val="20"/>
                <w:szCs w:val="20"/>
                <w:color w:val="auto"/>
              </w:rPr>
            </w:pPr>
            <w:r>
              <w:rPr>
                <w:rFonts w:ascii="Arial" w:cs="Arial" w:eastAsia="Arial" w:hAnsi="Arial"/>
                <w:sz w:val="16"/>
                <w:szCs w:val="16"/>
                <w:color w:val="auto"/>
              </w:rPr>
              <w:t>10.27</w:t>
            </w:r>
          </w:p>
        </w:tc>
        <w:tc>
          <w:tcPr>
            <w:tcW w:w="12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9600" w:type="dxa"/>
            <w:vAlign w:val="bottom"/>
            <w:tcBorders>
              <w:bottom w:val="single" w:sz="8" w:color="0000FF"/>
            </w:tcBorders>
            <w:gridSpan w:val="22"/>
          </w:tcPr>
          <w:p>
            <w:pPr>
              <w:spacing w:after="0" w:line="183" w:lineRule="exact"/>
              <w:rPr>
                <w:rFonts w:ascii="Arial" w:cs="Arial" w:eastAsia="Arial" w:hAnsi="Arial"/>
                <w:sz w:val="16"/>
                <w:szCs w:val="16"/>
                <w:color w:val="0000FF"/>
              </w:rPr>
            </w:pPr>
            <w:hyperlink r:id="rId192">
              <w:r>
                <w:rPr>
                  <w:rFonts w:ascii="Arial" w:cs="Arial" w:eastAsia="Arial" w:hAnsi="Arial"/>
                  <w:sz w:val="16"/>
                  <w:szCs w:val="16"/>
                  <w:color w:val="0000FF"/>
                </w:rPr>
                <w:t>Purchase Agreement, dated as of June 30, 2006, by and among the Company, Travelport Inc. and TDS Investor LLC (Incorporated by</w:t>
              </w:r>
            </w:hyperlink>
          </w:p>
        </w:tc>
        <w:tc>
          <w:tcPr>
            <w:tcW w:w="540" w:type="dxa"/>
            <w:vAlign w:val="bottom"/>
            <w:tcBorders>
              <w:right w:val="single" w:sz="8" w:color="auto"/>
            </w:tcBorders>
            <w:gridSpan w:val="16"/>
          </w:tcPr>
          <w:p>
            <w:pPr>
              <w:spacing w:after="0"/>
              <w:rPr>
                <w:sz w:val="15"/>
                <w:szCs w:val="15"/>
                <w:color w:val="auto"/>
              </w:rPr>
            </w:pPr>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140" w:type="dxa"/>
            <w:vAlign w:val="bottom"/>
            <w:tcBorders>
              <w:right w:val="single" w:sz="8" w:color="auto"/>
            </w:tcBorders>
            <w:gridSpan w:val="38"/>
          </w:tcPr>
          <w:p>
            <w:pPr>
              <w:spacing w:after="0" w:line="169" w:lineRule="exact"/>
              <w:rPr>
                <w:rFonts w:ascii="Arial" w:cs="Arial" w:eastAsia="Arial" w:hAnsi="Arial"/>
                <w:sz w:val="16"/>
                <w:szCs w:val="16"/>
                <w:color w:val="0000FF"/>
              </w:rPr>
            </w:pPr>
            <w:hyperlink r:id="rId192">
              <w:r>
                <w:rPr>
                  <w:rFonts w:ascii="Arial" w:cs="Arial" w:eastAsia="Arial" w:hAnsi="Arial"/>
                  <w:sz w:val="16"/>
                  <w:szCs w:val="16"/>
                  <w:color w:val="0000FF"/>
                </w:rPr>
                <w:t>reference to Exhibit 10.1 to the Company’s Current Report on Form 8-K dated June 30, 2006).</w:t>
              </w:r>
            </w:hyperlink>
          </w:p>
        </w:tc>
      </w:tr>
      <w:tr>
        <w:trPr>
          <w:trHeight w:val="34"/>
        </w:trPr>
        <w:tc>
          <w:tcPr>
            <w:tcW w:w="1160" w:type="dxa"/>
            <w:vAlign w:val="bottom"/>
            <w:tcBorders>
              <w:left w:val="single" w:sz="8" w:color="auto"/>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40" w:type="dxa"/>
            <w:vAlign w:val="bottom"/>
            <w:tcBorders>
              <w:top w:val="single" w:sz="8" w:color="0000FF"/>
              <w:bottom w:val="single" w:sz="8" w:color="auto"/>
            </w:tcBorders>
          </w:tcPr>
          <w:p>
            <w:pPr>
              <w:spacing w:after="0"/>
              <w:rPr>
                <w:sz w:val="2"/>
                <w:szCs w:val="2"/>
                <w:color w:val="auto"/>
              </w:rPr>
            </w:pPr>
          </w:p>
        </w:tc>
        <w:tc>
          <w:tcPr>
            <w:tcW w:w="2100" w:type="dxa"/>
            <w:vAlign w:val="bottom"/>
            <w:tcBorders>
              <w:top w:val="single" w:sz="8" w:color="0000FF"/>
              <w:bottom w:val="single" w:sz="8" w:color="auto"/>
            </w:tcBorders>
          </w:tcPr>
          <w:p>
            <w:pPr>
              <w:spacing w:after="0"/>
              <w:rPr>
                <w:sz w:val="2"/>
                <w:szCs w:val="2"/>
                <w:color w:val="auto"/>
              </w:rPr>
            </w:pPr>
          </w:p>
        </w:tc>
        <w:tc>
          <w:tcPr>
            <w:tcW w:w="20" w:type="dxa"/>
            <w:vAlign w:val="bottom"/>
            <w:tcBorders>
              <w:top w:val="single" w:sz="8" w:color="0000FF"/>
              <w:bottom w:val="single" w:sz="8" w:color="auto"/>
            </w:tcBorders>
          </w:tcPr>
          <w:p>
            <w:pPr>
              <w:spacing w:after="0"/>
              <w:rPr>
                <w:sz w:val="2"/>
                <w:szCs w:val="2"/>
                <w:color w:val="auto"/>
              </w:rPr>
            </w:pPr>
          </w:p>
        </w:tc>
        <w:tc>
          <w:tcPr>
            <w:tcW w:w="220" w:type="dxa"/>
            <w:vAlign w:val="bottom"/>
            <w:tcBorders>
              <w:top w:val="single" w:sz="8" w:color="0000FF"/>
              <w:bottom w:val="single" w:sz="8" w:color="auto"/>
            </w:tcBorders>
          </w:tcPr>
          <w:p>
            <w:pPr>
              <w:spacing w:after="0"/>
              <w:rPr>
                <w:sz w:val="2"/>
                <w:szCs w:val="2"/>
                <w:color w:val="auto"/>
              </w:rPr>
            </w:pPr>
          </w:p>
        </w:tc>
        <w:tc>
          <w:tcPr>
            <w:tcW w:w="420" w:type="dxa"/>
            <w:vAlign w:val="bottom"/>
            <w:tcBorders>
              <w:top w:val="single" w:sz="8" w:color="0000FF"/>
              <w:bottom w:val="single" w:sz="8" w:color="auto"/>
            </w:tcBorders>
          </w:tcPr>
          <w:p>
            <w:pPr>
              <w:spacing w:after="0"/>
              <w:rPr>
                <w:sz w:val="2"/>
                <w:szCs w:val="2"/>
                <w:color w:val="auto"/>
              </w:rPr>
            </w:pPr>
          </w:p>
        </w:tc>
        <w:tc>
          <w:tcPr>
            <w:tcW w:w="1020" w:type="dxa"/>
            <w:vAlign w:val="bottom"/>
            <w:tcBorders>
              <w:top w:val="single" w:sz="8" w:color="0000FF"/>
              <w:bottom w:val="single" w:sz="8" w:color="auto"/>
            </w:tcBorders>
          </w:tcPr>
          <w:p>
            <w:pPr>
              <w:spacing w:after="0"/>
              <w:rPr>
                <w:sz w:val="2"/>
                <w:szCs w:val="2"/>
                <w:color w:val="auto"/>
              </w:rPr>
            </w:pPr>
          </w:p>
        </w:tc>
        <w:tc>
          <w:tcPr>
            <w:tcW w:w="240" w:type="dxa"/>
            <w:vAlign w:val="bottom"/>
            <w:tcBorders>
              <w:top w:val="single" w:sz="8" w:color="0000FF"/>
              <w:bottom w:val="single" w:sz="8" w:color="auto"/>
            </w:tcBorders>
          </w:tcPr>
          <w:p>
            <w:pPr>
              <w:spacing w:after="0"/>
              <w:rPr>
                <w:sz w:val="2"/>
                <w:szCs w:val="2"/>
                <w:color w:val="auto"/>
              </w:rPr>
            </w:pPr>
          </w:p>
        </w:tc>
        <w:tc>
          <w:tcPr>
            <w:tcW w:w="180" w:type="dxa"/>
            <w:vAlign w:val="bottom"/>
            <w:tcBorders>
              <w:top w:val="single" w:sz="8" w:color="0000FF"/>
              <w:bottom w:val="single" w:sz="8" w:color="auto"/>
            </w:tcBorders>
          </w:tcPr>
          <w:p>
            <w:pPr>
              <w:spacing w:after="0"/>
              <w:rPr>
                <w:sz w:val="2"/>
                <w:szCs w:val="2"/>
                <w:color w:val="auto"/>
              </w:rPr>
            </w:pPr>
          </w:p>
        </w:tc>
        <w:tc>
          <w:tcPr>
            <w:tcW w:w="960" w:type="dxa"/>
            <w:vAlign w:val="bottom"/>
            <w:tcBorders>
              <w:top w:val="single" w:sz="8" w:color="0000FF"/>
              <w:bottom w:val="single" w:sz="8" w:color="auto"/>
            </w:tcBorders>
          </w:tcPr>
          <w:p>
            <w:pPr>
              <w:spacing w:after="0"/>
              <w:rPr>
                <w:sz w:val="2"/>
                <w:szCs w:val="2"/>
                <w:color w:val="auto"/>
              </w:rPr>
            </w:pPr>
          </w:p>
        </w:tc>
        <w:tc>
          <w:tcPr>
            <w:tcW w:w="100" w:type="dxa"/>
            <w:vAlign w:val="bottom"/>
            <w:tcBorders>
              <w:top w:val="single" w:sz="8" w:color="0000FF"/>
              <w:bottom w:val="single" w:sz="8" w:color="auto"/>
            </w:tcBorders>
          </w:tcPr>
          <w:p>
            <w:pPr>
              <w:spacing w:after="0"/>
              <w:rPr>
                <w:sz w:val="2"/>
                <w:szCs w:val="2"/>
                <w:color w:val="auto"/>
              </w:rPr>
            </w:pPr>
          </w:p>
        </w:tc>
        <w:tc>
          <w:tcPr>
            <w:tcW w:w="340" w:type="dxa"/>
            <w:vAlign w:val="bottom"/>
            <w:tcBorders>
              <w:top w:val="single" w:sz="8" w:color="0000FF"/>
              <w:bottom w:val="single" w:sz="8" w:color="auto"/>
            </w:tcBorders>
          </w:tcPr>
          <w:p>
            <w:pPr>
              <w:spacing w:after="0"/>
              <w:rPr>
                <w:sz w:val="2"/>
                <w:szCs w:val="2"/>
                <w:color w:val="auto"/>
              </w:rPr>
            </w:pPr>
          </w:p>
        </w:tc>
        <w:tc>
          <w:tcPr>
            <w:tcW w:w="500" w:type="dxa"/>
            <w:vAlign w:val="bottom"/>
            <w:tcBorders>
              <w:top w:val="single" w:sz="8" w:color="0000FF"/>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right w:val="single" w:sz="8" w:color="auto"/>
            </w:tcBorders>
          </w:tcPr>
          <w:p>
            <w:pPr>
              <w:spacing w:after="0"/>
              <w:rPr>
                <w:sz w:val="2"/>
                <w:szCs w:val="2"/>
                <w:color w:val="auto"/>
              </w:rPr>
            </w:pPr>
          </w:p>
        </w:tc>
      </w:tr>
      <w:tr>
        <w:trPr>
          <w:trHeight w:val="183"/>
        </w:trPr>
        <w:tc>
          <w:tcPr>
            <w:tcW w:w="1160" w:type="dxa"/>
            <w:vAlign w:val="bottom"/>
            <w:tcBorders>
              <w:left w:val="single" w:sz="8" w:color="auto"/>
              <w:right w:val="single" w:sz="8" w:color="auto"/>
            </w:tcBorders>
          </w:tcPr>
          <w:p>
            <w:pPr>
              <w:ind w:left="40"/>
              <w:spacing w:after="0" w:line="183" w:lineRule="exact"/>
              <w:rPr>
                <w:sz w:val="20"/>
                <w:szCs w:val="20"/>
                <w:color w:val="auto"/>
              </w:rPr>
            </w:pPr>
            <w:r>
              <w:rPr>
                <w:rFonts w:ascii="Arial" w:cs="Arial" w:eastAsia="Arial" w:hAnsi="Arial"/>
                <w:sz w:val="16"/>
                <w:szCs w:val="16"/>
                <w:color w:val="auto"/>
              </w:rPr>
              <w:t>10.28</w:t>
            </w:r>
          </w:p>
        </w:tc>
        <w:tc>
          <w:tcPr>
            <w:tcW w:w="12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9900" w:type="dxa"/>
            <w:vAlign w:val="bottom"/>
            <w:tcBorders>
              <w:bottom w:val="single" w:sz="8" w:color="0000FF"/>
            </w:tcBorders>
            <w:gridSpan w:val="30"/>
          </w:tcPr>
          <w:p>
            <w:pPr>
              <w:spacing w:after="0" w:line="183" w:lineRule="exact"/>
              <w:rPr>
                <w:rFonts w:ascii="Arial" w:cs="Arial" w:eastAsia="Arial" w:hAnsi="Arial"/>
                <w:sz w:val="16"/>
                <w:szCs w:val="16"/>
                <w:color w:val="0000FF"/>
              </w:rPr>
            </w:pPr>
            <w:hyperlink r:id="rId193">
              <w:r>
                <w:rPr>
                  <w:rFonts w:ascii="Arial" w:cs="Arial" w:eastAsia="Arial" w:hAnsi="Arial"/>
                  <w:sz w:val="16"/>
                  <w:szCs w:val="16"/>
                  <w:color w:val="0000FF"/>
                </w:rPr>
                <w:t>Transition Services Agreement among Cendant Corporation*, Realogy Corporation, Wyndham Worldwide Corporation and Travelport Inc.,</w:t>
              </w:r>
            </w:hyperlink>
          </w:p>
        </w:tc>
        <w:tc>
          <w:tcPr>
            <w:tcW w:w="240" w:type="dxa"/>
            <w:vAlign w:val="bottom"/>
            <w:tcBorders>
              <w:right w:val="single" w:sz="8" w:color="auto"/>
            </w:tcBorders>
            <w:gridSpan w:val="8"/>
          </w:tcPr>
          <w:p>
            <w:pPr>
              <w:spacing w:after="0"/>
              <w:rPr>
                <w:sz w:val="15"/>
                <w:szCs w:val="15"/>
                <w:color w:val="auto"/>
              </w:rPr>
            </w:pPr>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140" w:type="dxa"/>
            <w:vAlign w:val="bottom"/>
            <w:tcBorders>
              <w:right w:val="single" w:sz="8" w:color="auto"/>
            </w:tcBorders>
            <w:gridSpan w:val="38"/>
          </w:tcPr>
          <w:p>
            <w:pPr>
              <w:spacing w:after="0" w:line="169" w:lineRule="exact"/>
              <w:rPr>
                <w:rFonts w:ascii="Arial" w:cs="Arial" w:eastAsia="Arial" w:hAnsi="Arial"/>
                <w:sz w:val="16"/>
                <w:szCs w:val="16"/>
                <w:color w:val="0000FF"/>
              </w:rPr>
            </w:pPr>
            <w:hyperlink r:id="rId193">
              <w:r>
                <w:rPr>
                  <w:rFonts w:ascii="Arial" w:cs="Arial" w:eastAsia="Arial" w:hAnsi="Arial"/>
                  <w:sz w:val="16"/>
                  <w:szCs w:val="16"/>
                  <w:color w:val="0000FF"/>
                </w:rPr>
                <w:t>dated as of July 27, 2006 (Incorporated by reference to Exhibit 10.1 to the Company’s Current Report on Form 8-K dated August 1, 2006).</w:t>
              </w:r>
            </w:hyperlink>
          </w:p>
        </w:tc>
      </w:tr>
      <w:tr>
        <w:trPr>
          <w:trHeight w:val="34"/>
        </w:trPr>
        <w:tc>
          <w:tcPr>
            <w:tcW w:w="1160" w:type="dxa"/>
            <w:vAlign w:val="bottom"/>
            <w:tcBorders>
              <w:left w:val="single" w:sz="8" w:color="auto"/>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40" w:type="dxa"/>
            <w:vAlign w:val="bottom"/>
            <w:tcBorders>
              <w:top w:val="single" w:sz="8" w:color="0000FF"/>
              <w:bottom w:val="single" w:sz="8" w:color="auto"/>
            </w:tcBorders>
          </w:tcPr>
          <w:p>
            <w:pPr>
              <w:spacing w:after="0"/>
              <w:rPr>
                <w:sz w:val="2"/>
                <w:szCs w:val="2"/>
                <w:color w:val="auto"/>
              </w:rPr>
            </w:pPr>
          </w:p>
        </w:tc>
        <w:tc>
          <w:tcPr>
            <w:tcW w:w="2100" w:type="dxa"/>
            <w:vAlign w:val="bottom"/>
            <w:tcBorders>
              <w:top w:val="single" w:sz="8" w:color="0000FF"/>
              <w:bottom w:val="single" w:sz="8" w:color="auto"/>
            </w:tcBorders>
          </w:tcPr>
          <w:p>
            <w:pPr>
              <w:spacing w:after="0"/>
              <w:rPr>
                <w:sz w:val="2"/>
                <w:szCs w:val="2"/>
                <w:color w:val="auto"/>
              </w:rPr>
            </w:pPr>
          </w:p>
        </w:tc>
        <w:tc>
          <w:tcPr>
            <w:tcW w:w="20" w:type="dxa"/>
            <w:vAlign w:val="bottom"/>
            <w:tcBorders>
              <w:top w:val="single" w:sz="8" w:color="0000FF"/>
              <w:bottom w:val="single" w:sz="8" w:color="auto"/>
            </w:tcBorders>
          </w:tcPr>
          <w:p>
            <w:pPr>
              <w:spacing w:after="0"/>
              <w:rPr>
                <w:sz w:val="2"/>
                <w:szCs w:val="2"/>
                <w:color w:val="auto"/>
              </w:rPr>
            </w:pPr>
          </w:p>
        </w:tc>
        <w:tc>
          <w:tcPr>
            <w:tcW w:w="220" w:type="dxa"/>
            <w:vAlign w:val="bottom"/>
            <w:tcBorders>
              <w:top w:val="single" w:sz="8" w:color="0000FF"/>
              <w:bottom w:val="single" w:sz="8" w:color="auto"/>
            </w:tcBorders>
          </w:tcPr>
          <w:p>
            <w:pPr>
              <w:spacing w:after="0"/>
              <w:rPr>
                <w:sz w:val="2"/>
                <w:szCs w:val="2"/>
                <w:color w:val="auto"/>
              </w:rPr>
            </w:pPr>
          </w:p>
        </w:tc>
        <w:tc>
          <w:tcPr>
            <w:tcW w:w="420" w:type="dxa"/>
            <w:vAlign w:val="bottom"/>
            <w:tcBorders>
              <w:top w:val="single" w:sz="8" w:color="0000FF"/>
              <w:bottom w:val="single" w:sz="8" w:color="auto"/>
            </w:tcBorders>
          </w:tcPr>
          <w:p>
            <w:pPr>
              <w:spacing w:after="0"/>
              <w:rPr>
                <w:sz w:val="2"/>
                <w:szCs w:val="2"/>
                <w:color w:val="auto"/>
              </w:rPr>
            </w:pPr>
          </w:p>
        </w:tc>
        <w:tc>
          <w:tcPr>
            <w:tcW w:w="1020" w:type="dxa"/>
            <w:vAlign w:val="bottom"/>
            <w:tcBorders>
              <w:top w:val="single" w:sz="8" w:color="0000FF"/>
              <w:bottom w:val="single" w:sz="8" w:color="auto"/>
            </w:tcBorders>
          </w:tcPr>
          <w:p>
            <w:pPr>
              <w:spacing w:after="0"/>
              <w:rPr>
                <w:sz w:val="2"/>
                <w:szCs w:val="2"/>
                <w:color w:val="auto"/>
              </w:rPr>
            </w:pPr>
          </w:p>
        </w:tc>
        <w:tc>
          <w:tcPr>
            <w:tcW w:w="240" w:type="dxa"/>
            <w:vAlign w:val="bottom"/>
            <w:tcBorders>
              <w:top w:val="single" w:sz="8" w:color="0000FF"/>
              <w:bottom w:val="single" w:sz="8" w:color="auto"/>
            </w:tcBorders>
          </w:tcPr>
          <w:p>
            <w:pPr>
              <w:spacing w:after="0"/>
              <w:rPr>
                <w:sz w:val="2"/>
                <w:szCs w:val="2"/>
                <w:color w:val="auto"/>
              </w:rPr>
            </w:pPr>
          </w:p>
        </w:tc>
        <w:tc>
          <w:tcPr>
            <w:tcW w:w="180" w:type="dxa"/>
            <w:vAlign w:val="bottom"/>
            <w:tcBorders>
              <w:top w:val="single" w:sz="8" w:color="0000FF"/>
              <w:bottom w:val="single" w:sz="8" w:color="auto"/>
            </w:tcBorders>
          </w:tcPr>
          <w:p>
            <w:pPr>
              <w:spacing w:after="0"/>
              <w:rPr>
                <w:sz w:val="2"/>
                <w:szCs w:val="2"/>
                <w:color w:val="auto"/>
              </w:rPr>
            </w:pPr>
          </w:p>
        </w:tc>
        <w:tc>
          <w:tcPr>
            <w:tcW w:w="960" w:type="dxa"/>
            <w:vAlign w:val="bottom"/>
            <w:tcBorders>
              <w:top w:val="single" w:sz="8" w:color="0000FF"/>
              <w:bottom w:val="single" w:sz="8" w:color="auto"/>
            </w:tcBorders>
          </w:tcPr>
          <w:p>
            <w:pPr>
              <w:spacing w:after="0"/>
              <w:rPr>
                <w:sz w:val="2"/>
                <w:szCs w:val="2"/>
                <w:color w:val="auto"/>
              </w:rPr>
            </w:pPr>
          </w:p>
        </w:tc>
        <w:tc>
          <w:tcPr>
            <w:tcW w:w="100" w:type="dxa"/>
            <w:vAlign w:val="bottom"/>
            <w:tcBorders>
              <w:top w:val="single" w:sz="8" w:color="0000FF"/>
              <w:bottom w:val="single" w:sz="8" w:color="auto"/>
            </w:tcBorders>
          </w:tcPr>
          <w:p>
            <w:pPr>
              <w:spacing w:after="0"/>
              <w:rPr>
                <w:sz w:val="2"/>
                <w:szCs w:val="2"/>
                <w:color w:val="auto"/>
              </w:rPr>
            </w:pPr>
          </w:p>
        </w:tc>
        <w:tc>
          <w:tcPr>
            <w:tcW w:w="340" w:type="dxa"/>
            <w:vAlign w:val="bottom"/>
            <w:tcBorders>
              <w:top w:val="single" w:sz="8" w:color="0000FF"/>
              <w:bottom w:val="single" w:sz="8" w:color="auto"/>
            </w:tcBorders>
          </w:tcPr>
          <w:p>
            <w:pPr>
              <w:spacing w:after="0"/>
              <w:rPr>
                <w:sz w:val="2"/>
                <w:szCs w:val="2"/>
                <w:color w:val="auto"/>
              </w:rPr>
            </w:pPr>
          </w:p>
        </w:tc>
        <w:tc>
          <w:tcPr>
            <w:tcW w:w="500" w:type="dxa"/>
            <w:vAlign w:val="bottom"/>
            <w:tcBorders>
              <w:top w:val="single" w:sz="8" w:color="0000FF"/>
              <w:bottom w:val="single" w:sz="8" w:color="auto"/>
            </w:tcBorders>
          </w:tcPr>
          <w:p>
            <w:pPr>
              <w:spacing w:after="0"/>
              <w:rPr>
                <w:sz w:val="2"/>
                <w:szCs w:val="2"/>
                <w:color w:val="auto"/>
              </w:rPr>
            </w:pPr>
          </w:p>
        </w:tc>
        <w:tc>
          <w:tcPr>
            <w:tcW w:w="220" w:type="dxa"/>
            <w:vAlign w:val="bottom"/>
            <w:tcBorders>
              <w:top w:val="single" w:sz="8" w:color="0000FF"/>
              <w:bottom w:val="single" w:sz="8" w:color="auto"/>
            </w:tcBorders>
          </w:tcPr>
          <w:p>
            <w:pPr>
              <w:spacing w:after="0"/>
              <w:rPr>
                <w:sz w:val="2"/>
                <w:szCs w:val="2"/>
                <w:color w:val="auto"/>
              </w:rPr>
            </w:pPr>
          </w:p>
        </w:tc>
        <w:tc>
          <w:tcPr>
            <w:tcW w:w="880" w:type="dxa"/>
            <w:vAlign w:val="bottom"/>
            <w:tcBorders>
              <w:top w:val="single" w:sz="8" w:color="0000FF"/>
              <w:bottom w:val="single" w:sz="8" w:color="auto"/>
            </w:tcBorders>
          </w:tcPr>
          <w:p>
            <w:pPr>
              <w:spacing w:after="0"/>
              <w:rPr>
                <w:sz w:val="2"/>
                <w:szCs w:val="2"/>
                <w:color w:val="auto"/>
              </w:rPr>
            </w:pPr>
          </w:p>
        </w:tc>
        <w:tc>
          <w:tcPr>
            <w:tcW w:w="880" w:type="dxa"/>
            <w:vAlign w:val="bottom"/>
            <w:tcBorders>
              <w:top w:val="single" w:sz="8" w:color="0000FF"/>
              <w:bottom w:val="single" w:sz="8" w:color="auto"/>
            </w:tcBorders>
          </w:tcPr>
          <w:p>
            <w:pPr>
              <w:spacing w:after="0"/>
              <w:rPr>
                <w:sz w:val="2"/>
                <w:szCs w:val="2"/>
                <w:color w:val="auto"/>
              </w:rPr>
            </w:pPr>
          </w:p>
        </w:tc>
        <w:tc>
          <w:tcPr>
            <w:tcW w:w="320" w:type="dxa"/>
            <w:vAlign w:val="bottom"/>
            <w:tcBorders>
              <w:top w:val="single" w:sz="8" w:color="0000FF"/>
              <w:bottom w:val="single" w:sz="8" w:color="auto"/>
            </w:tcBorders>
          </w:tcPr>
          <w:p>
            <w:pPr>
              <w:spacing w:after="0"/>
              <w:rPr>
                <w:sz w:val="2"/>
                <w:szCs w:val="2"/>
                <w:color w:val="auto"/>
              </w:rPr>
            </w:pPr>
          </w:p>
        </w:tc>
        <w:tc>
          <w:tcPr>
            <w:tcW w:w="180" w:type="dxa"/>
            <w:vAlign w:val="bottom"/>
            <w:tcBorders>
              <w:top w:val="single" w:sz="8" w:color="0000FF"/>
              <w:bottom w:val="single" w:sz="8" w:color="auto"/>
            </w:tcBorders>
          </w:tcPr>
          <w:p>
            <w:pPr>
              <w:spacing w:after="0"/>
              <w:rPr>
                <w:sz w:val="2"/>
                <w:szCs w:val="2"/>
                <w:color w:val="auto"/>
              </w:rPr>
            </w:pPr>
          </w:p>
        </w:tc>
        <w:tc>
          <w:tcPr>
            <w:tcW w:w="80" w:type="dxa"/>
            <w:vAlign w:val="bottom"/>
            <w:tcBorders>
              <w:top w:val="single" w:sz="8" w:color="0000FF"/>
              <w:bottom w:val="single" w:sz="8" w:color="auto"/>
            </w:tcBorders>
          </w:tcPr>
          <w:p>
            <w:pPr>
              <w:spacing w:after="0"/>
              <w:rPr>
                <w:sz w:val="2"/>
                <w:szCs w:val="2"/>
                <w:color w:val="auto"/>
              </w:rPr>
            </w:pPr>
          </w:p>
        </w:tc>
        <w:tc>
          <w:tcPr>
            <w:tcW w:w="60" w:type="dxa"/>
            <w:vAlign w:val="bottom"/>
            <w:tcBorders>
              <w:top w:val="single" w:sz="8" w:color="0000FF"/>
              <w:bottom w:val="single" w:sz="8" w:color="auto"/>
            </w:tcBorders>
          </w:tcPr>
          <w:p>
            <w:pPr>
              <w:spacing w:after="0"/>
              <w:rPr>
                <w:sz w:val="2"/>
                <w:szCs w:val="2"/>
                <w:color w:val="auto"/>
              </w:rPr>
            </w:pPr>
          </w:p>
        </w:tc>
        <w:tc>
          <w:tcPr>
            <w:tcW w:w="80" w:type="dxa"/>
            <w:vAlign w:val="bottom"/>
            <w:tcBorders>
              <w:top w:val="single" w:sz="8" w:color="0000FF"/>
              <w:bottom w:val="single" w:sz="8" w:color="auto"/>
            </w:tcBorders>
          </w:tcPr>
          <w:p>
            <w:pPr>
              <w:spacing w:after="0"/>
              <w:rPr>
                <w:sz w:val="2"/>
                <w:szCs w:val="2"/>
                <w:color w:val="auto"/>
              </w:rPr>
            </w:pPr>
          </w:p>
        </w:tc>
        <w:tc>
          <w:tcPr>
            <w:tcW w:w="100" w:type="dxa"/>
            <w:vAlign w:val="bottom"/>
            <w:tcBorders>
              <w:top w:val="single" w:sz="8" w:color="0000FF"/>
              <w:bottom w:val="single" w:sz="8" w:color="auto"/>
            </w:tcBorders>
          </w:tcPr>
          <w:p>
            <w:pPr>
              <w:spacing w:after="0"/>
              <w:rPr>
                <w:sz w:val="2"/>
                <w:szCs w:val="2"/>
                <w:color w:val="auto"/>
              </w:rPr>
            </w:pPr>
          </w:p>
        </w:tc>
        <w:tc>
          <w:tcPr>
            <w:tcW w:w="60" w:type="dxa"/>
            <w:vAlign w:val="bottom"/>
            <w:tcBorders>
              <w:top w:val="single" w:sz="8" w:color="0000FF"/>
              <w:bottom w:val="single" w:sz="8" w:color="auto"/>
            </w:tcBorders>
          </w:tcPr>
          <w:p>
            <w:pPr>
              <w:spacing w:after="0"/>
              <w:rPr>
                <w:sz w:val="2"/>
                <w:szCs w:val="2"/>
                <w:color w:val="auto"/>
              </w:rPr>
            </w:pPr>
          </w:p>
        </w:tc>
        <w:tc>
          <w:tcPr>
            <w:tcW w:w="20" w:type="dxa"/>
            <w:vAlign w:val="bottom"/>
            <w:tcBorders>
              <w:top w:val="single" w:sz="8" w:color="0000FF"/>
              <w:bottom w:val="single" w:sz="8" w:color="auto"/>
            </w:tcBorders>
          </w:tcPr>
          <w:p>
            <w:pPr>
              <w:spacing w:after="0"/>
              <w:rPr>
                <w:sz w:val="2"/>
                <w:szCs w:val="2"/>
                <w:color w:val="auto"/>
              </w:rPr>
            </w:pPr>
          </w:p>
        </w:tc>
        <w:tc>
          <w:tcPr>
            <w:tcW w:w="20" w:type="dxa"/>
            <w:vAlign w:val="bottom"/>
            <w:tcBorders>
              <w:top w:val="single" w:sz="8" w:color="0000FF"/>
              <w:bottom w:val="single" w:sz="8" w:color="auto"/>
            </w:tcBorders>
          </w:tcPr>
          <w:p>
            <w:pPr>
              <w:spacing w:after="0"/>
              <w:rPr>
                <w:sz w:val="2"/>
                <w:szCs w:val="2"/>
                <w:color w:val="auto"/>
              </w:rPr>
            </w:pPr>
          </w:p>
        </w:tc>
        <w:tc>
          <w:tcPr>
            <w:tcW w:w="40" w:type="dxa"/>
            <w:vAlign w:val="bottom"/>
            <w:tcBorders>
              <w:top w:val="single" w:sz="8" w:color="0000FF"/>
              <w:bottom w:val="single" w:sz="8" w:color="auto"/>
            </w:tcBorders>
          </w:tcPr>
          <w:p>
            <w:pPr>
              <w:spacing w:after="0"/>
              <w:rPr>
                <w:sz w:val="2"/>
                <w:szCs w:val="2"/>
                <w:color w:val="auto"/>
              </w:rPr>
            </w:pPr>
          </w:p>
        </w:tc>
        <w:tc>
          <w:tcPr>
            <w:tcW w:w="60" w:type="dxa"/>
            <w:vAlign w:val="bottom"/>
            <w:tcBorders>
              <w:top w:val="single" w:sz="8" w:color="0000FF"/>
              <w:bottom w:val="single" w:sz="8" w:color="auto"/>
            </w:tcBorders>
          </w:tcPr>
          <w:p>
            <w:pPr>
              <w:spacing w:after="0"/>
              <w:rPr>
                <w:sz w:val="2"/>
                <w:szCs w:val="2"/>
                <w:color w:val="auto"/>
              </w:rPr>
            </w:pPr>
          </w:p>
        </w:tc>
        <w:tc>
          <w:tcPr>
            <w:tcW w:w="60" w:type="dxa"/>
            <w:vAlign w:val="bottom"/>
            <w:tcBorders>
              <w:top w:val="single" w:sz="8" w:color="0000FF"/>
              <w:bottom w:val="single" w:sz="8" w:color="auto"/>
            </w:tcBorders>
          </w:tcPr>
          <w:p>
            <w:pPr>
              <w:spacing w:after="0"/>
              <w:rPr>
                <w:sz w:val="2"/>
                <w:szCs w:val="2"/>
                <w:color w:val="auto"/>
              </w:rPr>
            </w:pPr>
          </w:p>
        </w:tc>
        <w:tc>
          <w:tcPr>
            <w:tcW w:w="40" w:type="dxa"/>
            <w:vAlign w:val="bottom"/>
            <w:tcBorders>
              <w:top w:val="single" w:sz="8" w:color="0000FF"/>
              <w:bottom w:val="single" w:sz="8" w:color="auto"/>
            </w:tcBorders>
          </w:tcPr>
          <w:p>
            <w:pPr>
              <w:spacing w:after="0"/>
              <w:rPr>
                <w:sz w:val="2"/>
                <w:szCs w:val="2"/>
                <w:color w:val="auto"/>
              </w:rPr>
            </w:pPr>
          </w:p>
        </w:tc>
        <w:tc>
          <w:tcPr>
            <w:tcW w:w="40" w:type="dxa"/>
            <w:vAlign w:val="bottom"/>
            <w:tcBorders>
              <w:top w:val="single" w:sz="8" w:color="0000FF"/>
              <w:bottom w:val="single" w:sz="8" w:color="auto"/>
            </w:tcBorders>
          </w:tcPr>
          <w:p>
            <w:pPr>
              <w:spacing w:after="0"/>
              <w:rPr>
                <w:sz w:val="2"/>
                <w:szCs w:val="2"/>
                <w:color w:val="auto"/>
              </w:rPr>
            </w:pPr>
          </w:p>
        </w:tc>
        <w:tc>
          <w:tcPr>
            <w:tcW w:w="20" w:type="dxa"/>
            <w:vAlign w:val="bottom"/>
            <w:tcBorders>
              <w:top w:val="single" w:sz="8" w:color="0000FF"/>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right w:val="single" w:sz="8" w:color="auto"/>
            </w:tcBorders>
          </w:tcPr>
          <w:p>
            <w:pPr>
              <w:spacing w:after="0"/>
              <w:rPr>
                <w:sz w:val="2"/>
                <w:szCs w:val="2"/>
                <w:color w:val="auto"/>
              </w:rPr>
            </w:pPr>
          </w:p>
        </w:tc>
      </w:tr>
      <w:tr>
        <w:trPr>
          <w:trHeight w:val="183"/>
        </w:trPr>
        <w:tc>
          <w:tcPr>
            <w:tcW w:w="1160" w:type="dxa"/>
            <w:vAlign w:val="bottom"/>
            <w:tcBorders>
              <w:left w:val="single" w:sz="8" w:color="auto"/>
              <w:right w:val="single" w:sz="8" w:color="auto"/>
            </w:tcBorders>
          </w:tcPr>
          <w:p>
            <w:pPr>
              <w:ind w:left="40"/>
              <w:spacing w:after="0" w:line="183" w:lineRule="exact"/>
              <w:rPr>
                <w:sz w:val="20"/>
                <w:szCs w:val="20"/>
                <w:color w:val="auto"/>
              </w:rPr>
            </w:pPr>
            <w:r>
              <w:rPr>
                <w:rFonts w:ascii="Arial" w:cs="Arial" w:eastAsia="Arial" w:hAnsi="Arial"/>
                <w:sz w:val="16"/>
                <w:szCs w:val="16"/>
                <w:color w:val="auto"/>
              </w:rPr>
              <w:t>10.29</w:t>
            </w:r>
          </w:p>
        </w:tc>
        <w:tc>
          <w:tcPr>
            <w:tcW w:w="12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0040" w:type="dxa"/>
            <w:vAlign w:val="bottom"/>
            <w:tcBorders>
              <w:bottom w:val="single" w:sz="8" w:color="0000FF"/>
            </w:tcBorders>
            <w:gridSpan w:val="34"/>
          </w:tcPr>
          <w:p>
            <w:pPr>
              <w:spacing w:after="0" w:line="183" w:lineRule="exact"/>
              <w:rPr>
                <w:rFonts w:ascii="Arial" w:cs="Arial" w:eastAsia="Arial" w:hAnsi="Arial"/>
                <w:sz w:val="16"/>
                <w:szCs w:val="16"/>
                <w:color w:val="0000FF"/>
              </w:rPr>
            </w:pPr>
            <w:hyperlink r:id="rId194">
              <w:r>
                <w:rPr>
                  <w:rFonts w:ascii="Arial" w:cs="Arial" w:eastAsia="Arial" w:hAnsi="Arial"/>
                  <w:sz w:val="16"/>
                  <w:szCs w:val="16"/>
                  <w:color w:val="0000FF"/>
                </w:rPr>
                <w:t>Tax Sharing Agreement among Cendant Corporation*, Realogy Corporation, Wyndham Worldwide Corporation and Travelport Inc., dated as</w:t>
              </w:r>
            </w:hyperlink>
          </w:p>
        </w:tc>
        <w:tc>
          <w:tcPr>
            <w:tcW w:w="100" w:type="dxa"/>
            <w:vAlign w:val="bottom"/>
            <w:tcBorders>
              <w:right w:val="single" w:sz="8" w:color="auto"/>
            </w:tcBorders>
            <w:gridSpan w:val="4"/>
          </w:tcPr>
          <w:p>
            <w:pPr>
              <w:spacing w:after="0"/>
              <w:rPr>
                <w:sz w:val="15"/>
                <w:szCs w:val="15"/>
                <w:color w:val="auto"/>
              </w:rPr>
            </w:pPr>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140" w:type="dxa"/>
            <w:vAlign w:val="bottom"/>
            <w:tcBorders>
              <w:right w:val="single" w:sz="8" w:color="auto"/>
            </w:tcBorders>
            <w:gridSpan w:val="38"/>
          </w:tcPr>
          <w:p>
            <w:pPr>
              <w:spacing w:after="0" w:line="169" w:lineRule="exact"/>
              <w:rPr>
                <w:rFonts w:ascii="Arial" w:cs="Arial" w:eastAsia="Arial" w:hAnsi="Arial"/>
                <w:sz w:val="16"/>
                <w:szCs w:val="16"/>
                <w:color w:val="0000FF"/>
              </w:rPr>
            </w:pPr>
            <w:hyperlink r:id="rId194">
              <w:r>
                <w:rPr>
                  <w:rFonts w:ascii="Arial" w:cs="Arial" w:eastAsia="Arial" w:hAnsi="Arial"/>
                  <w:sz w:val="16"/>
                  <w:szCs w:val="16"/>
                  <w:color w:val="0000FF"/>
                </w:rPr>
                <w:t>of July 28, 2006 (Incorporated by reference to Exhibit 10.2 to the Company’s Current Report on Form 8-K dated August 1, 2006).</w:t>
              </w:r>
            </w:hyperlink>
          </w:p>
        </w:tc>
      </w:tr>
      <w:tr>
        <w:trPr>
          <w:trHeight w:val="34"/>
        </w:trPr>
        <w:tc>
          <w:tcPr>
            <w:tcW w:w="1160" w:type="dxa"/>
            <w:vAlign w:val="bottom"/>
            <w:tcBorders>
              <w:left w:val="single" w:sz="8" w:color="auto"/>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40" w:type="dxa"/>
            <w:vAlign w:val="bottom"/>
            <w:tcBorders>
              <w:top w:val="single" w:sz="8" w:color="0000FF"/>
              <w:bottom w:val="single" w:sz="8" w:color="auto"/>
            </w:tcBorders>
          </w:tcPr>
          <w:p>
            <w:pPr>
              <w:spacing w:after="0"/>
              <w:rPr>
                <w:sz w:val="2"/>
                <w:szCs w:val="2"/>
                <w:color w:val="auto"/>
              </w:rPr>
            </w:pPr>
          </w:p>
        </w:tc>
        <w:tc>
          <w:tcPr>
            <w:tcW w:w="2100" w:type="dxa"/>
            <w:vAlign w:val="bottom"/>
            <w:tcBorders>
              <w:top w:val="single" w:sz="8" w:color="0000FF"/>
              <w:bottom w:val="single" w:sz="8" w:color="auto"/>
            </w:tcBorders>
          </w:tcPr>
          <w:p>
            <w:pPr>
              <w:spacing w:after="0"/>
              <w:rPr>
                <w:sz w:val="2"/>
                <w:szCs w:val="2"/>
                <w:color w:val="auto"/>
              </w:rPr>
            </w:pPr>
          </w:p>
        </w:tc>
        <w:tc>
          <w:tcPr>
            <w:tcW w:w="20" w:type="dxa"/>
            <w:vAlign w:val="bottom"/>
            <w:tcBorders>
              <w:top w:val="single" w:sz="8" w:color="0000FF"/>
              <w:bottom w:val="single" w:sz="8" w:color="auto"/>
            </w:tcBorders>
          </w:tcPr>
          <w:p>
            <w:pPr>
              <w:spacing w:after="0"/>
              <w:rPr>
                <w:sz w:val="2"/>
                <w:szCs w:val="2"/>
                <w:color w:val="auto"/>
              </w:rPr>
            </w:pPr>
          </w:p>
        </w:tc>
        <w:tc>
          <w:tcPr>
            <w:tcW w:w="220" w:type="dxa"/>
            <w:vAlign w:val="bottom"/>
            <w:tcBorders>
              <w:top w:val="single" w:sz="8" w:color="0000FF"/>
              <w:bottom w:val="single" w:sz="8" w:color="auto"/>
            </w:tcBorders>
          </w:tcPr>
          <w:p>
            <w:pPr>
              <w:spacing w:after="0"/>
              <w:rPr>
                <w:sz w:val="2"/>
                <w:szCs w:val="2"/>
                <w:color w:val="auto"/>
              </w:rPr>
            </w:pPr>
          </w:p>
        </w:tc>
        <w:tc>
          <w:tcPr>
            <w:tcW w:w="420" w:type="dxa"/>
            <w:vAlign w:val="bottom"/>
            <w:tcBorders>
              <w:top w:val="single" w:sz="8" w:color="0000FF"/>
              <w:bottom w:val="single" w:sz="8" w:color="auto"/>
            </w:tcBorders>
          </w:tcPr>
          <w:p>
            <w:pPr>
              <w:spacing w:after="0"/>
              <w:rPr>
                <w:sz w:val="2"/>
                <w:szCs w:val="2"/>
                <w:color w:val="auto"/>
              </w:rPr>
            </w:pPr>
          </w:p>
        </w:tc>
        <w:tc>
          <w:tcPr>
            <w:tcW w:w="1020" w:type="dxa"/>
            <w:vAlign w:val="bottom"/>
            <w:tcBorders>
              <w:top w:val="single" w:sz="8" w:color="0000FF"/>
              <w:bottom w:val="single" w:sz="8" w:color="auto"/>
            </w:tcBorders>
          </w:tcPr>
          <w:p>
            <w:pPr>
              <w:spacing w:after="0"/>
              <w:rPr>
                <w:sz w:val="2"/>
                <w:szCs w:val="2"/>
                <w:color w:val="auto"/>
              </w:rPr>
            </w:pPr>
          </w:p>
        </w:tc>
        <w:tc>
          <w:tcPr>
            <w:tcW w:w="240" w:type="dxa"/>
            <w:vAlign w:val="bottom"/>
            <w:tcBorders>
              <w:top w:val="single" w:sz="8" w:color="0000FF"/>
              <w:bottom w:val="single" w:sz="8" w:color="auto"/>
            </w:tcBorders>
          </w:tcPr>
          <w:p>
            <w:pPr>
              <w:spacing w:after="0"/>
              <w:rPr>
                <w:sz w:val="2"/>
                <w:szCs w:val="2"/>
                <w:color w:val="auto"/>
              </w:rPr>
            </w:pPr>
          </w:p>
        </w:tc>
        <w:tc>
          <w:tcPr>
            <w:tcW w:w="180" w:type="dxa"/>
            <w:vAlign w:val="bottom"/>
            <w:tcBorders>
              <w:top w:val="single" w:sz="8" w:color="0000FF"/>
              <w:bottom w:val="single" w:sz="8" w:color="auto"/>
            </w:tcBorders>
          </w:tcPr>
          <w:p>
            <w:pPr>
              <w:spacing w:after="0"/>
              <w:rPr>
                <w:sz w:val="2"/>
                <w:szCs w:val="2"/>
                <w:color w:val="auto"/>
              </w:rPr>
            </w:pPr>
          </w:p>
        </w:tc>
        <w:tc>
          <w:tcPr>
            <w:tcW w:w="960" w:type="dxa"/>
            <w:vAlign w:val="bottom"/>
            <w:tcBorders>
              <w:top w:val="single" w:sz="8" w:color="0000FF"/>
              <w:bottom w:val="single" w:sz="8" w:color="auto"/>
            </w:tcBorders>
          </w:tcPr>
          <w:p>
            <w:pPr>
              <w:spacing w:after="0"/>
              <w:rPr>
                <w:sz w:val="2"/>
                <w:szCs w:val="2"/>
                <w:color w:val="auto"/>
              </w:rPr>
            </w:pPr>
          </w:p>
        </w:tc>
        <w:tc>
          <w:tcPr>
            <w:tcW w:w="100" w:type="dxa"/>
            <w:vAlign w:val="bottom"/>
            <w:tcBorders>
              <w:top w:val="single" w:sz="8" w:color="0000FF"/>
              <w:bottom w:val="single" w:sz="8" w:color="auto"/>
            </w:tcBorders>
          </w:tcPr>
          <w:p>
            <w:pPr>
              <w:spacing w:after="0"/>
              <w:rPr>
                <w:sz w:val="2"/>
                <w:szCs w:val="2"/>
                <w:color w:val="auto"/>
              </w:rPr>
            </w:pPr>
          </w:p>
        </w:tc>
        <w:tc>
          <w:tcPr>
            <w:tcW w:w="340" w:type="dxa"/>
            <w:vAlign w:val="bottom"/>
            <w:tcBorders>
              <w:top w:val="single" w:sz="8" w:color="0000FF"/>
              <w:bottom w:val="single" w:sz="8" w:color="auto"/>
            </w:tcBorders>
          </w:tcPr>
          <w:p>
            <w:pPr>
              <w:spacing w:after="0"/>
              <w:rPr>
                <w:sz w:val="2"/>
                <w:szCs w:val="2"/>
                <w:color w:val="auto"/>
              </w:rPr>
            </w:pPr>
          </w:p>
        </w:tc>
        <w:tc>
          <w:tcPr>
            <w:tcW w:w="500" w:type="dxa"/>
            <w:vAlign w:val="bottom"/>
            <w:tcBorders>
              <w:top w:val="single" w:sz="8" w:color="0000FF"/>
              <w:bottom w:val="single" w:sz="8" w:color="auto"/>
            </w:tcBorders>
          </w:tcPr>
          <w:p>
            <w:pPr>
              <w:spacing w:after="0"/>
              <w:rPr>
                <w:sz w:val="2"/>
                <w:szCs w:val="2"/>
                <w:color w:val="auto"/>
              </w:rPr>
            </w:pPr>
          </w:p>
        </w:tc>
        <w:tc>
          <w:tcPr>
            <w:tcW w:w="220" w:type="dxa"/>
            <w:vAlign w:val="bottom"/>
            <w:tcBorders>
              <w:top w:val="single" w:sz="8" w:color="0000FF"/>
              <w:bottom w:val="single" w:sz="8" w:color="auto"/>
            </w:tcBorders>
          </w:tcPr>
          <w:p>
            <w:pPr>
              <w:spacing w:after="0"/>
              <w:rPr>
                <w:sz w:val="2"/>
                <w:szCs w:val="2"/>
                <w:color w:val="auto"/>
              </w:rPr>
            </w:pPr>
          </w:p>
        </w:tc>
        <w:tc>
          <w:tcPr>
            <w:tcW w:w="880" w:type="dxa"/>
            <w:vAlign w:val="bottom"/>
            <w:tcBorders>
              <w:top w:val="single" w:sz="8" w:color="0000FF"/>
              <w:bottom w:val="single" w:sz="8" w:color="auto"/>
            </w:tcBorders>
          </w:tcPr>
          <w:p>
            <w:pPr>
              <w:spacing w:after="0"/>
              <w:rPr>
                <w:sz w:val="2"/>
                <w:szCs w:val="2"/>
                <w:color w:val="auto"/>
              </w:rPr>
            </w:pPr>
          </w:p>
        </w:tc>
        <w:tc>
          <w:tcPr>
            <w:tcW w:w="880" w:type="dxa"/>
            <w:vAlign w:val="bottom"/>
            <w:tcBorders>
              <w:top w:val="single" w:sz="8" w:color="0000FF"/>
              <w:bottom w:val="single" w:sz="8" w:color="auto"/>
            </w:tcBorders>
          </w:tcPr>
          <w:p>
            <w:pPr>
              <w:spacing w:after="0"/>
              <w:rPr>
                <w:sz w:val="2"/>
                <w:szCs w:val="2"/>
                <w:color w:val="auto"/>
              </w:rPr>
            </w:pPr>
          </w:p>
        </w:tc>
        <w:tc>
          <w:tcPr>
            <w:tcW w:w="320" w:type="dxa"/>
            <w:vAlign w:val="bottom"/>
            <w:tcBorders>
              <w:top w:val="single" w:sz="8" w:color="0000FF"/>
              <w:bottom w:val="single" w:sz="8" w:color="auto"/>
            </w:tcBorders>
          </w:tcPr>
          <w:p>
            <w:pPr>
              <w:spacing w:after="0"/>
              <w:rPr>
                <w:sz w:val="2"/>
                <w:szCs w:val="2"/>
                <w:color w:val="auto"/>
              </w:rPr>
            </w:pPr>
          </w:p>
        </w:tc>
        <w:tc>
          <w:tcPr>
            <w:tcW w:w="180" w:type="dxa"/>
            <w:vAlign w:val="bottom"/>
            <w:tcBorders>
              <w:top w:val="single" w:sz="8" w:color="0000FF"/>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right w:val="single" w:sz="8" w:color="auto"/>
            </w:tcBorders>
          </w:tcPr>
          <w:p>
            <w:pPr>
              <w:spacing w:after="0"/>
              <w:rPr>
                <w:sz w:val="2"/>
                <w:szCs w:val="2"/>
                <w:color w:val="auto"/>
              </w:rPr>
            </w:pPr>
          </w:p>
        </w:tc>
      </w:tr>
      <w:tr>
        <w:trPr>
          <w:trHeight w:val="183"/>
        </w:trPr>
        <w:tc>
          <w:tcPr>
            <w:tcW w:w="1160" w:type="dxa"/>
            <w:vAlign w:val="bottom"/>
            <w:tcBorders>
              <w:left w:val="single" w:sz="8" w:color="auto"/>
              <w:right w:val="single" w:sz="8" w:color="auto"/>
            </w:tcBorders>
          </w:tcPr>
          <w:p>
            <w:pPr>
              <w:ind w:left="40"/>
              <w:spacing w:after="0" w:line="183" w:lineRule="exact"/>
              <w:rPr>
                <w:sz w:val="20"/>
                <w:szCs w:val="20"/>
                <w:color w:val="auto"/>
              </w:rPr>
            </w:pPr>
            <w:r>
              <w:rPr>
                <w:rFonts w:ascii="Arial" w:cs="Arial" w:eastAsia="Arial" w:hAnsi="Arial"/>
                <w:sz w:val="16"/>
                <w:szCs w:val="16"/>
                <w:color w:val="auto"/>
              </w:rPr>
              <w:t>10.29(a)</w:t>
            </w:r>
          </w:p>
        </w:tc>
        <w:tc>
          <w:tcPr>
            <w:tcW w:w="12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0140" w:type="dxa"/>
            <w:vAlign w:val="bottom"/>
            <w:tcBorders>
              <w:right w:val="single" w:sz="8" w:color="auto"/>
            </w:tcBorders>
            <w:gridSpan w:val="38"/>
          </w:tcPr>
          <w:p>
            <w:pPr>
              <w:spacing w:after="0" w:line="183" w:lineRule="exact"/>
              <w:rPr>
                <w:rFonts w:ascii="Arial" w:cs="Arial" w:eastAsia="Arial" w:hAnsi="Arial"/>
                <w:sz w:val="16"/>
                <w:szCs w:val="16"/>
                <w:color w:val="0000FF"/>
              </w:rPr>
            </w:pPr>
            <w:hyperlink r:id="rId195">
              <w:r>
                <w:rPr>
                  <w:rFonts w:ascii="Arial" w:cs="Arial" w:eastAsia="Arial" w:hAnsi="Arial"/>
                  <w:sz w:val="16"/>
                  <w:szCs w:val="16"/>
                  <w:color w:val="0000FF"/>
                </w:rPr>
                <w:t>Amendment to the Tax Sharing Agreement, dated July 28, 2006, among Avis Budget Group, Inc., Realogy Corporation, Wyndham</w:t>
              </w:r>
            </w:hyperlink>
          </w:p>
        </w:tc>
      </w:tr>
      <w:tr>
        <w:trPr>
          <w:trHeight w:val="20"/>
        </w:trPr>
        <w:tc>
          <w:tcPr>
            <w:tcW w:w="1160" w:type="dxa"/>
            <w:vAlign w:val="bottom"/>
            <w:tcBorders>
              <w:left w:val="single" w:sz="8" w:color="auto"/>
              <w:right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980" w:type="dxa"/>
            <w:vAlign w:val="bottom"/>
            <w:gridSpan w:val="4"/>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800" w:type="dxa"/>
            <w:vAlign w:val="bottom"/>
            <w:gridSpan w:val="5"/>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right w:val="single" w:sz="8" w:color="auto"/>
            </w:tcBorders>
            <w:gridSpan w:val="3"/>
          </w:tcPr>
          <w:p>
            <w:pPr>
              <w:spacing w:after="0" w:line="20" w:lineRule="exact"/>
              <w:rPr>
                <w:sz w:val="1"/>
                <w:szCs w:val="1"/>
                <w:color w:val="auto"/>
              </w:rPr>
            </w:pPr>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140" w:type="dxa"/>
            <w:vAlign w:val="bottom"/>
            <w:tcBorders>
              <w:right w:val="single" w:sz="8" w:color="auto"/>
            </w:tcBorders>
            <w:gridSpan w:val="38"/>
          </w:tcPr>
          <w:p>
            <w:pPr>
              <w:spacing w:after="0" w:line="169" w:lineRule="exact"/>
              <w:rPr>
                <w:rFonts w:ascii="Arial" w:cs="Arial" w:eastAsia="Arial" w:hAnsi="Arial"/>
                <w:sz w:val="16"/>
                <w:szCs w:val="16"/>
                <w:color w:val="0000FF"/>
              </w:rPr>
            </w:pPr>
            <w:hyperlink r:id="rId195">
              <w:r>
                <w:rPr>
                  <w:rFonts w:ascii="Arial" w:cs="Arial" w:eastAsia="Arial" w:hAnsi="Arial"/>
                  <w:sz w:val="16"/>
                  <w:szCs w:val="16"/>
                  <w:color w:val="0000FF"/>
                </w:rPr>
                <w:t>Worldwide Corporation and Travelport Inc. (Incorporated by reference to Exhibit 10.4 to the Company’s Quarterly Report on Form 10-Q for</w:t>
              </w:r>
            </w:hyperlink>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9900" w:type="dxa"/>
            <w:vAlign w:val="bottom"/>
            <w:tcBorders>
              <w:top w:val="single" w:sz="8" w:color="0000FF"/>
            </w:tcBorders>
            <w:gridSpan w:val="30"/>
          </w:tcPr>
          <w:p>
            <w:pPr>
              <w:spacing w:after="0" w:line="169" w:lineRule="exact"/>
              <w:rPr>
                <w:rFonts w:ascii="Arial" w:cs="Arial" w:eastAsia="Arial" w:hAnsi="Arial"/>
                <w:sz w:val="16"/>
                <w:szCs w:val="16"/>
                <w:color w:val="0000FF"/>
              </w:rPr>
            </w:pPr>
            <w:hyperlink r:id="rId195">
              <w:r>
                <w:rPr>
                  <w:rFonts w:ascii="Arial" w:cs="Arial" w:eastAsia="Arial" w:hAnsi="Arial"/>
                  <w:sz w:val="16"/>
                  <w:szCs w:val="16"/>
                  <w:color w:val="0000FF"/>
                </w:rPr>
                <w:t>the quarterly period ended June 30, 2008 dated August 7, 2008).</w:t>
              </w:r>
            </w:hyperlink>
          </w:p>
        </w:tc>
        <w:tc>
          <w:tcPr>
            <w:tcW w:w="240" w:type="dxa"/>
            <w:vAlign w:val="bottom"/>
            <w:tcBorders>
              <w:right w:val="single" w:sz="8" w:color="auto"/>
            </w:tcBorders>
            <w:gridSpan w:val="8"/>
          </w:tcPr>
          <w:p>
            <w:pPr>
              <w:spacing w:after="0"/>
              <w:rPr>
                <w:sz w:val="14"/>
                <w:szCs w:val="14"/>
                <w:color w:val="auto"/>
              </w:rPr>
            </w:pPr>
          </w:p>
        </w:tc>
      </w:tr>
      <w:tr>
        <w:trPr>
          <w:trHeight w:val="34"/>
        </w:trPr>
        <w:tc>
          <w:tcPr>
            <w:tcW w:w="1160" w:type="dxa"/>
            <w:vAlign w:val="bottom"/>
            <w:tcBorders>
              <w:left w:val="single" w:sz="8" w:color="auto"/>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40" w:type="dxa"/>
            <w:vAlign w:val="bottom"/>
            <w:tcBorders>
              <w:top w:val="single" w:sz="8" w:color="0000FF"/>
              <w:bottom w:val="single" w:sz="8" w:color="auto"/>
            </w:tcBorders>
          </w:tcPr>
          <w:p>
            <w:pPr>
              <w:spacing w:after="0"/>
              <w:rPr>
                <w:sz w:val="2"/>
                <w:szCs w:val="2"/>
                <w:color w:val="auto"/>
              </w:rPr>
            </w:pPr>
          </w:p>
        </w:tc>
        <w:tc>
          <w:tcPr>
            <w:tcW w:w="2100" w:type="dxa"/>
            <w:vAlign w:val="bottom"/>
            <w:tcBorders>
              <w:top w:val="single" w:sz="8" w:color="0000FF"/>
              <w:bottom w:val="single" w:sz="8" w:color="auto"/>
            </w:tcBorders>
          </w:tcPr>
          <w:p>
            <w:pPr>
              <w:spacing w:after="0"/>
              <w:rPr>
                <w:sz w:val="2"/>
                <w:szCs w:val="2"/>
                <w:color w:val="auto"/>
              </w:rPr>
            </w:pPr>
          </w:p>
        </w:tc>
        <w:tc>
          <w:tcPr>
            <w:tcW w:w="20" w:type="dxa"/>
            <w:vAlign w:val="bottom"/>
            <w:tcBorders>
              <w:top w:val="single" w:sz="8" w:color="0000FF"/>
              <w:bottom w:val="single" w:sz="8" w:color="auto"/>
            </w:tcBorders>
          </w:tcPr>
          <w:p>
            <w:pPr>
              <w:spacing w:after="0"/>
              <w:rPr>
                <w:sz w:val="2"/>
                <w:szCs w:val="2"/>
                <w:color w:val="auto"/>
              </w:rPr>
            </w:pPr>
          </w:p>
        </w:tc>
        <w:tc>
          <w:tcPr>
            <w:tcW w:w="220" w:type="dxa"/>
            <w:vAlign w:val="bottom"/>
            <w:tcBorders>
              <w:top w:val="single" w:sz="8" w:color="0000FF"/>
              <w:bottom w:val="single" w:sz="8" w:color="auto"/>
            </w:tcBorders>
          </w:tcPr>
          <w:p>
            <w:pPr>
              <w:spacing w:after="0"/>
              <w:rPr>
                <w:sz w:val="2"/>
                <w:szCs w:val="2"/>
                <w:color w:val="auto"/>
              </w:rPr>
            </w:pPr>
          </w:p>
        </w:tc>
        <w:tc>
          <w:tcPr>
            <w:tcW w:w="420" w:type="dxa"/>
            <w:vAlign w:val="bottom"/>
            <w:tcBorders>
              <w:top w:val="single" w:sz="8" w:color="0000FF"/>
              <w:bottom w:val="single" w:sz="8" w:color="auto"/>
            </w:tcBorders>
          </w:tcPr>
          <w:p>
            <w:pPr>
              <w:spacing w:after="0"/>
              <w:rPr>
                <w:sz w:val="2"/>
                <w:szCs w:val="2"/>
                <w:color w:val="auto"/>
              </w:rPr>
            </w:pPr>
          </w:p>
        </w:tc>
        <w:tc>
          <w:tcPr>
            <w:tcW w:w="1020" w:type="dxa"/>
            <w:vAlign w:val="bottom"/>
            <w:tcBorders>
              <w:top w:val="single" w:sz="8" w:color="0000FF"/>
              <w:bottom w:val="single" w:sz="8" w:color="auto"/>
            </w:tcBorders>
          </w:tcPr>
          <w:p>
            <w:pPr>
              <w:spacing w:after="0"/>
              <w:rPr>
                <w:sz w:val="2"/>
                <w:szCs w:val="2"/>
                <w:color w:val="auto"/>
              </w:rPr>
            </w:pPr>
          </w:p>
        </w:tc>
        <w:tc>
          <w:tcPr>
            <w:tcW w:w="240" w:type="dxa"/>
            <w:vAlign w:val="bottom"/>
            <w:tcBorders>
              <w:top w:val="single" w:sz="8" w:color="0000FF"/>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right w:val="single" w:sz="8" w:color="auto"/>
            </w:tcBorders>
          </w:tcPr>
          <w:p>
            <w:pPr>
              <w:spacing w:after="0"/>
              <w:rPr>
                <w:sz w:val="2"/>
                <w:szCs w:val="2"/>
                <w:color w:val="auto"/>
              </w:rPr>
            </w:pPr>
          </w:p>
        </w:tc>
      </w:tr>
      <w:tr>
        <w:trPr>
          <w:trHeight w:val="183"/>
        </w:trPr>
        <w:tc>
          <w:tcPr>
            <w:tcW w:w="1160" w:type="dxa"/>
            <w:vAlign w:val="bottom"/>
            <w:tcBorders>
              <w:left w:val="single" w:sz="8" w:color="auto"/>
              <w:right w:val="single" w:sz="8" w:color="auto"/>
            </w:tcBorders>
          </w:tcPr>
          <w:p>
            <w:pPr>
              <w:ind w:left="40"/>
              <w:spacing w:after="0" w:line="183" w:lineRule="exact"/>
              <w:rPr>
                <w:sz w:val="20"/>
                <w:szCs w:val="20"/>
                <w:color w:val="auto"/>
              </w:rPr>
            </w:pPr>
            <w:r>
              <w:rPr>
                <w:rFonts w:ascii="Arial" w:cs="Arial" w:eastAsia="Arial" w:hAnsi="Arial"/>
                <w:sz w:val="16"/>
                <w:szCs w:val="16"/>
                <w:color w:val="auto"/>
              </w:rPr>
              <w:t>10.30</w:t>
            </w:r>
          </w:p>
        </w:tc>
        <w:tc>
          <w:tcPr>
            <w:tcW w:w="12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0140" w:type="dxa"/>
            <w:vAlign w:val="bottom"/>
            <w:tcBorders>
              <w:right w:val="single" w:sz="8" w:color="auto"/>
            </w:tcBorders>
            <w:gridSpan w:val="38"/>
          </w:tcPr>
          <w:p>
            <w:pPr>
              <w:spacing w:after="0" w:line="183" w:lineRule="exact"/>
              <w:rPr>
                <w:rFonts w:ascii="Arial" w:cs="Arial" w:eastAsia="Arial" w:hAnsi="Arial"/>
                <w:sz w:val="16"/>
                <w:szCs w:val="16"/>
                <w:color w:val="0000FF"/>
              </w:rPr>
            </w:pPr>
            <w:hyperlink r:id="rId196">
              <w:r>
                <w:rPr>
                  <w:rFonts w:ascii="Arial" w:cs="Arial" w:eastAsia="Arial" w:hAnsi="Arial"/>
                  <w:sz w:val="16"/>
                  <w:szCs w:val="16"/>
                  <w:color w:val="0000FF"/>
                </w:rPr>
                <w:t>Purchase Agreement by and among Cendant Corporation*, Affinity Acquisition, Inc. and Affinity Acquisition Holdings, Inc. dated as of July</w:t>
              </w:r>
            </w:hyperlink>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9440" w:type="dxa"/>
            <w:vAlign w:val="bottom"/>
            <w:tcBorders>
              <w:top w:val="single" w:sz="8" w:color="0000FF"/>
              <w:bottom w:val="single" w:sz="8" w:color="0000FF"/>
            </w:tcBorders>
            <w:gridSpan w:val="20"/>
          </w:tcPr>
          <w:p>
            <w:pPr>
              <w:spacing w:after="0" w:line="169" w:lineRule="exact"/>
              <w:rPr>
                <w:rFonts w:ascii="Arial" w:cs="Arial" w:eastAsia="Arial" w:hAnsi="Arial"/>
                <w:sz w:val="16"/>
                <w:szCs w:val="16"/>
                <w:color w:val="0000FF"/>
              </w:rPr>
            </w:pPr>
            <w:hyperlink r:id="rId196">
              <w:r>
                <w:rPr>
                  <w:rFonts w:ascii="Arial" w:cs="Arial" w:eastAsia="Arial" w:hAnsi="Arial"/>
                  <w:sz w:val="16"/>
                  <w:szCs w:val="16"/>
                  <w:color w:val="0000FF"/>
                </w:rPr>
                <w:t>26, 2005 (Incorporated by reference to Exhibit 10.2 to the Company’s Quarterly Report on Form 10-Q for the quarterly period ended</w:t>
              </w:r>
            </w:hyperlink>
          </w:p>
        </w:tc>
        <w:tc>
          <w:tcPr>
            <w:tcW w:w="400" w:type="dxa"/>
            <w:vAlign w:val="bottom"/>
            <w:tcBorders>
              <w:top w:val="single" w:sz="8" w:color="0000FF"/>
            </w:tcBorders>
            <w:gridSpan w:val="8"/>
          </w:tcPr>
          <w:p>
            <w:pPr>
              <w:spacing w:after="0"/>
              <w:rPr>
                <w:sz w:val="14"/>
                <w:szCs w:val="14"/>
                <w:color w:val="auto"/>
              </w:rPr>
            </w:pPr>
          </w:p>
        </w:tc>
        <w:tc>
          <w:tcPr>
            <w:tcW w:w="300" w:type="dxa"/>
            <w:vAlign w:val="bottom"/>
            <w:tcBorders>
              <w:right w:val="single" w:sz="8" w:color="auto"/>
            </w:tcBorders>
            <w:gridSpan w:val="10"/>
          </w:tcPr>
          <w:p>
            <w:pPr>
              <w:spacing w:after="0"/>
              <w:rPr>
                <w:sz w:val="14"/>
                <w:szCs w:val="14"/>
                <w:color w:val="auto"/>
              </w:rPr>
            </w:pPr>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140" w:type="dxa"/>
            <w:vAlign w:val="bottom"/>
            <w:tcBorders>
              <w:right w:val="single" w:sz="8" w:color="auto"/>
            </w:tcBorders>
            <w:gridSpan w:val="38"/>
          </w:tcPr>
          <w:p>
            <w:pPr>
              <w:spacing w:after="0" w:line="169" w:lineRule="exact"/>
              <w:rPr>
                <w:rFonts w:ascii="Arial" w:cs="Arial" w:eastAsia="Arial" w:hAnsi="Arial"/>
                <w:sz w:val="16"/>
                <w:szCs w:val="16"/>
                <w:color w:val="0000FF"/>
              </w:rPr>
            </w:pPr>
            <w:hyperlink r:id="rId196">
              <w:r>
                <w:rPr>
                  <w:rFonts w:ascii="Arial" w:cs="Arial" w:eastAsia="Arial" w:hAnsi="Arial"/>
                  <w:sz w:val="16"/>
                  <w:szCs w:val="16"/>
                  <w:color w:val="0000FF"/>
                </w:rPr>
                <w:t>September 30, 2005 dated November 2, 2005).</w:t>
              </w:r>
            </w:hyperlink>
          </w:p>
        </w:tc>
      </w:tr>
      <w:tr>
        <w:trPr>
          <w:trHeight w:val="34"/>
        </w:trPr>
        <w:tc>
          <w:tcPr>
            <w:tcW w:w="1160" w:type="dxa"/>
            <w:vAlign w:val="bottom"/>
            <w:tcBorders>
              <w:left w:val="single" w:sz="8" w:color="auto"/>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40" w:type="dxa"/>
            <w:vAlign w:val="bottom"/>
            <w:tcBorders>
              <w:top w:val="single" w:sz="8" w:color="0000FF"/>
              <w:bottom w:val="single" w:sz="8" w:color="auto"/>
            </w:tcBorders>
          </w:tcPr>
          <w:p>
            <w:pPr>
              <w:spacing w:after="0"/>
              <w:rPr>
                <w:sz w:val="2"/>
                <w:szCs w:val="2"/>
                <w:color w:val="auto"/>
              </w:rPr>
            </w:pPr>
          </w:p>
        </w:tc>
        <w:tc>
          <w:tcPr>
            <w:tcW w:w="2100" w:type="dxa"/>
            <w:vAlign w:val="bottom"/>
            <w:tcBorders>
              <w:top w:val="single" w:sz="8" w:color="0000FF"/>
              <w:bottom w:val="single" w:sz="8" w:color="auto"/>
            </w:tcBorders>
          </w:tcPr>
          <w:p>
            <w:pPr>
              <w:spacing w:after="0"/>
              <w:rPr>
                <w:sz w:val="2"/>
                <w:szCs w:val="2"/>
                <w:color w:val="auto"/>
              </w:rPr>
            </w:pPr>
          </w:p>
        </w:tc>
        <w:tc>
          <w:tcPr>
            <w:tcW w:w="20" w:type="dxa"/>
            <w:vAlign w:val="bottom"/>
            <w:tcBorders>
              <w:top w:val="single" w:sz="8" w:color="0000FF"/>
              <w:bottom w:val="single" w:sz="8" w:color="auto"/>
            </w:tcBorders>
          </w:tcPr>
          <w:p>
            <w:pPr>
              <w:spacing w:after="0"/>
              <w:rPr>
                <w:sz w:val="2"/>
                <w:szCs w:val="2"/>
                <w:color w:val="auto"/>
              </w:rPr>
            </w:pPr>
          </w:p>
        </w:tc>
        <w:tc>
          <w:tcPr>
            <w:tcW w:w="220" w:type="dxa"/>
            <w:vAlign w:val="bottom"/>
            <w:tcBorders>
              <w:top w:val="single" w:sz="8" w:color="0000FF"/>
              <w:bottom w:val="single" w:sz="8" w:color="auto"/>
            </w:tcBorders>
          </w:tcPr>
          <w:p>
            <w:pPr>
              <w:spacing w:after="0"/>
              <w:rPr>
                <w:sz w:val="2"/>
                <w:szCs w:val="2"/>
                <w:color w:val="auto"/>
              </w:rPr>
            </w:pPr>
          </w:p>
        </w:tc>
        <w:tc>
          <w:tcPr>
            <w:tcW w:w="420" w:type="dxa"/>
            <w:vAlign w:val="bottom"/>
            <w:tcBorders>
              <w:top w:val="single" w:sz="8" w:color="0000FF"/>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right w:val="single" w:sz="8" w:color="auto"/>
            </w:tcBorders>
          </w:tcPr>
          <w:p>
            <w:pPr>
              <w:spacing w:after="0"/>
              <w:rPr>
                <w:sz w:val="2"/>
                <w:szCs w:val="2"/>
                <w:color w:val="auto"/>
              </w:rPr>
            </w:pPr>
          </w:p>
        </w:tc>
      </w:tr>
      <w:tr>
        <w:trPr>
          <w:trHeight w:val="183"/>
        </w:trPr>
        <w:tc>
          <w:tcPr>
            <w:tcW w:w="1160" w:type="dxa"/>
            <w:vAlign w:val="bottom"/>
            <w:tcBorders>
              <w:left w:val="single" w:sz="8" w:color="auto"/>
              <w:right w:val="single" w:sz="8" w:color="auto"/>
            </w:tcBorders>
          </w:tcPr>
          <w:p>
            <w:pPr>
              <w:ind w:left="40"/>
              <w:spacing w:after="0" w:line="183" w:lineRule="exact"/>
              <w:rPr>
                <w:sz w:val="20"/>
                <w:szCs w:val="20"/>
                <w:color w:val="auto"/>
              </w:rPr>
            </w:pPr>
            <w:r>
              <w:rPr>
                <w:rFonts w:ascii="Arial" w:cs="Arial" w:eastAsia="Arial" w:hAnsi="Arial"/>
                <w:sz w:val="16"/>
                <w:szCs w:val="16"/>
                <w:color w:val="auto"/>
              </w:rPr>
              <w:t>10.30(a)</w:t>
            </w:r>
          </w:p>
        </w:tc>
        <w:tc>
          <w:tcPr>
            <w:tcW w:w="12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0060" w:type="dxa"/>
            <w:vAlign w:val="bottom"/>
            <w:tcBorders>
              <w:bottom w:val="single" w:sz="8" w:color="0000FF"/>
            </w:tcBorders>
            <w:gridSpan w:val="35"/>
          </w:tcPr>
          <w:p>
            <w:pPr>
              <w:spacing w:after="0" w:line="183" w:lineRule="exact"/>
              <w:rPr>
                <w:rFonts w:ascii="Arial" w:cs="Arial" w:eastAsia="Arial" w:hAnsi="Arial"/>
                <w:sz w:val="16"/>
                <w:szCs w:val="16"/>
                <w:color w:val="0000FF"/>
              </w:rPr>
            </w:pPr>
            <w:hyperlink r:id="rId197">
              <w:r>
                <w:rPr>
                  <w:rFonts w:ascii="Arial" w:cs="Arial" w:eastAsia="Arial" w:hAnsi="Arial"/>
                  <w:sz w:val="16"/>
                  <w:szCs w:val="16"/>
                  <w:color w:val="0000FF"/>
                </w:rPr>
                <w:t>Amendment No. 1 dated as of October 17, 2005 to the Purchase Agreement dated as of July 26, 2005 by and among Cendant Corporation*,</w:t>
              </w:r>
            </w:hyperlink>
          </w:p>
        </w:tc>
        <w:tc>
          <w:tcPr>
            <w:tcW w:w="80" w:type="dxa"/>
            <w:vAlign w:val="bottom"/>
            <w:tcBorders>
              <w:right w:val="single" w:sz="8" w:color="auto"/>
            </w:tcBorders>
            <w:gridSpan w:val="3"/>
          </w:tcPr>
          <w:p>
            <w:pPr>
              <w:spacing w:after="0"/>
              <w:rPr>
                <w:sz w:val="15"/>
                <w:szCs w:val="15"/>
                <w:color w:val="auto"/>
              </w:rPr>
            </w:pPr>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140" w:type="dxa"/>
            <w:vAlign w:val="bottom"/>
            <w:tcBorders>
              <w:right w:val="single" w:sz="8" w:color="auto"/>
            </w:tcBorders>
            <w:gridSpan w:val="38"/>
          </w:tcPr>
          <w:p>
            <w:pPr>
              <w:spacing w:after="0" w:line="169" w:lineRule="exact"/>
              <w:rPr>
                <w:rFonts w:ascii="Arial" w:cs="Arial" w:eastAsia="Arial" w:hAnsi="Arial"/>
                <w:sz w:val="16"/>
                <w:szCs w:val="16"/>
                <w:color w:val="0000FF"/>
              </w:rPr>
            </w:pPr>
            <w:hyperlink r:id="rId197">
              <w:r>
                <w:rPr>
                  <w:rFonts w:ascii="Arial" w:cs="Arial" w:eastAsia="Arial" w:hAnsi="Arial"/>
                  <w:sz w:val="16"/>
                  <w:szCs w:val="16"/>
                  <w:color w:val="0000FF"/>
                </w:rPr>
                <w:t>Affinity Acquisition, Inc. (now known as Affinion Group, Inc.) and Affinity Acquisition Holdings, Inc. (now known as Affinion Group Holdings,</w:t>
              </w:r>
            </w:hyperlink>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9900" w:type="dxa"/>
            <w:vAlign w:val="bottom"/>
            <w:tcBorders>
              <w:top w:val="single" w:sz="8" w:color="0000FF"/>
            </w:tcBorders>
            <w:gridSpan w:val="30"/>
          </w:tcPr>
          <w:p>
            <w:pPr>
              <w:spacing w:after="0" w:line="169" w:lineRule="exact"/>
              <w:rPr>
                <w:rFonts w:ascii="Arial" w:cs="Arial" w:eastAsia="Arial" w:hAnsi="Arial"/>
                <w:sz w:val="16"/>
                <w:szCs w:val="16"/>
                <w:color w:val="0000FF"/>
              </w:rPr>
            </w:pPr>
            <w:hyperlink r:id="rId197">
              <w:r>
                <w:rPr>
                  <w:rFonts w:ascii="Arial" w:cs="Arial" w:eastAsia="Arial" w:hAnsi="Arial"/>
                  <w:sz w:val="16"/>
                  <w:szCs w:val="16"/>
                  <w:color w:val="0000FF"/>
                </w:rPr>
                <w:t>Inc.) (Incorporated by reference to Exhibit</w:t>
              </w:r>
            </w:hyperlink>
          </w:p>
        </w:tc>
        <w:tc>
          <w:tcPr>
            <w:tcW w:w="240" w:type="dxa"/>
            <w:vAlign w:val="bottom"/>
            <w:tcBorders>
              <w:right w:val="single" w:sz="8" w:color="auto"/>
            </w:tcBorders>
            <w:gridSpan w:val="8"/>
          </w:tcPr>
          <w:p>
            <w:pPr>
              <w:spacing w:after="0"/>
              <w:rPr>
                <w:sz w:val="14"/>
                <w:szCs w:val="14"/>
                <w:color w:val="auto"/>
              </w:rPr>
            </w:pPr>
          </w:p>
        </w:tc>
      </w:tr>
      <w:tr>
        <w:trPr>
          <w:trHeight w:val="20"/>
        </w:trPr>
        <w:tc>
          <w:tcPr>
            <w:tcW w:w="1160" w:type="dxa"/>
            <w:vAlign w:val="bottom"/>
            <w:tcBorders>
              <w:left w:val="single" w:sz="8" w:color="auto"/>
              <w:right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980" w:type="dxa"/>
            <w:vAlign w:val="bottom"/>
            <w:gridSpan w:val="4"/>
            <w:shd w:val="clear" w:color="auto" w:fill="0000FF"/>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800" w:type="dxa"/>
            <w:vAlign w:val="bottom"/>
            <w:gridSpan w:val="5"/>
          </w:tcPr>
          <w:p>
            <w:pPr>
              <w:spacing w:after="0" w:line="20" w:lineRule="exact"/>
              <w:rPr>
                <w:sz w:val="1"/>
                <w:szCs w:val="1"/>
                <w:color w:val="auto"/>
              </w:rPr>
            </w:pPr>
          </w:p>
        </w:tc>
        <w:tc>
          <w:tcPr>
            <w:tcW w:w="500" w:type="dxa"/>
            <w:vAlign w:val="bottom"/>
            <w:gridSpan w:val="5"/>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00" w:type="dxa"/>
            <w:vAlign w:val="bottom"/>
            <w:tcBorders>
              <w:right w:val="single" w:sz="8" w:color="auto"/>
            </w:tcBorders>
            <w:gridSpan w:val="4"/>
          </w:tcPr>
          <w:p>
            <w:pPr>
              <w:spacing w:after="0" w:line="20" w:lineRule="exact"/>
              <w:rPr>
                <w:sz w:val="1"/>
                <w:szCs w:val="1"/>
                <w:color w:val="auto"/>
              </w:rPr>
            </w:pPr>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140" w:type="dxa"/>
            <w:vAlign w:val="bottom"/>
            <w:tcBorders>
              <w:right w:val="single" w:sz="8" w:color="auto"/>
            </w:tcBorders>
            <w:gridSpan w:val="38"/>
          </w:tcPr>
          <w:p>
            <w:pPr>
              <w:spacing w:after="0" w:line="169" w:lineRule="exact"/>
              <w:rPr>
                <w:rFonts w:ascii="Arial" w:cs="Arial" w:eastAsia="Arial" w:hAnsi="Arial"/>
                <w:sz w:val="16"/>
                <w:szCs w:val="16"/>
                <w:color w:val="0000FF"/>
              </w:rPr>
            </w:pPr>
            <w:hyperlink r:id="rId197">
              <w:r>
                <w:rPr>
                  <w:rFonts w:ascii="Arial" w:cs="Arial" w:eastAsia="Arial" w:hAnsi="Arial"/>
                  <w:sz w:val="16"/>
                  <w:szCs w:val="16"/>
                  <w:color w:val="0000FF"/>
                </w:rPr>
                <w:t>10.3 to the Company’s Quarterly Report on Form 10-Q for the quarterly period ended September 30, 2005 dated November 2, 2005).</w:t>
              </w:r>
            </w:hyperlink>
          </w:p>
        </w:tc>
      </w:tr>
      <w:tr>
        <w:trPr>
          <w:trHeight w:val="34"/>
        </w:trPr>
        <w:tc>
          <w:tcPr>
            <w:tcW w:w="1160" w:type="dxa"/>
            <w:vAlign w:val="bottom"/>
            <w:tcBorders>
              <w:left w:val="single" w:sz="8" w:color="auto"/>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40" w:type="dxa"/>
            <w:vAlign w:val="bottom"/>
            <w:tcBorders>
              <w:top w:val="single" w:sz="8" w:color="0000FF"/>
              <w:bottom w:val="single" w:sz="8" w:color="auto"/>
            </w:tcBorders>
          </w:tcPr>
          <w:p>
            <w:pPr>
              <w:spacing w:after="0"/>
              <w:rPr>
                <w:sz w:val="2"/>
                <w:szCs w:val="2"/>
                <w:color w:val="auto"/>
              </w:rPr>
            </w:pPr>
          </w:p>
        </w:tc>
        <w:tc>
          <w:tcPr>
            <w:tcW w:w="2100" w:type="dxa"/>
            <w:vAlign w:val="bottom"/>
            <w:tcBorders>
              <w:top w:val="single" w:sz="8" w:color="0000FF"/>
              <w:bottom w:val="single" w:sz="8" w:color="auto"/>
            </w:tcBorders>
          </w:tcPr>
          <w:p>
            <w:pPr>
              <w:spacing w:after="0"/>
              <w:rPr>
                <w:sz w:val="2"/>
                <w:szCs w:val="2"/>
                <w:color w:val="auto"/>
              </w:rPr>
            </w:pPr>
          </w:p>
        </w:tc>
        <w:tc>
          <w:tcPr>
            <w:tcW w:w="20" w:type="dxa"/>
            <w:vAlign w:val="bottom"/>
            <w:tcBorders>
              <w:top w:val="single" w:sz="8" w:color="0000FF"/>
              <w:bottom w:val="single" w:sz="8" w:color="auto"/>
            </w:tcBorders>
          </w:tcPr>
          <w:p>
            <w:pPr>
              <w:spacing w:after="0"/>
              <w:rPr>
                <w:sz w:val="2"/>
                <w:szCs w:val="2"/>
                <w:color w:val="auto"/>
              </w:rPr>
            </w:pPr>
          </w:p>
        </w:tc>
        <w:tc>
          <w:tcPr>
            <w:tcW w:w="220" w:type="dxa"/>
            <w:vAlign w:val="bottom"/>
            <w:tcBorders>
              <w:top w:val="single" w:sz="8" w:color="0000FF"/>
              <w:bottom w:val="single" w:sz="8" w:color="auto"/>
            </w:tcBorders>
          </w:tcPr>
          <w:p>
            <w:pPr>
              <w:spacing w:after="0"/>
              <w:rPr>
                <w:sz w:val="2"/>
                <w:szCs w:val="2"/>
                <w:color w:val="auto"/>
              </w:rPr>
            </w:pPr>
          </w:p>
        </w:tc>
        <w:tc>
          <w:tcPr>
            <w:tcW w:w="420" w:type="dxa"/>
            <w:vAlign w:val="bottom"/>
            <w:tcBorders>
              <w:top w:val="single" w:sz="8" w:color="0000FF"/>
              <w:bottom w:val="single" w:sz="8" w:color="auto"/>
            </w:tcBorders>
          </w:tcPr>
          <w:p>
            <w:pPr>
              <w:spacing w:after="0"/>
              <w:rPr>
                <w:sz w:val="2"/>
                <w:szCs w:val="2"/>
                <w:color w:val="auto"/>
              </w:rPr>
            </w:pPr>
          </w:p>
        </w:tc>
        <w:tc>
          <w:tcPr>
            <w:tcW w:w="1020" w:type="dxa"/>
            <w:vAlign w:val="bottom"/>
            <w:tcBorders>
              <w:top w:val="single" w:sz="8" w:color="0000FF"/>
              <w:bottom w:val="single" w:sz="8" w:color="auto"/>
            </w:tcBorders>
          </w:tcPr>
          <w:p>
            <w:pPr>
              <w:spacing w:after="0"/>
              <w:rPr>
                <w:sz w:val="2"/>
                <w:szCs w:val="2"/>
                <w:color w:val="auto"/>
              </w:rPr>
            </w:pPr>
          </w:p>
        </w:tc>
        <w:tc>
          <w:tcPr>
            <w:tcW w:w="240" w:type="dxa"/>
            <w:vAlign w:val="bottom"/>
            <w:tcBorders>
              <w:top w:val="single" w:sz="8" w:color="0000FF"/>
              <w:bottom w:val="single" w:sz="8" w:color="auto"/>
            </w:tcBorders>
          </w:tcPr>
          <w:p>
            <w:pPr>
              <w:spacing w:after="0"/>
              <w:rPr>
                <w:sz w:val="2"/>
                <w:szCs w:val="2"/>
                <w:color w:val="auto"/>
              </w:rPr>
            </w:pPr>
          </w:p>
        </w:tc>
        <w:tc>
          <w:tcPr>
            <w:tcW w:w="180" w:type="dxa"/>
            <w:vAlign w:val="bottom"/>
            <w:tcBorders>
              <w:top w:val="single" w:sz="8" w:color="0000FF"/>
              <w:bottom w:val="single" w:sz="8" w:color="auto"/>
            </w:tcBorders>
          </w:tcPr>
          <w:p>
            <w:pPr>
              <w:spacing w:after="0"/>
              <w:rPr>
                <w:sz w:val="2"/>
                <w:szCs w:val="2"/>
                <w:color w:val="auto"/>
              </w:rPr>
            </w:pPr>
          </w:p>
        </w:tc>
        <w:tc>
          <w:tcPr>
            <w:tcW w:w="960" w:type="dxa"/>
            <w:vAlign w:val="bottom"/>
            <w:tcBorders>
              <w:top w:val="single" w:sz="8" w:color="0000FF"/>
              <w:bottom w:val="single" w:sz="8" w:color="auto"/>
            </w:tcBorders>
          </w:tcPr>
          <w:p>
            <w:pPr>
              <w:spacing w:after="0"/>
              <w:rPr>
                <w:sz w:val="2"/>
                <w:szCs w:val="2"/>
                <w:color w:val="auto"/>
              </w:rPr>
            </w:pPr>
          </w:p>
        </w:tc>
        <w:tc>
          <w:tcPr>
            <w:tcW w:w="100" w:type="dxa"/>
            <w:vAlign w:val="bottom"/>
            <w:tcBorders>
              <w:top w:val="single" w:sz="8" w:color="0000FF"/>
              <w:bottom w:val="single" w:sz="8" w:color="auto"/>
            </w:tcBorders>
          </w:tcPr>
          <w:p>
            <w:pPr>
              <w:spacing w:after="0"/>
              <w:rPr>
                <w:sz w:val="2"/>
                <w:szCs w:val="2"/>
                <w:color w:val="auto"/>
              </w:rPr>
            </w:pPr>
          </w:p>
        </w:tc>
        <w:tc>
          <w:tcPr>
            <w:tcW w:w="340" w:type="dxa"/>
            <w:vAlign w:val="bottom"/>
            <w:tcBorders>
              <w:top w:val="single" w:sz="8" w:color="0000FF"/>
              <w:bottom w:val="single" w:sz="8" w:color="auto"/>
            </w:tcBorders>
          </w:tcPr>
          <w:p>
            <w:pPr>
              <w:spacing w:after="0"/>
              <w:rPr>
                <w:sz w:val="2"/>
                <w:szCs w:val="2"/>
                <w:color w:val="auto"/>
              </w:rPr>
            </w:pPr>
          </w:p>
        </w:tc>
        <w:tc>
          <w:tcPr>
            <w:tcW w:w="500" w:type="dxa"/>
            <w:vAlign w:val="bottom"/>
            <w:tcBorders>
              <w:top w:val="single" w:sz="8" w:color="0000FF"/>
              <w:bottom w:val="single" w:sz="8" w:color="auto"/>
            </w:tcBorders>
          </w:tcPr>
          <w:p>
            <w:pPr>
              <w:spacing w:after="0"/>
              <w:rPr>
                <w:sz w:val="2"/>
                <w:szCs w:val="2"/>
                <w:color w:val="auto"/>
              </w:rPr>
            </w:pPr>
          </w:p>
        </w:tc>
        <w:tc>
          <w:tcPr>
            <w:tcW w:w="220" w:type="dxa"/>
            <w:vAlign w:val="bottom"/>
            <w:tcBorders>
              <w:top w:val="single" w:sz="8" w:color="0000FF"/>
              <w:bottom w:val="single" w:sz="8" w:color="auto"/>
            </w:tcBorders>
          </w:tcPr>
          <w:p>
            <w:pPr>
              <w:spacing w:after="0"/>
              <w:rPr>
                <w:sz w:val="2"/>
                <w:szCs w:val="2"/>
                <w:color w:val="auto"/>
              </w:rPr>
            </w:pPr>
          </w:p>
        </w:tc>
        <w:tc>
          <w:tcPr>
            <w:tcW w:w="880" w:type="dxa"/>
            <w:vAlign w:val="bottom"/>
            <w:tcBorders>
              <w:top w:val="single" w:sz="8" w:color="0000FF"/>
              <w:bottom w:val="single" w:sz="8" w:color="auto"/>
            </w:tcBorders>
          </w:tcPr>
          <w:p>
            <w:pPr>
              <w:spacing w:after="0"/>
              <w:rPr>
                <w:sz w:val="2"/>
                <w:szCs w:val="2"/>
                <w:color w:val="auto"/>
              </w:rPr>
            </w:pPr>
          </w:p>
        </w:tc>
        <w:tc>
          <w:tcPr>
            <w:tcW w:w="880" w:type="dxa"/>
            <w:vAlign w:val="bottom"/>
            <w:tcBorders>
              <w:top w:val="single" w:sz="8" w:color="0000FF"/>
              <w:bottom w:val="single" w:sz="8" w:color="auto"/>
            </w:tcBorders>
          </w:tcPr>
          <w:p>
            <w:pPr>
              <w:spacing w:after="0"/>
              <w:rPr>
                <w:sz w:val="2"/>
                <w:szCs w:val="2"/>
                <w:color w:val="auto"/>
              </w:rPr>
            </w:pPr>
          </w:p>
        </w:tc>
        <w:tc>
          <w:tcPr>
            <w:tcW w:w="320" w:type="dxa"/>
            <w:vAlign w:val="bottom"/>
            <w:tcBorders>
              <w:top w:val="single" w:sz="8" w:color="0000FF"/>
              <w:bottom w:val="single" w:sz="8" w:color="auto"/>
            </w:tcBorders>
          </w:tcPr>
          <w:p>
            <w:pPr>
              <w:spacing w:after="0"/>
              <w:rPr>
                <w:sz w:val="2"/>
                <w:szCs w:val="2"/>
                <w:color w:val="auto"/>
              </w:rPr>
            </w:pPr>
          </w:p>
        </w:tc>
        <w:tc>
          <w:tcPr>
            <w:tcW w:w="180" w:type="dxa"/>
            <w:vAlign w:val="bottom"/>
            <w:tcBorders>
              <w:top w:val="single" w:sz="8" w:color="0000FF"/>
              <w:bottom w:val="single" w:sz="8" w:color="auto"/>
            </w:tcBorders>
          </w:tcPr>
          <w:p>
            <w:pPr>
              <w:spacing w:after="0"/>
              <w:rPr>
                <w:sz w:val="2"/>
                <w:szCs w:val="2"/>
                <w:color w:val="auto"/>
              </w:rPr>
            </w:pPr>
          </w:p>
        </w:tc>
        <w:tc>
          <w:tcPr>
            <w:tcW w:w="80" w:type="dxa"/>
            <w:vAlign w:val="bottom"/>
            <w:tcBorders>
              <w:top w:val="single" w:sz="8" w:color="0000FF"/>
              <w:bottom w:val="single" w:sz="8" w:color="auto"/>
            </w:tcBorders>
          </w:tcPr>
          <w:p>
            <w:pPr>
              <w:spacing w:after="0"/>
              <w:rPr>
                <w:sz w:val="2"/>
                <w:szCs w:val="2"/>
                <w:color w:val="auto"/>
              </w:rPr>
            </w:pPr>
          </w:p>
        </w:tc>
        <w:tc>
          <w:tcPr>
            <w:tcW w:w="60" w:type="dxa"/>
            <w:vAlign w:val="bottom"/>
            <w:tcBorders>
              <w:top w:val="single" w:sz="8" w:color="0000FF"/>
              <w:bottom w:val="single" w:sz="8" w:color="auto"/>
            </w:tcBorders>
          </w:tcPr>
          <w:p>
            <w:pPr>
              <w:spacing w:after="0"/>
              <w:rPr>
                <w:sz w:val="2"/>
                <w:szCs w:val="2"/>
                <w:color w:val="auto"/>
              </w:rPr>
            </w:pPr>
          </w:p>
        </w:tc>
        <w:tc>
          <w:tcPr>
            <w:tcW w:w="80" w:type="dxa"/>
            <w:vAlign w:val="bottom"/>
            <w:tcBorders>
              <w:top w:val="single" w:sz="8" w:color="0000FF"/>
              <w:bottom w:val="single" w:sz="8" w:color="auto"/>
            </w:tcBorders>
          </w:tcPr>
          <w:p>
            <w:pPr>
              <w:spacing w:after="0"/>
              <w:rPr>
                <w:sz w:val="2"/>
                <w:szCs w:val="2"/>
                <w:color w:val="auto"/>
              </w:rPr>
            </w:pPr>
          </w:p>
        </w:tc>
        <w:tc>
          <w:tcPr>
            <w:tcW w:w="100" w:type="dxa"/>
            <w:vAlign w:val="bottom"/>
            <w:tcBorders>
              <w:top w:val="single" w:sz="8" w:color="0000FF"/>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right w:val="single" w:sz="8" w:color="auto"/>
            </w:tcBorders>
          </w:tcPr>
          <w:p>
            <w:pPr>
              <w:spacing w:after="0"/>
              <w:rPr>
                <w:sz w:val="2"/>
                <w:szCs w:val="2"/>
                <w:color w:val="auto"/>
              </w:rPr>
            </w:pPr>
          </w:p>
        </w:tc>
      </w:tr>
      <w:tr>
        <w:trPr>
          <w:trHeight w:val="183"/>
        </w:trPr>
        <w:tc>
          <w:tcPr>
            <w:tcW w:w="1160" w:type="dxa"/>
            <w:vAlign w:val="bottom"/>
            <w:tcBorders>
              <w:left w:val="single" w:sz="8" w:color="auto"/>
              <w:right w:val="single" w:sz="8" w:color="auto"/>
            </w:tcBorders>
          </w:tcPr>
          <w:p>
            <w:pPr>
              <w:ind w:left="40"/>
              <w:spacing w:after="0" w:line="183" w:lineRule="exact"/>
              <w:rPr>
                <w:sz w:val="20"/>
                <w:szCs w:val="20"/>
                <w:color w:val="auto"/>
              </w:rPr>
            </w:pPr>
            <w:r>
              <w:rPr>
                <w:rFonts w:ascii="Arial" w:cs="Arial" w:eastAsia="Arial" w:hAnsi="Arial"/>
                <w:sz w:val="16"/>
                <w:szCs w:val="16"/>
                <w:color w:val="auto"/>
              </w:rPr>
              <w:t>10.31</w:t>
            </w:r>
          </w:p>
        </w:tc>
        <w:tc>
          <w:tcPr>
            <w:tcW w:w="12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0140" w:type="dxa"/>
            <w:vAlign w:val="bottom"/>
            <w:tcBorders>
              <w:right w:val="single" w:sz="8" w:color="auto"/>
            </w:tcBorders>
            <w:gridSpan w:val="38"/>
          </w:tcPr>
          <w:p>
            <w:pPr>
              <w:spacing w:after="0" w:line="183" w:lineRule="exact"/>
              <w:rPr>
                <w:rFonts w:ascii="Arial" w:cs="Arial" w:eastAsia="Arial" w:hAnsi="Arial"/>
                <w:sz w:val="16"/>
                <w:szCs w:val="16"/>
                <w:color w:val="0000FF"/>
              </w:rPr>
            </w:pPr>
            <w:hyperlink r:id="rId198">
              <w:r>
                <w:rPr>
                  <w:rFonts w:ascii="Arial" w:cs="Arial" w:eastAsia="Arial" w:hAnsi="Arial"/>
                  <w:sz w:val="16"/>
                  <w:szCs w:val="16"/>
                  <w:color w:val="0000FF"/>
                </w:rPr>
                <w:t>Agreement dated October 31, 2016 between Avis Budget Car Rental, LLC and General Motors LLC (Incorporated by reference to Exhibit</w:t>
              </w:r>
            </w:hyperlink>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9800" w:type="dxa"/>
            <w:vAlign w:val="bottom"/>
            <w:tcBorders>
              <w:top w:val="single" w:sz="8" w:color="0000FF"/>
            </w:tcBorders>
            <w:gridSpan w:val="27"/>
          </w:tcPr>
          <w:p>
            <w:pPr>
              <w:spacing w:after="0" w:line="169" w:lineRule="exact"/>
              <w:rPr>
                <w:rFonts w:ascii="Arial" w:cs="Arial" w:eastAsia="Arial" w:hAnsi="Arial"/>
                <w:sz w:val="16"/>
                <w:szCs w:val="16"/>
                <w:color w:val="0000FF"/>
              </w:rPr>
            </w:pPr>
            <w:hyperlink r:id="rId198">
              <w:r>
                <w:rPr>
                  <w:rFonts w:ascii="Arial" w:cs="Arial" w:eastAsia="Arial" w:hAnsi="Arial"/>
                  <w:sz w:val="16"/>
                  <w:szCs w:val="16"/>
                  <w:color w:val="0000FF"/>
                </w:rPr>
                <w:t>10.1 to the Company’s Current Report on Form 8-K dated November 3, 2016).††</w:t>
              </w:r>
            </w:hyperlink>
          </w:p>
        </w:tc>
        <w:tc>
          <w:tcPr>
            <w:tcW w:w="340" w:type="dxa"/>
            <w:vAlign w:val="bottom"/>
            <w:tcBorders>
              <w:right w:val="single" w:sz="8" w:color="auto"/>
            </w:tcBorders>
            <w:gridSpan w:val="11"/>
          </w:tcPr>
          <w:p>
            <w:pPr>
              <w:spacing w:after="0"/>
              <w:rPr>
                <w:sz w:val="14"/>
                <w:szCs w:val="14"/>
                <w:color w:val="auto"/>
              </w:rPr>
            </w:pPr>
          </w:p>
        </w:tc>
      </w:tr>
      <w:tr>
        <w:trPr>
          <w:trHeight w:val="34"/>
        </w:trPr>
        <w:tc>
          <w:tcPr>
            <w:tcW w:w="1160" w:type="dxa"/>
            <w:vAlign w:val="bottom"/>
            <w:tcBorders>
              <w:left w:val="single" w:sz="8" w:color="auto"/>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40" w:type="dxa"/>
            <w:vAlign w:val="bottom"/>
            <w:tcBorders>
              <w:top w:val="single" w:sz="8" w:color="0000FF"/>
              <w:bottom w:val="single" w:sz="8" w:color="auto"/>
            </w:tcBorders>
          </w:tcPr>
          <w:p>
            <w:pPr>
              <w:spacing w:after="0"/>
              <w:rPr>
                <w:sz w:val="2"/>
                <w:szCs w:val="2"/>
                <w:color w:val="auto"/>
              </w:rPr>
            </w:pPr>
          </w:p>
        </w:tc>
        <w:tc>
          <w:tcPr>
            <w:tcW w:w="2100" w:type="dxa"/>
            <w:vAlign w:val="bottom"/>
            <w:tcBorders>
              <w:top w:val="single" w:sz="8" w:color="0000FF"/>
              <w:bottom w:val="single" w:sz="8" w:color="auto"/>
            </w:tcBorders>
          </w:tcPr>
          <w:p>
            <w:pPr>
              <w:spacing w:after="0"/>
              <w:rPr>
                <w:sz w:val="2"/>
                <w:szCs w:val="2"/>
                <w:color w:val="auto"/>
              </w:rPr>
            </w:pPr>
          </w:p>
        </w:tc>
        <w:tc>
          <w:tcPr>
            <w:tcW w:w="20" w:type="dxa"/>
            <w:vAlign w:val="bottom"/>
            <w:tcBorders>
              <w:top w:val="single" w:sz="8" w:color="0000FF"/>
              <w:bottom w:val="single" w:sz="8" w:color="auto"/>
            </w:tcBorders>
          </w:tcPr>
          <w:p>
            <w:pPr>
              <w:spacing w:after="0"/>
              <w:rPr>
                <w:sz w:val="2"/>
                <w:szCs w:val="2"/>
                <w:color w:val="auto"/>
              </w:rPr>
            </w:pPr>
          </w:p>
        </w:tc>
        <w:tc>
          <w:tcPr>
            <w:tcW w:w="220" w:type="dxa"/>
            <w:vAlign w:val="bottom"/>
            <w:tcBorders>
              <w:top w:val="single" w:sz="8" w:color="0000FF"/>
              <w:bottom w:val="single" w:sz="8" w:color="auto"/>
            </w:tcBorders>
          </w:tcPr>
          <w:p>
            <w:pPr>
              <w:spacing w:after="0"/>
              <w:rPr>
                <w:sz w:val="2"/>
                <w:szCs w:val="2"/>
                <w:color w:val="auto"/>
              </w:rPr>
            </w:pPr>
          </w:p>
        </w:tc>
        <w:tc>
          <w:tcPr>
            <w:tcW w:w="420" w:type="dxa"/>
            <w:vAlign w:val="bottom"/>
            <w:tcBorders>
              <w:top w:val="single" w:sz="8" w:color="0000FF"/>
              <w:bottom w:val="single" w:sz="8" w:color="auto"/>
            </w:tcBorders>
          </w:tcPr>
          <w:p>
            <w:pPr>
              <w:spacing w:after="0"/>
              <w:rPr>
                <w:sz w:val="2"/>
                <w:szCs w:val="2"/>
                <w:color w:val="auto"/>
              </w:rPr>
            </w:pPr>
          </w:p>
        </w:tc>
        <w:tc>
          <w:tcPr>
            <w:tcW w:w="1020" w:type="dxa"/>
            <w:vAlign w:val="bottom"/>
            <w:tcBorders>
              <w:top w:val="single" w:sz="8" w:color="0000FF"/>
              <w:bottom w:val="single" w:sz="8" w:color="auto"/>
            </w:tcBorders>
          </w:tcPr>
          <w:p>
            <w:pPr>
              <w:spacing w:after="0"/>
              <w:rPr>
                <w:sz w:val="2"/>
                <w:szCs w:val="2"/>
                <w:color w:val="auto"/>
              </w:rPr>
            </w:pPr>
          </w:p>
        </w:tc>
        <w:tc>
          <w:tcPr>
            <w:tcW w:w="240" w:type="dxa"/>
            <w:vAlign w:val="bottom"/>
            <w:tcBorders>
              <w:top w:val="single" w:sz="8" w:color="0000FF"/>
              <w:bottom w:val="single" w:sz="8" w:color="auto"/>
            </w:tcBorders>
          </w:tcPr>
          <w:p>
            <w:pPr>
              <w:spacing w:after="0"/>
              <w:rPr>
                <w:sz w:val="2"/>
                <w:szCs w:val="2"/>
                <w:color w:val="auto"/>
              </w:rPr>
            </w:pPr>
          </w:p>
        </w:tc>
        <w:tc>
          <w:tcPr>
            <w:tcW w:w="180" w:type="dxa"/>
            <w:vAlign w:val="bottom"/>
            <w:tcBorders>
              <w:top w:val="single" w:sz="8" w:color="0000FF"/>
              <w:bottom w:val="single" w:sz="8" w:color="auto"/>
            </w:tcBorders>
          </w:tcPr>
          <w:p>
            <w:pPr>
              <w:spacing w:after="0"/>
              <w:rPr>
                <w:sz w:val="2"/>
                <w:szCs w:val="2"/>
                <w:color w:val="auto"/>
              </w:rPr>
            </w:pPr>
          </w:p>
        </w:tc>
        <w:tc>
          <w:tcPr>
            <w:tcW w:w="960" w:type="dxa"/>
            <w:vAlign w:val="bottom"/>
            <w:tcBorders>
              <w:top w:val="single" w:sz="8" w:color="0000FF"/>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right w:val="single" w:sz="8" w:color="auto"/>
            </w:tcBorders>
          </w:tcPr>
          <w:p>
            <w:pPr>
              <w:spacing w:after="0"/>
              <w:rPr>
                <w:sz w:val="2"/>
                <w:szCs w:val="2"/>
                <w:color w:val="auto"/>
              </w:rPr>
            </w:pPr>
          </w:p>
        </w:tc>
      </w:tr>
      <w:tr>
        <w:trPr>
          <w:trHeight w:val="183"/>
        </w:trPr>
        <w:tc>
          <w:tcPr>
            <w:tcW w:w="1160" w:type="dxa"/>
            <w:vAlign w:val="bottom"/>
            <w:tcBorders>
              <w:left w:val="single" w:sz="8" w:color="auto"/>
              <w:right w:val="single" w:sz="8" w:color="auto"/>
            </w:tcBorders>
          </w:tcPr>
          <w:p>
            <w:pPr>
              <w:ind w:left="40"/>
              <w:spacing w:after="0" w:line="183" w:lineRule="exact"/>
              <w:rPr>
                <w:sz w:val="20"/>
                <w:szCs w:val="20"/>
                <w:color w:val="auto"/>
              </w:rPr>
            </w:pPr>
            <w:r>
              <w:rPr>
                <w:rFonts w:ascii="Arial" w:cs="Arial" w:eastAsia="Arial" w:hAnsi="Arial"/>
                <w:sz w:val="16"/>
                <w:szCs w:val="16"/>
                <w:color w:val="auto"/>
              </w:rPr>
              <w:t>10.32</w:t>
            </w:r>
          </w:p>
        </w:tc>
        <w:tc>
          <w:tcPr>
            <w:tcW w:w="12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0140" w:type="dxa"/>
            <w:vAlign w:val="bottom"/>
            <w:tcBorders>
              <w:right w:val="single" w:sz="8" w:color="auto"/>
            </w:tcBorders>
            <w:gridSpan w:val="38"/>
          </w:tcPr>
          <w:p>
            <w:pPr>
              <w:spacing w:after="0" w:line="183" w:lineRule="exact"/>
              <w:rPr>
                <w:rFonts w:ascii="Arial" w:cs="Arial" w:eastAsia="Arial" w:hAnsi="Arial"/>
                <w:sz w:val="16"/>
                <w:szCs w:val="16"/>
                <w:color w:val="0000FF"/>
              </w:rPr>
            </w:pPr>
            <w:hyperlink r:id="rId199">
              <w:r>
                <w:rPr>
                  <w:rFonts w:ascii="Arial" w:cs="Arial" w:eastAsia="Arial" w:hAnsi="Arial"/>
                  <w:sz w:val="16"/>
                  <w:szCs w:val="16"/>
                  <w:color w:val="0000FF"/>
                </w:rPr>
                <w:t>Agreement dated October 31, 2017 between Avis Budget Car Rental, LLC and General Motors LLC (Incorporated by reference to Exhibit</w:t>
              </w:r>
            </w:hyperlink>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9800" w:type="dxa"/>
            <w:vAlign w:val="bottom"/>
            <w:tcBorders>
              <w:top w:val="single" w:sz="8" w:color="0000FF"/>
            </w:tcBorders>
            <w:gridSpan w:val="27"/>
          </w:tcPr>
          <w:p>
            <w:pPr>
              <w:spacing w:after="0" w:line="169" w:lineRule="exact"/>
              <w:rPr>
                <w:rFonts w:ascii="Arial" w:cs="Arial" w:eastAsia="Arial" w:hAnsi="Arial"/>
                <w:sz w:val="16"/>
                <w:szCs w:val="16"/>
                <w:color w:val="0000FF"/>
              </w:rPr>
            </w:pPr>
            <w:hyperlink r:id="rId199">
              <w:r>
                <w:rPr>
                  <w:rFonts w:ascii="Arial" w:cs="Arial" w:eastAsia="Arial" w:hAnsi="Arial"/>
                  <w:sz w:val="16"/>
                  <w:szCs w:val="16"/>
                  <w:color w:val="0000FF"/>
                </w:rPr>
                <w:t>10.1 to the Company’s Current Report on Form 8-K dated November 3, 2017).††</w:t>
              </w:r>
            </w:hyperlink>
          </w:p>
        </w:tc>
        <w:tc>
          <w:tcPr>
            <w:tcW w:w="340" w:type="dxa"/>
            <w:vAlign w:val="bottom"/>
            <w:tcBorders>
              <w:right w:val="single" w:sz="8" w:color="auto"/>
            </w:tcBorders>
            <w:gridSpan w:val="11"/>
          </w:tcPr>
          <w:p>
            <w:pPr>
              <w:spacing w:after="0"/>
              <w:rPr>
                <w:sz w:val="14"/>
                <w:szCs w:val="14"/>
                <w:color w:val="auto"/>
              </w:rPr>
            </w:pPr>
          </w:p>
        </w:tc>
      </w:tr>
      <w:tr>
        <w:trPr>
          <w:trHeight w:val="34"/>
        </w:trPr>
        <w:tc>
          <w:tcPr>
            <w:tcW w:w="1160" w:type="dxa"/>
            <w:vAlign w:val="bottom"/>
            <w:tcBorders>
              <w:left w:val="single" w:sz="8" w:color="auto"/>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40" w:type="dxa"/>
            <w:vAlign w:val="bottom"/>
            <w:tcBorders>
              <w:top w:val="single" w:sz="8" w:color="0000FF"/>
              <w:bottom w:val="single" w:sz="8" w:color="auto"/>
            </w:tcBorders>
          </w:tcPr>
          <w:p>
            <w:pPr>
              <w:spacing w:after="0"/>
              <w:rPr>
                <w:sz w:val="2"/>
                <w:szCs w:val="2"/>
                <w:color w:val="auto"/>
              </w:rPr>
            </w:pPr>
          </w:p>
        </w:tc>
        <w:tc>
          <w:tcPr>
            <w:tcW w:w="2100" w:type="dxa"/>
            <w:vAlign w:val="bottom"/>
            <w:tcBorders>
              <w:top w:val="single" w:sz="8" w:color="0000FF"/>
              <w:bottom w:val="single" w:sz="8" w:color="auto"/>
            </w:tcBorders>
          </w:tcPr>
          <w:p>
            <w:pPr>
              <w:spacing w:after="0"/>
              <w:rPr>
                <w:sz w:val="2"/>
                <w:szCs w:val="2"/>
                <w:color w:val="auto"/>
              </w:rPr>
            </w:pPr>
          </w:p>
        </w:tc>
        <w:tc>
          <w:tcPr>
            <w:tcW w:w="20" w:type="dxa"/>
            <w:vAlign w:val="bottom"/>
            <w:tcBorders>
              <w:top w:val="single" w:sz="8" w:color="0000FF"/>
              <w:bottom w:val="single" w:sz="8" w:color="auto"/>
            </w:tcBorders>
          </w:tcPr>
          <w:p>
            <w:pPr>
              <w:spacing w:after="0"/>
              <w:rPr>
                <w:sz w:val="2"/>
                <w:szCs w:val="2"/>
                <w:color w:val="auto"/>
              </w:rPr>
            </w:pPr>
          </w:p>
        </w:tc>
        <w:tc>
          <w:tcPr>
            <w:tcW w:w="220" w:type="dxa"/>
            <w:vAlign w:val="bottom"/>
            <w:tcBorders>
              <w:top w:val="single" w:sz="8" w:color="0000FF"/>
              <w:bottom w:val="single" w:sz="8" w:color="auto"/>
            </w:tcBorders>
          </w:tcPr>
          <w:p>
            <w:pPr>
              <w:spacing w:after="0"/>
              <w:rPr>
                <w:sz w:val="2"/>
                <w:szCs w:val="2"/>
                <w:color w:val="auto"/>
              </w:rPr>
            </w:pPr>
          </w:p>
        </w:tc>
        <w:tc>
          <w:tcPr>
            <w:tcW w:w="420" w:type="dxa"/>
            <w:vAlign w:val="bottom"/>
            <w:tcBorders>
              <w:top w:val="single" w:sz="8" w:color="0000FF"/>
              <w:bottom w:val="single" w:sz="8" w:color="auto"/>
            </w:tcBorders>
          </w:tcPr>
          <w:p>
            <w:pPr>
              <w:spacing w:after="0"/>
              <w:rPr>
                <w:sz w:val="2"/>
                <w:szCs w:val="2"/>
                <w:color w:val="auto"/>
              </w:rPr>
            </w:pPr>
          </w:p>
        </w:tc>
        <w:tc>
          <w:tcPr>
            <w:tcW w:w="1020" w:type="dxa"/>
            <w:vAlign w:val="bottom"/>
            <w:tcBorders>
              <w:top w:val="single" w:sz="8" w:color="0000FF"/>
              <w:bottom w:val="single" w:sz="8" w:color="auto"/>
            </w:tcBorders>
          </w:tcPr>
          <w:p>
            <w:pPr>
              <w:spacing w:after="0"/>
              <w:rPr>
                <w:sz w:val="2"/>
                <w:szCs w:val="2"/>
                <w:color w:val="auto"/>
              </w:rPr>
            </w:pPr>
          </w:p>
        </w:tc>
        <w:tc>
          <w:tcPr>
            <w:tcW w:w="240" w:type="dxa"/>
            <w:vAlign w:val="bottom"/>
            <w:tcBorders>
              <w:top w:val="single" w:sz="8" w:color="0000FF"/>
              <w:bottom w:val="single" w:sz="8" w:color="auto"/>
            </w:tcBorders>
          </w:tcPr>
          <w:p>
            <w:pPr>
              <w:spacing w:after="0"/>
              <w:rPr>
                <w:sz w:val="2"/>
                <w:szCs w:val="2"/>
                <w:color w:val="auto"/>
              </w:rPr>
            </w:pPr>
          </w:p>
        </w:tc>
        <w:tc>
          <w:tcPr>
            <w:tcW w:w="180" w:type="dxa"/>
            <w:vAlign w:val="bottom"/>
            <w:tcBorders>
              <w:top w:val="single" w:sz="8" w:color="0000FF"/>
              <w:bottom w:val="single" w:sz="8" w:color="auto"/>
            </w:tcBorders>
          </w:tcPr>
          <w:p>
            <w:pPr>
              <w:spacing w:after="0"/>
              <w:rPr>
                <w:sz w:val="2"/>
                <w:szCs w:val="2"/>
                <w:color w:val="auto"/>
              </w:rPr>
            </w:pPr>
          </w:p>
        </w:tc>
        <w:tc>
          <w:tcPr>
            <w:tcW w:w="960" w:type="dxa"/>
            <w:vAlign w:val="bottom"/>
            <w:tcBorders>
              <w:top w:val="single" w:sz="8" w:color="0000FF"/>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right w:val="single" w:sz="8" w:color="auto"/>
            </w:tcBorders>
          </w:tcPr>
          <w:p>
            <w:pPr>
              <w:spacing w:after="0"/>
              <w:rPr>
                <w:sz w:val="2"/>
                <w:szCs w:val="2"/>
                <w:color w:val="auto"/>
              </w:rPr>
            </w:pPr>
          </w:p>
        </w:tc>
      </w:tr>
      <w:tr>
        <w:trPr>
          <w:trHeight w:val="183"/>
        </w:trPr>
        <w:tc>
          <w:tcPr>
            <w:tcW w:w="1160" w:type="dxa"/>
            <w:vAlign w:val="bottom"/>
            <w:tcBorders>
              <w:left w:val="single" w:sz="8" w:color="auto"/>
              <w:right w:val="single" w:sz="8" w:color="auto"/>
            </w:tcBorders>
          </w:tcPr>
          <w:p>
            <w:pPr>
              <w:ind w:left="40"/>
              <w:spacing w:after="0" w:line="183" w:lineRule="exact"/>
              <w:rPr>
                <w:sz w:val="20"/>
                <w:szCs w:val="20"/>
                <w:color w:val="auto"/>
              </w:rPr>
            </w:pPr>
            <w:r>
              <w:rPr>
                <w:rFonts w:ascii="Arial" w:cs="Arial" w:eastAsia="Arial" w:hAnsi="Arial"/>
                <w:sz w:val="16"/>
                <w:szCs w:val="16"/>
                <w:color w:val="auto"/>
              </w:rPr>
              <w:t>10.33</w:t>
            </w:r>
          </w:p>
        </w:tc>
        <w:tc>
          <w:tcPr>
            <w:tcW w:w="12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9680" w:type="dxa"/>
            <w:vAlign w:val="bottom"/>
            <w:tcBorders>
              <w:bottom w:val="single" w:sz="8" w:color="0000FF"/>
            </w:tcBorders>
            <w:gridSpan w:val="25"/>
          </w:tcPr>
          <w:p>
            <w:pPr>
              <w:spacing w:after="0" w:line="183" w:lineRule="exact"/>
              <w:rPr>
                <w:rFonts w:ascii="Arial" w:cs="Arial" w:eastAsia="Arial" w:hAnsi="Arial"/>
                <w:sz w:val="16"/>
                <w:szCs w:val="16"/>
                <w:color w:val="0000FF"/>
              </w:rPr>
            </w:pPr>
            <w:hyperlink r:id="rId200">
              <w:r>
                <w:rPr>
                  <w:rFonts w:ascii="Arial" w:cs="Arial" w:eastAsia="Arial" w:hAnsi="Arial"/>
                  <w:sz w:val="16"/>
                  <w:szCs w:val="16"/>
                  <w:color w:val="0000FF"/>
                </w:rPr>
                <w:t>Avis Budget Car Rental 2017 Model Year Program Letter dated August 26, 2016 between Avis Budget Car Rental, LLC and Ford Motor</w:t>
              </w:r>
            </w:hyperlink>
          </w:p>
        </w:tc>
        <w:tc>
          <w:tcPr>
            <w:tcW w:w="460" w:type="dxa"/>
            <w:vAlign w:val="bottom"/>
            <w:tcBorders>
              <w:right w:val="single" w:sz="8" w:color="auto"/>
            </w:tcBorders>
            <w:gridSpan w:val="13"/>
          </w:tcPr>
          <w:p>
            <w:pPr>
              <w:spacing w:after="0"/>
              <w:rPr>
                <w:sz w:val="15"/>
                <w:szCs w:val="15"/>
                <w:color w:val="auto"/>
              </w:rPr>
            </w:pPr>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140" w:type="dxa"/>
            <w:vAlign w:val="bottom"/>
            <w:tcBorders>
              <w:right w:val="single" w:sz="8" w:color="auto"/>
            </w:tcBorders>
            <w:gridSpan w:val="38"/>
          </w:tcPr>
          <w:p>
            <w:pPr>
              <w:spacing w:after="0" w:line="169" w:lineRule="exact"/>
              <w:rPr>
                <w:rFonts w:ascii="Arial" w:cs="Arial" w:eastAsia="Arial" w:hAnsi="Arial"/>
                <w:sz w:val="16"/>
                <w:szCs w:val="16"/>
                <w:color w:val="0000FF"/>
              </w:rPr>
            </w:pPr>
            <w:hyperlink r:id="rId200">
              <w:r>
                <w:rPr>
                  <w:rFonts w:ascii="Arial" w:cs="Arial" w:eastAsia="Arial" w:hAnsi="Arial"/>
                  <w:sz w:val="16"/>
                  <w:szCs w:val="16"/>
                  <w:color w:val="0000FF"/>
                </w:rPr>
                <w:t>Company (Incorporated by reference to Exhibit 10.1 to the Company’s Current Report on Form 8-K dated August 31, 2016).††</w:t>
              </w:r>
            </w:hyperlink>
          </w:p>
        </w:tc>
      </w:tr>
      <w:tr>
        <w:trPr>
          <w:trHeight w:val="34"/>
        </w:trPr>
        <w:tc>
          <w:tcPr>
            <w:tcW w:w="1160" w:type="dxa"/>
            <w:vAlign w:val="bottom"/>
            <w:tcBorders>
              <w:left w:val="single" w:sz="8" w:color="auto"/>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40" w:type="dxa"/>
            <w:vAlign w:val="bottom"/>
            <w:tcBorders>
              <w:top w:val="single" w:sz="8" w:color="0000FF"/>
              <w:bottom w:val="single" w:sz="8" w:color="auto"/>
            </w:tcBorders>
          </w:tcPr>
          <w:p>
            <w:pPr>
              <w:spacing w:after="0"/>
              <w:rPr>
                <w:sz w:val="2"/>
                <w:szCs w:val="2"/>
                <w:color w:val="auto"/>
              </w:rPr>
            </w:pPr>
          </w:p>
        </w:tc>
        <w:tc>
          <w:tcPr>
            <w:tcW w:w="2100" w:type="dxa"/>
            <w:vAlign w:val="bottom"/>
            <w:tcBorders>
              <w:top w:val="single" w:sz="8" w:color="0000FF"/>
              <w:bottom w:val="single" w:sz="8" w:color="auto"/>
            </w:tcBorders>
          </w:tcPr>
          <w:p>
            <w:pPr>
              <w:spacing w:after="0"/>
              <w:rPr>
                <w:sz w:val="2"/>
                <w:szCs w:val="2"/>
                <w:color w:val="auto"/>
              </w:rPr>
            </w:pPr>
          </w:p>
        </w:tc>
        <w:tc>
          <w:tcPr>
            <w:tcW w:w="20" w:type="dxa"/>
            <w:vAlign w:val="bottom"/>
            <w:tcBorders>
              <w:top w:val="single" w:sz="8" w:color="0000FF"/>
              <w:bottom w:val="single" w:sz="8" w:color="auto"/>
            </w:tcBorders>
          </w:tcPr>
          <w:p>
            <w:pPr>
              <w:spacing w:after="0"/>
              <w:rPr>
                <w:sz w:val="2"/>
                <w:szCs w:val="2"/>
                <w:color w:val="auto"/>
              </w:rPr>
            </w:pPr>
          </w:p>
        </w:tc>
        <w:tc>
          <w:tcPr>
            <w:tcW w:w="220" w:type="dxa"/>
            <w:vAlign w:val="bottom"/>
            <w:tcBorders>
              <w:top w:val="single" w:sz="8" w:color="0000FF"/>
              <w:bottom w:val="single" w:sz="8" w:color="auto"/>
            </w:tcBorders>
          </w:tcPr>
          <w:p>
            <w:pPr>
              <w:spacing w:after="0"/>
              <w:rPr>
                <w:sz w:val="2"/>
                <w:szCs w:val="2"/>
                <w:color w:val="auto"/>
              </w:rPr>
            </w:pPr>
          </w:p>
        </w:tc>
        <w:tc>
          <w:tcPr>
            <w:tcW w:w="420" w:type="dxa"/>
            <w:vAlign w:val="bottom"/>
            <w:tcBorders>
              <w:top w:val="single" w:sz="8" w:color="0000FF"/>
              <w:bottom w:val="single" w:sz="8" w:color="auto"/>
            </w:tcBorders>
          </w:tcPr>
          <w:p>
            <w:pPr>
              <w:spacing w:after="0"/>
              <w:rPr>
                <w:sz w:val="2"/>
                <w:szCs w:val="2"/>
                <w:color w:val="auto"/>
              </w:rPr>
            </w:pPr>
          </w:p>
        </w:tc>
        <w:tc>
          <w:tcPr>
            <w:tcW w:w="1020" w:type="dxa"/>
            <w:vAlign w:val="bottom"/>
            <w:tcBorders>
              <w:top w:val="single" w:sz="8" w:color="0000FF"/>
              <w:bottom w:val="single" w:sz="8" w:color="auto"/>
            </w:tcBorders>
          </w:tcPr>
          <w:p>
            <w:pPr>
              <w:spacing w:after="0"/>
              <w:rPr>
                <w:sz w:val="2"/>
                <w:szCs w:val="2"/>
                <w:color w:val="auto"/>
              </w:rPr>
            </w:pPr>
          </w:p>
        </w:tc>
        <w:tc>
          <w:tcPr>
            <w:tcW w:w="240" w:type="dxa"/>
            <w:vAlign w:val="bottom"/>
            <w:tcBorders>
              <w:top w:val="single" w:sz="8" w:color="0000FF"/>
              <w:bottom w:val="single" w:sz="8" w:color="auto"/>
            </w:tcBorders>
          </w:tcPr>
          <w:p>
            <w:pPr>
              <w:spacing w:after="0"/>
              <w:rPr>
                <w:sz w:val="2"/>
                <w:szCs w:val="2"/>
                <w:color w:val="auto"/>
              </w:rPr>
            </w:pPr>
          </w:p>
        </w:tc>
        <w:tc>
          <w:tcPr>
            <w:tcW w:w="180" w:type="dxa"/>
            <w:vAlign w:val="bottom"/>
            <w:tcBorders>
              <w:top w:val="single" w:sz="8" w:color="0000FF"/>
              <w:bottom w:val="single" w:sz="8" w:color="auto"/>
            </w:tcBorders>
          </w:tcPr>
          <w:p>
            <w:pPr>
              <w:spacing w:after="0"/>
              <w:rPr>
                <w:sz w:val="2"/>
                <w:szCs w:val="2"/>
                <w:color w:val="auto"/>
              </w:rPr>
            </w:pPr>
          </w:p>
        </w:tc>
        <w:tc>
          <w:tcPr>
            <w:tcW w:w="960" w:type="dxa"/>
            <w:vAlign w:val="bottom"/>
            <w:tcBorders>
              <w:top w:val="single" w:sz="8" w:color="0000FF"/>
              <w:bottom w:val="single" w:sz="8" w:color="auto"/>
            </w:tcBorders>
          </w:tcPr>
          <w:p>
            <w:pPr>
              <w:spacing w:after="0"/>
              <w:rPr>
                <w:sz w:val="2"/>
                <w:szCs w:val="2"/>
                <w:color w:val="auto"/>
              </w:rPr>
            </w:pPr>
          </w:p>
        </w:tc>
        <w:tc>
          <w:tcPr>
            <w:tcW w:w="100" w:type="dxa"/>
            <w:vAlign w:val="bottom"/>
            <w:tcBorders>
              <w:top w:val="single" w:sz="8" w:color="0000FF"/>
              <w:bottom w:val="single" w:sz="8" w:color="auto"/>
            </w:tcBorders>
          </w:tcPr>
          <w:p>
            <w:pPr>
              <w:spacing w:after="0"/>
              <w:rPr>
                <w:sz w:val="2"/>
                <w:szCs w:val="2"/>
                <w:color w:val="auto"/>
              </w:rPr>
            </w:pPr>
          </w:p>
        </w:tc>
        <w:tc>
          <w:tcPr>
            <w:tcW w:w="340" w:type="dxa"/>
            <w:vAlign w:val="bottom"/>
            <w:tcBorders>
              <w:top w:val="single" w:sz="8" w:color="0000FF"/>
              <w:bottom w:val="single" w:sz="8" w:color="auto"/>
            </w:tcBorders>
          </w:tcPr>
          <w:p>
            <w:pPr>
              <w:spacing w:after="0"/>
              <w:rPr>
                <w:sz w:val="2"/>
                <w:szCs w:val="2"/>
                <w:color w:val="auto"/>
              </w:rPr>
            </w:pPr>
          </w:p>
        </w:tc>
        <w:tc>
          <w:tcPr>
            <w:tcW w:w="500" w:type="dxa"/>
            <w:vAlign w:val="bottom"/>
            <w:tcBorders>
              <w:top w:val="single" w:sz="8" w:color="0000FF"/>
              <w:bottom w:val="single" w:sz="8" w:color="auto"/>
            </w:tcBorders>
          </w:tcPr>
          <w:p>
            <w:pPr>
              <w:spacing w:after="0"/>
              <w:rPr>
                <w:sz w:val="2"/>
                <w:szCs w:val="2"/>
                <w:color w:val="auto"/>
              </w:rPr>
            </w:pPr>
          </w:p>
        </w:tc>
        <w:tc>
          <w:tcPr>
            <w:tcW w:w="220" w:type="dxa"/>
            <w:vAlign w:val="bottom"/>
            <w:tcBorders>
              <w:top w:val="single" w:sz="8" w:color="0000FF"/>
              <w:bottom w:val="single" w:sz="8" w:color="auto"/>
            </w:tcBorders>
          </w:tcPr>
          <w:p>
            <w:pPr>
              <w:spacing w:after="0"/>
              <w:rPr>
                <w:sz w:val="2"/>
                <w:szCs w:val="2"/>
                <w:color w:val="auto"/>
              </w:rPr>
            </w:pPr>
          </w:p>
        </w:tc>
        <w:tc>
          <w:tcPr>
            <w:tcW w:w="880" w:type="dxa"/>
            <w:vAlign w:val="bottom"/>
            <w:tcBorders>
              <w:top w:val="single" w:sz="8" w:color="0000FF"/>
              <w:bottom w:val="single" w:sz="8" w:color="auto"/>
            </w:tcBorders>
          </w:tcPr>
          <w:p>
            <w:pPr>
              <w:spacing w:after="0"/>
              <w:rPr>
                <w:sz w:val="2"/>
                <w:szCs w:val="2"/>
                <w:color w:val="auto"/>
              </w:rPr>
            </w:pPr>
          </w:p>
        </w:tc>
        <w:tc>
          <w:tcPr>
            <w:tcW w:w="880" w:type="dxa"/>
            <w:vAlign w:val="bottom"/>
            <w:tcBorders>
              <w:top w:val="single" w:sz="8" w:color="0000FF"/>
              <w:bottom w:val="single" w:sz="8" w:color="auto"/>
            </w:tcBorders>
          </w:tcPr>
          <w:p>
            <w:pPr>
              <w:spacing w:after="0"/>
              <w:rPr>
                <w:sz w:val="2"/>
                <w:szCs w:val="2"/>
                <w:color w:val="auto"/>
              </w:rPr>
            </w:pPr>
          </w:p>
        </w:tc>
        <w:tc>
          <w:tcPr>
            <w:tcW w:w="320" w:type="dxa"/>
            <w:vAlign w:val="bottom"/>
            <w:tcBorders>
              <w:top w:val="single" w:sz="8" w:color="0000FF"/>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right w:val="single" w:sz="8" w:color="auto"/>
            </w:tcBorders>
          </w:tcPr>
          <w:p>
            <w:pPr>
              <w:spacing w:after="0"/>
              <w:rPr>
                <w:sz w:val="2"/>
                <w:szCs w:val="2"/>
                <w:color w:val="auto"/>
              </w:rPr>
            </w:pPr>
          </w:p>
        </w:tc>
      </w:tr>
      <w:tr>
        <w:trPr>
          <w:trHeight w:val="183"/>
        </w:trPr>
        <w:tc>
          <w:tcPr>
            <w:tcW w:w="1160" w:type="dxa"/>
            <w:vAlign w:val="bottom"/>
            <w:tcBorders>
              <w:left w:val="single" w:sz="8" w:color="auto"/>
              <w:right w:val="single" w:sz="8" w:color="auto"/>
            </w:tcBorders>
          </w:tcPr>
          <w:p>
            <w:pPr>
              <w:ind w:left="40"/>
              <w:spacing w:after="0" w:line="183" w:lineRule="exact"/>
              <w:rPr>
                <w:sz w:val="20"/>
                <w:szCs w:val="20"/>
                <w:color w:val="auto"/>
              </w:rPr>
            </w:pPr>
            <w:r>
              <w:rPr>
                <w:rFonts w:ascii="Arial" w:cs="Arial" w:eastAsia="Arial" w:hAnsi="Arial"/>
                <w:sz w:val="16"/>
                <w:szCs w:val="16"/>
                <w:color w:val="auto"/>
              </w:rPr>
              <w:t>10.34</w:t>
            </w:r>
          </w:p>
        </w:tc>
        <w:tc>
          <w:tcPr>
            <w:tcW w:w="12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9680" w:type="dxa"/>
            <w:vAlign w:val="bottom"/>
            <w:tcBorders>
              <w:bottom w:val="single" w:sz="8" w:color="0000FF"/>
            </w:tcBorders>
            <w:gridSpan w:val="25"/>
          </w:tcPr>
          <w:p>
            <w:pPr>
              <w:spacing w:after="0" w:line="183" w:lineRule="exact"/>
              <w:rPr>
                <w:rFonts w:ascii="Arial" w:cs="Arial" w:eastAsia="Arial" w:hAnsi="Arial"/>
                <w:sz w:val="16"/>
                <w:szCs w:val="16"/>
                <w:color w:val="0000FF"/>
              </w:rPr>
            </w:pPr>
            <w:hyperlink r:id="rId201">
              <w:r>
                <w:rPr>
                  <w:rFonts w:ascii="Arial" w:cs="Arial" w:eastAsia="Arial" w:hAnsi="Arial"/>
                  <w:sz w:val="16"/>
                  <w:szCs w:val="16"/>
                  <w:color w:val="0000FF"/>
                </w:rPr>
                <w:t>Avis Budget Car Rental 2018 Model Year Program Letter dated August 29, 2017 between Avis Budget Car Rental, LLC and Ford Motor</w:t>
              </w:r>
            </w:hyperlink>
          </w:p>
        </w:tc>
        <w:tc>
          <w:tcPr>
            <w:tcW w:w="460" w:type="dxa"/>
            <w:vAlign w:val="bottom"/>
            <w:tcBorders>
              <w:right w:val="single" w:sz="8" w:color="auto"/>
            </w:tcBorders>
            <w:gridSpan w:val="13"/>
          </w:tcPr>
          <w:p>
            <w:pPr>
              <w:spacing w:after="0"/>
              <w:rPr>
                <w:sz w:val="15"/>
                <w:szCs w:val="15"/>
                <w:color w:val="auto"/>
              </w:rPr>
            </w:pPr>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140" w:type="dxa"/>
            <w:vAlign w:val="bottom"/>
            <w:tcBorders>
              <w:right w:val="single" w:sz="8" w:color="auto"/>
            </w:tcBorders>
            <w:gridSpan w:val="38"/>
          </w:tcPr>
          <w:p>
            <w:pPr>
              <w:spacing w:after="0" w:line="169" w:lineRule="exact"/>
              <w:rPr>
                <w:rFonts w:ascii="Arial" w:cs="Arial" w:eastAsia="Arial" w:hAnsi="Arial"/>
                <w:sz w:val="16"/>
                <w:szCs w:val="16"/>
                <w:color w:val="0000FF"/>
              </w:rPr>
            </w:pPr>
            <w:hyperlink r:id="rId201">
              <w:r>
                <w:rPr>
                  <w:rFonts w:ascii="Arial" w:cs="Arial" w:eastAsia="Arial" w:hAnsi="Arial"/>
                  <w:sz w:val="16"/>
                  <w:szCs w:val="16"/>
                  <w:color w:val="0000FF"/>
                </w:rPr>
                <w:t>Company (Incorporated by reference to Exhibit 10.1 to the Company’s Current Report on Form 8-K dated August 31, 2017).††</w:t>
              </w:r>
            </w:hyperlink>
          </w:p>
        </w:tc>
      </w:tr>
      <w:tr>
        <w:trPr>
          <w:trHeight w:val="34"/>
        </w:trPr>
        <w:tc>
          <w:tcPr>
            <w:tcW w:w="1160" w:type="dxa"/>
            <w:vAlign w:val="bottom"/>
            <w:tcBorders>
              <w:left w:val="single" w:sz="8" w:color="auto"/>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40" w:type="dxa"/>
            <w:vAlign w:val="bottom"/>
            <w:tcBorders>
              <w:top w:val="single" w:sz="8" w:color="0000FF"/>
              <w:bottom w:val="single" w:sz="8" w:color="auto"/>
            </w:tcBorders>
          </w:tcPr>
          <w:p>
            <w:pPr>
              <w:spacing w:after="0"/>
              <w:rPr>
                <w:sz w:val="2"/>
                <w:szCs w:val="2"/>
                <w:color w:val="auto"/>
              </w:rPr>
            </w:pPr>
          </w:p>
        </w:tc>
        <w:tc>
          <w:tcPr>
            <w:tcW w:w="2100" w:type="dxa"/>
            <w:vAlign w:val="bottom"/>
            <w:tcBorders>
              <w:top w:val="single" w:sz="8" w:color="0000FF"/>
              <w:bottom w:val="single" w:sz="8" w:color="auto"/>
            </w:tcBorders>
          </w:tcPr>
          <w:p>
            <w:pPr>
              <w:spacing w:after="0"/>
              <w:rPr>
                <w:sz w:val="2"/>
                <w:szCs w:val="2"/>
                <w:color w:val="auto"/>
              </w:rPr>
            </w:pPr>
          </w:p>
        </w:tc>
        <w:tc>
          <w:tcPr>
            <w:tcW w:w="20" w:type="dxa"/>
            <w:vAlign w:val="bottom"/>
            <w:tcBorders>
              <w:top w:val="single" w:sz="8" w:color="0000FF"/>
              <w:bottom w:val="single" w:sz="8" w:color="auto"/>
            </w:tcBorders>
          </w:tcPr>
          <w:p>
            <w:pPr>
              <w:spacing w:after="0"/>
              <w:rPr>
                <w:sz w:val="2"/>
                <w:szCs w:val="2"/>
                <w:color w:val="auto"/>
              </w:rPr>
            </w:pPr>
          </w:p>
        </w:tc>
        <w:tc>
          <w:tcPr>
            <w:tcW w:w="220" w:type="dxa"/>
            <w:vAlign w:val="bottom"/>
            <w:tcBorders>
              <w:top w:val="single" w:sz="8" w:color="0000FF"/>
              <w:bottom w:val="single" w:sz="8" w:color="auto"/>
            </w:tcBorders>
          </w:tcPr>
          <w:p>
            <w:pPr>
              <w:spacing w:after="0"/>
              <w:rPr>
                <w:sz w:val="2"/>
                <w:szCs w:val="2"/>
                <w:color w:val="auto"/>
              </w:rPr>
            </w:pPr>
          </w:p>
        </w:tc>
        <w:tc>
          <w:tcPr>
            <w:tcW w:w="420" w:type="dxa"/>
            <w:vAlign w:val="bottom"/>
            <w:tcBorders>
              <w:top w:val="single" w:sz="8" w:color="0000FF"/>
              <w:bottom w:val="single" w:sz="8" w:color="auto"/>
            </w:tcBorders>
          </w:tcPr>
          <w:p>
            <w:pPr>
              <w:spacing w:after="0"/>
              <w:rPr>
                <w:sz w:val="2"/>
                <w:szCs w:val="2"/>
                <w:color w:val="auto"/>
              </w:rPr>
            </w:pPr>
          </w:p>
        </w:tc>
        <w:tc>
          <w:tcPr>
            <w:tcW w:w="1020" w:type="dxa"/>
            <w:vAlign w:val="bottom"/>
            <w:tcBorders>
              <w:top w:val="single" w:sz="8" w:color="0000FF"/>
              <w:bottom w:val="single" w:sz="8" w:color="auto"/>
            </w:tcBorders>
          </w:tcPr>
          <w:p>
            <w:pPr>
              <w:spacing w:after="0"/>
              <w:rPr>
                <w:sz w:val="2"/>
                <w:szCs w:val="2"/>
                <w:color w:val="auto"/>
              </w:rPr>
            </w:pPr>
          </w:p>
        </w:tc>
        <w:tc>
          <w:tcPr>
            <w:tcW w:w="240" w:type="dxa"/>
            <w:vAlign w:val="bottom"/>
            <w:tcBorders>
              <w:top w:val="single" w:sz="8" w:color="0000FF"/>
              <w:bottom w:val="single" w:sz="8" w:color="auto"/>
            </w:tcBorders>
          </w:tcPr>
          <w:p>
            <w:pPr>
              <w:spacing w:after="0"/>
              <w:rPr>
                <w:sz w:val="2"/>
                <w:szCs w:val="2"/>
                <w:color w:val="auto"/>
              </w:rPr>
            </w:pPr>
          </w:p>
        </w:tc>
        <w:tc>
          <w:tcPr>
            <w:tcW w:w="180" w:type="dxa"/>
            <w:vAlign w:val="bottom"/>
            <w:tcBorders>
              <w:top w:val="single" w:sz="8" w:color="0000FF"/>
              <w:bottom w:val="single" w:sz="8" w:color="auto"/>
            </w:tcBorders>
          </w:tcPr>
          <w:p>
            <w:pPr>
              <w:spacing w:after="0"/>
              <w:rPr>
                <w:sz w:val="2"/>
                <w:szCs w:val="2"/>
                <w:color w:val="auto"/>
              </w:rPr>
            </w:pPr>
          </w:p>
        </w:tc>
        <w:tc>
          <w:tcPr>
            <w:tcW w:w="960" w:type="dxa"/>
            <w:vAlign w:val="bottom"/>
            <w:tcBorders>
              <w:top w:val="single" w:sz="8" w:color="0000FF"/>
              <w:bottom w:val="single" w:sz="8" w:color="auto"/>
            </w:tcBorders>
          </w:tcPr>
          <w:p>
            <w:pPr>
              <w:spacing w:after="0"/>
              <w:rPr>
                <w:sz w:val="2"/>
                <w:szCs w:val="2"/>
                <w:color w:val="auto"/>
              </w:rPr>
            </w:pPr>
          </w:p>
        </w:tc>
        <w:tc>
          <w:tcPr>
            <w:tcW w:w="100" w:type="dxa"/>
            <w:vAlign w:val="bottom"/>
            <w:tcBorders>
              <w:top w:val="single" w:sz="8" w:color="0000FF"/>
              <w:bottom w:val="single" w:sz="8" w:color="auto"/>
            </w:tcBorders>
          </w:tcPr>
          <w:p>
            <w:pPr>
              <w:spacing w:after="0"/>
              <w:rPr>
                <w:sz w:val="2"/>
                <w:szCs w:val="2"/>
                <w:color w:val="auto"/>
              </w:rPr>
            </w:pPr>
          </w:p>
        </w:tc>
        <w:tc>
          <w:tcPr>
            <w:tcW w:w="340" w:type="dxa"/>
            <w:vAlign w:val="bottom"/>
            <w:tcBorders>
              <w:top w:val="single" w:sz="8" w:color="0000FF"/>
              <w:bottom w:val="single" w:sz="8" w:color="auto"/>
            </w:tcBorders>
          </w:tcPr>
          <w:p>
            <w:pPr>
              <w:spacing w:after="0"/>
              <w:rPr>
                <w:sz w:val="2"/>
                <w:szCs w:val="2"/>
                <w:color w:val="auto"/>
              </w:rPr>
            </w:pPr>
          </w:p>
        </w:tc>
        <w:tc>
          <w:tcPr>
            <w:tcW w:w="500" w:type="dxa"/>
            <w:vAlign w:val="bottom"/>
            <w:tcBorders>
              <w:top w:val="single" w:sz="8" w:color="0000FF"/>
              <w:bottom w:val="single" w:sz="8" w:color="auto"/>
            </w:tcBorders>
          </w:tcPr>
          <w:p>
            <w:pPr>
              <w:spacing w:after="0"/>
              <w:rPr>
                <w:sz w:val="2"/>
                <w:szCs w:val="2"/>
                <w:color w:val="auto"/>
              </w:rPr>
            </w:pPr>
          </w:p>
        </w:tc>
        <w:tc>
          <w:tcPr>
            <w:tcW w:w="220" w:type="dxa"/>
            <w:vAlign w:val="bottom"/>
            <w:tcBorders>
              <w:top w:val="single" w:sz="8" w:color="0000FF"/>
              <w:bottom w:val="single" w:sz="8" w:color="auto"/>
            </w:tcBorders>
          </w:tcPr>
          <w:p>
            <w:pPr>
              <w:spacing w:after="0"/>
              <w:rPr>
                <w:sz w:val="2"/>
                <w:szCs w:val="2"/>
                <w:color w:val="auto"/>
              </w:rPr>
            </w:pPr>
          </w:p>
        </w:tc>
        <w:tc>
          <w:tcPr>
            <w:tcW w:w="880" w:type="dxa"/>
            <w:vAlign w:val="bottom"/>
            <w:tcBorders>
              <w:top w:val="single" w:sz="8" w:color="0000FF"/>
              <w:bottom w:val="single" w:sz="8" w:color="auto"/>
            </w:tcBorders>
          </w:tcPr>
          <w:p>
            <w:pPr>
              <w:spacing w:after="0"/>
              <w:rPr>
                <w:sz w:val="2"/>
                <w:szCs w:val="2"/>
                <w:color w:val="auto"/>
              </w:rPr>
            </w:pPr>
          </w:p>
        </w:tc>
        <w:tc>
          <w:tcPr>
            <w:tcW w:w="880" w:type="dxa"/>
            <w:vAlign w:val="bottom"/>
            <w:tcBorders>
              <w:top w:val="single" w:sz="8" w:color="0000FF"/>
              <w:bottom w:val="single" w:sz="8" w:color="auto"/>
            </w:tcBorders>
          </w:tcPr>
          <w:p>
            <w:pPr>
              <w:spacing w:after="0"/>
              <w:rPr>
                <w:sz w:val="2"/>
                <w:szCs w:val="2"/>
                <w:color w:val="auto"/>
              </w:rPr>
            </w:pPr>
          </w:p>
        </w:tc>
        <w:tc>
          <w:tcPr>
            <w:tcW w:w="320" w:type="dxa"/>
            <w:vAlign w:val="bottom"/>
            <w:tcBorders>
              <w:top w:val="single" w:sz="8" w:color="0000FF"/>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right w:val="single" w:sz="8" w:color="auto"/>
            </w:tcBorders>
          </w:tcPr>
          <w:p>
            <w:pPr>
              <w:spacing w:after="0"/>
              <w:rPr>
                <w:sz w:val="2"/>
                <w:szCs w:val="2"/>
                <w:color w:val="auto"/>
              </w:rPr>
            </w:pPr>
          </w:p>
        </w:tc>
      </w:tr>
      <w:tr>
        <w:trPr>
          <w:trHeight w:val="183"/>
        </w:trPr>
        <w:tc>
          <w:tcPr>
            <w:tcW w:w="1160" w:type="dxa"/>
            <w:vAlign w:val="bottom"/>
            <w:tcBorders>
              <w:left w:val="single" w:sz="8" w:color="auto"/>
              <w:right w:val="single" w:sz="8" w:color="auto"/>
            </w:tcBorders>
          </w:tcPr>
          <w:p>
            <w:pPr>
              <w:ind w:left="40"/>
              <w:spacing w:after="0" w:line="183" w:lineRule="exact"/>
              <w:rPr>
                <w:sz w:val="20"/>
                <w:szCs w:val="20"/>
                <w:color w:val="auto"/>
              </w:rPr>
            </w:pPr>
            <w:r>
              <w:rPr>
                <w:rFonts w:ascii="Arial" w:cs="Arial" w:eastAsia="Arial" w:hAnsi="Arial"/>
                <w:sz w:val="16"/>
                <w:szCs w:val="16"/>
                <w:color w:val="auto"/>
              </w:rPr>
              <w:t>10.35</w:t>
            </w:r>
          </w:p>
        </w:tc>
        <w:tc>
          <w:tcPr>
            <w:tcW w:w="12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0140" w:type="dxa"/>
            <w:vAlign w:val="bottom"/>
            <w:tcBorders>
              <w:right w:val="single" w:sz="8" w:color="auto"/>
            </w:tcBorders>
            <w:gridSpan w:val="38"/>
          </w:tcPr>
          <w:p>
            <w:pPr>
              <w:spacing w:after="0" w:line="183" w:lineRule="exact"/>
              <w:rPr>
                <w:rFonts w:ascii="Arial" w:cs="Arial" w:eastAsia="Arial" w:hAnsi="Arial"/>
                <w:sz w:val="16"/>
                <w:szCs w:val="16"/>
                <w:color w:val="0000FF"/>
              </w:rPr>
            </w:pPr>
            <w:hyperlink r:id="rId202">
              <w:r>
                <w:rPr>
                  <w:rFonts w:ascii="Arial" w:cs="Arial" w:eastAsia="Arial" w:hAnsi="Arial"/>
                  <w:sz w:val="16"/>
                  <w:szCs w:val="16"/>
                  <w:color w:val="0000FF"/>
                </w:rPr>
                <w:t>Second Amended and Restated Base Indenture, dated as of June 3, 2004, among Cendant Rental Car Funding (AESOP) LLC***, as Issuer,</w:t>
              </w:r>
            </w:hyperlink>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40" w:type="dxa"/>
            <w:vAlign w:val="bottom"/>
            <w:tcBorders>
              <w:top w:val="single" w:sz="8" w:color="0000FF"/>
            </w:tcBorders>
            <w:gridSpan w:val="34"/>
          </w:tcPr>
          <w:p>
            <w:pPr>
              <w:spacing w:after="0" w:line="169" w:lineRule="exact"/>
              <w:rPr>
                <w:rFonts w:ascii="Arial" w:cs="Arial" w:eastAsia="Arial" w:hAnsi="Arial"/>
                <w:sz w:val="16"/>
                <w:szCs w:val="16"/>
                <w:color w:val="0000FF"/>
              </w:rPr>
            </w:pPr>
            <w:hyperlink r:id="rId202">
              <w:r>
                <w:rPr>
                  <w:rFonts w:ascii="Arial" w:cs="Arial" w:eastAsia="Arial" w:hAnsi="Arial"/>
                  <w:sz w:val="16"/>
                  <w:szCs w:val="16"/>
                  <w:color w:val="0000FF"/>
                </w:rPr>
                <w:t>and The Bank of New York, as Trustee (Incorporated by reference to Exhibit 10.7 to the Company’s Quarterly Report on Form 10-Q for the</w:t>
              </w:r>
            </w:hyperlink>
          </w:p>
        </w:tc>
        <w:tc>
          <w:tcPr>
            <w:tcW w:w="100" w:type="dxa"/>
            <w:vAlign w:val="bottom"/>
            <w:tcBorders>
              <w:right w:val="single" w:sz="8" w:color="auto"/>
            </w:tcBorders>
            <w:gridSpan w:val="4"/>
          </w:tcPr>
          <w:p>
            <w:pPr>
              <w:spacing w:after="0"/>
              <w:rPr>
                <w:sz w:val="14"/>
                <w:szCs w:val="14"/>
                <w:color w:val="auto"/>
              </w:rPr>
            </w:pPr>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9900" w:type="dxa"/>
            <w:vAlign w:val="bottom"/>
            <w:tcBorders>
              <w:top w:val="single" w:sz="8" w:color="0000FF"/>
            </w:tcBorders>
            <w:gridSpan w:val="30"/>
          </w:tcPr>
          <w:p>
            <w:pPr>
              <w:spacing w:after="0" w:line="169" w:lineRule="exact"/>
              <w:rPr>
                <w:rFonts w:ascii="Arial" w:cs="Arial" w:eastAsia="Arial" w:hAnsi="Arial"/>
                <w:sz w:val="16"/>
                <w:szCs w:val="16"/>
                <w:color w:val="0000FF"/>
              </w:rPr>
            </w:pPr>
            <w:hyperlink r:id="rId202">
              <w:r>
                <w:rPr>
                  <w:rFonts w:ascii="Arial" w:cs="Arial" w:eastAsia="Arial" w:hAnsi="Arial"/>
                  <w:sz w:val="16"/>
                  <w:szCs w:val="16"/>
                  <w:color w:val="0000FF"/>
                </w:rPr>
                <w:t>quarterly period ended June 30, 2004, dated August 2, 2004).</w:t>
              </w:r>
            </w:hyperlink>
          </w:p>
        </w:tc>
        <w:tc>
          <w:tcPr>
            <w:tcW w:w="240" w:type="dxa"/>
            <w:vAlign w:val="bottom"/>
            <w:tcBorders>
              <w:right w:val="single" w:sz="8" w:color="auto"/>
            </w:tcBorders>
            <w:gridSpan w:val="8"/>
          </w:tcPr>
          <w:p>
            <w:pPr>
              <w:spacing w:after="0"/>
              <w:rPr>
                <w:sz w:val="14"/>
                <w:szCs w:val="14"/>
                <w:color w:val="auto"/>
              </w:rPr>
            </w:pPr>
          </w:p>
        </w:tc>
      </w:tr>
      <w:tr>
        <w:trPr>
          <w:trHeight w:val="34"/>
        </w:trPr>
        <w:tc>
          <w:tcPr>
            <w:tcW w:w="1160" w:type="dxa"/>
            <w:vAlign w:val="bottom"/>
            <w:tcBorders>
              <w:left w:val="single" w:sz="8" w:color="auto"/>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40" w:type="dxa"/>
            <w:vAlign w:val="bottom"/>
            <w:tcBorders>
              <w:top w:val="single" w:sz="8" w:color="0000FF"/>
              <w:bottom w:val="single" w:sz="8" w:color="auto"/>
            </w:tcBorders>
          </w:tcPr>
          <w:p>
            <w:pPr>
              <w:spacing w:after="0"/>
              <w:rPr>
                <w:sz w:val="2"/>
                <w:szCs w:val="2"/>
                <w:color w:val="auto"/>
              </w:rPr>
            </w:pPr>
          </w:p>
        </w:tc>
        <w:tc>
          <w:tcPr>
            <w:tcW w:w="2100" w:type="dxa"/>
            <w:vAlign w:val="bottom"/>
            <w:tcBorders>
              <w:top w:val="single" w:sz="8" w:color="0000FF"/>
              <w:bottom w:val="single" w:sz="8" w:color="auto"/>
            </w:tcBorders>
          </w:tcPr>
          <w:p>
            <w:pPr>
              <w:spacing w:after="0"/>
              <w:rPr>
                <w:sz w:val="2"/>
                <w:szCs w:val="2"/>
                <w:color w:val="auto"/>
              </w:rPr>
            </w:pPr>
          </w:p>
        </w:tc>
        <w:tc>
          <w:tcPr>
            <w:tcW w:w="20" w:type="dxa"/>
            <w:vAlign w:val="bottom"/>
            <w:tcBorders>
              <w:top w:val="single" w:sz="8" w:color="0000FF"/>
              <w:bottom w:val="single" w:sz="8" w:color="auto"/>
            </w:tcBorders>
          </w:tcPr>
          <w:p>
            <w:pPr>
              <w:spacing w:after="0"/>
              <w:rPr>
                <w:sz w:val="2"/>
                <w:szCs w:val="2"/>
                <w:color w:val="auto"/>
              </w:rPr>
            </w:pPr>
          </w:p>
        </w:tc>
        <w:tc>
          <w:tcPr>
            <w:tcW w:w="220" w:type="dxa"/>
            <w:vAlign w:val="bottom"/>
            <w:tcBorders>
              <w:top w:val="single" w:sz="8" w:color="0000FF"/>
              <w:bottom w:val="single" w:sz="8" w:color="auto"/>
            </w:tcBorders>
          </w:tcPr>
          <w:p>
            <w:pPr>
              <w:spacing w:after="0"/>
              <w:rPr>
                <w:sz w:val="2"/>
                <w:szCs w:val="2"/>
                <w:color w:val="auto"/>
              </w:rPr>
            </w:pPr>
          </w:p>
        </w:tc>
        <w:tc>
          <w:tcPr>
            <w:tcW w:w="420" w:type="dxa"/>
            <w:vAlign w:val="bottom"/>
            <w:tcBorders>
              <w:top w:val="single" w:sz="8" w:color="0000FF"/>
              <w:bottom w:val="single" w:sz="8" w:color="auto"/>
            </w:tcBorders>
          </w:tcPr>
          <w:p>
            <w:pPr>
              <w:spacing w:after="0"/>
              <w:rPr>
                <w:sz w:val="2"/>
                <w:szCs w:val="2"/>
                <w:color w:val="auto"/>
              </w:rPr>
            </w:pPr>
          </w:p>
        </w:tc>
        <w:tc>
          <w:tcPr>
            <w:tcW w:w="1020" w:type="dxa"/>
            <w:vAlign w:val="bottom"/>
            <w:tcBorders>
              <w:top w:val="single" w:sz="8" w:color="0000FF"/>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right w:val="single" w:sz="8" w:color="auto"/>
            </w:tcBorders>
          </w:tcPr>
          <w:p>
            <w:pPr>
              <w:spacing w:after="0"/>
              <w:rPr>
                <w:sz w:val="2"/>
                <w:szCs w:val="2"/>
                <w:color w:val="auto"/>
              </w:rPr>
            </w:pPr>
          </w:p>
        </w:tc>
      </w:tr>
      <w:tr>
        <w:trPr>
          <w:trHeight w:val="183"/>
        </w:trPr>
        <w:tc>
          <w:tcPr>
            <w:tcW w:w="1160" w:type="dxa"/>
            <w:vAlign w:val="bottom"/>
            <w:tcBorders>
              <w:left w:val="single" w:sz="8" w:color="auto"/>
              <w:right w:val="single" w:sz="8" w:color="auto"/>
            </w:tcBorders>
          </w:tcPr>
          <w:p>
            <w:pPr>
              <w:ind w:left="40"/>
              <w:spacing w:after="0" w:line="183" w:lineRule="exact"/>
              <w:rPr>
                <w:sz w:val="20"/>
                <w:szCs w:val="20"/>
                <w:color w:val="auto"/>
              </w:rPr>
            </w:pPr>
            <w:r>
              <w:rPr>
                <w:rFonts w:ascii="Arial" w:cs="Arial" w:eastAsia="Arial" w:hAnsi="Arial"/>
                <w:sz w:val="16"/>
                <w:szCs w:val="16"/>
                <w:color w:val="auto"/>
              </w:rPr>
              <w:t>10.35(a)</w:t>
            </w:r>
          </w:p>
        </w:tc>
        <w:tc>
          <w:tcPr>
            <w:tcW w:w="12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9880" w:type="dxa"/>
            <w:vAlign w:val="bottom"/>
            <w:tcBorders>
              <w:bottom w:val="single" w:sz="8" w:color="0000FF"/>
            </w:tcBorders>
            <w:gridSpan w:val="29"/>
          </w:tcPr>
          <w:p>
            <w:pPr>
              <w:spacing w:after="0" w:line="183" w:lineRule="exact"/>
              <w:rPr>
                <w:rFonts w:ascii="Arial" w:cs="Arial" w:eastAsia="Arial" w:hAnsi="Arial"/>
                <w:sz w:val="16"/>
                <w:szCs w:val="16"/>
                <w:color w:val="0000FF"/>
              </w:rPr>
            </w:pPr>
            <w:hyperlink r:id="rId203">
              <w:r>
                <w:rPr>
                  <w:rFonts w:ascii="Arial" w:cs="Arial" w:eastAsia="Arial" w:hAnsi="Arial"/>
                  <w:sz w:val="16"/>
                  <w:szCs w:val="16"/>
                  <w:color w:val="0000FF"/>
                </w:rPr>
                <w:t>Supplemental Indenture No. 1, dated as of December 23, 2005, among Cendant Rental Car Funding (AESOP) LLC***, as Issuer, and The</w:t>
              </w:r>
            </w:hyperlink>
          </w:p>
        </w:tc>
        <w:tc>
          <w:tcPr>
            <w:tcW w:w="260" w:type="dxa"/>
            <w:vAlign w:val="bottom"/>
            <w:tcBorders>
              <w:right w:val="single" w:sz="8" w:color="auto"/>
            </w:tcBorders>
            <w:gridSpan w:val="9"/>
          </w:tcPr>
          <w:p>
            <w:pPr>
              <w:spacing w:after="0"/>
              <w:rPr>
                <w:sz w:val="15"/>
                <w:szCs w:val="15"/>
                <w:color w:val="auto"/>
              </w:rPr>
            </w:pPr>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140" w:type="dxa"/>
            <w:vAlign w:val="bottom"/>
            <w:tcBorders>
              <w:right w:val="single" w:sz="8" w:color="auto"/>
            </w:tcBorders>
            <w:gridSpan w:val="38"/>
          </w:tcPr>
          <w:p>
            <w:pPr>
              <w:spacing w:after="0" w:line="169" w:lineRule="exact"/>
              <w:rPr>
                <w:rFonts w:ascii="Arial" w:cs="Arial" w:eastAsia="Arial" w:hAnsi="Arial"/>
                <w:sz w:val="16"/>
                <w:szCs w:val="16"/>
                <w:color w:val="0000FF"/>
              </w:rPr>
            </w:pPr>
            <w:hyperlink r:id="rId203">
              <w:r>
                <w:rPr>
                  <w:rFonts w:ascii="Arial" w:cs="Arial" w:eastAsia="Arial" w:hAnsi="Arial"/>
                  <w:sz w:val="16"/>
                  <w:szCs w:val="16"/>
                  <w:color w:val="0000FF"/>
                </w:rPr>
                <w:t>Bank of New York, as Trustee, to the Second Amended and Restated Base Indenture, dated as of June 3, 2004 (Incorporated by reference</w:t>
              </w:r>
            </w:hyperlink>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9940" w:type="dxa"/>
            <w:vAlign w:val="bottom"/>
            <w:tcBorders>
              <w:top w:val="single" w:sz="8" w:color="0000FF"/>
            </w:tcBorders>
            <w:gridSpan w:val="31"/>
          </w:tcPr>
          <w:p>
            <w:pPr>
              <w:spacing w:after="0" w:line="169" w:lineRule="exact"/>
              <w:rPr>
                <w:rFonts w:ascii="Arial" w:cs="Arial" w:eastAsia="Arial" w:hAnsi="Arial"/>
                <w:sz w:val="16"/>
                <w:szCs w:val="16"/>
                <w:color w:val="0000FF"/>
              </w:rPr>
            </w:pPr>
            <w:hyperlink r:id="rId203">
              <w:r>
                <w:rPr>
                  <w:rFonts w:ascii="Arial" w:cs="Arial" w:eastAsia="Arial" w:hAnsi="Arial"/>
                  <w:sz w:val="16"/>
                  <w:szCs w:val="16"/>
                  <w:color w:val="0000FF"/>
                </w:rPr>
                <w:t>to Exhibit 10.1 to the Company’s Current Report on Form 8-K dated January 20, 2006).</w:t>
              </w:r>
            </w:hyperlink>
          </w:p>
        </w:tc>
        <w:tc>
          <w:tcPr>
            <w:tcW w:w="200" w:type="dxa"/>
            <w:vAlign w:val="bottom"/>
            <w:tcBorders>
              <w:right w:val="single" w:sz="8" w:color="auto"/>
            </w:tcBorders>
            <w:gridSpan w:val="7"/>
          </w:tcPr>
          <w:p>
            <w:pPr>
              <w:spacing w:after="0"/>
              <w:rPr>
                <w:sz w:val="14"/>
                <w:szCs w:val="14"/>
                <w:color w:val="auto"/>
              </w:rPr>
            </w:pPr>
          </w:p>
        </w:tc>
      </w:tr>
      <w:tr>
        <w:trPr>
          <w:trHeight w:val="34"/>
        </w:trPr>
        <w:tc>
          <w:tcPr>
            <w:tcW w:w="1160" w:type="dxa"/>
            <w:vAlign w:val="bottom"/>
            <w:tcBorders>
              <w:left w:val="single" w:sz="8" w:color="auto"/>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40" w:type="dxa"/>
            <w:vAlign w:val="bottom"/>
            <w:tcBorders>
              <w:top w:val="single" w:sz="8" w:color="0000FF"/>
              <w:bottom w:val="single" w:sz="8" w:color="auto"/>
            </w:tcBorders>
          </w:tcPr>
          <w:p>
            <w:pPr>
              <w:spacing w:after="0"/>
              <w:rPr>
                <w:sz w:val="2"/>
                <w:szCs w:val="2"/>
                <w:color w:val="auto"/>
              </w:rPr>
            </w:pPr>
          </w:p>
        </w:tc>
        <w:tc>
          <w:tcPr>
            <w:tcW w:w="2100" w:type="dxa"/>
            <w:vAlign w:val="bottom"/>
            <w:tcBorders>
              <w:top w:val="single" w:sz="8" w:color="0000FF"/>
              <w:bottom w:val="single" w:sz="8" w:color="auto"/>
            </w:tcBorders>
          </w:tcPr>
          <w:p>
            <w:pPr>
              <w:spacing w:after="0"/>
              <w:rPr>
                <w:sz w:val="2"/>
                <w:szCs w:val="2"/>
                <w:color w:val="auto"/>
              </w:rPr>
            </w:pPr>
          </w:p>
        </w:tc>
        <w:tc>
          <w:tcPr>
            <w:tcW w:w="20" w:type="dxa"/>
            <w:vAlign w:val="bottom"/>
            <w:tcBorders>
              <w:top w:val="single" w:sz="8" w:color="0000FF"/>
              <w:bottom w:val="single" w:sz="8" w:color="auto"/>
            </w:tcBorders>
          </w:tcPr>
          <w:p>
            <w:pPr>
              <w:spacing w:after="0"/>
              <w:rPr>
                <w:sz w:val="2"/>
                <w:szCs w:val="2"/>
                <w:color w:val="auto"/>
              </w:rPr>
            </w:pPr>
          </w:p>
        </w:tc>
        <w:tc>
          <w:tcPr>
            <w:tcW w:w="220" w:type="dxa"/>
            <w:vAlign w:val="bottom"/>
            <w:tcBorders>
              <w:top w:val="single" w:sz="8" w:color="0000FF"/>
              <w:bottom w:val="single" w:sz="8" w:color="auto"/>
            </w:tcBorders>
          </w:tcPr>
          <w:p>
            <w:pPr>
              <w:spacing w:after="0"/>
              <w:rPr>
                <w:sz w:val="2"/>
                <w:szCs w:val="2"/>
                <w:color w:val="auto"/>
              </w:rPr>
            </w:pPr>
          </w:p>
        </w:tc>
        <w:tc>
          <w:tcPr>
            <w:tcW w:w="420" w:type="dxa"/>
            <w:vAlign w:val="bottom"/>
            <w:tcBorders>
              <w:top w:val="single" w:sz="8" w:color="0000FF"/>
              <w:bottom w:val="single" w:sz="8" w:color="auto"/>
            </w:tcBorders>
          </w:tcPr>
          <w:p>
            <w:pPr>
              <w:spacing w:after="0"/>
              <w:rPr>
                <w:sz w:val="2"/>
                <w:szCs w:val="2"/>
                <w:color w:val="auto"/>
              </w:rPr>
            </w:pPr>
          </w:p>
        </w:tc>
        <w:tc>
          <w:tcPr>
            <w:tcW w:w="1020" w:type="dxa"/>
            <w:vAlign w:val="bottom"/>
            <w:tcBorders>
              <w:top w:val="single" w:sz="8" w:color="0000FF"/>
              <w:bottom w:val="single" w:sz="8" w:color="auto"/>
            </w:tcBorders>
          </w:tcPr>
          <w:p>
            <w:pPr>
              <w:spacing w:after="0"/>
              <w:rPr>
                <w:sz w:val="2"/>
                <w:szCs w:val="2"/>
                <w:color w:val="auto"/>
              </w:rPr>
            </w:pPr>
          </w:p>
        </w:tc>
        <w:tc>
          <w:tcPr>
            <w:tcW w:w="240" w:type="dxa"/>
            <w:vAlign w:val="bottom"/>
            <w:tcBorders>
              <w:top w:val="single" w:sz="8" w:color="0000FF"/>
              <w:bottom w:val="single" w:sz="8" w:color="auto"/>
            </w:tcBorders>
          </w:tcPr>
          <w:p>
            <w:pPr>
              <w:spacing w:after="0"/>
              <w:rPr>
                <w:sz w:val="2"/>
                <w:szCs w:val="2"/>
                <w:color w:val="auto"/>
              </w:rPr>
            </w:pPr>
          </w:p>
        </w:tc>
        <w:tc>
          <w:tcPr>
            <w:tcW w:w="180" w:type="dxa"/>
            <w:vAlign w:val="bottom"/>
            <w:tcBorders>
              <w:top w:val="single" w:sz="8" w:color="0000FF"/>
              <w:bottom w:val="single" w:sz="8" w:color="auto"/>
            </w:tcBorders>
          </w:tcPr>
          <w:p>
            <w:pPr>
              <w:spacing w:after="0"/>
              <w:rPr>
                <w:sz w:val="2"/>
                <w:szCs w:val="2"/>
                <w:color w:val="auto"/>
              </w:rPr>
            </w:pPr>
          </w:p>
        </w:tc>
        <w:tc>
          <w:tcPr>
            <w:tcW w:w="960" w:type="dxa"/>
            <w:vAlign w:val="bottom"/>
            <w:tcBorders>
              <w:top w:val="single" w:sz="8" w:color="0000FF"/>
              <w:bottom w:val="single" w:sz="8" w:color="auto"/>
            </w:tcBorders>
          </w:tcPr>
          <w:p>
            <w:pPr>
              <w:spacing w:after="0"/>
              <w:rPr>
                <w:sz w:val="2"/>
                <w:szCs w:val="2"/>
                <w:color w:val="auto"/>
              </w:rPr>
            </w:pPr>
          </w:p>
        </w:tc>
        <w:tc>
          <w:tcPr>
            <w:tcW w:w="100" w:type="dxa"/>
            <w:vAlign w:val="bottom"/>
            <w:tcBorders>
              <w:top w:val="single" w:sz="8" w:color="0000FF"/>
              <w:bottom w:val="single" w:sz="8" w:color="auto"/>
            </w:tcBorders>
          </w:tcPr>
          <w:p>
            <w:pPr>
              <w:spacing w:after="0"/>
              <w:rPr>
                <w:sz w:val="2"/>
                <w:szCs w:val="2"/>
                <w:color w:val="auto"/>
              </w:rPr>
            </w:pPr>
          </w:p>
        </w:tc>
        <w:tc>
          <w:tcPr>
            <w:tcW w:w="340" w:type="dxa"/>
            <w:vAlign w:val="bottom"/>
            <w:tcBorders>
              <w:top w:val="single" w:sz="8" w:color="0000FF"/>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right w:val="single" w:sz="8" w:color="auto"/>
            </w:tcBorders>
          </w:tcPr>
          <w:p>
            <w:pPr>
              <w:spacing w:after="0"/>
              <w:rPr>
                <w:sz w:val="2"/>
                <w:szCs w:val="2"/>
                <w:color w:val="auto"/>
              </w:rPr>
            </w:pPr>
          </w:p>
        </w:tc>
      </w:tr>
      <w:tr>
        <w:trPr>
          <w:trHeight w:val="453"/>
        </w:trPr>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740" w:type="dxa"/>
            <w:vAlign w:val="bottom"/>
            <w:gridSpan w:val="33"/>
          </w:tcPr>
          <w:p>
            <w:pPr>
              <w:ind w:left="860"/>
              <w:spacing w:after="0"/>
              <w:rPr>
                <w:sz w:val="20"/>
                <w:szCs w:val="20"/>
                <w:color w:val="auto"/>
              </w:rPr>
            </w:pPr>
            <w:r>
              <w:rPr>
                <w:rFonts w:ascii="Arial" w:cs="Arial" w:eastAsia="Arial" w:hAnsi="Arial"/>
                <w:sz w:val="18"/>
                <w:szCs w:val="18"/>
                <w:color w:val="auto"/>
              </w:rPr>
              <w:t>H-3</w:t>
            </w:r>
          </w:p>
        </w:tc>
      </w:tr>
    </w:tbl>
    <w:p>
      <w:pPr>
        <w:sectPr>
          <w:pgSz w:w="11900" w:h="16838" w:orient="portrait"/>
          <w:cols w:equalWidth="0" w:num="1">
            <w:col w:w="11440"/>
          </w:cols>
          <w:pgMar w:left="240" w:top="140" w:right="219" w:bottom="1440" w:gutter="0" w:footer="0" w:header="0"/>
        </w:sectPr>
      </w:pPr>
    </w:p>
    <w:bookmarkStart w:id="129" w:name="page130"/>
    <w:bookmarkEnd w:id="1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7" w:lineRule="exact"/>
        <w:rPr>
          <w:sz w:val="20"/>
          <w:szCs w:val="20"/>
          <w:color w:val="auto"/>
        </w:rPr>
      </w:pPr>
    </w:p>
    <w:tbl>
      <w:tblPr>
        <w:tblLayout w:type="fixed"/>
        <w:tblInd w:w="10" w:type="dxa"/>
        <w:tblCellMar>
          <w:top w:w="0" w:type="dxa"/>
          <w:left w:w="0" w:type="dxa"/>
          <w:bottom w:w="0" w:type="dxa"/>
          <w:right w:w="0" w:type="dxa"/>
        </w:tblCellMar>
      </w:tblPr>
      <w:tr>
        <w:trPr>
          <w:trHeight w:val="203"/>
        </w:trPr>
        <w:tc>
          <w:tcPr>
            <w:tcW w:w="116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10.35(b)</w:t>
            </w:r>
          </w:p>
        </w:tc>
        <w:tc>
          <w:tcPr>
            <w:tcW w:w="120" w:type="dxa"/>
            <w:vAlign w:val="bottom"/>
            <w:tcBorders>
              <w:top w:val="single" w:sz="8" w:color="auto"/>
              <w:right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0020" w:type="dxa"/>
            <w:vAlign w:val="bottom"/>
            <w:tcBorders>
              <w:top w:val="single" w:sz="8" w:color="auto"/>
              <w:bottom w:val="single" w:sz="8" w:color="0000FF"/>
            </w:tcBorders>
            <w:gridSpan w:val="33"/>
          </w:tcPr>
          <w:p>
            <w:pPr>
              <w:spacing w:after="0"/>
              <w:rPr>
                <w:rFonts w:ascii="Arial" w:cs="Arial" w:eastAsia="Arial" w:hAnsi="Arial"/>
                <w:sz w:val="16"/>
                <w:szCs w:val="16"/>
                <w:color w:val="0000FF"/>
              </w:rPr>
            </w:pPr>
            <w:hyperlink r:id="rId204">
              <w:r>
                <w:rPr>
                  <w:rFonts w:ascii="Arial" w:cs="Arial" w:eastAsia="Arial" w:hAnsi="Arial"/>
                  <w:sz w:val="16"/>
                  <w:szCs w:val="16"/>
                  <w:color w:val="0000FF"/>
                </w:rPr>
                <w:t>Supplemental Indenture No. 2, dated as of May 9, 2007, among Avis Budget Rental Car Funding (AESOP) LLC, as Issuer, and The Bank of</w:t>
              </w:r>
            </w:hyperlink>
          </w:p>
        </w:tc>
        <w:tc>
          <w:tcPr>
            <w:tcW w:w="120" w:type="dxa"/>
            <w:vAlign w:val="bottom"/>
            <w:tcBorders>
              <w:top w:val="single" w:sz="8" w:color="auto"/>
              <w:right w:val="single" w:sz="8" w:color="auto"/>
            </w:tcBorders>
            <w:gridSpan w:val="4"/>
          </w:tcPr>
          <w:p>
            <w:pPr>
              <w:spacing w:after="0"/>
              <w:rPr>
                <w:sz w:val="17"/>
                <w:szCs w:val="17"/>
                <w:color w:val="auto"/>
              </w:rPr>
            </w:pPr>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40" w:type="dxa"/>
            <w:vAlign w:val="bottom"/>
            <w:tcBorders>
              <w:bottom w:val="single" w:sz="8" w:color="0000FF"/>
            </w:tcBorders>
            <w:gridSpan w:val="34"/>
          </w:tcPr>
          <w:p>
            <w:pPr>
              <w:spacing w:after="0" w:line="169" w:lineRule="exact"/>
              <w:rPr>
                <w:rFonts w:ascii="Arial" w:cs="Arial" w:eastAsia="Arial" w:hAnsi="Arial"/>
                <w:sz w:val="16"/>
                <w:szCs w:val="16"/>
                <w:color w:val="0000FF"/>
              </w:rPr>
            </w:pPr>
            <w:hyperlink r:id="rId204">
              <w:r>
                <w:rPr>
                  <w:rFonts w:ascii="Arial" w:cs="Arial" w:eastAsia="Arial" w:hAnsi="Arial"/>
                  <w:sz w:val="16"/>
                  <w:szCs w:val="16"/>
                  <w:color w:val="0000FF"/>
                </w:rPr>
                <w:t>New York Trust Company, N.A. (as successor in interest to The Bank of New York), as Trustee, to the Second Amended and Restated Base</w:t>
              </w:r>
            </w:hyperlink>
          </w:p>
        </w:tc>
        <w:tc>
          <w:tcPr>
            <w:tcW w:w="100" w:type="dxa"/>
            <w:vAlign w:val="bottom"/>
            <w:tcBorders>
              <w:right w:val="single" w:sz="8" w:color="auto"/>
            </w:tcBorders>
            <w:gridSpan w:val="3"/>
          </w:tcPr>
          <w:p>
            <w:pPr>
              <w:spacing w:after="0"/>
              <w:rPr>
                <w:sz w:val="14"/>
                <w:szCs w:val="14"/>
                <w:color w:val="auto"/>
              </w:rPr>
            </w:pPr>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9720" w:type="dxa"/>
            <w:vAlign w:val="bottom"/>
            <w:tcBorders>
              <w:bottom w:val="single" w:sz="8" w:color="0000FF"/>
            </w:tcBorders>
            <w:gridSpan w:val="23"/>
          </w:tcPr>
          <w:p>
            <w:pPr>
              <w:spacing w:after="0" w:line="169" w:lineRule="exact"/>
              <w:rPr>
                <w:rFonts w:ascii="Arial" w:cs="Arial" w:eastAsia="Arial" w:hAnsi="Arial"/>
                <w:sz w:val="16"/>
                <w:szCs w:val="16"/>
                <w:color w:val="0000FF"/>
              </w:rPr>
            </w:pPr>
            <w:hyperlink r:id="rId204">
              <w:r>
                <w:rPr>
                  <w:rFonts w:ascii="Arial" w:cs="Arial" w:eastAsia="Arial" w:hAnsi="Arial"/>
                  <w:sz w:val="16"/>
                  <w:szCs w:val="16"/>
                  <w:color w:val="0000FF"/>
                </w:rPr>
                <w:t>Indenture, dated as of June 3, 2004 (Incorporated by reference to Exhibit 10.6 to the Company’s Quarterly Report on Form 10-Q for the</w:t>
              </w:r>
            </w:hyperlink>
          </w:p>
        </w:tc>
        <w:tc>
          <w:tcPr>
            <w:tcW w:w="420" w:type="dxa"/>
            <w:vAlign w:val="bottom"/>
            <w:tcBorders>
              <w:right w:val="single" w:sz="8" w:color="auto"/>
            </w:tcBorders>
            <w:gridSpan w:val="14"/>
          </w:tcPr>
          <w:p>
            <w:pPr>
              <w:spacing w:after="0"/>
              <w:rPr>
                <w:sz w:val="14"/>
                <w:szCs w:val="14"/>
                <w:color w:val="auto"/>
              </w:rPr>
            </w:pPr>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140" w:type="dxa"/>
            <w:vAlign w:val="bottom"/>
            <w:tcBorders>
              <w:right w:val="single" w:sz="8" w:color="auto"/>
            </w:tcBorders>
            <w:gridSpan w:val="37"/>
          </w:tcPr>
          <w:p>
            <w:pPr>
              <w:spacing w:after="0" w:line="169" w:lineRule="exact"/>
              <w:rPr>
                <w:rFonts w:ascii="Arial" w:cs="Arial" w:eastAsia="Arial" w:hAnsi="Arial"/>
                <w:sz w:val="16"/>
                <w:szCs w:val="16"/>
                <w:color w:val="0000FF"/>
              </w:rPr>
            </w:pPr>
            <w:hyperlink r:id="rId204">
              <w:r>
                <w:rPr>
                  <w:rFonts w:ascii="Arial" w:cs="Arial" w:eastAsia="Arial" w:hAnsi="Arial"/>
                  <w:sz w:val="16"/>
                  <w:szCs w:val="16"/>
                  <w:color w:val="0000FF"/>
                </w:rPr>
                <w:t>quarterly period ended June 30, 2007, dated August 8, 2007).</w:t>
              </w:r>
            </w:hyperlink>
          </w:p>
        </w:tc>
      </w:tr>
      <w:tr>
        <w:trPr>
          <w:trHeight w:val="34"/>
        </w:trPr>
        <w:tc>
          <w:tcPr>
            <w:tcW w:w="1160" w:type="dxa"/>
            <w:vAlign w:val="bottom"/>
            <w:tcBorders>
              <w:left w:val="single" w:sz="8" w:color="auto"/>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20" w:type="dxa"/>
            <w:vAlign w:val="bottom"/>
            <w:tcBorders>
              <w:top w:val="single" w:sz="8" w:color="0000FF"/>
              <w:bottom w:val="single" w:sz="8" w:color="auto"/>
            </w:tcBorders>
          </w:tcPr>
          <w:p>
            <w:pPr>
              <w:spacing w:after="0"/>
              <w:rPr>
                <w:sz w:val="2"/>
                <w:szCs w:val="2"/>
                <w:color w:val="auto"/>
              </w:rPr>
            </w:pPr>
          </w:p>
        </w:tc>
        <w:tc>
          <w:tcPr>
            <w:tcW w:w="220" w:type="dxa"/>
            <w:vAlign w:val="bottom"/>
            <w:tcBorders>
              <w:top w:val="single" w:sz="8" w:color="0000FF"/>
              <w:bottom w:val="single" w:sz="8" w:color="auto"/>
            </w:tcBorders>
          </w:tcPr>
          <w:p>
            <w:pPr>
              <w:spacing w:after="0"/>
              <w:rPr>
                <w:sz w:val="2"/>
                <w:szCs w:val="2"/>
                <w:color w:val="auto"/>
              </w:rPr>
            </w:pPr>
          </w:p>
        </w:tc>
        <w:tc>
          <w:tcPr>
            <w:tcW w:w="1760" w:type="dxa"/>
            <w:vAlign w:val="bottom"/>
            <w:tcBorders>
              <w:top w:val="single" w:sz="8" w:color="0000FF"/>
              <w:bottom w:val="single" w:sz="8" w:color="auto"/>
            </w:tcBorders>
          </w:tcPr>
          <w:p>
            <w:pPr>
              <w:spacing w:after="0"/>
              <w:rPr>
                <w:sz w:val="2"/>
                <w:szCs w:val="2"/>
                <w:color w:val="auto"/>
              </w:rPr>
            </w:pPr>
          </w:p>
        </w:tc>
        <w:tc>
          <w:tcPr>
            <w:tcW w:w="460" w:type="dxa"/>
            <w:vAlign w:val="bottom"/>
            <w:tcBorders>
              <w:top w:val="single" w:sz="8" w:color="0000FF"/>
              <w:bottom w:val="single" w:sz="8" w:color="auto"/>
            </w:tcBorders>
          </w:tcPr>
          <w:p>
            <w:pPr>
              <w:spacing w:after="0"/>
              <w:rPr>
                <w:sz w:val="2"/>
                <w:szCs w:val="2"/>
                <w:color w:val="auto"/>
              </w:rPr>
            </w:pPr>
          </w:p>
        </w:tc>
        <w:tc>
          <w:tcPr>
            <w:tcW w:w="100" w:type="dxa"/>
            <w:vAlign w:val="bottom"/>
            <w:tcBorders>
              <w:top w:val="single" w:sz="8" w:color="0000FF"/>
              <w:bottom w:val="single" w:sz="8" w:color="auto"/>
            </w:tcBorders>
          </w:tcPr>
          <w:p>
            <w:pPr>
              <w:spacing w:after="0"/>
              <w:rPr>
                <w:sz w:val="2"/>
                <w:szCs w:val="2"/>
                <w:color w:val="auto"/>
              </w:rPr>
            </w:pPr>
          </w:p>
        </w:tc>
        <w:tc>
          <w:tcPr>
            <w:tcW w:w="460" w:type="dxa"/>
            <w:vAlign w:val="bottom"/>
            <w:tcBorders>
              <w:top w:val="single" w:sz="8" w:color="0000FF"/>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right w:val="single" w:sz="8" w:color="auto"/>
            </w:tcBorders>
          </w:tcPr>
          <w:p>
            <w:pPr>
              <w:spacing w:after="0"/>
              <w:rPr>
                <w:sz w:val="2"/>
                <w:szCs w:val="2"/>
                <w:color w:val="auto"/>
              </w:rPr>
            </w:pPr>
          </w:p>
        </w:tc>
      </w:tr>
      <w:tr>
        <w:trPr>
          <w:trHeight w:val="183"/>
        </w:trPr>
        <w:tc>
          <w:tcPr>
            <w:tcW w:w="1160" w:type="dxa"/>
            <w:vAlign w:val="bottom"/>
            <w:tcBorders>
              <w:left w:val="single" w:sz="8" w:color="auto"/>
              <w:right w:val="single" w:sz="8" w:color="auto"/>
            </w:tcBorders>
          </w:tcPr>
          <w:p>
            <w:pPr>
              <w:ind w:left="40"/>
              <w:spacing w:after="0" w:line="183" w:lineRule="exact"/>
              <w:rPr>
                <w:sz w:val="20"/>
                <w:szCs w:val="20"/>
                <w:color w:val="auto"/>
              </w:rPr>
            </w:pPr>
            <w:r>
              <w:rPr>
                <w:rFonts w:ascii="Arial" w:cs="Arial" w:eastAsia="Arial" w:hAnsi="Arial"/>
                <w:sz w:val="16"/>
                <w:szCs w:val="16"/>
                <w:color w:val="auto"/>
              </w:rPr>
              <w:t>10.35(c)</w:t>
            </w:r>
          </w:p>
        </w:tc>
        <w:tc>
          <w:tcPr>
            <w:tcW w:w="12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9720" w:type="dxa"/>
            <w:vAlign w:val="bottom"/>
            <w:tcBorders>
              <w:bottom w:val="single" w:sz="8" w:color="0000FF"/>
            </w:tcBorders>
            <w:gridSpan w:val="23"/>
          </w:tcPr>
          <w:p>
            <w:pPr>
              <w:spacing w:after="0" w:line="183" w:lineRule="exact"/>
              <w:rPr>
                <w:rFonts w:ascii="Arial" w:cs="Arial" w:eastAsia="Arial" w:hAnsi="Arial"/>
                <w:sz w:val="16"/>
                <w:szCs w:val="16"/>
                <w:color w:val="0000FF"/>
              </w:rPr>
            </w:pPr>
            <w:hyperlink r:id="rId205">
              <w:r>
                <w:rPr>
                  <w:rFonts w:ascii="Arial" w:cs="Arial" w:eastAsia="Arial" w:hAnsi="Arial"/>
                  <w:sz w:val="16"/>
                  <w:szCs w:val="16"/>
                  <w:color w:val="0000FF"/>
                </w:rPr>
                <w:t>Supplemental Indenture No. 3, dated as of August 16, 2013, among Avis Budget Rental Car Funding (AESOP) LLC, as Issuer, and The</w:t>
              </w:r>
            </w:hyperlink>
          </w:p>
        </w:tc>
        <w:tc>
          <w:tcPr>
            <w:tcW w:w="420" w:type="dxa"/>
            <w:vAlign w:val="bottom"/>
            <w:tcBorders>
              <w:right w:val="single" w:sz="8" w:color="auto"/>
            </w:tcBorders>
            <w:gridSpan w:val="14"/>
          </w:tcPr>
          <w:p>
            <w:pPr>
              <w:spacing w:after="0"/>
              <w:rPr>
                <w:sz w:val="15"/>
                <w:szCs w:val="15"/>
                <w:color w:val="auto"/>
              </w:rPr>
            </w:pPr>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9500" w:type="dxa"/>
            <w:vAlign w:val="bottom"/>
            <w:tcBorders>
              <w:bottom w:val="single" w:sz="8" w:color="0000FF"/>
            </w:tcBorders>
            <w:gridSpan w:val="19"/>
          </w:tcPr>
          <w:p>
            <w:pPr>
              <w:spacing w:after="0" w:line="169" w:lineRule="exact"/>
              <w:rPr>
                <w:rFonts w:ascii="Arial" w:cs="Arial" w:eastAsia="Arial" w:hAnsi="Arial"/>
                <w:sz w:val="16"/>
                <w:szCs w:val="16"/>
                <w:color w:val="0000FF"/>
              </w:rPr>
            </w:pPr>
            <w:hyperlink r:id="rId205">
              <w:r>
                <w:rPr>
                  <w:rFonts w:ascii="Arial" w:cs="Arial" w:eastAsia="Arial" w:hAnsi="Arial"/>
                  <w:sz w:val="16"/>
                  <w:szCs w:val="16"/>
                  <w:color w:val="0000FF"/>
                </w:rPr>
                <w:t>Bank of New York Trust Company, N.A. (as successor in interest to The Bank of New York), as Trustee, to the Second Amended and</w:t>
              </w:r>
            </w:hyperlink>
          </w:p>
        </w:tc>
        <w:tc>
          <w:tcPr>
            <w:tcW w:w="640" w:type="dxa"/>
            <w:vAlign w:val="bottom"/>
            <w:tcBorders>
              <w:right w:val="single" w:sz="8" w:color="auto"/>
            </w:tcBorders>
            <w:gridSpan w:val="18"/>
          </w:tcPr>
          <w:p>
            <w:pPr>
              <w:spacing w:after="0"/>
              <w:rPr>
                <w:sz w:val="14"/>
                <w:szCs w:val="14"/>
                <w:color w:val="auto"/>
              </w:rPr>
            </w:pPr>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40" w:type="dxa"/>
            <w:vAlign w:val="bottom"/>
            <w:tcBorders>
              <w:bottom w:val="single" w:sz="8" w:color="0000FF"/>
            </w:tcBorders>
            <w:gridSpan w:val="34"/>
          </w:tcPr>
          <w:p>
            <w:pPr>
              <w:spacing w:after="0" w:line="169" w:lineRule="exact"/>
              <w:rPr>
                <w:rFonts w:ascii="Arial" w:cs="Arial" w:eastAsia="Arial" w:hAnsi="Arial"/>
                <w:sz w:val="16"/>
                <w:szCs w:val="16"/>
                <w:color w:val="0000FF"/>
              </w:rPr>
            </w:pPr>
            <w:hyperlink r:id="rId205">
              <w:r>
                <w:rPr>
                  <w:rFonts w:ascii="Arial" w:cs="Arial" w:eastAsia="Arial" w:hAnsi="Arial"/>
                  <w:sz w:val="16"/>
                  <w:szCs w:val="16"/>
                  <w:color w:val="0000FF"/>
                </w:rPr>
                <w:t>Restated Base Indenture, dated as of June 3, 2004 (Incorporated by reference to Exhibit 10.35(c) to the Company’s Annual Report on Form</w:t>
              </w:r>
            </w:hyperlink>
          </w:p>
        </w:tc>
        <w:tc>
          <w:tcPr>
            <w:tcW w:w="100" w:type="dxa"/>
            <w:vAlign w:val="bottom"/>
            <w:tcBorders>
              <w:right w:val="single" w:sz="8" w:color="auto"/>
            </w:tcBorders>
            <w:gridSpan w:val="3"/>
          </w:tcPr>
          <w:p>
            <w:pPr>
              <w:spacing w:after="0"/>
              <w:rPr>
                <w:sz w:val="14"/>
                <w:szCs w:val="14"/>
                <w:color w:val="auto"/>
              </w:rPr>
            </w:pPr>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140" w:type="dxa"/>
            <w:vAlign w:val="bottom"/>
            <w:tcBorders>
              <w:right w:val="single" w:sz="8" w:color="auto"/>
            </w:tcBorders>
            <w:gridSpan w:val="37"/>
          </w:tcPr>
          <w:p>
            <w:pPr>
              <w:spacing w:after="0" w:line="169" w:lineRule="exact"/>
              <w:rPr>
                <w:rFonts w:ascii="Arial" w:cs="Arial" w:eastAsia="Arial" w:hAnsi="Arial"/>
                <w:sz w:val="16"/>
                <w:szCs w:val="16"/>
                <w:color w:val="0000FF"/>
              </w:rPr>
            </w:pPr>
            <w:hyperlink r:id="rId205">
              <w:r>
                <w:rPr>
                  <w:rFonts w:ascii="Arial" w:cs="Arial" w:eastAsia="Arial" w:hAnsi="Arial"/>
                  <w:sz w:val="16"/>
                  <w:szCs w:val="16"/>
                  <w:color w:val="0000FF"/>
                </w:rPr>
                <w:t>10-K for the year ended December 31, 2013, dated February 20, 2014).</w:t>
              </w:r>
            </w:hyperlink>
          </w:p>
        </w:tc>
      </w:tr>
      <w:tr>
        <w:trPr>
          <w:trHeight w:val="34"/>
        </w:trPr>
        <w:tc>
          <w:tcPr>
            <w:tcW w:w="1160" w:type="dxa"/>
            <w:vAlign w:val="bottom"/>
            <w:tcBorders>
              <w:left w:val="single" w:sz="8" w:color="auto"/>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20" w:type="dxa"/>
            <w:vAlign w:val="bottom"/>
            <w:tcBorders>
              <w:top w:val="single" w:sz="8" w:color="0000FF"/>
              <w:bottom w:val="single" w:sz="8" w:color="auto"/>
            </w:tcBorders>
          </w:tcPr>
          <w:p>
            <w:pPr>
              <w:spacing w:after="0"/>
              <w:rPr>
                <w:sz w:val="2"/>
                <w:szCs w:val="2"/>
                <w:color w:val="auto"/>
              </w:rPr>
            </w:pPr>
          </w:p>
        </w:tc>
        <w:tc>
          <w:tcPr>
            <w:tcW w:w="220" w:type="dxa"/>
            <w:vAlign w:val="bottom"/>
            <w:tcBorders>
              <w:top w:val="single" w:sz="8" w:color="0000FF"/>
              <w:bottom w:val="single" w:sz="8" w:color="auto"/>
            </w:tcBorders>
          </w:tcPr>
          <w:p>
            <w:pPr>
              <w:spacing w:after="0"/>
              <w:rPr>
                <w:sz w:val="2"/>
                <w:szCs w:val="2"/>
                <w:color w:val="auto"/>
              </w:rPr>
            </w:pPr>
          </w:p>
        </w:tc>
        <w:tc>
          <w:tcPr>
            <w:tcW w:w="1760" w:type="dxa"/>
            <w:vAlign w:val="bottom"/>
            <w:tcBorders>
              <w:top w:val="single" w:sz="8" w:color="0000FF"/>
              <w:bottom w:val="single" w:sz="8" w:color="auto"/>
            </w:tcBorders>
          </w:tcPr>
          <w:p>
            <w:pPr>
              <w:spacing w:after="0"/>
              <w:rPr>
                <w:sz w:val="2"/>
                <w:szCs w:val="2"/>
                <w:color w:val="auto"/>
              </w:rPr>
            </w:pPr>
          </w:p>
        </w:tc>
        <w:tc>
          <w:tcPr>
            <w:tcW w:w="460" w:type="dxa"/>
            <w:vAlign w:val="bottom"/>
            <w:tcBorders>
              <w:top w:val="single" w:sz="8" w:color="0000FF"/>
              <w:bottom w:val="single" w:sz="8" w:color="auto"/>
            </w:tcBorders>
          </w:tcPr>
          <w:p>
            <w:pPr>
              <w:spacing w:after="0"/>
              <w:rPr>
                <w:sz w:val="2"/>
                <w:szCs w:val="2"/>
                <w:color w:val="auto"/>
              </w:rPr>
            </w:pPr>
          </w:p>
        </w:tc>
        <w:tc>
          <w:tcPr>
            <w:tcW w:w="100" w:type="dxa"/>
            <w:vAlign w:val="bottom"/>
            <w:tcBorders>
              <w:top w:val="single" w:sz="8" w:color="0000FF"/>
              <w:bottom w:val="single" w:sz="8" w:color="auto"/>
            </w:tcBorders>
          </w:tcPr>
          <w:p>
            <w:pPr>
              <w:spacing w:after="0"/>
              <w:rPr>
                <w:sz w:val="2"/>
                <w:szCs w:val="2"/>
                <w:color w:val="auto"/>
              </w:rPr>
            </w:pPr>
          </w:p>
        </w:tc>
        <w:tc>
          <w:tcPr>
            <w:tcW w:w="460" w:type="dxa"/>
            <w:vAlign w:val="bottom"/>
            <w:tcBorders>
              <w:top w:val="single" w:sz="8" w:color="0000FF"/>
              <w:bottom w:val="single" w:sz="8" w:color="auto"/>
            </w:tcBorders>
          </w:tcPr>
          <w:p>
            <w:pPr>
              <w:spacing w:after="0"/>
              <w:rPr>
                <w:sz w:val="2"/>
                <w:szCs w:val="2"/>
                <w:color w:val="auto"/>
              </w:rPr>
            </w:pPr>
          </w:p>
        </w:tc>
        <w:tc>
          <w:tcPr>
            <w:tcW w:w="720" w:type="dxa"/>
            <w:vAlign w:val="bottom"/>
            <w:tcBorders>
              <w:top w:val="single" w:sz="8" w:color="0000FF"/>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right w:val="single" w:sz="8" w:color="auto"/>
            </w:tcBorders>
          </w:tcPr>
          <w:p>
            <w:pPr>
              <w:spacing w:after="0"/>
              <w:rPr>
                <w:sz w:val="2"/>
                <w:szCs w:val="2"/>
                <w:color w:val="auto"/>
              </w:rPr>
            </w:pPr>
          </w:p>
        </w:tc>
      </w:tr>
      <w:tr>
        <w:trPr>
          <w:trHeight w:val="183"/>
        </w:trPr>
        <w:tc>
          <w:tcPr>
            <w:tcW w:w="1160" w:type="dxa"/>
            <w:vAlign w:val="bottom"/>
            <w:tcBorders>
              <w:left w:val="single" w:sz="8" w:color="auto"/>
              <w:right w:val="single" w:sz="8" w:color="auto"/>
            </w:tcBorders>
          </w:tcPr>
          <w:p>
            <w:pPr>
              <w:ind w:left="40"/>
              <w:spacing w:after="0" w:line="183" w:lineRule="exact"/>
              <w:rPr>
                <w:sz w:val="20"/>
                <w:szCs w:val="20"/>
                <w:color w:val="auto"/>
              </w:rPr>
            </w:pPr>
            <w:r>
              <w:rPr>
                <w:rFonts w:ascii="Arial" w:cs="Arial" w:eastAsia="Arial" w:hAnsi="Arial"/>
                <w:sz w:val="16"/>
                <w:szCs w:val="16"/>
                <w:color w:val="auto"/>
              </w:rPr>
              <w:t>10.36</w:t>
            </w:r>
          </w:p>
        </w:tc>
        <w:tc>
          <w:tcPr>
            <w:tcW w:w="12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9480" w:type="dxa"/>
            <w:vAlign w:val="bottom"/>
            <w:tcBorders>
              <w:bottom w:val="single" w:sz="8" w:color="0000FF"/>
            </w:tcBorders>
            <w:gridSpan w:val="18"/>
          </w:tcPr>
          <w:p>
            <w:pPr>
              <w:spacing w:after="0" w:line="183" w:lineRule="exact"/>
              <w:rPr>
                <w:rFonts w:ascii="Arial" w:cs="Arial" w:eastAsia="Arial" w:hAnsi="Arial"/>
                <w:sz w:val="16"/>
                <w:szCs w:val="16"/>
                <w:color w:val="0000FF"/>
              </w:rPr>
            </w:pPr>
            <w:hyperlink r:id="rId206">
              <w:r>
                <w:rPr>
                  <w:rFonts w:ascii="Arial" w:cs="Arial" w:eastAsia="Arial" w:hAnsi="Arial"/>
                  <w:sz w:val="16"/>
                  <w:szCs w:val="16"/>
                  <w:color w:val="0000FF"/>
                </w:rPr>
                <w:t>Second Amended and Restated Loan Agreement, dated as of June 3, 2004, among AESOP Leasing L.P., as Borrower, Quartx Fleet</w:t>
              </w:r>
            </w:hyperlink>
          </w:p>
        </w:tc>
        <w:tc>
          <w:tcPr>
            <w:tcW w:w="660" w:type="dxa"/>
            <w:vAlign w:val="bottom"/>
            <w:tcBorders>
              <w:right w:val="single" w:sz="8" w:color="auto"/>
            </w:tcBorders>
            <w:gridSpan w:val="19"/>
          </w:tcPr>
          <w:p>
            <w:pPr>
              <w:spacing w:after="0"/>
              <w:rPr>
                <w:sz w:val="15"/>
                <w:szCs w:val="15"/>
                <w:color w:val="auto"/>
              </w:rPr>
            </w:pPr>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80" w:type="dxa"/>
            <w:vAlign w:val="bottom"/>
            <w:tcBorders>
              <w:bottom w:val="single" w:sz="8" w:color="0000FF"/>
            </w:tcBorders>
            <w:gridSpan w:val="36"/>
          </w:tcPr>
          <w:p>
            <w:pPr>
              <w:spacing w:after="0" w:line="169" w:lineRule="exact"/>
              <w:rPr>
                <w:rFonts w:ascii="Arial" w:cs="Arial" w:eastAsia="Arial" w:hAnsi="Arial"/>
                <w:sz w:val="16"/>
                <w:szCs w:val="16"/>
                <w:color w:val="0000FF"/>
              </w:rPr>
            </w:pPr>
            <w:hyperlink r:id="rId206">
              <w:r>
                <w:rPr>
                  <w:rFonts w:ascii="Arial" w:cs="Arial" w:eastAsia="Arial" w:hAnsi="Arial"/>
                  <w:sz w:val="16"/>
                  <w:szCs w:val="16"/>
                  <w:color w:val="0000FF"/>
                </w:rPr>
                <w:t>Management, Inc., as a Permitted Nominee, PV Holding Corp., as a Permitted Nominee, and Cendant Rental Car Funding (AESOP) LLC***,</w:t>
              </w:r>
            </w:hyperlink>
          </w:p>
        </w:tc>
        <w:tc>
          <w:tcPr>
            <w:tcW w:w="60" w:type="dxa"/>
            <w:vAlign w:val="bottom"/>
            <w:tcBorders>
              <w:right w:val="single" w:sz="8" w:color="auto"/>
            </w:tcBorders>
          </w:tcPr>
          <w:p>
            <w:pPr>
              <w:spacing w:after="0"/>
              <w:rPr>
                <w:sz w:val="14"/>
                <w:szCs w:val="14"/>
                <w:color w:val="auto"/>
              </w:rPr>
            </w:pPr>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3400" w:type="dxa"/>
            <w:vAlign w:val="bottom"/>
            <w:tcBorders>
              <w:bottom w:val="single" w:sz="8" w:color="0000FF"/>
            </w:tcBorders>
            <w:gridSpan w:val="3"/>
          </w:tcPr>
          <w:p>
            <w:pPr>
              <w:spacing w:after="0" w:line="169" w:lineRule="exact"/>
              <w:rPr>
                <w:rFonts w:ascii="Arial" w:cs="Arial" w:eastAsia="Arial" w:hAnsi="Arial"/>
                <w:sz w:val="16"/>
                <w:szCs w:val="16"/>
                <w:color w:val="0000FF"/>
              </w:rPr>
            </w:pPr>
            <w:hyperlink r:id="rId206">
              <w:r>
                <w:rPr>
                  <w:rFonts w:ascii="Arial" w:cs="Arial" w:eastAsia="Arial" w:hAnsi="Arial"/>
                  <w:sz w:val="16"/>
                  <w:szCs w:val="16"/>
                  <w:color w:val="0000FF"/>
                </w:rPr>
                <w:t>as Lender (Incorporated by reference to Exhibit</w:t>
              </w:r>
            </w:hyperlink>
          </w:p>
        </w:tc>
        <w:tc>
          <w:tcPr>
            <w:tcW w:w="6740" w:type="dxa"/>
            <w:vAlign w:val="bottom"/>
            <w:tcBorders>
              <w:right w:val="single" w:sz="8" w:color="auto"/>
            </w:tcBorders>
            <w:gridSpan w:val="34"/>
          </w:tcPr>
          <w:p>
            <w:pPr>
              <w:spacing w:after="0"/>
              <w:rPr>
                <w:sz w:val="14"/>
                <w:szCs w:val="14"/>
                <w:color w:val="auto"/>
              </w:rPr>
            </w:pPr>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140" w:type="dxa"/>
            <w:vAlign w:val="bottom"/>
            <w:tcBorders>
              <w:right w:val="single" w:sz="8" w:color="auto"/>
            </w:tcBorders>
            <w:gridSpan w:val="37"/>
          </w:tcPr>
          <w:p>
            <w:pPr>
              <w:spacing w:after="0" w:line="169" w:lineRule="exact"/>
              <w:rPr>
                <w:rFonts w:ascii="Arial" w:cs="Arial" w:eastAsia="Arial" w:hAnsi="Arial"/>
                <w:sz w:val="16"/>
                <w:szCs w:val="16"/>
                <w:color w:val="0000FF"/>
              </w:rPr>
            </w:pPr>
            <w:hyperlink r:id="rId206">
              <w:r>
                <w:rPr>
                  <w:rFonts w:ascii="Arial" w:cs="Arial" w:eastAsia="Arial" w:hAnsi="Arial"/>
                  <w:sz w:val="16"/>
                  <w:szCs w:val="16"/>
                  <w:color w:val="0000FF"/>
                </w:rPr>
                <w:t>10.</w:t>
              </w:r>
              <w:r>
                <w:rPr>
                  <w:rFonts w:ascii="Arial" w:cs="Arial" w:eastAsia="Arial" w:hAnsi="Arial"/>
                  <w:sz w:val="16"/>
                  <w:szCs w:val="16"/>
                  <w:u w:val="single" w:color="auto"/>
                  <w:color w:val="0000FF"/>
                </w:rPr>
                <w:t>8</w:t>
              </w:r>
              <w:r>
                <w:rPr>
                  <w:rFonts w:ascii="Arial" w:cs="Arial" w:eastAsia="Arial" w:hAnsi="Arial"/>
                  <w:sz w:val="16"/>
                  <w:szCs w:val="16"/>
                  <w:color w:val="0000FF"/>
                </w:rPr>
                <w:t xml:space="preserve"> to the Company’s Quarterly Report on Form 10-Q for the quarterly period ended June 30, 2004, dated August 2, 2004).</w:t>
              </w:r>
            </w:hyperlink>
          </w:p>
        </w:tc>
      </w:tr>
      <w:tr>
        <w:trPr>
          <w:trHeight w:val="34"/>
        </w:trPr>
        <w:tc>
          <w:tcPr>
            <w:tcW w:w="1160" w:type="dxa"/>
            <w:vAlign w:val="bottom"/>
            <w:tcBorders>
              <w:left w:val="single" w:sz="8" w:color="auto"/>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20" w:type="dxa"/>
            <w:vAlign w:val="bottom"/>
            <w:tcBorders>
              <w:top w:val="single" w:sz="8" w:color="0000FF"/>
              <w:bottom w:val="single" w:sz="8" w:color="auto"/>
            </w:tcBorders>
          </w:tcPr>
          <w:p>
            <w:pPr>
              <w:spacing w:after="0"/>
              <w:rPr>
                <w:sz w:val="2"/>
                <w:szCs w:val="2"/>
                <w:color w:val="auto"/>
              </w:rPr>
            </w:pPr>
          </w:p>
        </w:tc>
        <w:tc>
          <w:tcPr>
            <w:tcW w:w="220" w:type="dxa"/>
            <w:vAlign w:val="bottom"/>
            <w:tcBorders>
              <w:top w:val="single" w:sz="8" w:color="0000FF"/>
              <w:bottom w:val="single" w:sz="8" w:color="auto"/>
            </w:tcBorders>
          </w:tcPr>
          <w:p>
            <w:pPr>
              <w:spacing w:after="0"/>
              <w:rPr>
                <w:sz w:val="2"/>
                <w:szCs w:val="2"/>
                <w:color w:val="auto"/>
              </w:rPr>
            </w:pPr>
          </w:p>
        </w:tc>
        <w:tc>
          <w:tcPr>
            <w:tcW w:w="1760" w:type="dxa"/>
            <w:vAlign w:val="bottom"/>
            <w:tcBorders>
              <w:top w:val="single" w:sz="8" w:color="0000FF"/>
              <w:bottom w:val="single" w:sz="8" w:color="auto"/>
            </w:tcBorders>
          </w:tcPr>
          <w:p>
            <w:pPr>
              <w:spacing w:after="0"/>
              <w:rPr>
                <w:sz w:val="2"/>
                <w:szCs w:val="2"/>
                <w:color w:val="auto"/>
              </w:rPr>
            </w:pPr>
          </w:p>
        </w:tc>
        <w:tc>
          <w:tcPr>
            <w:tcW w:w="460" w:type="dxa"/>
            <w:vAlign w:val="bottom"/>
            <w:tcBorders>
              <w:top w:val="single" w:sz="8" w:color="0000FF"/>
              <w:bottom w:val="single" w:sz="8" w:color="auto"/>
            </w:tcBorders>
          </w:tcPr>
          <w:p>
            <w:pPr>
              <w:spacing w:after="0"/>
              <w:rPr>
                <w:sz w:val="2"/>
                <w:szCs w:val="2"/>
                <w:color w:val="auto"/>
              </w:rPr>
            </w:pPr>
          </w:p>
        </w:tc>
        <w:tc>
          <w:tcPr>
            <w:tcW w:w="100" w:type="dxa"/>
            <w:vAlign w:val="bottom"/>
            <w:tcBorders>
              <w:top w:val="single" w:sz="8" w:color="0000FF"/>
              <w:bottom w:val="single" w:sz="8" w:color="auto"/>
            </w:tcBorders>
          </w:tcPr>
          <w:p>
            <w:pPr>
              <w:spacing w:after="0"/>
              <w:rPr>
                <w:sz w:val="2"/>
                <w:szCs w:val="2"/>
                <w:color w:val="auto"/>
              </w:rPr>
            </w:pPr>
          </w:p>
        </w:tc>
        <w:tc>
          <w:tcPr>
            <w:tcW w:w="460" w:type="dxa"/>
            <w:vAlign w:val="bottom"/>
            <w:tcBorders>
              <w:top w:val="single" w:sz="8" w:color="0000FF"/>
              <w:bottom w:val="single" w:sz="8" w:color="auto"/>
            </w:tcBorders>
          </w:tcPr>
          <w:p>
            <w:pPr>
              <w:spacing w:after="0"/>
              <w:rPr>
                <w:sz w:val="2"/>
                <w:szCs w:val="2"/>
                <w:color w:val="auto"/>
              </w:rPr>
            </w:pPr>
          </w:p>
        </w:tc>
        <w:tc>
          <w:tcPr>
            <w:tcW w:w="720" w:type="dxa"/>
            <w:vAlign w:val="bottom"/>
            <w:tcBorders>
              <w:top w:val="single" w:sz="8" w:color="0000FF"/>
              <w:bottom w:val="single" w:sz="8" w:color="auto"/>
            </w:tcBorders>
          </w:tcPr>
          <w:p>
            <w:pPr>
              <w:spacing w:after="0"/>
              <w:rPr>
                <w:sz w:val="2"/>
                <w:szCs w:val="2"/>
                <w:color w:val="auto"/>
              </w:rPr>
            </w:pPr>
          </w:p>
        </w:tc>
        <w:tc>
          <w:tcPr>
            <w:tcW w:w="140" w:type="dxa"/>
            <w:vAlign w:val="bottom"/>
            <w:tcBorders>
              <w:top w:val="single" w:sz="8" w:color="0000FF"/>
              <w:bottom w:val="single" w:sz="8" w:color="auto"/>
            </w:tcBorders>
          </w:tcPr>
          <w:p>
            <w:pPr>
              <w:spacing w:after="0"/>
              <w:rPr>
                <w:sz w:val="2"/>
                <w:szCs w:val="2"/>
                <w:color w:val="auto"/>
              </w:rPr>
            </w:pPr>
          </w:p>
        </w:tc>
        <w:tc>
          <w:tcPr>
            <w:tcW w:w="1040" w:type="dxa"/>
            <w:vAlign w:val="bottom"/>
            <w:tcBorders>
              <w:top w:val="single" w:sz="8" w:color="0000FF"/>
              <w:bottom w:val="single" w:sz="8" w:color="auto"/>
            </w:tcBorders>
          </w:tcPr>
          <w:p>
            <w:pPr>
              <w:spacing w:after="0"/>
              <w:rPr>
                <w:sz w:val="2"/>
                <w:szCs w:val="2"/>
                <w:color w:val="auto"/>
              </w:rPr>
            </w:pPr>
          </w:p>
        </w:tc>
        <w:tc>
          <w:tcPr>
            <w:tcW w:w="200" w:type="dxa"/>
            <w:vAlign w:val="bottom"/>
            <w:tcBorders>
              <w:top w:val="single" w:sz="8" w:color="0000FF"/>
              <w:bottom w:val="single" w:sz="8" w:color="auto"/>
            </w:tcBorders>
          </w:tcPr>
          <w:p>
            <w:pPr>
              <w:spacing w:after="0"/>
              <w:rPr>
                <w:sz w:val="2"/>
                <w:szCs w:val="2"/>
                <w:color w:val="auto"/>
              </w:rPr>
            </w:pPr>
          </w:p>
        </w:tc>
        <w:tc>
          <w:tcPr>
            <w:tcW w:w="1360" w:type="dxa"/>
            <w:vAlign w:val="bottom"/>
            <w:tcBorders>
              <w:top w:val="single" w:sz="8" w:color="0000FF"/>
              <w:bottom w:val="single" w:sz="8" w:color="auto"/>
            </w:tcBorders>
          </w:tcPr>
          <w:p>
            <w:pPr>
              <w:spacing w:after="0"/>
              <w:rPr>
                <w:sz w:val="2"/>
                <w:szCs w:val="2"/>
                <w:color w:val="auto"/>
              </w:rPr>
            </w:pPr>
          </w:p>
        </w:tc>
        <w:tc>
          <w:tcPr>
            <w:tcW w:w="120" w:type="dxa"/>
            <w:vAlign w:val="bottom"/>
            <w:tcBorders>
              <w:top w:val="single" w:sz="8" w:color="0000FF"/>
              <w:bottom w:val="single" w:sz="8" w:color="auto"/>
            </w:tcBorders>
          </w:tcPr>
          <w:p>
            <w:pPr>
              <w:spacing w:after="0"/>
              <w:rPr>
                <w:sz w:val="2"/>
                <w:szCs w:val="2"/>
                <w:color w:val="auto"/>
              </w:rPr>
            </w:pPr>
          </w:p>
        </w:tc>
        <w:tc>
          <w:tcPr>
            <w:tcW w:w="80" w:type="dxa"/>
            <w:vAlign w:val="bottom"/>
            <w:tcBorders>
              <w:top w:val="single" w:sz="8" w:color="0000FF"/>
              <w:bottom w:val="single" w:sz="8" w:color="auto"/>
            </w:tcBorders>
          </w:tcPr>
          <w:p>
            <w:pPr>
              <w:spacing w:after="0"/>
              <w:rPr>
                <w:sz w:val="2"/>
                <w:szCs w:val="2"/>
                <w:color w:val="auto"/>
              </w:rPr>
            </w:pPr>
          </w:p>
        </w:tc>
        <w:tc>
          <w:tcPr>
            <w:tcW w:w="120" w:type="dxa"/>
            <w:vAlign w:val="bottom"/>
            <w:tcBorders>
              <w:top w:val="single" w:sz="8" w:color="0000FF"/>
              <w:bottom w:val="single" w:sz="8" w:color="auto"/>
            </w:tcBorders>
          </w:tcPr>
          <w:p>
            <w:pPr>
              <w:spacing w:after="0"/>
              <w:rPr>
                <w:sz w:val="2"/>
                <w:szCs w:val="2"/>
                <w:color w:val="auto"/>
              </w:rPr>
            </w:pPr>
          </w:p>
        </w:tc>
        <w:tc>
          <w:tcPr>
            <w:tcW w:w="700" w:type="dxa"/>
            <w:vAlign w:val="bottom"/>
            <w:tcBorders>
              <w:top w:val="single" w:sz="8" w:color="0000FF"/>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right w:val="single" w:sz="8" w:color="auto"/>
            </w:tcBorders>
          </w:tcPr>
          <w:p>
            <w:pPr>
              <w:spacing w:after="0"/>
              <w:rPr>
                <w:sz w:val="2"/>
                <w:szCs w:val="2"/>
                <w:color w:val="auto"/>
              </w:rPr>
            </w:pPr>
          </w:p>
        </w:tc>
      </w:tr>
      <w:tr>
        <w:trPr>
          <w:trHeight w:val="183"/>
        </w:trPr>
        <w:tc>
          <w:tcPr>
            <w:tcW w:w="1160" w:type="dxa"/>
            <w:vAlign w:val="bottom"/>
            <w:tcBorders>
              <w:left w:val="single" w:sz="8" w:color="auto"/>
              <w:right w:val="single" w:sz="8" w:color="auto"/>
            </w:tcBorders>
          </w:tcPr>
          <w:p>
            <w:pPr>
              <w:ind w:left="40"/>
              <w:spacing w:after="0" w:line="183" w:lineRule="exact"/>
              <w:rPr>
                <w:sz w:val="20"/>
                <w:szCs w:val="20"/>
                <w:color w:val="auto"/>
              </w:rPr>
            </w:pPr>
            <w:r>
              <w:rPr>
                <w:rFonts w:ascii="Arial" w:cs="Arial" w:eastAsia="Arial" w:hAnsi="Arial"/>
                <w:sz w:val="16"/>
                <w:szCs w:val="16"/>
                <w:color w:val="auto"/>
              </w:rPr>
              <w:t>10.36(a)</w:t>
            </w:r>
          </w:p>
        </w:tc>
        <w:tc>
          <w:tcPr>
            <w:tcW w:w="12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0140" w:type="dxa"/>
            <w:vAlign w:val="bottom"/>
            <w:tcBorders>
              <w:right w:val="single" w:sz="8" w:color="auto"/>
            </w:tcBorders>
            <w:gridSpan w:val="37"/>
          </w:tcPr>
          <w:p>
            <w:pPr>
              <w:spacing w:after="0" w:line="183" w:lineRule="exact"/>
              <w:rPr>
                <w:rFonts w:ascii="Arial" w:cs="Arial" w:eastAsia="Arial" w:hAnsi="Arial"/>
                <w:sz w:val="16"/>
                <w:szCs w:val="16"/>
                <w:color w:val="0000FF"/>
              </w:rPr>
            </w:pPr>
            <w:hyperlink r:id="rId207">
              <w:r>
                <w:rPr>
                  <w:rFonts w:ascii="Arial" w:cs="Arial" w:eastAsia="Arial" w:hAnsi="Arial"/>
                  <w:sz w:val="16"/>
                  <w:szCs w:val="16"/>
                  <w:color w:val="0000FF"/>
                </w:rPr>
                <w:t>First Amendment, dated as of December 23, 2005, among AESOP Leasing L.P., as Borrower, Quartx Fleet Management, Inc., as a</w:t>
              </w:r>
            </w:hyperlink>
          </w:p>
        </w:tc>
      </w:tr>
      <w:tr>
        <w:trPr>
          <w:trHeight w:val="20"/>
        </w:trPr>
        <w:tc>
          <w:tcPr>
            <w:tcW w:w="1160" w:type="dxa"/>
            <w:vAlign w:val="bottom"/>
            <w:tcBorders>
              <w:left w:val="single" w:sz="8" w:color="auto"/>
              <w:right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2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320" w:type="dxa"/>
            <w:vAlign w:val="bottom"/>
            <w:gridSpan w:val="3"/>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9580" w:type="dxa"/>
            <w:vAlign w:val="bottom"/>
            <w:tcBorders>
              <w:bottom w:val="single" w:sz="8" w:color="0000FF"/>
            </w:tcBorders>
            <w:gridSpan w:val="20"/>
          </w:tcPr>
          <w:p>
            <w:pPr>
              <w:spacing w:after="0" w:line="169" w:lineRule="exact"/>
              <w:rPr>
                <w:rFonts w:ascii="Arial" w:cs="Arial" w:eastAsia="Arial" w:hAnsi="Arial"/>
                <w:sz w:val="16"/>
                <w:szCs w:val="16"/>
                <w:color w:val="0000FF"/>
              </w:rPr>
            </w:pPr>
            <w:hyperlink r:id="rId207">
              <w:r>
                <w:rPr>
                  <w:rFonts w:ascii="Arial" w:cs="Arial" w:eastAsia="Arial" w:hAnsi="Arial"/>
                  <w:sz w:val="16"/>
                  <w:szCs w:val="16"/>
                  <w:color w:val="0000FF"/>
                </w:rPr>
                <w:t>Permitted Nominee, PV Holding Corp., as a Permitted Nominee, and Cendant Rental Car Funding (AESOP) LLC***, as Lender, to the</w:t>
              </w:r>
            </w:hyperlink>
          </w:p>
        </w:tc>
        <w:tc>
          <w:tcPr>
            <w:tcW w:w="560" w:type="dxa"/>
            <w:vAlign w:val="bottom"/>
            <w:tcBorders>
              <w:right w:val="single" w:sz="8" w:color="auto"/>
            </w:tcBorders>
            <w:gridSpan w:val="17"/>
          </w:tcPr>
          <w:p>
            <w:pPr>
              <w:spacing w:after="0"/>
              <w:rPr>
                <w:sz w:val="14"/>
                <w:szCs w:val="14"/>
                <w:color w:val="auto"/>
              </w:rPr>
            </w:pPr>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9760" w:type="dxa"/>
            <w:vAlign w:val="bottom"/>
            <w:tcBorders>
              <w:bottom w:val="single" w:sz="8" w:color="0000FF"/>
            </w:tcBorders>
            <w:gridSpan w:val="25"/>
          </w:tcPr>
          <w:p>
            <w:pPr>
              <w:spacing w:after="0" w:line="169" w:lineRule="exact"/>
              <w:rPr>
                <w:rFonts w:ascii="Arial" w:cs="Arial" w:eastAsia="Arial" w:hAnsi="Arial"/>
                <w:sz w:val="16"/>
                <w:szCs w:val="16"/>
                <w:color w:val="0000FF"/>
              </w:rPr>
            </w:pPr>
            <w:hyperlink r:id="rId207">
              <w:r>
                <w:rPr>
                  <w:rFonts w:ascii="Arial" w:cs="Arial" w:eastAsia="Arial" w:hAnsi="Arial"/>
                  <w:sz w:val="16"/>
                  <w:szCs w:val="16"/>
                  <w:color w:val="0000FF"/>
                </w:rPr>
                <w:t>Second Amended and Restated Loan Agreement, dated as of June 3, 2004 (Incorporated by reference to Exhibit 10.2 to the Company’s</w:t>
              </w:r>
            </w:hyperlink>
          </w:p>
        </w:tc>
        <w:tc>
          <w:tcPr>
            <w:tcW w:w="380" w:type="dxa"/>
            <w:vAlign w:val="bottom"/>
            <w:tcBorders>
              <w:right w:val="single" w:sz="8" w:color="auto"/>
            </w:tcBorders>
            <w:gridSpan w:val="12"/>
          </w:tcPr>
          <w:p>
            <w:pPr>
              <w:spacing w:after="0"/>
              <w:rPr>
                <w:sz w:val="14"/>
                <w:szCs w:val="14"/>
                <w:color w:val="auto"/>
              </w:rPr>
            </w:pPr>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140" w:type="dxa"/>
            <w:vAlign w:val="bottom"/>
            <w:tcBorders>
              <w:right w:val="single" w:sz="8" w:color="auto"/>
            </w:tcBorders>
            <w:gridSpan w:val="37"/>
          </w:tcPr>
          <w:p>
            <w:pPr>
              <w:spacing w:after="0" w:line="169" w:lineRule="exact"/>
              <w:rPr>
                <w:rFonts w:ascii="Arial" w:cs="Arial" w:eastAsia="Arial" w:hAnsi="Arial"/>
                <w:sz w:val="16"/>
                <w:szCs w:val="16"/>
                <w:color w:val="0000FF"/>
              </w:rPr>
            </w:pPr>
            <w:hyperlink r:id="rId207">
              <w:r>
                <w:rPr>
                  <w:rFonts w:ascii="Arial" w:cs="Arial" w:eastAsia="Arial" w:hAnsi="Arial"/>
                  <w:sz w:val="16"/>
                  <w:szCs w:val="16"/>
                  <w:color w:val="0000FF"/>
                </w:rPr>
                <w:t>Current Report on Form 8-K dated January 20, 2006).</w:t>
              </w:r>
            </w:hyperlink>
          </w:p>
        </w:tc>
      </w:tr>
      <w:tr>
        <w:trPr>
          <w:trHeight w:val="34"/>
        </w:trPr>
        <w:tc>
          <w:tcPr>
            <w:tcW w:w="1160" w:type="dxa"/>
            <w:vAlign w:val="bottom"/>
            <w:tcBorders>
              <w:left w:val="single" w:sz="8" w:color="auto"/>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20" w:type="dxa"/>
            <w:vAlign w:val="bottom"/>
            <w:tcBorders>
              <w:top w:val="single" w:sz="8" w:color="0000FF"/>
              <w:bottom w:val="single" w:sz="8" w:color="auto"/>
            </w:tcBorders>
          </w:tcPr>
          <w:p>
            <w:pPr>
              <w:spacing w:after="0"/>
              <w:rPr>
                <w:sz w:val="2"/>
                <w:szCs w:val="2"/>
                <w:color w:val="auto"/>
              </w:rPr>
            </w:pPr>
          </w:p>
        </w:tc>
        <w:tc>
          <w:tcPr>
            <w:tcW w:w="220" w:type="dxa"/>
            <w:vAlign w:val="bottom"/>
            <w:tcBorders>
              <w:top w:val="single" w:sz="8" w:color="0000FF"/>
              <w:bottom w:val="single" w:sz="8" w:color="auto"/>
            </w:tcBorders>
          </w:tcPr>
          <w:p>
            <w:pPr>
              <w:spacing w:after="0"/>
              <w:rPr>
                <w:sz w:val="2"/>
                <w:szCs w:val="2"/>
                <w:color w:val="auto"/>
              </w:rPr>
            </w:pPr>
          </w:p>
        </w:tc>
        <w:tc>
          <w:tcPr>
            <w:tcW w:w="1760" w:type="dxa"/>
            <w:vAlign w:val="bottom"/>
            <w:tcBorders>
              <w:top w:val="single" w:sz="8" w:color="0000FF"/>
              <w:bottom w:val="single" w:sz="8" w:color="auto"/>
            </w:tcBorders>
          </w:tcPr>
          <w:p>
            <w:pPr>
              <w:spacing w:after="0"/>
              <w:rPr>
                <w:sz w:val="2"/>
                <w:szCs w:val="2"/>
                <w:color w:val="auto"/>
              </w:rPr>
            </w:pPr>
          </w:p>
        </w:tc>
        <w:tc>
          <w:tcPr>
            <w:tcW w:w="460" w:type="dxa"/>
            <w:vAlign w:val="bottom"/>
            <w:tcBorders>
              <w:top w:val="single" w:sz="8" w:color="0000FF"/>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right w:val="single" w:sz="8" w:color="auto"/>
            </w:tcBorders>
          </w:tcPr>
          <w:p>
            <w:pPr>
              <w:spacing w:after="0"/>
              <w:rPr>
                <w:sz w:val="2"/>
                <w:szCs w:val="2"/>
                <w:color w:val="auto"/>
              </w:rPr>
            </w:pPr>
          </w:p>
        </w:tc>
      </w:tr>
      <w:tr>
        <w:trPr>
          <w:trHeight w:val="183"/>
        </w:trPr>
        <w:tc>
          <w:tcPr>
            <w:tcW w:w="1160" w:type="dxa"/>
            <w:vAlign w:val="bottom"/>
            <w:tcBorders>
              <w:left w:val="single" w:sz="8" w:color="auto"/>
              <w:right w:val="single" w:sz="8" w:color="auto"/>
            </w:tcBorders>
          </w:tcPr>
          <w:p>
            <w:pPr>
              <w:ind w:left="40"/>
              <w:spacing w:after="0" w:line="183" w:lineRule="exact"/>
              <w:rPr>
                <w:sz w:val="20"/>
                <w:szCs w:val="20"/>
                <w:color w:val="auto"/>
              </w:rPr>
            </w:pPr>
            <w:r>
              <w:rPr>
                <w:rFonts w:ascii="Arial" w:cs="Arial" w:eastAsia="Arial" w:hAnsi="Arial"/>
                <w:sz w:val="16"/>
                <w:szCs w:val="16"/>
                <w:color w:val="auto"/>
              </w:rPr>
              <w:t>10.36(b)</w:t>
            </w:r>
          </w:p>
        </w:tc>
        <w:tc>
          <w:tcPr>
            <w:tcW w:w="12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0140" w:type="dxa"/>
            <w:vAlign w:val="bottom"/>
            <w:tcBorders>
              <w:right w:val="single" w:sz="8" w:color="auto"/>
            </w:tcBorders>
            <w:gridSpan w:val="37"/>
          </w:tcPr>
          <w:p>
            <w:pPr>
              <w:spacing w:after="0" w:line="183" w:lineRule="exact"/>
              <w:rPr>
                <w:rFonts w:ascii="Arial" w:cs="Arial" w:eastAsia="Arial" w:hAnsi="Arial"/>
                <w:sz w:val="16"/>
                <w:szCs w:val="16"/>
                <w:color w:val="0000FF"/>
              </w:rPr>
            </w:pPr>
            <w:hyperlink r:id="rId208">
              <w:r>
                <w:rPr>
                  <w:rFonts w:ascii="Arial" w:cs="Arial" w:eastAsia="Arial" w:hAnsi="Arial"/>
                  <w:sz w:val="16"/>
                  <w:szCs w:val="16"/>
                  <w:color w:val="0000FF"/>
                </w:rPr>
                <w:t>Second Amendment, dated as of May 9, 2007, among AESOP Leasing L.P., as Borrower, PV Holding Corp., as a Permitted Nominee,</w:t>
              </w:r>
            </w:hyperlink>
          </w:p>
        </w:tc>
      </w:tr>
      <w:tr>
        <w:trPr>
          <w:trHeight w:val="20"/>
        </w:trPr>
        <w:tc>
          <w:tcPr>
            <w:tcW w:w="1160" w:type="dxa"/>
            <w:vAlign w:val="bottom"/>
            <w:tcBorders>
              <w:left w:val="single" w:sz="8" w:color="auto"/>
              <w:right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320" w:type="dxa"/>
            <w:vAlign w:val="bottom"/>
            <w:gridSpan w:val="3"/>
            <w:shd w:val="clear" w:color="auto" w:fill="0000FF"/>
          </w:tcPr>
          <w:p>
            <w:pPr>
              <w:spacing w:after="0" w:line="20" w:lineRule="exact"/>
              <w:rPr>
                <w:sz w:val="1"/>
                <w:szCs w:val="1"/>
                <w:color w:val="auto"/>
              </w:rPr>
            </w:pPr>
          </w:p>
        </w:tc>
        <w:tc>
          <w:tcPr>
            <w:tcW w:w="1320" w:type="dxa"/>
            <w:vAlign w:val="bottom"/>
            <w:gridSpan w:val="3"/>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9740" w:type="dxa"/>
            <w:vAlign w:val="bottom"/>
            <w:tcBorders>
              <w:bottom w:val="single" w:sz="8" w:color="0000FF"/>
            </w:tcBorders>
            <w:gridSpan w:val="24"/>
          </w:tcPr>
          <w:p>
            <w:pPr>
              <w:spacing w:after="0" w:line="169" w:lineRule="exact"/>
              <w:rPr>
                <w:rFonts w:ascii="Arial" w:cs="Arial" w:eastAsia="Arial" w:hAnsi="Arial"/>
                <w:sz w:val="16"/>
                <w:szCs w:val="16"/>
                <w:color w:val="0000FF"/>
              </w:rPr>
            </w:pPr>
            <w:hyperlink r:id="rId208">
              <w:r>
                <w:rPr>
                  <w:rFonts w:ascii="Arial" w:cs="Arial" w:eastAsia="Arial" w:hAnsi="Arial"/>
                  <w:sz w:val="16"/>
                  <w:szCs w:val="16"/>
                  <w:color w:val="0000FF"/>
                </w:rPr>
                <w:t>Quartx Fleet Management, Inc., as a Permitted Nominee, and Avis Budget Rental Car Funding (AESOP) LLC, as Lender, to the Second</w:t>
              </w:r>
            </w:hyperlink>
          </w:p>
        </w:tc>
        <w:tc>
          <w:tcPr>
            <w:tcW w:w="400" w:type="dxa"/>
            <w:vAlign w:val="bottom"/>
            <w:tcBorders>
              <w:right w:val="single" w:sz="8" w:color="auto"/>
            </w:tcBorders>
            <w:gridSpan w:val="13"/>
          </w:tcPr>
          <w:p>
            <w:pPr>
              <w:spacing w:after="0"/>
              <w:rPr>
                <w:sz w:val="14"/>
                <w:szCs w:val="14"/>
                <w:color w:val="auto"/>
              </w:rPr>
            </w:pPr>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140" w:type="dxa"/>
            <w:vAlign w:val="bottom"/>
            <w:tcBorders>
              <w:right w:val="single" w:sz="8" w:color="auto"/>
            </w:tcBorders>
            <w:gridSpan w:val="37"/>
          </w:tcPr>
          <w:p>
            <w:pPr>
              <w:spacing w:after="0" w:line="169" w:lineRule="exact"/>
              <w:rPr>
                <w:rFonts w:ascii="Arial" w:cs="Arial" w:eastAsia="Arial" w:hAnsi="Arial"/>
                <w:sz w:val="16"/>
                <w:szCs w:val="16"/>
                <w:color w:val="0000FF"/>
              </w:rPr>
            </w:pPr>
            <w:hyperlink r:id="rId208">
              <w:r>
                <w:rPr>
                  <w:rFonts w:ascii="Arial" w:cs="Arial" w:eastAsia="Arial" w:hAnsi="Arial"/>
                  <w:sz w:val="16"/>
                  <w:szCs w:val="16"/>
                  <w:color w:val="0000FF"/>
                </w:rPr>
                <w:t>Amended and Restated Loan Agreement, dated as of June 3, 2004 (Incorporated by reference to Exhibit 10.8 to the Company’s Quarterly</w:t>
              </w:r>
            </w:hyperlink>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9860" w:type="dxa"/>
            <w:vAlign w:val="bottom"/>
            <w:tcBorders>
              <w:top w:val="single" w:sz="8" w:color="0000FF"/>
            </w:tcBorders>
            <w:gridSpan w:val="27"/>
          </w:tcPr>
          <w:p>
            <w:pPr>
              <w:spacing w:after="0" w:line="169" w:lineRule="exact"/>
              <w:rPr>
                <w:rFonts w:ascii="Arial" w:cs="Arial" w:eastAsia="Arial" w:hAnsi="Arial"/>
                <w:sz w:val="16"/>
                <w:szCs w:val="16"/>
                <w:color w:val="0000FF"/>
              </w:rPr>
            </w:pPr>
            <w:hyperlink r:id="rId208">
              <w:r>
                <w:rPr>
                  <w:rFonts w:ascii="Arial" w:cs="Arial" w:eastAsia="Arial" w:hAnsi="Arial"/>
                  <w:sz w:val="16"/>
                  <w:szCs w:val="16"/>
                  <w:color w:val="0000FF"/>
                </w:rPr>
                <w:t>Report on Form 10-Q for the quarterly period ended June 30, 2007, dated August 8, 2007).</w:t>
              </w:r>
            </w:hyperlink>
          </w:p>
        </w:tc>
        <w:tc>
          <w:tcPr>
            <w:tcW w:w="280" w:type="dxa"/>
            <w:vAlign w:val="bottom"/>
            <w:tcBorders>
              <w:right w:val="single" w:sz="8" w:color="auto"/>
            </w:tcBorders>
            <w:gridSpan w:val="10"/>
          </w:tcPr>
          <w:p>
            <w:pPr>
              <w:spacing w:after="0"/>
              <w:rPr>
                <w:sz w:val="14"/>
                <w:szCs w:val="14"/>
                <w:color w:val="auto"/>
              </w:rPr>
            </w:pPr>
          </w:p>
        </w:tc>
      </w:tr>
      <w:tr>
        <w:trPr>
          <w:trHeight w:val="34"/>
        </w:trPr>
        <w:tc>
          <w:tcPr>
            <w:tcW w:w="1160" w:type="dxa"/>
            <w:vAlign w:val="bottom"/>
            <w:tcBorders>
              <w:left w:val="single" w:sz="8" w:color="auto"/>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20" w:type="dxa"/>
            <w:vAlign w:val="bottom"/>
            <w:tcBorders>
              <w:top w:val="single" w:sz="8" w:color="0000FF"/>
              <w:bottom w:val="single" w:sz="8" w:color="auto"/>
            </w:tcBorders>
          </w:tcPr>
          <w:p>
            <w:pPr>
              <w:spacing w:after="0"/>
              <w:rPr>
                <w:sz w:val="2"/>
                <w:szCs w:val="2"/>
                <w:color w:val="auto"/>
              </w:rPr>
            </w:pPr>
          </w:p>
        </w:tc>
        <w:tc>
          <w:tcPr>
            <w:tcW w:w="220" w:type="dxa"/>
            <w:vAlign w:val="bottom"/>
            <w:tcBorders>
              <w:top w:val="single" w:sz="8" w:color="0000FF"/>
              <w:bottom w:val="single" w:sz="8" w:color="auto"/>
            </w:tcBorders>
          </w:tcPr>
          <w:p>
            <w:pPr>
              <w:spacing w:after="0"/>
              <w:rPr>
                <w:sz w:val="2"/>
                <w:szCs w:val="2"/>
                <w:color w:val="auto"/>
              </w:rPr>
            </w:pPr>
          </w:p>
        </w:tc>
        <w:tc>
          <w:tcPr>
            <w:tcW w:w="1760" w:type="dxa"/>
            <w:vAlign w:val="bottom"/>
            <w:tcBorders>
              <w:top w:val="single" w:sz="8" w:color="0000FF"/>
              <w:bottom w:val="single" w:sz="8" w:color="auto"/>
            </w:tcBorders>
          </w:tcPr>
          <w:p>
            <w:pPr>
              <w:spacing w:after="0"/>
              <w:rPr>
                <w:sz w:val="2"/>
                <w:szCs w:val="2"/>
                <w:color w:val="auto"/>
              </w:rPr>
            </w:pPr>
          </w:p>
        </w:tc>
        <w:tc>
          <w:tcPr>
            <w:tcW w:w="460" w:type="dxa"/>
            <w:vAlign w:val="bottom"/>
            <w:tcBorders>
              <w:top w:val="single" w:sz="8" w:color="0000FF"/>
              <w:bottom w:val="single" w:sz="8" w:color="auto"/>
            </w:tcBorders>
          </w:tcPr>
          <w:p>
            <w:pPr>
              <w:spacing w:after="0"/>
              <w:rPr>
                <w:sz w:val="2"/>
                <w:szCs w:val="2"/>
                <w:color w:val="auto"/>
              </w:rPr>
            </w:pPr>
          </w:p>
        </w:tc>
        <w:tc>
          <w:tcPr>
            <w:tcW w:w="100" w:type="dxa"/>
            <w:vAlign w:val="bottom"/>
            <w:tcBorders>
              <w:top w:val="single" w:sz="8" w:color="0000FF"/>
              <w:bottom w:val="single" w:sz="8" w:color="auto"/>
            </w:tcBorders>
          </w:tcPr>
          <w:p>
            <w:pPr>
              <w:spacing w:after="0"/>
              <w:rPr>
                <w:sz w:val="2"/>
                <w:szCs w:val="2"/>
                <w:color w:val="auto"/>
              </w:rPr>
            </w:pPr>
          </w:p>
        </w:tc>
        <w:tc>
          <w:tcPr>
            <w:tcW w:w="460" w:type="dxa"/>
            <w:vAlign w:val="bottom"/>
            <w:tcBorders>
              <w:top w:val="single" w:sz="8" w:color="0000FF"/>
              <w:bottom w:val="single" w:sz="8" w:color="auto"/>
            </w:tcBorders>
          </w:tcPr>
          <w:p>
            <w:pPr>
              <w:spacing w:after="0"/>
              <w:rPr>
                <w:sz w:val="2"/>
                <w:szCs w:val="2"/>
                <w:color w:val="auto"/>
              </w:rPr>
            </w:pPr>
          </w:p>
        </w:tc>
        <w:tc>
          <w:tcPr>
            <w:tcW w:w="720" w:type="dxa"/>
            <w:vAlign w:val="bottom"/>
            <w:tcBorders>
              <w:top w:val="single" w:sz="8" w:color="0000FF"/>
              <w:bottom w:val="single" w:sz="8" w:color="auto"/>
            </w:tcBorders>
          </w:tcPr>
          <w:p>
            <w:pPr>
              <w:spacing w:after="0"/>
              <w:rPr>
                <w:sz w:val="2"/>
                <w:szCs w:val="2"/>
                <w:color w:val="auto"/>
              </w:rPr>
            </w:pPr>
          </w:p>
        </w:tc>
        <w:tc>
          <w:tcPr>
            <w:tcW w:w="140" w:type="dxa"/>
            <w:vAlign w:val="bottom"/>
            <w:tcBorders>
              <w:top w:val="single" w:sz="8" w:color="0000FF"/>
              <w:bottom w:val="single" w:sz="8" w:color="auto"/>
            </w:tcBorders>
          </w:tcPr>
          <w:p>
            <w:pPr>
              <w:spacing w:after="0"/>
              <w:rPr>
                <w:sz w:val="2"/>
                <w:szCs w:val="2"/>
                <w:color w:val="auto"/>
              </w:rPr>
            </w:pPr>
          </w:p>
        </w:tc>
        <w:tc>
          <w:tcPr>
            <w:tcW w:w="1040" w:type="dxa"/>
            <w:vAlign w:val="bottom"/>
            <w:tcBorders>
              <w:top w:val="single" w:sz="8" w:color="0000FF"/>
              <w:bottom w:val="single" w:sz="8" w:color="auto"/>
            </w:tcBorders>
          </w:tcPr>
          <w:p>
            <w:pPr>
              <w:spacing w:after="0"/>
              <w:rPr>
                <w:sz w:val="2"/>
                <w:szCs w:val="2"/>
                <w:color w:val="auto"/>
              </w:rPr>
            </w:pPr>
          </w:p>
        </w:tc>
        <w:tc>
          <w:tcPr>
            <w:tcW w:w="200" w:type="dxa"/>
            <w:vAlign w:val="bottom"/>
            <w:tcBorders>
              <w:top w:val="single" w:sz="8" w:color="0000FF"/>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right w:val="single" w:sz="8" w:color="auto"/>
            </w:tcBorders>
          </w:tcPr>
          <w:p>
            <w:pPr>
              <w:spacing w:after="0"/>
              <w:rPr>
                <w:sz w:val="2"/>
                <w:szCs w:val="2"/>
                <w:color w:val="auto"/>
              </w:rPr>
            </w:pPr>
          </w:p>
        </w:tc>
      </w:tr>
      <w:tr>
        <w:trPr>
          <w:trHeight w:val="183"/>
        </w:trPr>
        <w:tc>
          <w:tcPr>
            <w:tcW w:w="1160" w:type="dxa"/>
            <w:vAlign w:val="bottom"/>
            <w:tcBorders>
              <w:left w:val="single" w:sz="8" w:color="auto"/>
              <w:right w:val="single" w:sz="8" w:color="auto"/>
            </w:tcBorders>
          </w:tcPr>
          <w:p>
            <w:pPr>
              <w:ind w:left="40"/>
              <w:spacing w:after="0" w:line="183" w:lineRule="exact"/>
              <w:rPr>
                <w:sz w:val="20"/>
                <w:szCs w:val="20"/>
                <w:color w:val="auto"/>
              </w:rPr>
            </w:pPr>
            <w:r>
              <w:rPr>
                <w:rFonts w:ascii="Arial" w:cs="Arial" w:eastAsia="Arial" w:hAnsi="Arial"/>
                <w:sz w:val="16"/>
                <w:szCs w:val="16"/>
                <w:color w:val="auto"/>
              </w:rPr>
              <w:t>10.36(c)</w:t>
            </w:r>
          </w:p>
        </w:tc>
        <w:tc>
          <w:tcPr>
            <w:tcW w:w="12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9700" w:type="dxa"/>
            <w:vAlign w:val="bottom"/>
            <w:tcBorders>
              <w:bottom w:val="single" w:sz="8" w:color="0000FF"/>
            </w:tcBorders>
            <w:gridSpan w:val="22"/>
          </w:tcPr>
          <w:p>
            <w:pPr>
              <w:spacing w:after="0" w:line="183" w:lineRule="exact"/>
              <w:rPr>
                <w:rFonts w:ascii="Arial" w:cs="Arial" w:eastAsia="Arial" w:hAnsi="Arial"/>
                <w:sz w:val="16"/>
                <w:szCs w:val="16"/>
                <w:color w:val="0000FF"/>
              </w:rPr>
            </w:pPr>
            <w:hyperlink r:id="rId209">
              <w:r>
                <w:rPr>
                  <w:rFonts w:ascii="Arial" w:cs="Arial" w:eastAsia="Arial" w:hAnsi="Arial"/>
                  <w:sz w:val="16"/>
                  <w:szCs w:val="16"/>
                  <w:color w:val="0000FF"/>
                </w:rPr>
                <w:t>Third Amendment, dated as of August 16, 2013, among AESOP Leasing L.P., as Borrower, PV Holding Corp., as a Permitted Nominee,</w:t>
              </w:r>
            </w:hyperlink>
          </w:p>
        </w:tc>
        <w:tc>
          <w:tcPr>
            <w:tcW w:w="440" w:type="dxa"/>
            <w:vAlign w:val="bottom"/>
            <w:tcBorders>
              <w:right w:val="single" w:sz="8" w:color="auto"/>
            </w:tcBorders>
            <w:gridSpan w:val="15"/>
          </w:tcPr>
          <w:p>
            <w:pPr>
              <w:spacing w:after="0"/>
              <w:rPr>
                <w:sz w:val="15"/>
                <w:szCs w:val="15"/>
                <w:color w:val="auto"/>
              </w:rPr>
            </w:pPr>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9740" w:type="dxa"/>
            <w:vAlign w:val="bottom"/>
            <w:tcBorders>
              <w:bottom w:val="single" w:sz="8" w:color="0000FF"/>
            </w:tcBorders>
            <w:gridSpan w:val="24"/>
          </w:tcPr>
          <w:p>
            <w:pPr>
              <w:spacing w:after="0" w:line="169" w:lineRule="exact"/>
              <w:rPr>
                <w:rFonts w:ascii="Arial" w:cs="Arial" w:eastAsia="Arial" w:hAnsi="Arial"/>
                <w:sz w:val="16"/>
                <w:szCs w:val="16"/>
                <w:color w:val="0000FF"/>
              </w:rPr>
            </w:pPr>
            <w:hyperlink r:id="rId209">
              <w:r>
                <w:rPr>
                  <w:rFonts w:ascii="Arial" w:cs="Arial" w:eastAsia="Arial" w:hAnsi="Arial"/>
                  <w:sz w:val="16"/>
                  <w:szCs w:val="16"/>
                  <w:color w:val="0000FF"/>
                </w:rPr>
                <w:t>Quartx Fleet Management, Inc., as a Permitted Nominee, and Avis Budget Rental Car Funding (AESOP) LLC, as Lender, to the Second</w:t>
              </w:r>
            </w:hyperlink>
          </w:p>
        </w:tc>
        <w:tc>
          <w:tcPr>
            <w:tcW w:w="400" w:type="dxa"/>
            <w:vAlign w:val="bottom"/>
            <w:tcBorders>
              <w:right w:val="single" w:sz="8" w:color="auto"/>
            </w:tcBorders>
            <w:gridSpan w:val="13"/>
          </w:tcPr>
          <w:p>
            <w:pPr>
              <w:spacing w:after="0"/>
              <w:rPr>
                <w:sz w:val="14"/>
                <w:szCs w:val="14"/>
                <w:color w:val="auto"/>
              </w:rPr>
            </w:pPr>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00" w:type="dxa"/>
            <w:vAlign w:val="bottom"/>
            <w:tcBorders>
              <w:bottom w:val="single" w:sz="8" w:color="0000FF"/>
            </w:tcBorders>
            <w:gridSpan w:val="32"/>
          </w:tcPr>
          <w:p>
            <w:pPr>
              <w:spacing w:after="0" w:line="169" w:lineRule="exact"/>
              <w:rPr>
                <w:rFonts w:ascii="Arial" w:cs="Arial" w:eastAsia="Arial" w:hAnsi="Arial"/>
                <w:sz w:val="16"/>
                <w:szCs w:val="16"/>
                <w:color w:val="0000FF"/>
              </w:rPr>
            </w:pPr>
            <w:hyperlink r:id="rId209">
              <w:r>
                <w:rPr>
                  <w:rFonts w:ascii="Arial" w:cs="Arial" w:eastAsia="Arial" w:hAnsi="Arial"/>
                  <w:sz w:val="16"/>
                  <w:szCs w:val="16"/>
                  <w:color w:val="0000FF"/>
                </w:rPr>
                <w:t>Amended and Restated Loan Agreement, dated as of June 3, 2004 (Incorporated by reference to Exhibit 10.36(c) to the Company’s Annual</w:t>
              </w:r>
            </w:hyperlink>
          </w:p>
        </w:tc>
        <w:tc>
          <w:tcPr>
            <w:tcW w:w="140" w:type="dxa"/>
            <w:vAlign w:val="bottom"/>
            <w:tcBorders>
              <w:right w:val="single" w:sz="8" w:color="auto"/>
            </w:tcBorders>
            <w:gridSpan w:val="5"/>
          </w:tcPr>
          <w:p>
            <w:pPr>
              <w:spacing w:after="0"/>
              <w:rPr>
                <w:sz w:val="14"/>
                <w:szCs w:val="14"/>
                <w:color w:val="auto"/>
              </w:rPr>
            </w:pPr>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140" w:type="dxa"/>
            <w:vAlign w:val="bottom"/>
            <w:tcBorders>
              <w:right w:val="single" w:sz="8" w:color="auto"/>
            </w:tcBorders>
            <w:gridSpan w:val="37"/>
          </w:tcPr>
          <w:p>
            <w:pPr>
              <w:spacing w:after="0" w:line="169" w:lineRule="exact"/>
              <w:rPr>
                <w:rFonts w:ascii="Arial" w:cs="Arial" w:eastAsia="Arial" w:hAnsi="Arial"/>
                <w:sz w:val="16"/>
                <w:szCs w:val="16"/>
                <w:color w:val="0000FF"/>
              </w:rPr>
            </w:pPr>
            <w:hyperlink r:id="rId209">
              <w:r>
                <w:rPr>
                  <w:rFonts w:ascii="Arial" w:cs="Arial" w:eastAsia="Arial" w:hAnsi="Arial"/>
                  <w:sz w:val="16"/>
                  <w:szCs w:val="16"/>
                  <w:color w:val="0000FF"/>
                </w:rPr>
                <w:t>Report on Form 10-K for the year ended December 31, 2013, dated February 20, 2014).</w:t>
              </w:r>
            </w:hyperlink>
          </w:p>
        </w:tc>
      </w:tr>
      <w:tr>
        <w:trPr>
          <w:trHeight w:val="34"/>
        </w:trPr>
        <w:tc>
          <w:tcPr>
            <w:tcW w:w="1160" w:type="dxa"/>
            <w:vAlign w:val="bottom"/>
            <w:tcBorders>
              <w:left w:val="single" w:sz="8" w:color="auto"/>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20" w:type="dxa"/>
            <w:vAlign w:val="bottom"/>
            <w:tcBorders>
              <w:top w:val="single" w:sz="8" w:color="0000FF"/>
              <w:bottom w:val="single" w:sz="8" w:color="auto"/>
            </w:tcBorders>
          </w:tcPr>
          <w:p>
            <w:pPr>
              <w:spacing w:after="0"/>
              <w:rPr>
                <w:sz w:val="2"/>
                <w:szCs w:val="2"/>
                <w:color w:val="auto"/>
              </w:rPr>
            </w:pPr>
          </w:p>
        </w:tc>
        <w:tc>
          <w:tcPr>
            <w:tcW w:w="220" w:type="dxa"/>
            <w:vAlign w:val="bottom"/>
            <w:tcBorders>
              <w:top w:val="single" w:sz="8" w:color="0000FF"/>
              <w:bottom w:val="single" w:sz="8" w:color="auto"/>
            </w:tcBorders>
          </w:tcPr>
          <w:p>
            <w:pPr>
              <w:spacing w:after="0"/>
              <w:rPr>
                <w:sz w:val="2"/>
                <w:szCs w:val="2"/>
                <w:color w:val="auto"/>
              </w:rPr>
            </w:pPr>
          </w:p>
        </w:tc>
        <w:tc>
          <w:tcPr>
            <w:tcW w:w="1760" w:type="dxa"/>
            <w:vAlign w:val="bottom"/>
            <w:tcBorders>
              <w:top w:val="single" w:sz="8" w:color="0000FF"/>
              <w:bottom w:val="single" w:sz="8" w:color="auto"/>
            </w:tcBorders>
          </w:tcPr>
          <w:p>
            <w:pPr>
              <w:spacing w:after="0"/>
              <w:rPr>
                <w:sz w:val="2"/>
                <w:szCs w:val="2"/>
                <w:color w:val="auto"/>
              </w:rPr>
            </w:pPr>
          </w:p>
        </w:tc>
        <w:tc>
          <w:tcPr>
            <w:tcW w:w="460" w:type="dxa"/>
            <w:vAlign w:val="bottom"/>
            <w:tcBorders>
              <w:top w:val="single" w:sz="8" w:color="0000FF"/>
              <w:bottom w:val="single" w:sz="8" w:color="auto"/>
            </w:tcBorders>
          </w:tcPr>
          <w:p>
            <w:pPr>
              <w:spacing w:after="0"/>
              <w:rPr>
                <w:sz w:val="2"/>
                <w:szCs w:val="2"/>
                <w:color w:val="auto"/>
              </w:rPr>
            </w:pPr>
          </w:p>
        </w:tc>
        <w:tc>
          <w:tcPr>
            <w:tcW w:w="100" w:type="dxa"/>
            <w:vAlign w:val="bottom"/>
            <w:tcBorders>
              <w:top w:val="single" w:sz="8" w:color="0000FF"/>
              <w:bottom w:val="single" w:sz="8" w:color="auto"/>
            </w:tcBorders>
          </w:tcPr>
          <w:p>
            <w:pPr>
              <w:spacing w:after="0"/>
              <w:rPr>
                <w:sz w:val="2"/>
                <w:szCs w:val="2"/>
                <w:color w:val="auto"/>
              </w:rPr>
            </w:pPr>
          </w:p>
        </w:tc>
        <w:tc>
          <w:tcPr>
            <w:tcW w:w="460" w:type="dxa"/>
            <w:vAlign w:val="bottom"/>
            <w:tcBorders>
              <w:top w:val="single" w:sz="8" w:color="0000FF"/>
              <w:bottom w:val="single" w:sz="8" w:color="auto"/>
            </w:tcBorders>
          </w:tcPr>
          <w:p>
            <w:pPr>
              <w:spacing w:after="0"/>
              <w:rPr>
                <w:sz w:val="2"/>
                <w:szCs w:val="2"/>
                <w:color w:val="auto"/>
              </w:rPr>
            </w:pPr>
          </w:p>
        </w:tc>
        <w:tc>
          <w:tcPr>
            <w:tcW w:w="720" w:type="dxa"/>
            <w:vAlign w:val="bottom"/>
            <w:tcBorders>
              <w:top w:val="single" w:sz="8" w:color="0000FF"/>
              <w:bottom w:val="single" w:sz="8" w:color="auto"/>
            </w:tcBorders>
          </w:tcPr>
          <w:p>
            <w:pPr>
              <w:spacing w:after="0"/>
              <w:rPr>
                <w:sz w:val="2"/>
                <w:szCs w:val="2"/>
                <w:color w:val="auto"/>
              </w:rPr>
            </w:pPr>
          </w:p>
        </w:tc>
        <w:tc>
          <w:tcPr>
            <w:tcW w:w="140" w:type="dxa"/>
            <w:vAlign w:val="bottom"/>
            <w:tcBorders>
              <w:top w:val="single" w:sz="8" w:color="0000FF"/>
              <w:bottom w:val="single" w:sz="8" w:color="auto"/>
            </w:tcBorders>
          </w:tcPr>
          <w:p>
            <w:pPr>
              <w:spacing w:after="0"/>
              <w:rPr>
                <w:sz w:val="2"/>
                <w:szCs w:val="2"/>
                <w:color w:val="auto"/>
              </w:rPr>
            </w:pPr>
          </w:p>
        </w:tc>
        <w:tc>
          <w:tcPr>
            <w:tcW w:w="1040" w:type="dxa"/>
            <w:vAlign w:val="bottom"/>
            <w:tcBorders>
              <w:top w:val="single" w:sz="8" w:color="0000FF"/>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right w:val="single" w:sz="8" w:color="auto"/>
            </w:tcBorders>
          </w:tcPr>
          <w:p>
            <w:pPr>
              <w:spacing w:after="0"/>
              <w:rPr>
                <w:sz w:val="2"/>
                <w:szCs w:val="2"/>
                <w:color w:val="auto"/>
              </w:rPr>
            </w:pPr>
          </w:p>
        </w:tc>
      </w:tr>
      <w:tr>
        <w:trPr>
          <w:trHeight w:val="183"/>
        </w:trPr>
        <w:tc>
          <w:tcPr>
            <w:tcW w:w="1160" w:type="dxa"/>
            <w:vAlign w:val="bottom"/>
            <w:tcBorders>
              <w:left w:val="single" w:sz="8" w:color="auto"/>
              <w:right w:val="single" w:sz="8" w:color="auto"/>
            </w:tcBorders>
          </w:tcPr>
          <w:p>
            <w:pPr>
              <w:ind w:left="40"/>
              <w:spacing w:after="0" w:line="183" w:lineRule="exact"/>
              <w:rPr>
                <w:sz w:val="20"/>
                <w:szCs w:val="20"/>
                <w:color w:val="auto"/>
              </w:rPr>
            </w:pPr>
            <w:r>
              <w:rPr>
                <w:rFonts w:ascii="Arial" w:cs="Arial" w:eastAsia="Arial" w:hAnsi="Arial"/>
                <w:sz w:val="16"/>
                <w:szCs w:val="16"/>
                <w:color w:val="auto"/>
              </w:rPr>
              <w:t>10.37</w:t>
            </w:r>
          </w:p>
        </w:tc>
        <w:tc>
          <w:tcPr>
            <w:tcW w:w="12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9740" w:type="dxa"/>
            <w:vAlign w:val="bottom"/>
            <w:tcBorders>
              <w:bottom w:val="single" w:sz="8" w:color="0000FF"/>
            </w:tcBorders>
            <w:gridSpan w:val="24"/>
          </w:tcPr>
          <w:p>
            <w:pPr>
              <w:spacing w:after="0" w:line="183" w:lineRule="exact"/>
              <w:rPr>
                <w:rFonts w:ascii="Arial" w:cs="Arial" w:eastAsia="Arial" w:hAnsi="Arial"/>
                <w:sz w:val="16"/>
                <w:szCs w:val="16"/>
                <w:color w:val="0000FF"/>
              </w:rPr>
            </w:pPr>
            <w:hyperlink r:id="rId210">
              <w:r>
                <w:rPr>
                  <w:rFonts w:ascii="Arial" w:cs="Arial" w:eastAsia="Arial" w:hAnsi="Arial"/>
                  <w:sz w:val="16"/>
                  <w:szCs w:val="16"/>
                  <w:color w:val="0000FF"/>
                </w:rPr>
                <w:t>Amended and Restated Loan Agreement, dated as of June 3, 2004, among AESOP Leasing L.P., as Borrower, and Cendant Rental Car</w:t>
              </w:r>
            </w:hyperlink>
          </w:p>
        </w:tc>
        <w:tc>
          <w:tcPr>
            <w:tcW w:w="400" w:type="dxa"/>
            <w:vAlign w:val="bottom"/>
            <w:tcBorders>
              <w:right w:val="single" w:sz="8" w:color="auto"/>
            </w:tcBorders>
            <w:gridSpan w:val="13"/>
          </w:tcPr>
          <w:p>
            <w:pPr>
              <w:spacing w:after="0"/>
              <w:rPr>
                <w:sz w:val="15"/>
                <w:szCs w:val="15"/>
                <w:color w:val="auto"/>
              </w:rPr>
            </w:pPr>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9900" w:type="dxa"/>
            <w:vAlign w:val="bottom"/>
            <w:tcBorders>
              <w:bottom w:val="single" w:sz="8" w:color="0000FF"/>
            </w:tcBorders>
            <w:gridSpan w:val="28"/>
          </w:tcPr>
          <w:p>
            <w:pPr>
              <w:spacing w:after="0" w:line="169" w:lineRule="exact"/>
              <w:rPr>
                <w:rFonts w:ascii="Arial" w:cs="Arial" w:eastAsia="Arial" w:hAnsi="Arial"/>
                <w:sz w:val="16"/>
                <w:szCs w:val="16"/>
                <w:color w:val="0000FF"/>
              </w:rPr>
            </w:pPr>
            <w:hyperlink r:id="rId210">
              <w:r>
                <w:rPr>
                  <w:rFonts w:ascii="Arial" w:cs="Arial" w:eastAsia="Arial" w:hAnsi="Arial"/>
                  <w:sz w:val="16"/>
                  <w:szCs w:val="16"/>
                  <w:color w:val="0000FF"/>
                </w:rPr>
                <w:t>Funding (AESOP) LLC***, as Lender (Incorporated by reference to Exhibit 10.29(a) to the Company’s Annual Report on Form 10-K for the</w:t>
              </w:r>
            </w:hyperlink>
          </w:p>
        </w:tc>
        <w:tc>
          <w:tcPr>
            <w:tcW w:w="240" w:type="dxa"/>
            <w:vAlign w:val="bottom"/>
            <w:tcBorders>
              <w:right w:val="single" w:sz="8" w:color="auto"/>
            </w:tcBorders>
            <w:gridSpan w:val="9"/>
          </w:tcPr>
          <w:p>
            <w:pPr>
              <w:spacing w:after="0"/>
              <w:rPr>
                <w:sz w:val="14"/>
                <w:szCs w:val="14"/>
                <w:color w:val="auto"/>
              </w:rPr>
            </w:pPr>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140" w:type="dxa"/>
            <w:vAlign w:val="bottom"/>
            <w:tcBorders>
              <w:right w:val="single" w:sz="8" w:color="auto"/>
            </w:tcBorders>
            <w:gridSpan w:val="37"/>
          </w:tcPr>
          <w:p>
            <w:pPr>
              <w:spacing w:after="0" w:line="169" w:lineRule="exact"/>
              <w:rPr>
                <w:rFonts w:ascii="Arial" w:cs="Arial" w:eastAsia="Arial" w:hAnsi="Arial"/>
                <w:sz w:val="16"/>
                <w:szCs w:val="16"/>
                <w:color w:val="0000FF"/>
              </w:rPr>
            </w:pPr>
            <w:hyperlink r:id="rId210">
              <w:r>
                <w:rPr>
                  <w:rFonts w:ascii="Arial" w:cs="Arial" w:eastAsia="Arial" w:hAnsi="Arial"/>
                  <w:sz w:val="16"/>
                  <w:szCs w:val="16"/>
                  <w:color w:val="0000FF"/>
                </w:rPr>
                <w:t>year ended December 31, 2006, dated March 1, 2007).</w:t>
              </w:r>
            </w:hyperlink>
          </w:p>
        </w:tc>
      </w:tr>
      <w:tr>
        <w:trPr>
          <w:trHeight w:val="34"/>
        </w:trPr>
        <w:tc>
          <w:tcPr>
            <w:tcW w:w="1160" w:type="dxa"/>
            <w:vAlign w:val="bottom"/>
            <w:tcBorders>
              <w:left w:val="single" w:sz="8" w:color="auto"/>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20" w:type="dxa"/>
            <w:vAlign w:val="bottom"/>
            <w:tcBorders>
              <w:top w:val="single" w:sz="8" w:color="0000FF"/>
              <w:bottom w:val="single" w:sz="8" w:color="auto"/>
            </w:tcBorders>
          </w:tcPr>
          <w:p>
            <w:pPr>
              <w:spacing w:after="0"/>
              <w:rPr>
                <w:sz w:val="2"/>
                <w:szCs w:val="2"/>
                <w:color w:val="auto"/>
              </w:rPr>
            </w:pPr>
          </w:p>
        </w:tc>
        <w:tc>
          <w:tcPr>
            <w:tcW w:w="220" w:type="dxa"/>
            <w:vAlign w:val="bottom"/>
            <w:tcBorders>
              <w:top w:val="single" w:sz="8" w:color="0000FF"/>
              <w:bottom w:val="single" w:sz="8" w:color="auto"/>
            </w:tcBorders>
          </w:tcPr>
          <w:p>
            <w:pPr>
              <w:spacing w:after="0"/>
              <w:rPr>
                <w:sz w:val="2"/>
                <w:szCs w:val="2"/>
                <w:color w:val="auto"/>
              </w:rPr>
            </w:pPr>
          </w:p>
        </w:tc>
        <w:tc>
          <w:tcPr>
            <w:tcW w:w="1760" w:type="dxa"/>
            <w:vAlign w:val="bottom"/>
            <w:tcBorders>
              <w:top w:val="single" w:sz="8" w:color="0000FF"/>
              <w:bottom w:val="single" w:sz="8" w:color="auto"/>
            </w:tcBorders>
          </w:tcPr>
          <w:p>
            <w:pPr>
              <w:spacing w:after="0"/>
              <w:rPr>
                <w:sz w:val="2"/>
                <w:szCs w:val="2"/>
                <w:color w:val="auto"/>
              </w:rPr>
            </w:pPr>
          </w:p>
        </w:tc>
        <w:tc>
          <w:tcPr>
            <w:tcW w:w="460" w:type="dxa"/>
            <w:vAlign w:val="bottom"/>
            <w:tcBorders>
              <w:top w:val="single" w:sz="8" w:color="0000FF"/>
              <w:bottom w:val="single" w:sz="8" w:color="auto"/>
            </w:tcBorders>
          </w:tcPr>
          <w:p>
            <w:pPr>
              <w:spacing w:after="0"/>
              <w:rPr>
                <w:sz w:val="2"/>
                <w:szCs w:val="2"/>
                <w:color w:val="auto"/>
              </w:rPr>
            </w:pPr>
          </w:p>
        </w:tc>
        <w:tc>
          <w:tcPr>
            <w:tcW w:w="100" w:type="dxa"/>
            <w:vAlign w:val="bottom"/>
            <w:tcBorders>
              <w:top w:val="single" w:sz="8" w:color="0000FF"/>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right w:val="single" w:sz="8" w:color="auto"/>
            </w:tcBorders>
          </w:tcPr>
          <w:p>
            <w:pPr>
              <w:spacing w:after="0"/>
              <w:rPr>
                <w:sz w:val="2"/>
                <w:szCs w:val="2"/>
                <w:color w:val="auto"/>
              </w:rPr>
            </w:pPr>
          </w:p>
        </w:tc>
      </w:tr>
      <w:tr>
        <w:trPr>
          <w:trHeight w:val="183"/>
        </w:trPr>
        <w:tc>
          <w:tcPr>
            <w:tcW w:w="1160" w:type="dxa"/>
            <w:vAlign w:val="bottom"/>
            <w:tcBorders>
              <w:left w:val="single" w:sz="8" w:color="auto"/>
              <w:right w:val="single" w:sz="8" w:color="auto"/>
            </w:tcBorders>
          </w:tcPr>
          <w:p>
            <w:pPr>
              <w:ind w:left="40"/>
              <w:spacing w:after="0" w:line="183" w:lineRule="exact"/>
              <w:rPr>
                <w:sz w:val="20"/>
                <w:szCs w:val="20"/>
                <w:color w:val="auto"/>
              </w:rPr>
            </w:pPr>
            <w:r>
              <w:rPr>
                <w:rFonts w:ascii="Arial" w:cs="Arial" w:eastAsia="Arial" w:hAnsi="Arial"/>
                <w:sz w:val="16"/>
                <w:szCs w:val="16"/>
                <w:color w:val="auto"/>
              </w:rPr>
              <w:t>10.37(a)</w:t>
            </w:r>
          </w:p>
        </w:tc>
        <w:tc>
          <w:tcPr>
            <w:tcW w:w="12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0140" w:type="dxa"/>
            <w:vAlign w:val="bottom"/>
            <w:tcBorders>
              <w:right w:val="single" w:sz="8" w:color="auto"/>
            </w:tcBorders>
            <w:gridSpan w:val="37"/>
          </w:tcPr>
          <w:p>
            <w:pPr>
              <w:spacing w:after="0" w:line="183" w:lineRule="exact"/>
              <w:rPr>
                <w:rFonts w:ascii="Arial" w:cs="Arial" w:eastAsia="Arial" w:hAnsi="Arial"/>
                <w:sz w:val="16"/>
                <w:szCs w:val="16"/>
                <w:color w:val="0000FF"/>
              </w:rPr>
            </w:pPr>
            <w:hyperlink r:id="rId211">
              <w:r>
                <w:rPr>
                  <w:rFonts w:ascii="Arial" w:cs="Arial" w:eastAsia="Arial" w:hAnsi="Arial"/>
                  <w:sz w:val="16"/>
                  <w:szCs w:val="16"/>
                  <w:color w:val="0000FF"/>
                </w:rPr>
                <w:t>First Amendment, dated as of December 23, 2005, among AESOP Leasing L.P., as Borrower, and Cendant Rental Car Funding (AESOP)</w:t>
              </w:r>
            </w:hyperlink>
          </w:p>
        </w:tc>
      </w:tr>
      <w:tr>
        <w:trPr>
          <w:trHeight w:val="20"/>
        </w:trPr>
        <w:tc>
          <w:tcPr>
            <w:tcW w:w="1160" w:type="dxa"/>
            <w:vAlign w:val="bottom"/>
            <w:tcBorders>
              <w:left w:val="single" w:sz="8" w:color="auto"/>
              <w:right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640" w:type="dxa"/>
            <w:vAlign w:val="bottom"/>
            <w:gridSpan w:val="6"/>
            <w:shd w:val="clear" w:color="auto" w:fill="0000FF"/>
          </w:tcPr>
          <w:p>
            <w:pPr>
              <w:spacing w:after="0" w:line="20" w:lineRule="exact"/>
              <w:rPr>
                <w:sz w:val="1"/>
                <w:szCs w:val="1"/>
                <w:color w:val="auto"/>
              </w:rPr>
            </w:pPr>
          </w:p>
        </w:tc>
        <w:tc>
          <w:tcPr>
            <w:tcW w:w="260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gridSpan w:val="4"/>
            <w:shd w:val="clear" w:color="auto" w:fill="0000FF"/>
          </w:tcPr>
          <w:p>
            <w:pPr>
              <w:spacing w:after="0" w:line="20" w:lineRule="exact"/>
              <w:rPr>
                <w:sz w:val="1"/>
                <w:szCs w:val="1"/>
                <w:color w:val="auto"/>
              </w:rPr>
            </w:pPr>
          </w:p>
        </w:tc>
        <w:tc>
          <w:tcPr>
            <w:tcW w:w="240" w:type="dxa"/>
            <w:vAlign w:val="bottom"/>
            <w:tcBorders>
              <w:right w:val="single" w:sz="8" w:color="0000FF"/>
            </w:tcBorders>
            <w:gridSpan w:val="5"/>
            <w:shd w:val="clear" w:color="auto" w:fill="0000FF"/>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9980" w:type="dxa"/>
            <w:vAlign w:val="bottom"/>
            <w:tcBorders>
              <w:bottom w:val="single" w:sz="8" w:color="0000FF"/>
            </w:tcBorders>
            <w:gridSpan w:val="31"/>
          </w:tcPr>
          <w:p>
            <w:pPr>
              <w:spacing w:after="0" w:line="169" w:lineRule="exact"/>
              <w:rPr>
                <w:rFonts w:ascii="Arial" w:cs="Arial" w:eastAsia="Arial" w:hAnsi="Arial"/>
                <w:sz w:val="16"/>
                <w:szCs w:val="16"/>
                <w:color w:val="0000FF"/>
              </w:rPr>
            </w:pPr>
            <w:hyperlink r:id="rId211">
              <w:r>
                <w:rPr>
                  <w:rFonts w:ascii="Arial" w:cs="Arial" w:eastAsia="Arial" w:hAnsi="Arial"/>
                  <w:sz w:val="16"/>
                  <w:szCs w:val="16"/>
                  <w:color w:val="0000FF"/>
                </w:rPr>
                <w:t>LLC***, as Lender, to the Amended and Restated Loan Agreement, dated as of June 3, 2004 (Incorporated by reference to Exhibit 10.29(b)</w:t>
              </w:r>
            </w:hyperlink>
          </w:p>
        </w:tc>
        <w:tc>
          <w:tcPr>
            <w:tcW w:w="160" w:type="dxa"/>
            <w:vAlign w:val="bottom"/>
            <w:tcBorders>
              <w:right w:val="single" w:sz="8" w:color="auto"/>
            </w:tcBorders>
            <w:gridSpan w:val="6"/>
          </w:tcPr>
          <w:p>
            <w:pPr>
              <w:spacing w:after="0"/>
              <w:rPr>
                <w:sz w:val="14"/>
                <w:szCs w:val="14"/>
                <w:color w:val="auto"/>
              </w:rPr>
            </w:pPr>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140" w:type="dxa"/>
            <w:vAlign w:val="bottom"/>
            <w:tcBorders>
              <w:right w:val="single" w:sz="8" w:color="auto"/>
            </w:tcBorders>
            <w:gridSpan w:val="37"/>
          </w:tcPr>
          <w:p>
            <w:pPr>
              <w:spacing w:after="0" w:line="169" w:lineRule="exact"/>
              <w:rPr>
                <w:rFonts w:ascii="Arial" w:cs="Arial" w:eastAsia="Arial" w:hAnsi="Arial"/>
                <w:sz w:val="16"/>
                <w:szCs w:val="16"/>
                <w:color w:val="0000FF"/>
              </w:rPr>
            </w:pPr>
            <w:hyperlink r:id="rId211">
              <w:r>
                <w:rPr>
                  <w:rFonts w:ascii="Arial" w:cs="Arial" w:eastAsia="Arial" w:hAnsi="Arial"/>
                  <w:sz w:val="16"/>
                  <w:szCs w:val="16"/>
                  <w:color w:val="0000FF"/>
                </w:rPr>
                <w:t>to the Company’s Annual Report on Form 10-K for the year ended December 31, 2006, dated March 1, 2007).</w:t>
              </w:r>
            </w:hyperlink>
          </w:p>
        </w:tc>
      </w:tr>
      <w:tr>
        <w:trPr>
          <w:trHeight w:val="34"/>
        </w:trPr>
        <w:tc>
          <w:tcPr>
            <w:tcW w:w="1160" w:type="dxa"/>
            <w:vAlign w:val="bottom"/>
            <w:tcBorders>
              <w:left w:val="single" w:sz="8" w:color="auto"/>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20" w:type="dxa"/>
            <w:vAlign w:val="bottom"/>
            <w:tcBorders>
              <w:top w:val="single" w:sz="8" w:color="0000FF"/>
              <w:bottom w:val="single" w:sz="8" w:color="auto"/>
            </w:tcBorders>
          </w:tcPr>
          <w:p>
            <w:pPr>
              <w:spacing w:after="0"/>
              <w:rPr>
                <w:sz w:val="2"/>
                <w:szCs w:val="2"/>
                <w:color w:val="auto"/>
              </w:rPr>
            </w:pPr>
          </w:p>
        </w:tc>
        <w:tc>
          <w:tcPr>
            <w:tcW w:w="220" w:type="dxa"/>
            <w:vAlign w:val="bottom"/>
            <w:tcBorders>
              <w:top w:val="single" w:sz="8" w:color="0000FF"/>
              <w:bottom w:val="single" w:sz="8" w:color="auto"/>
            </w:tcBorders>
          </w:tcPr>
          <w:p>
            <w:pPr>
              <w:spacing w:after="0"/>
              <w:rPr>
                <w:sz w:val="2"/>
                <w:szCs w:val="2"/>
                <w:color w:val="auto"/>
              </w:rPr>
            </w:pPr>
          </w:p>
        </w:tc>
        <w:tc>
          <w:tcPr>
            <w:tcW w:w="1760" w:type="dxa"/>
            <w:vAlign w:val="bottom"/>
            <w:tcBorders>
              <w:top w:val="single" w:sz="8" w:color="0000FF"/>
              <w:bottom w:val="single" w:sz="8" w:color="auto"/>
            </w:tcBorders>
          </w:tcPr>
          <w:p>
            <w:pPr>
              <w:spacing w:after="0"/>
              <w:rPr>
                <w:sz w:val="2"/>
                <w:szCs w:val="2"/>
                <w:color w:val="auto"/>
              </w:rPr>
            </w:pPr>
          </w:p>
        </w:tc>
        <w:tc>
          <w:tcPr>
            <w:tcW w:w="460" w:type="dxa"/>
            <w:vAlign w:val="bottom"/>
            <w:tcBorders>
              <w:top w:val="single" w:sz="8" w:color="0000FF"/>
              <w:bottom w:val="single" w:sz="8" w:color="auto"/>
            </w:tcBorders>
          </w:tcPr>
          <w:p>
            <w:pPr>
              <w:spacing w:after="0"/>
              <w:rPr>
                <w:sz w:val="2"/>
                <w:szCs w:val="2"/>
                <w:color w:val="auto"/>
              </w:rPr>
            </w:pPr>
          </w:p>
        </w:tc>
        <w:tc>
          <w:tcPr>
            <w:tcW w:w="100" w:type="dxa"/>
            <w:vAlign w:val="bottom"/>
            <w:tcBorders>
              <w:top w:val="single" w:sz="8" w:color="0000FF"/>
              <w:bottom w:val="single" w:sz="8" w:color="auto"/>
            </w:tcBorders>
          </w:tcPr>
          <w:p>
            <w:pPr>
              <w:spacing w:after="0"/>
              <w:rPr>
                <w:sz w:val="2"/>
                <w:szCs w:val="2"/>
                <w:color w:val="auto"/>
              </w:rPr>
            </w:pPr>
          </w:p>
        </w:tc>
        <w:tc>
          <w:tcPr>
            <w:tcW w:w="460" w:type="dxa"/>
            <w:vAlign w:val="bottom"/>
            <w:tcBorders>
              <w:top w:val="single" w:sz="8" w:color="0000FF"/>
              <w:bottom w:val="single" w:sz="8" w:color="auto"/>
            </w:tcBorders>
          </w:tcPr>
          <w:p>
            <w:pPr>
              <w:spacing w:after="0"/>
              <w:rPr>
                <w:sz w:val="2"/>
                <w:szCs w:val="2"/>
                <w:color w:val="auto"/>
              </w:rPr>
            </w:pPr>
          </w:p>
        </w:tc>
        <w:tc>
          <w:tcPr>
            <w:tcW w:w="720" w:type="dxa"/>
            <w:vAlign w:val="bottom"/>
            <w:tcBorders>
              <w:top w:val="single" w:sz="8" w:color="0000FF"/>
              <w:bottom w:val="single" w:sz="8" w:color="auto"/>
            </w:tcBorders>
          </w:tcPr>
          <w:p>
            <w:pPr>
              <w:spacing w:after="0"/>
              <w:rPr>
                <w:sz w:val="2"/>
                <w:szCs w:val="2"/>
                <w:color w:val="auto"/>
              </w:rPr>
            </w:pPr>
          </w:p>
        </w:tc>
        <w:tc>
          <w:tcPr>
            <w:tcW w:w="140" w:type="dxa"/>
            <w:vAlign w:val="bottom"/>
            <w:tcBorders>
              <w:top w:val="single" w:sz="8" w:color="0000FF"/>
              <w:bottom w:val="single" w:sz="8" w:color="auto"/>
            </w:tcBorders>
          </w:tcPr>
          <w:p>
            <w:pPr>
              <w:spacing w:after="0"/>
              <w:rPr>
                <w:sz w:val="2"/>
                <w:szCs w:val="2"/>
                <w:color w:val="auto"/>
              </w:rPr>
            </w:pPr>
          </w:p>
        </w:tc>
        <w:tc>
          <w:tcPr>
            <w:tcW w:w="1040" w:type="dxa"/>
            <w:vAlign w:val="bottom"/>
            <w:tcBorders>
              <w:top w:val="single" w:sz="8" w:color="0000FF"/>
              <w:bottom w:val="single" w:sz="8" w:color="auto"/>
            </w:tcBorders>
          </w:tcPr>
          <w:p>
            <w:pPr>
              <w:spacing w:after="0"/>
              <w:rPr>
                <w:sz w:val="2"/>
                <w:szCs w:val="2"/>
                <w:color w:val="auto"/>
              </w:rPr>
            </w:pPr>
          </w:p>
        </w:tc>
        <w:tc>
          <w:tcPr>
            <w:tcW w:w="200" w:type="dxa"/>
            <w:vAlign w:val="bottom"/>
            <w:tcBorders>
              <w:top w:val="single" w:sz="8" w:color="0000FF"/>
              <w:bottom w:val="single" w:sz="8" w:color="auto"/>
            </w:tcBorders>
          </w:tcPr>
          <w:p>
            <w:pPr>
              <w:spacing w:after="0"/>
              <w:rPr>
                <w:sz w:val="2"/>
                <w:szCs w:val="2"/>
                <w:color w:val="auto"/>
              </w:rPr>
            </w:pPr>
          </w:p>
        </w:tc>
        <w:tc>
          <w:tcPr>
            <w:tcW w:w="1360" w:type="dxa"/>
            <w:vAlign w:val="bottom"/>
            <w:tcBorders>
              <w:top w:val="single" w:sz="8" w:color="0000FF"/>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right w:val="single" w:sz="8" w:color="auto"/>
            </w:tcBorders>
          </w:tcPr>
          <w:p>
            <w:pPr>
              <w:spacing w:after="0"/>
              <w:rPr>
                <w:sz w:val="2"/>
                <w:szCs w:val="2"/>
                <w:color w:val="auto"/>
              </w:rPr>
            </w:pPr>
          </w:p>
        </w:tc>
      </w:tr>
      <w:tr>
        <w:trPr>
          <w:trHeight w:val="183"/>
        </w:trPr>
        <w:tc>
          <w:tcPr>
            <w:tcW w:w="1160" w:type="dxa"/>
            <w:vAlign w:val="bottom"/>
            <w:tcBorders>
              <w:left w:val="single" w:sz="8" w:color="auto"/>
              <w:right w:val="single" w:sz="8" w:color="auto"/>
            </w:tcBorders>
          </w:tcPr>
          <w:p>
            <w:pPr>
              <w:ind w:left="40"/>
              <w:spacing w:after="0" w:line="183" w:lineRule="exact"/>
              <w:rPr>
                <w:sz w:val="20"/>
                <w:szCs w:val="20"/>
                <w:color w:val="auto"/>
              </w:rPr>
            </w:pPr>
            <w:r>
              <w:rPr>
                <w:rFonts w:ascii="Arial" w:cs="Arial" w:eastAsia="Arial" w:hAnsi="Arial"/>
                <w:sz w:val="16"/>
                <w:szCs w:val="16"/>
                <w:color w:val="auto"/>
              </w:rPr>
              <w:t>10.37(b)</w:t>
            </w:r>
          </w:p>
        </w:tc>
        <w:tc>
          <w:tcPr>
            <w:tcW w:w="12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0080" w:type="dxa"/>
            <w:vAlign w:val="bottom"/>
            <w:tcBorders>
              <w:bottom w:val="single" w:sz="8" w:color="0000FF"/>
            </w:tcBorders>
            <w:gridSpan w:val="36"/>
          </w:tcPr>
          <w:p>
            <w:pPr>
              <w:spacing w:after="0" w:line="183" w:lineRule="exact"/>
              <w:rPr>
                <w:rFonts w:ascii="Arial" w:cs="Arial" w:eastAsia="Arial" w:hAnsi="Arial"/>
                <w:sz w:val="16"/>
                <w:szCs w:val="16"/>
                <w:color w:val="0000FF"/>
              </w:rPr>
            </w:pPr>
            <w:hyperlink r:id="rId212">
              <w:r>
                <w:rPr>
                  <w:rFonts w:ascii="Arial" w:cs="Arial" w:eastAsia="Arial" w:hAnsi="Arial"/>
                  <w:sz w:val="16"/>
                  <w:szCs w:val="16"/>
                  <w:color w:val="0000FF"/>
                </w:rPr>
                <w:t>Second Amendment, dated as of the May 9, 2007, among AESOP Leasing L.P., as Borrower, and Avis Budget Rental Car Funding (AESOP)</w:t>
              </w:r>
            </w:hyperlink>
          </w:p>
        </w:tc>
        <w:tc>
          <w:tcPr>
            <w:tcW w:w="60" w:type="dxa"/>
            <w:vAlign w:val="bottom"/>
            <w:tcBorders>
              <w:right w:val="single" w:sz="8" w:color="auto"/>
            </w:tcBorders>
          </w:tcPr>
          <w:p>
            <w:pPr>
              <w:spacing w:after="0"/>
              <w:rPr>
                <w:sz w:val="15"/>
                <w:szCs w:val="15"/>
                <w:color w:val="auto"/>
              </w:rPr>
            </w:pPr>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140" w:type="dxa"/>
            <w:vAlign w:val="bottom"/>
            <w:tcBorders>
              <w:right w:val="single" w:sz="8" w:color="auto"/>
            </w:tcBorders>
            <w:gridSpan w:val="37"/>
          </w:tcPr>
          <w:p>
            <w:pPr>
              <w:spacing w:after="0" w:line="169" w:lineRule="exact"/>
              <w:rPr>
                <w:rFonts w:ascii="Arial" w:cs="Arial" w:eastAsia="Arial" w:hAnsi="Arial"/>
                <w:sz w:val="16"/>
                <w:szCs w:val="16"/>
                <w:color w:val="0000FF"/>
              </w:rPr>
            </w:pPr>
            <w:hyperlink r:id="rId212">
              <w:r>
                <w:rPr>
                  <w:rFonts w:ascii="Arial" w:cs="Arial" w:eastAsia="Arial" w:hAnsi="Arial"/>
                  <w:sz w:val="16"/>
                  <w:szCs w:val="16"/>
                  <w:color w:val="0000FF"/>
                </w:rPr>
                <w:t>LLC, as Lender, to the Amended and Restated Loan Agreement, dated as of June 3, 2004 (Incorporated by reference to Exhibit 10.7 to the</w:t>
              </w:r>
            </w:hyperlink>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9940" w:type="dxa"/>
            <w:vAlign w:val="bottom"/>
            <w:tcBorders>
              <w:top w:val="single" w:sz="8" w:color="0000FF"/>
            </w:tcBorders>
            <w:gridSpan w:val="29"/>
          </w:tcPr>
          <w:p>
            <w:pPr>
              <w:spacing w:after="0" w:line="169" w:lineRule="exact"/>
              <w:rPr>
                <w:rFonts w:ascii="Arial" w:cs="Arial" w:eastAsia="Arial" w:hAnsi="Arial"/>
                <w:sz w:val="16"/>
                <w:szCs w:val="16"/>
                <w:color w:val="0000FF"/>
              </w:rPr>
            </w:pPr>
            <w:hyperlink r:id="rId212">
              <w:r>
                <w:rPr>
                  <w:rFonts w:ascii="Arial" w:cs="Arial" w:eastAsia="Arial" w:hAnsi="Arial"/>
                  <w:sz w:val="16"/>
                  <w:szCs w:val="16"/>
                  <w:color w:val="0000FF"/>
                </w:rPr>
                <w:t>Company’s Quarterly Report on Form 10-Q for the quarterly period ended June 30, 2007, dated August 8, 2007).</w:t>
              </w:r>
            </w:hyperlink>
          </w:p>
        </w:tc>
        <w:tc>
          <w:tcPr>
            <w:tcW w:w="200" w:type="dxa"/>
            <w:vAlign w:val="bottom"/>
            <w:tcBorders>
              <w:right w:val="single" w:sz="8" w:color="auto"/>
            </w:tcBorders>
            <w:gridSpan w:val="8"/>
          </w:tcPr>
          <w:p>
            <w:pPr>
              <w:spacing w:after="0"/>
              <w:rPr>
                <w:sz w:val="14"/>
                <w:szCs w:val="14"/>
                <w:color w:val="auto"/>
              </w:rPr>
            </w:pPr>
          </w:p>
        </w:tc>
      </w:tr>
      <w:tr>
        <w:trPr>
          <w:trHeight w:val="34"/>
        </w:trPr>
        <w:tc>
          <w:tcPr>
            <w:tcW w:w="1160" w:type="dxa"/>
            <w:vAlign w:val="bottom"/>
            <w:tcBorders>
              <w:left w:val="single" w:sz="8" w:color="auto"/>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20" w:type="dxa"/>
            <w:vAlign w:val="bottom"/>
            <w:tcBorders>
              <w:top w:val="single" w:sz="8" w:color="0000FF"/>
              <w:bottom w:val="single" w:sz="8" w:color="auto"/>
            </w:tcBorders>
          </w:tcPr>
          <w:p>
            <w:pPr>
              <w:spacing w:after="0"/>
              <w:rPr>
                <w:sz w:val="2"/>
                <w:szCs w:val="2"/>
                <w:color w:val="auto"/>
              </w:rPr>
            </w:pPr>
          </w:p>
        </w:tc>
        <w:tc>
          <w:tcPr>
            <w:tcW w:w="220" w:type="dxa"/>
            <w:vAlign w:val="bottom"/>
            <w:tcBorders>
              <w:top w:val="single" w:sz="8" w:color="0000FF"/>
              <w:bottom w:val="single" w:sz="8" w:color="auto"/>
            </w:tcBorders>
          </w:tcPr>
          <w:p>
            <w:pPr>
              <w:spacing w:after="0"/>
              <w:rPr>
                <w:sz w:val="2"/>
                <w:szCs w:val="2"/>
                <w:color w:val="auto"/>
              </w:rPr>
            </w:pPr>
          </w:p>
        </w:tc>
        <w:tc>
          <w:tcPr>
            <w:tcW w:w="1760" w:type="dxa"/>
            <w:vAlign w:val="bottom"/>
            <w:tcBorders>
              <w:top w:val="single" w:sz="8" w:color="0000FF"/>
              <w:bottom w:val="single" w:sz="8" w:color="auto"/>
            </w:tcBorders>
          </w:tcPr>
          <w:p>
            <w:pPr>
              <w:spacing w:after="0"/>
              <w:rPr>
                <w:sz w:val="2"/>
                <w:szCs w:val="2"/>
                <w:color w:val="auto"/>
              </w:rPr>
            </w:pPr>
          </w:p>
        </w:tc>
        <w:tc>
          <w:tcPr>
            <w:tcW w:w="460" w:type="dxa"/>
            <w:vAlign w:val="bottom"/>
            <w:tcBorders>
              <w:top w:val="single" w:sz="8" w:color="0000FF"/>
              <w:bottom w:val="single" w:sz="8" w:color="auto"/>
            </w:tcBorders>
          </w:tcPr>
          <w:p>
            <w:pPr>
              <w:spacing w:after="0"/>
              <w:rPr>
                <w:sz w:val="2"/>
                <w:szCs w:val="2"/>
                <w:color w:val="auto"/>
              </w:rPr>
            </w:pPr>
          </w:p>
        </w:tc>
        <w:tc>
          <w:tcPr>
            <w:tcW w:w="100" w:type="dxa"/>
            <w:vAlign w:val="bottom"/>
            <w:tcBorders>
              <w:top w:val="single" w:sz="8" w:color="0000FF"/>
              <w:bottom w:val="single" w:sz="8" w:color="auto"/>
            </w:tcBorders>
          </w:tcPr>
          <w:p>
            <w:pPr>
              <w:spacing w:after="0"/>
              <w:rPr>
                <w:sz w:val="2"/>
                <w:szCs w:val="2"/>
                <w:color w:val="auto"/>
              </w:rPr>
            </w:pPr>
          </w:p>
        </w:tc>
        <w:tc>
          <w:tcPr>
            <w:tcW w:w="460" w:type="dxa"/>
            <w:vAlign w:val="bottom"/>
            <w:tcBorders>
              <w:top w:val="single" w:sz="8" w:color="0000FF"/>
              <w:bottom w:val="single" w:sz="8" w:color="auto"/>
            </w:tcBorders>
          </w:tcPr>
          <w:p>
            <w:pPr>
              <w:spacing w:after="0"/>
              <w:rPr>
                <w:sz w:val="2"/>
                <w:szCs w:val="2"/>
                <w:color w:val="auto"/>
              </w:rPr>
            </w:pPr>
          </w:p>
        </w:tc>
        <w:tc>
          <w:tcPr>
            <w:tcW w:w="720" w:type="dxa"/>
            <w:vAlign w:val="bottom"/>
            <w:tcBorders>
              <w:top w:val="single" w:sz="8" w:color="0000FF"/>
              <w:bottom w:val="single" w:sz="8" w:color="auto"/>
            </w:tcBorders>
          </w:tcPr>
          <w:p>
            <w:pPr>
              <w:spacing w:after="0"/>
              <w:rPr>
                <w:sz w:val="2"/>
                <w:szCs w:val="2"/>
                <w:color w:val="auto"/>
              </w:rPr>
            </w:pPr>
          </w:p>
        </w:tc>
        <w:tc>
          <w:tcPr>
            <w:tcW w:w="140" w:type="dxa"/>
            <w:vAlign w:val="bottom"/>
            <w:tcBorders>
              <w:top w:val="single" w:sz="8" w:color="0000FF"/>
              <w:bottom w:val="single" w:sz="8" w:color="auto"/>
            </w:tcBorders>
          </w:tcPr>
          <w:p>
            <w:pPr>
              <w:spacing w:after="0"/>
              <w:rPr>
                <w:sz w:val="2"/>
                <w:szCs w:val="2"/>
                <w:color w:val="auto"/>
              </w:rPr>
            </w:pPr>
          </w:p>
        </w:tc>
        <w:tc>
          <w:tcPr>
            <w:tcW w:w="1040" w:type="dxa"/>
            <w:vAlign w:val="bottom"/>
            <w:tcBorders>
              <w:top w:val="single" w:sz="8" w:color="0000FF"/>
              <w:bottom w:val="single" w:sz="8" w:color="auto"/>
            </w:tcBorders>
          </w:tcPr>
          <w:p>
            <w:pPr>
              <w:spacing w:after="0"/>
              <w:rPr>
                <w:sz w:val="2"/>
                <w:szCs w:val="2"/>
                <w:color w:val="auto"/>
              </w:rPr>
            </w:pPr>
          </w:p>
        </w:tc>
        <w:tc>
          <w:tcPr>
            <w:tcW w:w="200" w:type="dxa"/>
            <w:vAlign w:val="bottom"/>
            <w:tcBorders>
              <w:top w:val="single" w:sz="8" w:color="0000FF"/>
              <w:bottom w:val="single" w:sz="8" w:color="auto"/>
            </w:tcBorders>
          </w:tcPr>
          <w:p>
            <w:pPr>
              <w:spacing w:after="0"/>
              <w:rPr>
                <w:sz w:val="2"/>
                <w:szCs w:val="2"/>
                <w:color w:val="auto"/>
              </w:rPr>
            </w:pPr>
          </w:p>
        </w:tc>
        <w:tc>
          <w:tcPr>
            <w:tcW w:w="1360" w:type="dxa"/>
            <w:vAlign w:val="bottom"/>
            <w:tcBorders>
              <w:top w:val="single" w:sz="8" w:color="0000FF"/>
              <w:bottom w:val="single" w:sz="8" w:color="auto"/>
            </w:tcBorders>
          </w:tcPr>
          <w:p>
            <w:pPr>
              <w:spacing w:after="0"/>
              <w:rPr>
                <w:sz w:val="2"/>
                <w:szCs w:val="2"/>
                <w:color w:val="auto"/>
              </w:rPr>
            </w:pPr>
          </w:p>
        </w:tc>
        <w:tc>
          <w:tcPr>
            <w:tcW w:w="120" w:type="dxa"/>
            <w:vAlign w:val="bottom"/>
            <w:tcBorders>
              <w:top w:val="single" w:sz="8" w:color="0000FF"/>
              <w:bottom w:val="single" w:sz="8" w:color="auto"/>
            </w:tcBorders>
          </w:tcPr>
          <w:p>
            <w:pPr>
              <w:spacing w:after="0"/>
              <w:rPr>
                <w:sz w:val="2"/>
                <w:szCs w:val="2"/>
                <w:color w:val="auto"/>
              </w:rPr>
            </w:pPr>
          </w:p>
        </w:tc>
        <w:tc>
          <w:tcPr>
            <w:tcW w:w="80" w:type="dxa"/>
            <w:vAlign w:val="bottom"/>
            <w:tcBorders>
              <w:top w:val="single" w:sz="8" w:color="0000FF"/>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right w:val="single" w:sz="8" w:color="auto"/>
            </w:tcBorders>
          </w:tcPr>
          <w:p>
            <w:pPr>
              <w:spacing w:after="0"/>
              <w:rPr>
                <w:sz w:val="2"/>
                <w:szCs w:val="2"/>
                <w:color w:val="auto"/>
              </w:rPr>
            </w:pPr>
          </w:p>
        </w:tc>
      </w:tr>
      <w:tr>
        <w:trPr>
          <w:trHeight w:val="183"/>
        </w:trPr>
        <w:tc>
          <w:tcPr>
            <w:tcW w:w="1160" w:type="dxa"/>
            <w:vAlign w:val="bottom"/>
            <w:tcBorders>
              <w:left w:val="single" w:sz="8" w:color="auto"/>
              <w:right w:val="single" w:sz="8" w:color="auto"/>
            </w:tcBorders>
          </w:tcPr>
          <w:p>
            <w:pPr>
              <w:ind w:left="40"/>
              <w:spacing w:after="0" w:line="183" w:lineRule="exact"/>
              <w:rPr>
                <w:sz w:val="20"/>
                <w:szCs w:val="20"/>
                <w:color w:val="auto"/>
              </w:rPr>
            </w:pPr>
            <w:r>
              <w:rPr>
                <w:rFonts w:ascii="Arial" w:cs="Arial" w:eastAsia="Arial" w:hAnsi="Arial"/>
                <w:sz w:val="16"/>
                <w:szCs w:val="16"/>
                <w:color w:val="auto"/>
              </w:rPr>
              <w:t>10.37(c)</w:t>
            </w:r>
          </w:p>
        </w:tc>
        <w:tc>
          <w:tcPr>
            <w:tcW w:w="12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0140" w:type="dxa"/>
            <w:vAlign w:val="bottom"/>
            <w:tcBorders>
              <w:right w:val="single" w:sz="8" w:color="auto"/>
            </w:tcBorders>
            <w:gridSpan w:val="37"/>
          </w:tcPr>
          <w:p>
            <w:pPr>
              <w:spacing w:after="0" w:line="183" w:lineRule="exact"/>
              <w:rPr>
                <w:rFonts w:ascii="Arial" w:cs="Arial" w:eastAsia="Arial" w:hAnsi="Arial"/>
                <w:sz w:val="16"/>
                <w:szCs w:val="16"/>
                <w:color w:val="0000FF"/>
              </w:rPr>
            </w:pPr>
            <w:hyperlink r:id="rId213">
              <w:r>
                <w:rPr>
                  <w:rFonts w:ascii="Arial" w:cs="Arial" w:eastAsia="Arial" w:hAnsi="Arial"/>
                  <w:sz w:val="16"/>
                  <w:szCs w:val="16"/>
                  <w:color w:val="0000FF"/>
                </w:rPr>
                <w:t>Third Amendment, dated as of August 16, 2013, among AESOP Leasing L.P., as Borrower, and Avis Budget Rental Car Funding (AESOP)</w:t>
              </w:r>
            </w:hyperlink>
          </w:p>
        </w:tc>
      </w:tr>
      <w:tr>
        <w:trPr>
          <w:trHeight w:val="20"/>
        </w:trPr>
        <w:tc>
          <w:tcPr>
            <w:tcW w:w="1160" w:type="dxa"/>
            <w:vAlign w:val="bottom"/>
            <w:tcBorders>
              <w:left w:val="single" w:sz="8" w:color="auto"/>
              <w:right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640" w:type="dxa"/>
            <w:vAlign w:val="bottom"/>
            <w:gridSpan w:val="6"/>
            <w:shd w:val="clear" w:color="auto" w:fill="0000FF"/>
          </w:tcPr>
          <w:p>
            <w:pPr>
              <w:spacing w:after="0" w:line="20" w:lineRule="exact"/>
              <w:rPr>
                <w:sz w:val="1"/>
                <w:szCs w:val="1"/>
                <w:color w:val="auto"/>
              </w:rPr>
            </w:pPr>
          </w:p>
        </w:tc>
        <w:tc>
          <w:tcPr>
            <w:tcW w:w="2720" w:type="dxa"/>
            <w:vAlign w:val="bottom"/>
            <w:gridSpan w:val="4"/>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gridSpan w:val="4"/>
            <w:shd w:val="clear" w:color="auto" w:fill="0000FF"/>
          </w:tcPr>
          <w:p>
            <w:pPr>
              <w:spacing w:after="0" w:line="20" w:lineRule="exact"/>
              <w:rPr>
                <w:sz w:val="1"/>
                <w:szCs w:val="1"/>
                <w:color w:val="auto"/>
              </w:rPr>
            </w:pPr>
          </w:p>
        </w:tc>
        <w:tc>
          <w:tcPr>
            <w:tcW w:w="240" w:type="dxa"/>
            <w:vAlign w:val="bottom"/>
            <w:tcBorders>
              <w:right w:val="single" w:sz="8" w:color="0000FF"/>
            </w:tcBorders>
            <w:gridSpan w:val="5"/>
            <w:shd w:val="clear" w:color="auto" w:fill="0000FF"/>
          </w:tcPr>
          <w:p>
            <w:pPr>
              <w:spacing w:after="0" w:line="20" w:lineRule="exact"/>
              <w:rPr>
                <w:sz w:val="1"/>
                <w:szCs w:val="1"/>
                <w:color w:val="auto"/>
              </w:rPr>
            </w:pPr>
          </w:p>
        </w:tc>
        <w:tc>
          <w:tcPr>
            <w:tcW w:w="6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9960" w:type="dxa"/>
            <w:vAlign w:val="bottom"/>
            <w:tcBorders>
              <w:bottom w:val="single" w:sz="8" w:color="0000FF"/>
            </w:tcBorders>
            <w:gridSpan w:val="30"/>
          </w:tcPr>
          <w:p>
            <w:pPr>
              <w:spacing w:after="0" w:line="169" w:lineRule="exact"/>
              <w:rPr>
                <w:rFonts w:ascii="Arial" w:cs="Arial" w:eastAsia="Arial" w:hAnsi="Arial"/>
                <w:sz w:val="16"/>
                <w:szCs w:val="16"/>
                <w:color w:val="0000FF"/>
              </w:rPr>
            </w:pPr>
            <w:hyperlink r:id="rId213">
              <w:r>
                <w:rPr>
                  <w:rFonts w:ascii="Arial" w:cs="Arial" w:eastAsia="Arial" w:hAnsi="Arial"/>
                  <w:sz w:val="16"/>
                  <w:szCs w:val="16"/>
                  <w:color w:val="0000FF"/>
                </w:rPr>
                <w:t>LLC, as Lender, to the Amended and Restated Loan Agreement, dated as of June 3, 2004 (Incorporated by reference to Exhibit 10.37(c) to</w:t>
              </w:r>
            </w:hyperlink>
          </w:p>
        </w:tc>
        <w:tc>
          <w:tcPr>
            <w:tcW w:w="180" w:type="dxa"/>
            <w:vAlign w:val="bottom"/>
            <w:tcBorders>
              <w:right w:val="single" w:sz="8" w:color="auto"/>
            </w:tcBorders>
            <w:gridSpan w:val="7"/>
          </w:tcPr>
          <w:p>
            <w:pPr>
              <w:spacing w:after="0"/>
              <w:rPr>
                <w:sz w:val="14"/>
                <w:szCs w:val="14"/>
                <w:color w:val="auto"/>
              </w:rPr>
            </w:pPr>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140" w:type="dxa"/>
            <w:vAlign w:val="bottom"/>
            <w:tcBorders>
              <w:right w:val="single" w:sz="8" w:color="auto"/>
            </w:tcBorders>
            <w:gridSpan w:val="37"/>
          </w:tcPr>
          <w:p>
            <w:pPr>
              <w:spacing w:after="0" w:line="169" w:lineRule="exact"/>
              <w:rPr>
                <w:rFonts w:ascii="Arial" w:cs="Arial" w:eastAsia="Arial" w:hAnsi="Arial"/>
                <w:sz w:val="16"/>
                <w:szCs w:val="16"/>
                <w:color w:val="0000FF"/>
              </w:rPr>
            </w:pPr>
            <w:hyperlink r:id="rId213">
              <w:r>
                <w:rPr>
                  <w:rFonts w:ascii="Arial" w:cs="Arial" w:eastAsia="Arial" w:hAnsi="Arial"/>
                  <w:sz w:val="16"/>
                  <w:szCs w:val="16"/>
                  <w:color w:val="0000FF"/>
                </w:rPr>
                <w:t>the Company’s Annual Report on Form 10-K for the year ended December 31, 2013, dated February 20, 2014).</w:t>
              </w:r>
            </w:hyperlink>
          </w:p>
        </w:tc>
      </w:tr>
      <w:tr>
        <w:trPr>
          <w:trHeight w:val="34"/>
        </w:trPr>
        <w:tc>
          <w:tcPr>
            <w:tcW w:w="1160" w:type="dxa"/>
            <w:vAlign w:val="bottom"/>
            <w:tcBorders>
              <w:left w:val="single" w:sz="8" w:color="auto"/>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20" w:type="dxa"/>
            <w:vAlign w:val="bottom"/>
            <w:tcBorders>
              <w:top w:val="single" w:sz="8" w:color="0000FF"/>
              <w:bottom w:val="single" w:sz="8" w:color="auto"/>
            </w:tcBorders>
          </w:tcPr>
          <w:p>
            <w:pPr>
              <w:spacing w:after="0"/>
              <w:rPr>
                <w:sz w:val="2"/>
                <w:szCs w:val="2"/>
                <w:color w:val="auto"/>
              </w:rPr>
            </w:pPr>
          </w:p>
        </w:tc>
        <w:tc>
          <w:tcPr>
            <w:tcW w:w="220" w:type="dxa"/>
            <w:vAlign w:val="bottom"/>
            <w:tcBorders>
              <w:top w:val="single" w:sz="8" w:color="0000FF"/>
              <w:bottom w:val="single" w:sz="8" w:color="auto"/>
            </w:tcBorders>
          </w:tcPr>
          <w:p>
            <w:pPr>
              <w:spacing w:after="0"/>
              <w:rPr>
                <w:sz w:val="2"/>
                <w:szCs w:val="2"/>
                <w:color w:val="auto"/>
              </w:rPr>
            </w:pPr>
          </w:p>
        </w:tc>
        <w:tc>
          <w:tcPr>
            <w:tcW w:w="1760" w:type="dxa"/>
            <w:vAlign w:val="bottom"/>
            <w:tcBorders>
              <w:top w:val="single" w:sz="8" w:color="0000FF"/>
              <w:bottom w:val="single" w:sz="8" w:color="auto"/>
            </w:tcBorders>
          </w:tcPr>
          <w:p>
            <w:pPr>
              <w:spacing w:after="0"/>
              <w:rPr>
                <w:sz w:val="2"/>
                <w:szCs w:val="2"/>
                <w:color w:val="auto"/>
              </w:rPr>
            </w:pPr>
          </w:p>
        </w:tc>
        <w:tc>
          <w:tcPr>
            <w:tcW w:w="460" w:type="dxa"/>
            <w:vAlign w:val="bottom"/>
            <w:tcBorders>
              <w:top w:val="single" w:sz="8" w:color="0000FF"/>
              <w:bottom w:val="single" w:sz="8" w:color="auto"/>
            </w:tcBorders>
          </w:tcPr>
          <w:p>
            <w:pPr>
              <w:spacing w:after="0"/>
              <w:rPr>
                <w:sz w:val="2"/>
                <w:szCs w:val="2"/>
                <w:color w:val="auto"/>
              </w:rPr>
            </w:pPr>
          </w:p>
        </w:tc>
        <w:tc>
          <w:tcPr>
            <w:tcW w:w="100" w:type="dxa"/>
            <w:vAlign w:val="bottom"/>
            <w:tcBorders>
              <w:top w:val="single" w:sz="8" w:color="0000FF"/>
              <w:bottom w:val="single" w:sz="8" w:color="auto"/>
            </w:tcBorders>
          </w:tcPr>
          <w:p>
            <w:pPr>
              <w:spacing w:after="0"/>
              <w:rPr>
                <w:sz w:val="2"/>
                <w:szCs w:val="2"/>
                <w:color w:val="auto"/>
              </w:rPr>
            </w:pPr>
          </w:p>
        </w:tc>
        <w:tc>
          <w:tcPr>
            <w:tcW w:w="460" w:type="dxa"/>
            <w:vAlign w:val="bottom"/>
            <w:tcBorders>
              <w:top w:val="single" w:sz="8" w:color="0000FF"/>
              <w:bottom w:val="single" w:sz="8" w:color="auto"/>
            </w:tcBorders>
          </w:tcPr>
          <w:p>
            <w:pPr>
              <w:spacing w:after="0"/>
              <w:rPr>
                <w:sz w:val="2"/>
                <w:szCs w:val="2"/>
                <w:color w:val="auto"/>
              </w:rPr>
            </w:pPr>
          </w:p>
        </w:tc>
        <w:tc>
          <w:tcPr>
            <w:tcW w:w="720" w:type="dxa"/>
            <w:vAlign w:val="bottom"/>
            <w:tcBorders>
              <w:top w:val="single" w:sz="8" w:color="0000FF"/>
              <w:bottom w:val="single" w:sz="8" w:color="auto"/>
            </w:tcBorders>
          </w:tcPr>
          <w:p>
            <w:pPr>
              <w:spacing w:after="0"/>
              <w:rPr>
                <w:sz w:val="2"/>
                <w:szCs w:val="2"/>
                <w:color w:val="auto"/>
              </w:rPr>
            </w:pPr>
          </w:p>
        </w:tc>
        <w:tc>
          <w:tcPr>
            <w:tcW w:w="140" w:type="dxa"/>
            <w:vAlign w:val="bottom"/>
            <w:tcBorders>
              <w:top w:val="single" w:sz="8" w:color="0000FF"/>
              <w:bottom w:val="single" w:sz="8" w:color="auto"/>
            </w:tcBorders>
          </w:tcPr>
          <w:p>
            <w:pPr>
              <w:spacing w:after="0"/>
              <w:rPr>
                <w:sz w:val="2"/>
                <w:szCs w:val="2"/>
                <w:color w:val="auto"/>
              </w:rPr>
            </w:pPr>
          </w:p>
        </w:tc>
        <w:tc>
          <w:tcPr>
            <w:tcW w:w="1040" w:type="dxa"/>
            <w:vAlign w:val="bottom"/>
            <w:tcBorders>
              <w:top w:val="single" w:sz="8" w:color="0000FF"/>
              <w:bottom w:val="single" w:sz="8" w:color="auto"/>
            </w:tcBorders>
          </w:tcPr>
          <w:p>
            <w:pPr>
              <w:spacing w:after="0"/>
              <w:rPr>
                <w:sz w:val="2"/>
                <w:szCs w:val="2"/>
                <w:color w:val="auto"/>
              </w:rPr>
            </w:pPr>
          </w:p>
        </w:tc>
        <w:tc>
          <w:tcPr>
            <w:tcW w:w="200" w:type="dxa"/>
            <w:vAlign w:val="bottom"/>
            <w:tcBorders>
              <w:top w:val="single" w:sz="8" w:color="0000FF"/>
              <w:bottom w:val="single" w:sz="8" w:color="auto"/>
            </w:tcBorders>
          </w:tcPr>
          <w:p>
            <w:pPr>
              <w:spacing w:after="0"/>
              <w:rPr>
                <w:sz w:val="2"/>
                <w:szCs w:val="2"/>
                <w:color w:val="auto"/>
              </w:rPr>
            </w:pPr>
          </w:p>
        </w:tc>
        <w:tc>
          <w:tcPr>
            <w:tcW w:w="1360" w:type="dxa"/>
            <w:vAlign w:val="bottom"/>
            <w:tcBorders>
              <w:top w:val="single" w:sz="8" w:color="0000FF"/>
              <w:bottom w:val="single" w:sz="8" w:color="auto"/>
            </w:tcBorders>
          </w:tcPr>
          <w:p>
            <w:pPr>
              <w:spacing w:after="0"/>
              <w:rPr>
                <w:sz w:val="2"/>
                <w:szCs w:val="2"/>
                <w:color w:val="auto"/>
              </w:rPr>
            </w:pPr>
          </w:p>
        </w:tc>
        <w:tc>
          <w:tcPr>
            <w:tcW w:w="120" w:type="dxa"/>
            <w:vAlign w:val="bottom"/>
            <w:tcBorders>
              <w:top w:val="single" w:sz="8" w:color="0000FF"/>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right w:val="single" w:sz="8" w:color="auto"/>
            </w:tcBorders>
          </w:tcPr>
          <w:p>
            <w:pPr>
              <w:spacing w:after="0"/>
              <w:rPr>
                <w:sz w:val="2"/>
                <w:szCs w:val="2"/>
                <w:color w:val="auto"/>
              </w:rPr>
            </w:pPr>
          </w:p>
        </w:tc>
      </w:tr>
      <w:tr>
        <w:trPr>
          <w:trHeight w:val="183"/>
        </w:trPr>
        <w:tc>
          <w:tcPr>
            <w:tcW w:w="1160" w:type="dxa"/>
            <w:vAlign w:val="bottom"/>
            <w:tcBorders>
              <w:left w:val="single" w:sz="8" w:color="auto"/>
              <w:right w:val="single" w:sz="8" w:color="auto"/>
            </w:tcBorders>
          </w:tcPr>
          <w:p>
            <w:pPr>
              <w:ind w:left="40"/>
              <w:spacing w:after="0" w:line="183" w:lineRule="exact"/>
              <w:rPr>
                <w:sz w:val="20"/>
                <w:szCs w:val="20"/>
                <w:color w:val="auto"/>
              </w:rPr>
            </w:pPr>
            <w:r>
              <w:rPr>
                <w:rFonts w:ascii="Arial" w:cs="Arial" w:eastAsia="Arial" w:hAnsi="Arial"/>
                <w:sz w:val="16"/>
                <w:szCs w:val="16"/>
                <w:color w:val="auto"/>
              </w:rPr>
              <w:t>10.38</w:t>
            </w:r>
          </w:p>
        </w:tc>
        <w:tc>
          <w:tcPr>
            <w:tcW w:w="12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0000" w:type="dxa"/>
            <w:vAlign w:val="bottom"/>
            <w:tcBorders>
              <w:bottom w:val="single" w:sz="8" w:color="0000FF"/>
            </w:tcBorders>
            <w:gridSpan w:val="32"/>
          </w:tcPr>
          <w:p>
            <w:pPr>
              <w:spacing w:after="0" w:line="183" w:lineRule="exact"/>
              <w:rPr>
                <w:rFonts w:ascii="Arial" w:cs="Arial" w:eastAsia="Arial" w:hAnsi="Arial"/>
                <w:sz w:val="16"/>
                <w:szCs w:val="16"/>
                <w:color w:val="0000FF"/>
              </w:rPr>
            </w:pPr>
            <w:hyperlink r:id="rId214">
              <w:r>
                <w:rPr>
                  <w:rFonts w:ascii="Arial" w:cs="Arial" w:eastAsia="Arial" w:hAnsi="Arial"/>
                  <w:sz w:val="16"/>
                  <w:szCs w:val="16"/>
                  <w:color w:val="0000FF"/>
                </w:rPr>
                <w:t>Second Amended and Restated Master Motor Vehicle Operating Lease Agreement, dated as of June 3, 2004, among AESOP Leasing L.P.,</w:t>
              </w:r>
            </w:hyperlink>
          </w:p>
        </w:tc>
        <w:tc>
          <w:tcPr>
            <w:tcW w:w="140" w:type="dxa"/>
            <w:vAlign w:val="bottom"/>
            <w:tcBorders>
              <w:right w:val="single" w:sz="8" w:color="auto"/>
            </w:tcBorders>
            <w:gridSpan w:val="5"/>
          </w:tcPr>
          <w:p>
            <w:pPr>
              <w:spacing w:after="0"/>
              <w:rPr>
                <w:sz w:val="15"/>
                <w:szCs w:val="15"/>
                <w:color w:val="auto"/>
              </w:rPr>
            </w:pPr>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140" w:type="dxa"/>
            <w:vAlign w:val="bottom"/>
            <w:tcBorders>
              <w:right w:val="single" w:sz="8" w:color="auto"/>
            </w:tcBorders>
            <w:gridSpan w:val="37"/>
          </w:tcPr>
          <w:p>
            <w:pPr>
              <w:spacing w:after="0" w:line="169" w:lineRule="exact"/>
              <w:rPr>
                <w:rFonts w:ascii="Arial" w:cs="Arial" w:eastAsia="Arial" w:hAnsi="Arial"/>
                <w:sz w:val="16"/>
                <w:szCs w:val="16"/>
                <w:color w:val="0000FF"/>
              </w:rPr>
            </w:pPr>
            <w:hyperlink r:id="rId214">
              <w:r>
                <w:rPr>
                  <w:rFonts w:ascii="Arial" w:cs="Arial" w:eastAsia="Arial" w:hAnsi="Arial"/>
                  <w:sz w:val="16"/>
                  <w:szCs w:val="16"/>
                  <w:color w:val="0000FF"/>
                </w:rPr>
                <w:t>as Lessor, and Cendant Car Rental Group, Inc.**, as Lessee and as Administrator (Incorporated by reference to Exhibit 10.9 to the</w:t>
              </w:r>
            </w:hyperlink>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9380" w:type="dxa"/>
            <w:vAlign w:val="bottom"/>
            <w:tcBorders>
              <w:top w:val="single" w:sz="8" w:color="0000FF"/>
            </w:tcBorders>
            <w:gridSpan w:val="17"/>
          </w:tcPr>
          <w:p>
            <w:pPr>
              <w:spacing w:after="0" w:line="169" w:lineRule="exact"/>
              <w:rPr>
                <w:rFonts w:ascii="Arial" w:cs="Arial" w:eastAsia="Arial" w:hAnsi="Arial"/>
                <w:sz w:val="16"/>
                <w:szCs w:val="16"/>
                <w:color w:val="0000FF"/>
              </w:rPr>
            </w:pPr>
            <w:hyperlink r:id="rId214">
              <w:r>
                <w:rPr>
                  <w:rFonts w:ascii="Arial" w:cs="Arial" w:eastAsia="Arial" w:hAnsi="Arial"/>
                  <w:sz w:val="16"/>
                  <w:szCs w:val="16"/>
                  <w:color w:val="0000FF"/>
                </w:rPr>
                <w:t>Company’s Quarterly Report on Form 10-Q for the quarterly period ended June 30, 2004, dated August 2, 2004).</w:t>
              </w:r>
            </w:hyperlink>
          </w:p>
        </w:tc>
        <w:tc>
          <w:tcPr>
            <w:tcW w:w="760" w:type="dxa"/>
            <w:vAlign w:val="bottom"/>
            <w:tcBorders>
              <w:right w:val="single" w:sz="8" w:color="auto"/>
            </w:tcBorders>
            <w:gridSpan w:val="20"/>
          </w:tcPr>
          <w:p>
            <w:pPr>
              <w:spacing w:after="0"/>
              <w:rPr>
                <w:sz w:val="14"/>
                <w:szCs w:val="14"/>
                <w:color w:val="auto"/>
              </w:rPr>
            </w:pPr>
          </w:p>
        </w:tc>
      </w:tr>
      <w:tr>
        <w:trPr>
          <w:trHeight w:val="34"/>
        </w:trPr>
        <w:tc>
          <w:tcPr>
            <w:tcW w:w="1160" w:type="dxa"/>
            <w:vAlign w:val="bottom"/>
            <w:tcBorders>
              <w:left w:val="single" w:sz="8" w:color="auto"/>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20" w:type="dxa"/>
            <w:vAlign w:val="bottom"/>
            <w:tcBorders>
              <w:top w:val="single" w:sz="8" w:color="0000FF"/>
              <w:bottom w:val="single" w:sz="8" w:color="auto"/>
            </w:tcBorders>
          </w:tcPr>
          <w:p>
            <w:pPr>
              <w:spacing w:after="0"/>
              <w:rPr>
                <w:sz w:val="2"/>
                <w:szCs w:val="2"/>
                <w:color w:val="auto"/>
              </w:rPr>
            </w:pPr>
          </w:p>
        </w:tc>
        <w:tc>
          <w:tcPr>
            <w:tcW w:w="220" w:type="dxa"/>
            <w:vAlign w:val="bottom"/>
            <w:tcBorders>
              <w:top w:val="single" w:sz="8" w:color="0000FF"/>
              <w:bottom w:val="single" w:sz="8" w:color="auto"/>
            </w:tcBorders>
          </w:tcPr>
          <w:p>
            <w:pPr>
              <w:spacing w:after="0"/>
              <w:rPr>
                <w:sz w:val="2"/>
                <w:szCs w:val="2"/>
                <w:color w:val="auto"/>
              </w:rPr>
            </w:pPr>
          </w:p>
        </w:tc>
        <w:tc>
          <w:tcPr>
            <w:tcW w:w="1760" w:type="dxa"/>
            <w:vAlign w:val="bottom"/>
            <w:tcBorders>
              <w:top w:val="single" w:sz="8" w:color="0000FF"/>
              <w:bottom w:val="single" w:sz="8" w:color="auto"/>
            </w:tcBorders>
          </w:tcPr>
          <w:p>
            <w:pPr>
              <w:spacing w:after="0"/>
              <w:rPr>
                <w:sz w:val="2"/>
                <w:szCs w:val="2"/>
                <w:color w:val="auto"/>
              </w:rPr>
            </w:pPr>
          </w:p>
        </w:tc>
        <w:tc>
          <w:tcPr>
            <w:tcW w:w="460" w:type="dxa"/>
            <w:vAlign w:val="bottom"/>
            <w:tcBorders>
              <w:top w:val="single" w:sz="8" w:color="0000FF"/>
              <w:bottom w:val="single" w:sz="8" w:color="auto"/>
            </w:tcBorders>
          </w:tcPr>
          <w:p>
            <w:pPr>
              <w:spacing w:after="0"/>
              <w:rPr>
                <w:sz w:val="2"/>
                <w:szCs w:val="2"/>
                <w:color w:val="auto"/>
              </w:rPr>
            </w:pPr>
          </w:p>
        </w:tc>
        <w:tc>
          <w:tcPr>
            <w:tcW w:w="100" w:type="dxa"/>
            <w:vAlign w:val="bottom"/>
            <w:tcBorders>
              <w:top w:val="single" w:sz="8" w:color="0000FF"/>
              <w:bottom w:val="single" w:sz="8" w:color="auto"/>
            </w:tcBorders>
          </w:tcPr>
          <w:p>
            <w:pPr>
              <w:spacing w:after="0"/>
              <w:rPr>
                <w:sz w:val="2"/>
                <w:szCs w:val="2"/>
                <w:color w:val="auto"/>
              </w:rPr>
            </w:pPr>
          </w:p>
        </w:tc>
        <w:tc>
          <w:tcPr>
            <w:tcW w:w="460" w:type="dxa"/>
            <w:vAlign w:val="bottom"/>
            <w:tcBorders>
              <w:top w:val="single" w:sz="8" w:color="0000FF"/>
              <w:bottom w:val="single" w:sz="8" w:color="auto"/>
            </w:tcBorders>
          </w:tcPr>
          <w:p>
            <w:pPr>
              <w:spacing w:after="0"/>
              <w:rPr>
                <w:sz w:val="2"/>
                <w:szCs w:val="2"/>
                <w:color w:val="auto"/>
              </w:rPr>
            </w:pPr>
          </w:p>
        </w:tc>
        <w:tc>
          <w:tcPr>
            <w:tcW w:w="720" w:type="dxa"/>
            <w:vAlign w:val="bottom"/>
            <w:tcBorders>
              <w:top w:val="single" w:sz="8" w:color="0000FF"/>
              <w:bottom w:val="single" w:sz="8" w:color="auto"/>
            </w:tcBorders>
          </w:tcPr>
          <w:p>
            <w:pPr>
              <w:spacing w:after="0"/>
              <w:rPr>
                <w:sz w:val="2"/>
                <w:szCs w:val="2"/>
                <w:color w:val="auto"/>
              </w:rPr>
            </w:pPr>
          </w:p>
        </w:tc>
        <w:tc>
          <w:tcPr>
            <w:tcW w:w="140" w:type="dxa"/>
            <w:vAlign w:val="bottom"/>
            <w:tcBorders>
              <w:top w:val="single" w:sz="8" w:color="0000FF"/>
              <w:bottom w:val="single" w:sz="8" w:color="auto"/>
            </w:tcBorders>
          </w:tcPr>
          <w:p>
            <w:pPr>
              <w:spacing w:after="0"/>
              <w:rPr>
                <w:sz w:val="2"/>
                <w:szCs w:val="2"/>
                <w:color w:val="auto"/>
              </w:rPr>
            </w:pPr>
          </w:p>
        </w:tc>
        <w:tc>
          <w:tcPr>
            <w:tcW w:w="1040" w:type="dxa"/>
            <w:vAlign w:val="bottom"/>
            <w:tcBorders>
              <w:top w:val="single" w:sz="8" w:color="0000FF"/>
              <w:bottom w:val="single" w:sz="8" w:color="auto"/>
            </w:tcBorders>
          </w:tcPr>
          <w:p>
            <w:pPr>
              <w:spacing w:after="0"/>
              <w:rPr>
                <w:sz w:val="2"/>
                <w:szCs w:val="2"/>
                <w:color w:val="auto"/>
              </w:rPr>
            </w:pPr>
          </w:p>
        </w:tc>
        <w:tc>
          <w:tcPr>
            <w:tcW w:w="200" w:type="dxa"/>
            <w:vAlign w:val="bottom"/>
            <w:tcBorders>
              <w:top w:val="single" w:sz="8" w:color="0000FF"/>
              <w:bottom w:val="single" w:sz="8" w:color="auto"/>
            </w:tcBorders>
          </w:tcPr>
          <w:p>
            <w:pPr>
              <w:spacing w:after="0"/>
              <w:rPr>
                <w:sz w:val="2"/>
                <w:szCs w:val="2"/>
                <w:color w:val="auto"/>
              </w:rPr>
            </w:pPr>
          </w:p>
        </w:tc>
        <w:tc>
          <w:tcPr>
            <w:tcW w:w="1360" w:type="dxa"/>
            <w:vAlign w:val="bottom"/>
            <w:tcBorders>
              <w:top w:val="single" w:sz="8" w:color="0000FF"/>
              <w:bottom w:val="single" w:sz="8" w:color="auto"/>
            </w:tcBorders>
          </w:tcPr>
          <w:p>
            <w:pPr>
              <w:spacing w:after="0"/>
              <w:rPr>
                <w:sz w:val="2"/>
                <w:szCs w:val="2"/>
                <w:color w:val="auto"/>
              </w:rPr>
            </w:pPr>
          </w:p>
        </w:tc>
        <w:tc>
          <w:tcPr>
            <w:tcW w:w="120" w:type="dxa"/>
            <w:vAlign w:val="bottom"/>
            <w:tcBorders>
              <w:top w:val="single" w:sz="8" w:color="0000FF"/>
              <w:bottom w:val="single" w:sz="8" w:color="auto"/>
            </w:tcBorders>
          </w:tcPr>
          <w:p>
            <w:pPr>
              <w:spacing w:after="0"/>
              <w:rPr>
                <w:sz w:val="2"/>
                <w:szCs w:val="2"/>
                <w:color w:val="auto"/>
              </w:rPr>
            </w:pPr>
          </w:p>
        </w:tc>
        <w:tc>
          <w:tcPr>
            <w:tcW w:w="80" w:type="dxa"/>
            <w:vAlign w:val="bottom"/>
            <w:tcBorders>
              <w:top w:val="single" w:sz="8" w:color="0000FF"/>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right w:val="single" w:sz="8" w:color="auto"/>
            </w:tcBorders>
          </w:tcPr>
          <w:p>
            <w:pPr>
              <w:spacing w:after="0"/>
              <w:rPr>
                <w:sz w:val="2"/>
                <w:szCs w:val="2"/>
                <w:color w:val="auto"/>
              </w:rPr>
            </w:pPr>
          </w:p>
        </w:tc>
      </w:tr>
      <w:tr>
        <w:trPr>
          <w:trHeight w:val="183"/>
        </w:trPr>
        <w:tc>
          <w:tcPr>
            <w:tcW w:w="1160" w:type="dxa"/>
            <w:vAlign w:val="bottom"/>
            <w:tcBorders>
              <w:left w:val="single" w:sz="8" w:color="auto"/>
              <w:right w:val="single" w:sz="8" w:color="auto"/>
            </w:tcBorders>
          </w:tcPr>
          <w:p>
            <w:pPr>
              <w:ind w:left="40"/>
              <w:spacing w:after="0" w:line="183" w:lineRule="exact"/>
              <w:rPr>
                <w:sz w:val="20"/>
                <w:szCs w:val="20"/>
                <w:color w:val="auto"/>
              </w:rPr>
            </w:pPr>
            <w:r>
              <w:rPr>
                <w:rFonts w:ascii="Arial" w:cs="Arial" w:eastAsia="Arial" w:hAnsi="Arial"/>
                <w:sz w:val="16"/>
                <w:szCs w:val="16"/>
                <w:color w:val="auto"/>
              </w:rPr>
              <w:t>10.38(a)</w:t>
            </w:r>
          </w:p>
        </w:tc>
        <w:tc>
          <w:tcPr>
            <w:tcW w:w="12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0060" w:type="dxa"/>
            <w:vAlign w:val="bottom"/>
            <w:tcBorders>
              <w:bottom w:val="single" w:sz="8" w:color="0000FF"/>
            </w:tcBorders>
            <w:gridSpan w:val="35"/>
          </w:tcPr>
          <w:p>
            <w:pPr>
              <w:spacing w:after="0" w:line="183" w:lineRule="exact"/>
              <w:rPr>
                <w:rFonts w:ascii="Arial" w:cs="Arial" w:eastAsia="Arial" w:hAnsi="Arial"/>
                <w:sz w:val="16"/>
                <w:szCs w:val="16"/>
                <w:color w:val="0000FF"/>
              </w:rPr>
            </w:pPr>
            <w:hyperlink r:id="rId215">
              <w:r>
                <w:rPr>
                  <w:rFonts w:ascii="Arial" w:cs="Arial" w:eastAsia="Arial" w:hAnsi="Arial"/>
                  <w:sz w:val="16"/>
                  <w:szCs w:val="16"/>
                  <w:color w:val="0000FF"/>
                </w:rPr>
                <w:t>First Amendment, dated December 23, 2005, among AESOP Leasing L.P., as Lessor, and Cendant Car Rental Group, Inc.**, as Lessee and</w:t>
              </w:r>
            </w:hyperlink>
          </w:p>
        </w:tc>
        <w:tc>
          <w:tcPr>
            <w:tcW w:w="80" w:type="dxa"/>
            <w:vAlign w:val="bottom"/>
            <w:tcBorders>
              <w:right w:val="single" w:sz="8" w:color="auto"/>
            </w:tcBorders>
            <w:gridSpan w:val="2"/>
          </w:tcPr>
          <w:p>
            <w:pPr>
              <w:spacing w:after="0"/>
              <w:rPr>
                <w:sz w:val="15"/>
                <w:szCs w:val="15"/>
                <w:color w:val="auto"/>
              </w:rPr>
            </w:pPr>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40" w:type="dxa"/>
            <w:vAlign w:val="bottom"/>
            <w:tcBorders>
              <w:bottom w:val="single" w:sz="8" w:color="0000FF"/>
            </w:tcBorders>
            <w:gridSpan w:val="34"/>
          </w:tcPr>
          <w:p>
            <w:pPr>
              <w:spacing w:after="0" w:line="169" w:lineRule="exact"/>
              <w:rPr>
                <w:rFonts w:ascii="Arial" w:cs="Arial" w:eastAsia="Arial" w:hAnsi="Arial"/>
                <w:sz w:val="16"/>
                <w:szCs w:val="16"/>
                <w:color w:val="0000FF"/>
              </w:rPr>
            </w:pPr>
            <w:hyperlink r:id="rId215">
              <w:r>
                <w:rPr>
                  <w:rFonts w:ascii="Arial" w:cs="Arial" w:eastAsia="Arial" w:hAnsi="Arial"/>
                  <w:sz w:val="16"/>
                  <w:szCs w:val="16"/>
                  <w:color w:val="0000FF"/>
                </w:rPr>
                <w:t>as Administrator, to the Second Amended and Restated Master Motor Vehicle Operating Lease Agreement, dated as of December 23, 2005</w:t>
              </w:r>
            </w:hyperlink>
          </w:p>
        </w:tc>
        <w:tc>
          <w:tcPr>
            <w:tcW w:w="100" w:type="dxa"/>
            <w:vAlign w:val="bottom"/>
            <w:tcBorders>
              <w:right w:val="single" w:sz="8" w:color="auto"/>
            </w:tcBorders>
            <w:gridSpan w:val="3"/>
          </w:tcPr>
          <w:p>
            <w:pPr>
              <w:spacing w:after="0"/>
              <w:rPr>
                <w:sz w:val="14"/>
                <w:szCs w:val="14"/>
                <w:color w:val="auto"/>
              </w:rPr>
            </w:pPr>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140" w:type="dxa"/>
            <w:vAlign w:val="bottom"/>
            <w:tcBorders>
              <w:right w:val="single" w:sz="8" w:color="auto"/>
            </w:tcBorders>
            <w:gridSpan w:val="37"/>
          </w:tcPr>
          <w:p>
            <w:pPr>
              <w:spacing w:after="0" w:line="169" w:lineRule="exact"/>
              <w:rPr>
                <w:rFonts w:ascii="Arial" w:cs="Arial" w:eastAsia="Arial" w:hAnsi="Arial"/>
                <w:sz w:val="16"/>
                <w:szCs w:val="16"/>
                <w:color w:val="0000FF"/>
              </w:rPr>
            </w:pPr>
            <w:hyperlink r:id="rId215">
              <w:r>
                <w:rPr>
                  <w:rFonts w:ascii="Arial" w:cs="Arial" w:eastAsia="Arial" w:hAnsi="Arial"/>
                  <w:sz w:val="16"/>
                  <w:szCs w:val="16"/>
                  <w:color w:val="0000FF"/>
                </w:rPr>
                <w:t>(Incorporated by reference to Exhibit 10.3 to the Company’s Current Report on Form 8-K dated January 20, 2006).</w:t>
              </w:r>
            </w:hyperlink>
          </w:p>
        </w:tc>
      </w:tr>
      <w:tr>
        <w:trPr>
          <w:trHeight w:val="34"/>
        </w:trPr>
        <w:tc>
          <w:tcPr>
            <w:tcW w:w="1160" w:type="dxa"/>
            <w:vAlign w:val="bottom"/>
            <w:tcBorders>
              <w:left w:val="single" w:sz="8" w:color="auto"/>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20" w:type="dxa"/>
            <w:vAlign w:val="bottom"/>
            <w:tcBorders>
              <w:top w:val="single" w:sz="8" w:color="0000FF"/>
              <w:bottom w:val="single" w:sz="8" w:color="auto"/>
            </w:tcBorders>
          </w:tcPr>
          <w:p>
            <w:pPr>
              <w:spacing w:after="0"/>
              <w:rPr>
                <w:sz w:val="2"/>
                <w:szCs w:val="2"/>
                <w:color w:val="auto"/>
              </w:rPr>
            </w:pPr>
          </w:p>
        </w:tc>
        <w:tc>
          <w:tcPr>
            <w:tcW w:w="220" w:type="dxa"/>
            <w:vAlign w:val="bottom"/>
            <w:tcBorders>
              <w:top w:val="single" w:sz="8" w:color="0000FF"/>
              <w:bottom w:val="single" w:sz="8" w:color="auto"/>
            </w:tcBorders>
          </w:tcPr>
          <w:p>
            <w:pPr>
              <w:spacing w:after="0"/>
              <w:rPr>
                <w:sz w:val="2"/>
                <w:szCs w:val="2"/>
                <w:color w:val="auto"/>
              </w:rPr>
            </w:pPr>
          </w:p>
        </w:tc>
        <w:tc>
          <w:tcPr>
            <w:tcW w:w="1760" w:type="dxa"/>
            <w:vAlign w:val="bottom"/>
            <w:tcBorders>
              <w:top w:val="single" w:sz="8" w:color="0000FF"/>
              <w:bottom w:val="single" w:sz="8" w:color="auto"/>
            </w:tcBorders>
          </w:tcPr>
          <w:p>
            <w:pPr>
              <w:spacing w:after="0"/>
              <w:rPr>
                <w:sz w:val="2"/>
                <w:szCs w:val="2"/>
                <w:color w:val="auto"/>
              </w:rPr>
            </w:pPr>
          </w:p>
        </w:tc>
        <w:tc>
          <w:tcPr>
            <w:tcW w:w="460" w:type="dxa"/>
            <w:vAlign w:val="bottom"/>
            <w:tcBorders>
              <w:top w:val="single" w:sz="8" w:color="0000FF"/>
              <w:bottom w:val="single" w:sz="8" w:color="auto"/>
            </w:tcBorders>
          </w:tcPr>
          <w:p>
            <w:pPr>
              <w:spacing w:after="0"/>
              <w:rPr>
                <w:sz w:val="2"/>
                <w:szCs w:val="2"/>
                <w:color w:val="auto"/>
              </w:rPr>
            </w:pPr>
          </w:p>
        </w:tc>
        <w:tc>
          <w:tcPr>
            <w:tcW w:w="100" w:type="dxa"/>
            <w:vAlign w:val="bottom"/>
            <w:tcBorders>
              <w:top w:val="single" w:sz="8" w:color="0000FF"/>
              <w:bottom w:val="single" w:sz="8" w:color="auto"/>
            </w:tcBorders>
          </w:tcPr>
          <w:p>
            <w:pPr>
              <w:spacing w:after="0"/>
              <w:rPr>
                <w:sz w:val="2"/>
                <w:szCs w:val="2"/>
                <w:color w:val="auto"/>
              </w:rPr>
            </w:pPr>
          </w:p>
        </w:tc>
        <w:tc>
          <w:tcPr>
            <w:tcW w:w="460" w:type="dxa"/>
            <w:vAlign w:val="bottom"/>
            <w:tcBorders>
              <w:top w:val="single" w:sz="8" w:color="0000FF"/>
              <w:bottom w:val="single" w:sz="8" w:color="auto"/>
            </w:tcBorders>
          </w:tcPr>
          <w:p>
            <w:pPr>
              <w:spacing w:after="0"/>
              <w:rPr>
                <w:sz w:val="2"/>
                <w:szCs w:val="2"/>
                <w:color w:val="auto"/>
              </w:rPr>
            </w:pPr>
          </w:p>
        </w:tc>
        <w:tc>
          <w:tcPr>
            <w:tcW w:w="720" w:type="dxa"/>
            <w:vAlign w:val="bottom"/>
            <w:tcBorders>
              <w:top w:val="single" w:sz="8" w:color="0000FF"/>
              <w:bottom w:val="single" w:sz="8" w:color="auto"/>
            </w:tcBorders>
          </w:tcPr>
          <w:p>
            <w:pPr>
              <w:spacing w:after="0"/>
              <w:rPr>
                <w:sz w:val="2"/>
                <w:szCs w:val="2"/>
                <w:color w:val="auto"/>
              </w:rPr>
            </w:pPr>
          </w:p>
        </w:tc>
        <w:tc>
          <w:tcPr>
            <w:tcW w:w="140" w:type="dxa"/>
            <w:vAlign w:val="bottom"/>
            <w:tcBorders>
              <w:top w:val="single" w:sz="8" w:color="0000FF"/>
              <w:bottom w:val="single" w:sz="8" w:color="auto"/>
            </w:tcBorders>
          </w:tcPr>
          <w:p>
            <w:pPr>
              <w:spacing w:after="0"/>
              <w:rPr>
                <w:sz w:val="2"/>
                <w:szCs w:val="2"/>
                <w:color w:val="auto"/>
              </w:rPr>
            </w:pPr>
          </w:p>
        </w:tc>
        <w:tc>
          <w:tcPr>
            <w:tcW w:w="1040" w:type="dxa"/>
            <w:vAlign w:val="bottom"/>
            <w:tcBorders>
              <w:top w:val="single" w:sz="8" w:color="0000FF"/>
              <w:bottom w:val="single" w:sz="8" w:color="auto"/>
            </w:tcBorders>
          </w:tcPr>
          <w:p>
            <w:pPr>
              <w:spacing w:after="0"/>
              <w:rPr>
                <w:sz w:val="2"/>
                <w:szCs w:val="2"/>
                <w:color w:val="auto"/>
              </w:rPr>
            </w:pPr>
          </w:p>
        </w:tc>
        <w:tc>
          <w:tcPr>
            <w:tcW w:w="200" w:type="dxa"/>
            <w:vAlign w:val="bottom"/>
            <w:tcBorders>
              <w:top w:val="single" w:sz="8" w:color="0000FF"/>
              <w:bottom w:val="single" w:sz="8" w:color="auto"/>
            </w:tcBorders>
          </w:tcPr>
          <w:p>
            <w:pPr>
              <w:spacing w:after="0"/>
              <w:rPr>
                <w:sz w:val="2"/>
                <w:szCs w:val="2"/>
                <w:color w:val="auto"/>
              </w:rPr>
            </w:pPr>
          </w:p>
        </w:tc>
        <w:tc>
          <w:tcPr>
            <w:tcW w:w="1360" w:type="dxa"/>
            <w:vAlign w:val="bottom"/>
            <w:tcBorders>
              <w:top w:val="single" w:sz="8" w:color="0000FF"/>
              <w:bottom w:val="single" w:sz="8" w:color="auto"/>
            </w:tcBorders>
          </w:tcPr>
          <w:p>
            <w:pPr>
              <w:spacing w:after="0"/>
              <w:rPr>
                <w:sz w:val="2"/>
                <w:szCs w:val="2"/>
                <w:color w:val="auto"/>
              </w:rPr>
            </w:pPr>
          </w:p>
        </w:tc>
        <w:tc>
          <w:tcPr>
            <w:tcW w:w="120" w:type="dxa"/>
            <w:vAlign w:val="bottom"/>
            <w:tcBorders>
              <w:top w:val="single" w:sz="8" w:color="0000FF"/>
              <w:bottom w:val="single" w:sz="8" w:color="auto"/>
            </w:tcBorders>
          </w:tcPr>
          <w:p>
            <w:pPr>
              <w:spacing w:after="0"/>
              <w:rPr>
                <w:sz w:val="2"/>
                <w:szCs w:val="2"/>
                <w:color w:val="auto"/>
              </w:rPr>
            </w:pPr>
          </w:p>
        </w:tc>
        <w:tc>
          <w:tcPr>
            <w:tcW w:w="80" w:type="dxa"/>
            <w:vAlign w:val="bottom"/>
            <w:tcBorders>
              <w:top w:val="single" w:sz="8" w:color="0000FF"/>
              <w:bottom w:val="single" w:sz="8" w:color="auto"/>
            </w:tcBorders>
          </w:tcPr>
          <w:p>
            <w:pPr>
              <w:spacing w:after="0"/>
              <w:rPr>
                <w:sz w:val="2"/>
                <w:szCs w:val="2"/>
                <w:color w:val="auto"/>
              </w:rPr>
            </w:pPr>
          </w:p>
        </w:tc>
        <w:tc>
          <w:tcPr>
            <w:tcW w:w="120" w:type="dxa"/>
            <w:vAlign w:val="bottom"/>
            <w:tcBorders>
              <w:top w:val="single" w:sz="8" w:color="0000FF"/>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right w:val="single" w:sz="8" w:color="auto"/>
            </w:tcBorders>
          </w:tcPr>
          <w:p>
            <w:pPr>
              <w:spacing w:after="0"/>
              <w:rPr>
                <w:sz w:val="2"/>
                <w:szCs w:val="2"/>
                <w:color w:val="auto"/>
              </w:rPr>
            </w:pPr>
          </w:p>
        </w:tc>
      </w:tr>
      <w:tr>
        <w:trPr>
          <w:trHeight w:val="183"/>
        </w:trPr>
        <w:tc>
          <w:tcPr>
            <w:tcW w:w="1160" w:type="dxa"/>
            <w:vAlign w:val="bottom"/>
            <w:tcBorders>
              <w:left w:val="single" w:sz="8" w:color="auto"/>
              <w:right w:val="single" w:sz="8" w:color="auto"/>
            </w:tcBorders>
          </w:tcPr>
          <w:p>
            <w:pPr>
              <w:ind w:left="40"/>
              <w:spacing w:after="0" w:line="183" w:lineRule="exact"/>
              <w:rPr>
                <w:sz w:val="20"/>
                <w:szCs w:val="20"/>
                <w:color w:val="auto"/>
              </w:rPr>
            </w:pPr>
            <w:r>
              <w:rPr>
                <w:rFonts w:ascii="Arial" w:cs="Arial" w:eastAsia="Arial" w:hAnsi="Arial"/>
                <w:sz w:val="16"/>
                <w:szCs w:val="16"/>
                <w:color w:val="auto"/>
              </w:rPr>
              <w:t>10.38(b)</w:t>
            </w:r>
          </w:p>
        </w:tc>
        <w:tc>
          <w:tcPr>
            <w:tcW w:w="12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0140" w:type="dxa"/>
            <w:vAlign w:val="bottom"/>
            <w:tcBorders>
              <w:right w:val="single" w:sz="8" w:color="auto"/>
            </w:tcBorders>
            <w:gridSpan w:val="37"/>
          </w:tcPr>
          <w:p>
            <w:pPr>
              <w:spacing w:after="0" w:line="183" w:lineRule="exact"/>
              <w:rPr>
                <w:rFonts w:ascii="Arial" w:cs="Arial" w:eastAsia="Arial" w:hAnsi="Arial"/>
                <w:sz w:val="16"/>
                <w:szCs w:val="16"/>
                <w:color w:val="0000FF"/>
              </w:rPr>
            </w:pPr>
            <w:hyperlink r:id="rId216">
              <w:r>
                <w:rPr>
                  <w:rFonts w:ascii="Arial" w:cs="Arial" w:eastAsia="Arial" w:hAnsi="Arial"/>
                  <w:sz w:val="16"/>
                  <w:szCs w:val="16"/>
                  <w:color w:val="0000FF"/>
                </w:rPr>
                <w:t>Third Amendment, dated as of May 9, 2007, among AESOP Leasing L.P., as Lessor and Avis Budget Car Rental, LLC, as Lessee and as the</w:t>
              </w:r>
            </w:hyperlink>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9320" w:type="dxa"/>
            <w:vAlign w:val="bottom"/>
            <w:tcBorders>
              <w:top w:val="single" w:sz="8" w:color="0000FF"/>
              <w:bottom w:val="single" w:sz="8" w:color="0000FF"/>
            </w:tcBorders>
            <w:gridSpan w:val="16"/>
          </w:tcPr>
          <w:p>
            <w:pPr>
              <w:spacing w:after="0" w:line="169" w:lineRule="exact"/>
              <w:rPr>
                <w:rFonts w:ascii="Arial" w:cs="Arial" w:eastAsia="Arial" w:hAnsi="Arial"/>
                <w:sz w:val="16"/>
                <w:szCs w:val="16"/>
                <w:color w:val="0000FF"/>
              </w:rPr>
            </w:pPr>
            <w:hyperlink r:id="rId216">
              <w:r>
                <w:rPr>
                  <w:rFonts w:ascii="Arial" w:cs="Arial" w:eastAsia="Arial" w:hAnsi="Arial"/>
                  <w:sz w:val="16"/>
                  <w:szCs w:val="16"/>
                  <w:color w:val="0000FF"/>
                </w:rPr>
                <w:t>Administrator, to the Second Amended and Restated Master Motor Vehicle Operating Lease Agreement, dated as of June 3, 2004</w:t>
              </w:r>
            </w:hyperlink>
          </w:p>
        </w:tc>
        <w:tc>
          <w:tcPr>
            <w:tcW w:w="760" w:type="dxa"/>
            <w:vAlign w:val="bottom"/>
            <w:tcBorders>
              <w:top w:val="single" w:sz="8" w:color="0000FF"/>
            </w:tcBorders>
            <w:gridSpan w:val="20"/>
          </w:tcPr>
          <w:p>
            <w:pPr>
              <w:spacing w:after="0"/>
              <w:rPr>
                <w:sz w:val="14"/>
                <w:szCs w:val="14"/>
                <w:color w:val="auto"/>
              </w:rPr>
            </w:pPr>
          </w:p>
        </w:tc>
        <w:tc>
          <w:tcPr>
            <w:tcW w:w="60" w:type="dxa"/>
            <w:vAlign w:val="bottom"/>
            <w:tcBorders>
              <w:right w:val="single" w:sz="8" w:color="auto"/>
            </w:tcBorders>
          </w:tcPr>
          <w:p>
            <w:pPr>
              <w:spacing w:after="0"/>
              <w:rPr>
                <w:sz w:val="14"/>
                <w:szCs w:val="14"/>
                <w:color w:val="auto"/>
              </w:rPr>
            </w:pPr>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9900" w:type="dxa"/>
            <w:vAlign w:val="bottom"/>
            <w:tcBorders>
              <w:bottom w:val="single" w:sz="8" w:color="0000FF"/>
            </w:tcBorders>
            <w:gridSpan w:val="28"/>
          </w:tcPr>
          <w:p>
            <w:pPr>
              <w:spacing w:after="0" w:line="169" w:lineRule="exact"/>
              <w:rPr>
                <w:rFonts w:ascii="Arial" w:cs="Arial" w:eastAsia="Arial" w:hAnsi="Arial"/>
                <w:sz w:val="16"/>
                <w:szCs w:val="16"/>
                <w:color w:val="0000FF"/>
              </w:rPr>
            </w:pPr>
            <w:hyperlink r:id="rId216">
              <w:r>
                <w:rPr>
                  <w:rFonts w:ascii="Arial" w:cs="Arial" w:eastAsia="Arial" w:hAnsi="Arial"/>
                  <w:sz w:val="16"/>
                  <w:szCs w:val="16"/>
                  <w:color w:val="0000FF"/>
                </w:rPr>
                <w:t>(Incorporated by reference to Exhibit 10.9 to the Company’s Quarterly Report on Form 10-Q for the quarterly period ended June 30, 2007,</w:t>
              </w:r>
            </w:hyperlink>
          </w:p>
        </w:tc>
        <w:tc>
          <w:tcPr>
            <w:tcW w:w="240" w:type="dxa"/>
            <w:vAlign w:val="bottom"/>
            <w:tcBorders>
              <w:right w:val="single" w:sz="8" w:color="auto"/>
            </w:tcBorders>
            <w:gridSpan w:val="9"/>
          </w:tcPr>
          <w:p>
            <w:pPr>
              <w:spacing w:after="0"/>
              <w:rPr>
                <w:sz w:val="14"/>
                <w:szCs w:val="14"/>
                <w:color w:val="auto"/>
              </w:rPr>
            </w:pPr>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140" w:type="dxa"/>
            <w:vAlign w:val="bottom"/>
            <w:tcBorders>
              <w:right w:val="single" w:sz="8" w:color="auto"/>
            </w:tcBorders>
            <w:gridSpan w:val="37"/>
          </w:tcPr>
          <w:p>
            <w:pPr>
              <w:spacing w:after="0" w:line="169" w:lineRule="exact"/>
              <w:rPr>
                <w:rFonts w:ascii="Arial" w:cs="Arial" w:eastAsia="Arial" w:hAnsi="Arial"/>
                <w:sz w:val="16"/>
                <w:szCs w:val="16"/>
                <w:color w:val="0000FF"/>
              </w:rPr>
            </w:pPr>
            <w:hyperlink r:id="rId216">
              <w:r>
                <w:rPr>
                  <w:rFonts w:ascii="Arial" w:cs="Arial" w:eastAsia="Arial" w:hAnsi="Arial"/>
                  <w:sz w:val="16"/>
                  <w:szCs w:val="16"/>
                  <w:color w:val="0000FF"/>
                </w:rPr>
                <w:t>dated August 8, 2007).</w:t>
              </w:r>
            </w:hyperlink>
          </w:p>
        </w:tc>
      </w:tr>
      <w:tr>
        <w:trPr>
          <w:trHeight w:val="34"/>
        </w:trPr>
        <w:tc>
          <w:tcPr>
            <w:tcW w:w="1160" w:type="dxa"/>
            <w:vAlign w:val="bottom"/>
            <w:tcBorders>
              <w:left w:val="single" w:sz="8" w:color="auto"/>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20" w:type="dxa"/>
            <w:vAlign w:val="bottom"/>
            <w:tcBorders>
              <w:top w:val="single" w:sz="8" w:color="0000FF"/>
              <w:bottom w:val="single" w:sz="8" w:color="auto"/>
            </w:tcBorders>
          </w:tcPr>
          <w:p>
            <w:pPr>
              <w:spacing w:after="0"/>
              <w:rPr>
                <w:sz w:val="2"/>
                <w:szCs w:val="2"/>
                <w:color w:val="auto"/>
              </w:rPr>
            </w:pPr>
          </w:p>
        </w:tc>
        <w:tc>
          <w:tcPr>
            <w:tcW w:w="220" w:type="dxa"/>
            <w:vAlign w:val="bottom"/>
            <w:tcBorders>
              <w:top w:val="single" w:sz="8" w:color="0000FF"/>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right w:val="single" w:sz="8" w:color="auto"/>
            </w:tcBorders>
          </w:tcPr>
          <w:p>
            <w:pPr>
              <w:spacing w:after="0"/>
              <w:rPr>
                <w:sz w:val="2"/>
                <w:szCs w:val="2"/>
                <w:color w:val="auto"/>
              </w:rPr>
            </w:pPr>
          </w:p>
        </w:tc>
      </w:tr>
      <w:tr>
        <w:trPr>
          <w:trHeight w:val="183"/>
        </w:trPr>
        <w:tc>
          <w:tcPr>
            <w:tcW w:w="1160" w:type="dxa"/>
            <w:vAlign w:val="bottom"/>
            <w:tcBorders>
              <w:left w:val="single" w:sz="8" w:color="auto"/>
              <w:right w:val="single" w:sz="8" w:color="auto"/>
            </w:tcBorders>
          </w:tcPr>
          <w:p>
            <w:pPr>
              <w:ind w:left="40"/>
              <w:spacing w:after="0" w:line="183" w:lineRule="exact"/>
              <w:rPr>
                <w:sz w:val="20"/>
                <w:szCs w:val="20"/>
                <w:color w:val="auto"/>
              </w:rPr>
            </w:pPr>
            <w:r>
              <w:rPr>
                <w:rFonts w:ascii="Arial" w:cs="Arial" w:eastAsia="Arial" w:hAnsi="Arial"/>
                <w:sz w:val="16"/>
                <w:szCs w:val="16"/>
                <w:color w:val="auto"/>
              </w:rPr>
              <w:t>10.38(c)</w:t>
            </w:r>
          </w:p>
        </w:tc>
        <w:tc>
          <w:tcPr>
            <w:tcW w:w="12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0000" w:type="dxa"/>
            <w:vAlign w:val="bottom"/>
            <w:tcBorders>
              <w:bottom w:val="single" w:sz="8" w:color="0000FF"/>
            </w:tcBorders>
            <w:gridSpan w:val="32"/>
          </w:tcPr>
          <w:p>
            <w:pPr>
              <w:spacing w:after="0" w:line="183" w:lineRule="exact"/>
              <w:rPr>
                <w:rFonts w:ascii="Arial" w:cs="Arial" w:eastAsia="Arial" w:hAnsi="Arial"/>
                <w:sz w:val="16"/>
                <w:szCs w:val="16"/>
                <w:color w:val="0000FF"/>
              </w:rPr>
            </w:pPr>
            <w:hyperlink r:id="rId217">
              <w:r>
                <w:rPr>
                  <w:rFonts w:ascii="Arial" w:cs="Arial" w:eastAsia="Arial" w:hAnsi="Arial"/>
                  <w:sz w:val="16"/>
                  <w:szCs w:val="16"/>
                  <w:color w:val="0000FF"/>
                </w:rPr>
                <w:t>Fourth Amendment, dated as of August 16, 2013, among AESOP Leasing L.P., as Lessor and Avis Budget Car Rental, LLC, as Lessee and</w:t>
              </w:r>
            </w:hyperlink>
          </w:p>
        </w:tc>
        <w:tc>
          <w:tcPr>
            <w:tcW w:w="140" w:type="dxa"/>
            <w:vAlign w:val="bottom"/>
            <w:tcBorders>
              <w:right w:val="single" w:sz="8" w:color="auto"/>
            </w:tcBorders>
            <w:gridSpan w:val="5"/>
          </w:tcPr>
          <w:p>
            <w:pPr>
              <w:spacing w:after="0"/>
              <w:rPr>
                <w:sz w:val="15"/>
                <w:szCs w:val="15"/>
                <w:color w:val="auto"/>
              </w:rPr>
            </w:pPr>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9840" w:type="dxa"/>
            <w:vAlign w:val="bottom"/>
            <w:tcBorders>
              <w:bottom w:val="single" w:sz="8" w:color="0000FF"/>
            </w:tcBorders>
            <w:gridSpan w:val="26"/>
          </w:tcPr>
          <w:p>
            <w:pPr>
              <w:spacing w:after="0" w:line="169" w:lineRule="exact"/>
              <w:rPr>
                <w:rFonts w:ascii="Arial" w:cs="Arial" w:eastAsia="Arial" w:hAnsi="Arial"/>
                <w:sz w:val="16"/>
                <w:szCs w:val="16"/>
                <w:color w:val="0000FF"/>
              </w:rPr>
            </w:pPr>
            <w:hyperlink r:id="rId217">
              <w:r>
                <w:rPr>
                  <w:rFonts w:ascii="Arial" w:cs="Arial" w:eastAsia="Arial" w:hAnsi="Arial"/>
                  <w:sz w:val="16"/>
                  <w:szCs w:val="16"/>
                  <w:color w:val="0000FF"/>
                </w:rPr>
                <w:t>as the Administrator, to the Second Amended and Restated Master Motor Vehicle Operating Lease Agreement, dated as of June 3, 2004</w:t>
              </w:r>
            </w:hyperlink>
          </w:p>
        </w:tc>
        <w:tc>
          <w:tcPr>
            <w:tcW w:w="300" w:type="dxa"/>
            <w:vAlign w:val="bottom"/>
            <w:tcBorders>
              <w:right w:val="single" w:sz="8" w:color="auto"/>
            </w:tcBorders>
            <w:gridSpan w:val="11"/>
          </w:tcPr>
          <w:p>
            <w:pPr>
              <w:spacing w:after="0"/>
              <w:rPr>
                <w:sz w:val="14"/>
                <w:szCs w:val="14"/>
                <w:color w:val="auto"/>
              </w:rPr>
            </w:pPr>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20" w:type="dxa"/>
            <w:vAlign w:val="bottom"/>
            <w:tcBorders>
              <w:bottom w:val="single" w:sz="8" w:color="0000FF"/>
            </w:tcBorders>
            <w:gridSpan w:val="33"/>
          </w:tcPr>
          <w:p>
            <w:pPr>
              <w:spacing w:after="0" w:line="169" w:lineRule="exact"/>
              <w:rPr>
                <w:rFonts w:ascii="Arial" w:cs="Arial" w:eastAsia="Arial" w:hAnsi="Arial"/>
                <w:sz w:val="16"/>
                <w:szCs w:val="16"/>
                <w:color w:val="0000FF"/>
              </w:rPr>
            </w:pPr>
            <w:hyperlink r:id="rId217">
              <w:r>
                <w:rPr>
                  <w:rFonts w:ascii="Arial" w:cs="Arial" w:eastAsia="Arial" w:hAnsi="Arial"/>
                  <w:sz w:val="16"/>
                  <w:szCs w:val="16"/>
                  <w:color w:val="0000FF"/>
                </w:rPr>
                <w:t>(Incorporated by reference to Exhibit 10.38(c) to the Company’s Annual Report on Form 10-K for the year ended December 31, 2013, dated</w:t>
              </w:r>
            </w:hyperlink>
          </w:p>
        </w:tc>
        <w:tc>
          <w:tcPr>
            <w:tcW w:w="120" w:type="dxa"/>
            <w:vAlign w:val="bottom"/>
            <w:tcBorders>
              <w:right w:val="single" w:sz="8" w:color="auto"/>
            </w:tcBorders>
            <w:gridSpan w:val="4"/>
          </w:tcPr>
          <w:p>
            <w:pPr>
              <w:spacing w:after="0"/>
              <w:rPr>
                <w:sz w:val="14"/>
                <w:szCs w:val="14"/>
                <w:color w:val="auto"/>
              </w:rPr>
            </w:pPr>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140" w:type="dxa"/>
            <w:vAlign w:val="bottom"/>
            <w:tcBorders>
              <w:right w:val="single" w:sz="8" w:color="auto"/>
            </w:tcBorders>
            <w:gridSpan w:val="37"/>
          </w:tcPr>
          <w:p>
            <w:pPr>
              <w:spacing w:after="0" w:line="169" w:lineRule="exact"/>
              <w:rPr>
                <w:rFonts w:ascii="Arial" w:cs="Arial" w:eastAsia="Arial" w:hAnsi="Arial"/>
                <w:sz w:val="16"/>
                <w:szCs w:val="16"/>
                <w:color w:val="0000FF"/>
              </w:rPr>
            </w:pPr>
            <w:hyperlink r:id="rId217">
              <w:r>
                <w:rPr>
                  <w:rFonts w:ascii="Arial" w:cs="Arial" w:eastAsia="Arial" w:hAnsi="Arial"/>
                  <w:sz w:val="16"/>
                  <w:szCs w:val="16"/>
                  <w:color w:val="0000FF"/>
                </w:rPr>
                <w:t>February 20, 2014).</w:t>
              </w:r>
            </w:hyperlink>
          </w:p>
        </w:tc>
      </w:tr>
      <w:tr>
        <w:trPr>
          <w:trHeight w:val="34"/>
        </w:trPr>
        <w:tc>
          <w:tcPr>
            <w:tcW w:w="1160" w:type="dxa"/>
            <w:vAlign w:val="bottom"/>
            <w:tcBorders>
              <w:left w:val="single" w:sz="8" w:color="auto"/>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20" w:type="dxa"/>
            <w:vAlign w:val="bottom"/>
            <w:tcBorders>
              <w:top w:val="single" w:sz="8" w:color="0000FF"/>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right w:val="single" w:sz="8" w:color="auto"/>
            </w:tcBorders>
          </w:tcPr>
          <w:p>
            <w:pPr>
              <w:spacing w:after="0"/>
              <w:rPr>
                <w:sz w:val="2"/>
                <w:szCs w:val="2"/>
                <w:color w:val="auto"/>
              </w:rPr>
            </w:pPr>
          </w:p>
        </w:tc>
      </w:tr>
      <w:tr>
        <w:trPr>
          <w:trHeight w:val="183"/>
        </w:trPr>
        <w:tc>
          <w:tcPr>
            <w:tcW w:w="1160" w:type="dxa"/>
            <w:vAlign w:val="bottom"/>
            <w:tcBorders>
              <w:left w:val="single" w:sz="8" w:color="auto"/>
              <w:right w:val="single" w:sz="8" w:color="auto"/>
            </w:tcBorders>
          </w:tcPr>
          <w:p>
            <w:pPr>
              <w:ind w:left="40"/>
              <w:spacing w:after="0" w:line="183" w:lineRule="exact"/>
              <w:rPr>
                <w:sz w:val="20"/>
                <w:szCs w:val="20"/>
                <w:color w:val="auto"/>
              </w:rPr>
            </w:pPr>
            <w:r>
              <w:rPr>
                <w:rFonts w:ascii="Arial" w:cs="Arial" w:eastAsia="Arial" w:hAnsi="Arial"/>
                <w:sz w:val="16"/>
                <w:szCs w:val="16"/>
                <w:color w:val="auto"/>
              </w:rPr>
              <w:t>10.39</w:t>
            </w:r>
          </w:p>
        </w:tc>
        <w:tc>
          <w:tcPr>
            <w:tcW w:w="12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0040" w:type="dxa"/>
            <w:vAlign w:val="bottom"/>
            <w:tcBorders>
              <w:bottom w:val="single" w:sz="8" w:color="0000FF"/>
            </w:tcBorders>
            <w:gridSpan w:val="34"/>
          </w:tcPr>
          <w:p>
            <w:pPr>
              <w:spacing w:after="0" w:line="183" w:lineRule="exact"/>
              <w:rPr>
                <w:rFonts w:ascii="Arial" w:cs="Arial" w:eastAsia="Arial" w:hAnsi="Arial"/>
                <w:sz w:val="16"/>
                <w:szCs w:val="16"/>
                <w:color w:val="0000FF"/>
              </w:rPr>
            </w:pPr>
            <w:hyperlink r:id="rId218">
              <w:r>
                <w:rPr>
                  <w:rFonts w:ascii="Arial" w:cs="Arial" w:eastAsia="Arial" w:hAnsi="Arial"/>
                  <w:sz w:val="16"/>
                  <w:szCs w:val="16"/>
                  <w:color w:val="0000FF"/>
                </w:rPr>
                <w:t>Amended and Restated Master Motor Vehicle Finance Lease Agreement, dated as of June 3, 2004, among AESOP Leasing L.P., as Lessor,</w:t>
              </w:r>
            </w:hyperlink>
          </w:p>
        </w:tc>
        <w:tc>
          <w:tcPr>
            <w:tcW w:w="100" w:type="dxa"/>
            <w:vAlign w:val="bottom"/>
            <w:tcBorders>
              <w:right w:val="single" w:sz="8" w:color="auto"/>
            </w:tcBorders>
            <w:gridSpan w:val="3"/>
          </w:tcPr>
          <w:p>
            <w:pPr>
              <w:spacing w:after="0"/>
              <w:rPr>
                <w:sz w:val="15"/>
                <w:szCs w:val="15"/>
                <w:color w:val="auto"/>
              </w:rPr>
            </w:pPr>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9600" w:type="dxa"/>
            <w:vAlign w:val="bottom"/>
            <w:tcBorders>
              <w:bottom w:val="single" w:sz="8" w:color="0000FF"/>
            </w:tcBorders>
            <w:gridSpan w:val="21"/>
          </w:tcPr>
          <w:p>
            <w:pPr>
              <w:spacing w:after="0" w:line="169" w:lineRule="exact"/>
              <w:rPr>
                <w:rFonts w:ascii="Arial" w:cs="Arial" w:eastAsia="Arial" w:hAnsi="Arial"/>
                <w:sz w:val="16"/>
                <w:szCs w:val="16"/>
                <w:color w:val="0000FF"/>
              </w:rPr>
            </w:pPr>
            <w:hyperlink r:id="rId218">
              <w:r>
                <w:rPr>
                  <w:rFonts w:ascii="Arial" w:cs="Arial" w:eastAsia="Arial" w:hAnsi="Arial"/>
                  <w:sz w:val="16"/>
                  <w:szCs w:val="16"/>
                  <w:color w:val="0000FF"/>
                </w:rPr>
                <w:t>Cendant Car Rental Group, Inc.**, as Lessee, as Administrator and as Finance Lease Guarantor, Avis Rent A Car System, Inc.****, as</w:t>
              </w:r>
            </w:hyperlink>
          </w:p>
        </w:tc>
        <w:tc>
          <w:tcPr>
            <w:tcW w:w="540" w:type="dxa"/>
            <w:vAlign w:val="bottom"/>
            <w:tcBorders>
              <w:right w:val="single" w:sz="8" w:color="auto"/>
            </w:tcBorders>
            <w:gridSpan w:val="16"/>
          </w:tcPr>
          <w:p>
            <w:pPr>
              <w:spacing w:after="0"/>
              <w:rPr>
                <w:sz w:val="14"/>
                <w:szCs w:val="14"/>
                <w:color w:val="auto"/>
              </w:rPr>
            </w:pPr>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140" w:type="dxa"/>
            <w:vAlign w:val="bottom"/>
            <w:tcBorders>
              <w:right w:val="single" w:sz="8" w:color="auto"/>
            </w:tcBorders>
            <w:gridSpan w:val="37"/>
          </w:tcPr>
          <w:p>
            <w:pPr>
              <w:spacing w:after="0" w:line="169" w:lineRule="exact"/>
              <w:rPr>
                <w:rFonts w:ascii="Arial" w:cs="Arial" w:eastAsia="Arial" w:hAnsi="Arial"/>
                <w:sz w:val="16"/>
                <w:szCs w:val="16"/>
                <w:color w:val="0000FF"/>
              </w:rPr>
            </w:pPr>
            <w:hyperlink r:id="rId218">
              <w:r>
                <w:rPr>
                  <w:rFonts w:ascii="Arial" w:cs="Arial" w:eastAsia="Arial" w:hAnsi="Arial"/>
                  <w:sz w:val="16"/>
                  <w:szCs w:val="16"/>
                  <w:color w:val="0000FF"/>
                </w:rPr>
                <w:t>Lessee, and Budget Rent A Car System, Inc., as Lessee (Incorporated by reference to Exhibit 10.30(a) to the Company’s Annual Report on</w:t>
              </w:r>
            </w:hyperlink>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9980" w:type="dxa"/>
            <w:vAlign w:val="bottom"/>
            <w:tcBorders>
              <w:top w:val="single" w:sz="8" w:color="0000FF"/>
            </w:tcBorders>
            <w:gridSpan w:val="31"/>
          </w:tcPr>
          <w:p>
            <w:pPr>
              <w:spacing w:after="0" w:line="169" w:lineRule="exact"/>
              <w:rPr>
                <w:rFonts w:ascii="Arial" w:cs="Arial" w:eastAsia="Arial" w:hAnsi="Arial"/>
                <w:sz w:val="16"/>
                <w:szCs w:val="16"/>
                <w:color w:val="0000FF"/>
              </w:rPr>
            </w:pPr>
            <w:hyperlink r:id="rId218">
              <w:r>
                <w:rPr>
                  <w:rFonts w:ascii="Arial" w:cs="Arial" w:eastAsia="Arial" w:hAnsi="Arial"/>
                  <w:sz w:val="16"/>
                  <w:szCs w:val="16"/>
                  <w:color w:val="0000FF"/>
                </w:rPr>
                <w:t>Form 10-K for the year ended December 31, 2006, dated March 1, 2007).</w:t>
              </w:r>
            </w:hyperlink>
          </w:p>
        </w:tc>
        <w:tc>
          <w:tcPr>
            <w:tcW w:w="160" w:type="dxa"/>
            <w:vAlign w:val="bottom"/>
            <w:tcBorders>
              <w:right w:val="single" w:sz="8" w:color="auto"/>
            </w:tcBorders>
            <w:gridSpan w:val="6"/>
          </w:tcPr>
          <w:p>
            <w:pPr>
              <w:spacing w:after="0"/>
              <w:rPr>
                <w:sz w:val="14"/>
                <w:szCs w:val="14"/>
                <w:color w:val="auto"/>
              </w:rPr>
            </w:pPr>
          </w:p>
        </w:tc>
      </w:tr>
      <w:tr>
        <w:trPr>
          <w:trHeight w:val="34"/>
        </w:trPr>
        <w:tc>
          <w:tcPr>
            <w:tcW w:w="1160" w:type="dxa"/>
            <w:vAlign w:val="bottom"/>
            <w:tcBorders>
              <w:left w:val="single" w:sz="8" w:color="auto"/>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20" w:type="dxa"/>
            <w:vAlign w:val="bottom"/>
            <w:tcBorders>
              <w:top w:val="single" w:sz="8" w:color="0000FF"/>
              <w:bottom w:val="single" w:sz="8" w:color="auto"/>
            </w:tcBorders>
          </w:tcPr>
          <w:p>
            <w:pPr>
              <w:spacing w:after="0"/>
              <w:rPr>
                <w:sz w:val="2"/>
                <w:szCs w:val="2"/>
                <w:color w:val="auto"/>
              </w:rPr>
            </w:pPr>
          </w:p>
        </w:tc>
        <w:tc>
          <w:tcPr>
            <w:tcW w:w="220" w:type="dxa"/>
            <w:vAlign w:val="bottom"/>
            <w:tcBorders>
              <w:top w:val="single" w:sz="8" w:color="0000FF"/>
              <w:bottom w:val="single" w:sz="8" w:color="auto"/>
            </w:tcBorders>
          </w:tcPr>
          <w:p>
            <w:pPr>
              <w:spacing w:after="0"/>
              <w:rPr>
                <w:sz w:val="2"/>
                <w:szCs w:val="2"/>
                <w:color w:val="auto"/>
              </w:rPr>
            </w:pPr>
          </w:p>
        </w:tc>
        <w:tc>
          <w:tcPr>
            <w:tcW w:w="1760" w:type="dxa"/>
            <w:vAlign w:val="bottom"/>
            <w:tcBorders>
              <w:top w:val="single" w:sz="8" w:color="0000FF"/>
              <w:bottom w:val="single" w:sz="8" w:color="auto"/>
            </w:tcBorders>
          </w:tcPr>
          <w:p>
            <w:pPr>
              <w:spacing w:after="0"/>
              <w:rPr>
                <w:sz w:val="2"/>
                <w:szCs w:val="2"/>
                <w:color w:val="auto"/>
              </w:rPr>
            </w:pPr>
          </w:p>
        </w:tc>
        <w:tc>
          <w:tcPr>
            <w:tcW w:w="460" w:type="dxa"/>
            <w:vAlign w:val="bottom"/>
            <w:tcBorders>
              <w:top w:val="single" w:sz="8" w:color="0000FF"/>
              <w:bottom w:val="single" w:sz="8" w:color="auto"/>
            </w:tcBorders>
          </w:tcPr>
          <w:p>
            <w:pPr>
              <w:spacing w:after="0"/>
              <w:rPr>
                <w:sz w:val="2"/>
                <w:szCs w:val="2"/>
                <w:color w:val="auto"/>
              </w:rPr>
            </w:pPr>
          </w:p>
        </w:tc>
        <w:tc>
          <w:tcPr>
            <w:tcW w:w="100" w:type="dxa"/>
            <w:vAlign w:val="bottom"/>
            <w:tcBorders>
              <w:top w:val="single" w:sz="8" w:color="0000FF"/>
              <w:bottom w:val="single" w:sz="8" w:color="auto"/>
            </w:tcBorders>
          </w:tcPr>
          <w:p>
            <w:pPr>
              <w:spacing w:after="0"/>
              <w:rPr>
                <w:sz w:val="2"/>
                <w:szCs w:val="2"/>
                <w:color w:val="auto"/>
              </w:rPr>
            </w:pPr>
          </w:p>
        </w:tc>
        <w:tc>
          <w:tcPr>
            <w:tcW w:w="460" w:type="dxa"/>
            <w:vAlign w:val="bottom"/>
            <w:tcBorders>
              <w:top w:val="single" w:sz="8" w:color="0000FF"/>
              <w:bottom w:val="single" w:sz="8" w:color="auto"/>
            </w:tcBorders>
          </w:tcPr>
          <w:p>
            <w:pPr>
              <w:spacing w:after="0"/>
              <w:rPr>
                <w:sz w:val="2"/>
                <w:szCs w:val="2"/>
                <w:color w:val="auto"/>
              </w:rPr>
            </w:pPr>
          </w:p>
        </w:tc>
        <w:tc>
          <w:tcPr>
            <w:tcW w:w="720" w:type="dxa"/>
            <w:vAlign w:val="bottom"/>
            <w:tcBorders>
              <w:top w:val="single" w:sz="8" w:color="0000FF"/>
              <w:bottom w:val="single" w:sz="8" w:color="auto"/>
            </w:tcBorders>
          </w:tcPr>
          <w:p>
            <w:pPr>
              <w:spacing w:after="0"/>
              <w:rPr>
                <w:sz w:val="2"/>
                <w:szCs w:val="2"/>
                <w:color w:val="auto"/>
              </w:rPr>
            </w:pPr>
          </w:p>
        </w:tc>
        <w:tc>
          <w:tcPr>
            <w:tcW w:w="140" w:type="dxa"/>
            <w:vAlign w:val="bottom"/>
            <w:tcBorders>
              <w:top w:val="single" w:sz="8" w:color="0000FF"/>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right w:val="single" w:sz="8" w:color="auto"/>
            </w:tcBorders>
          </w:tcPr>
          <w:p>
            <w:pPr>
              <w:spacing w:after="0"/>
              <w:rPr>
                <w:sz w:val="2"/>
                <w:szCs w:val="2"/>
                <w:color w:val="auto"/>
              </w:rPr>
            </w:pPr>
          </w:p>
        </w:tc>
      </w:tr>
      <w:tr>
        <w:trPr>
          <w:trHeight w:val="453"/>
        </w:trPr>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180" w:type="dxa"/>
            <w:vAlign w:val="bottom"/>
            <w:gridSpan w:val="32"/>
          </w:tcPr>
          <w:p>
            <w:pPr>
              <w:ind w:left="300"/>
              <w:spacing w:after="0"/>
              <w:rPr>
                <w:sz w:val="20"/>
                <w:szCs w:val="20"/>
                <w:color w:val="auto"/>
              </w:rPr>
            </w:pPr>
            <w:r>
              <w:rPr>
                <w:rFonts w:ascii="Arial" w:cs="Arial" w:eastAsia="Arial" w:hAnsi="Arial"/>
                <w:sz w:val="18"/>
                <w:szCs w:val="18"/>
                <w:color w:val="auto"/>
              </w:rPr>
              <w:t>H-4</w:t>
            </w:r>
          </w:p>
        </w:tc>
      </w:tr>
    </w:tbl>
    <w:p>
      <w:pPr>
        <w:sectPr>
          <w:pgSz w:w="11900" w:h="16838" w:orient="portrait"/>
          <w:cols w:equalWidth="0" w:num="1">
            <w:col w:w="11440"/>
          </w:cols>
          <w:pgMar w:left="240" w:top="140" w:right="219" w:bottom="1440" w:gutter="0" w:footer="0" w:header="0"/>
        </w:sectPr>
      </w:pPr>
    </w:p>
    <w:bookmarkStart w:id="130" w:name="page131"/>
    <w:bookmarkEnd w:id="1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7" w:lineRule="exact"/>
        <w:rPr>
          <w:sz w:val="20"/>
          <w:szCs w:val="20"/>
          <w:color w:val="auto"/>
        </w:rPr>
      </w:pPr>
    </w:p>
    <w:tbl>
      <w:tblPr>
        <w:tblLayout w:type="fixed"/>
        <w:tblInd w:w="10" w:type="dxa"/>
        <w:tblCellMar>
          <w:top w:w="0" w:type="dxa"/>
          <w:left w:w="0" w:type="dxa"/>
          <w:bottom w:w="0" w:type="dxa"/>
          <w:right w:w="0" w:type="dxa"/>
        </w:tblCellMar>
      </w:tblPr>
      <w:tr>
        <w:trPr>
          <w:trHeight w:val="203"/>
        </w:trPr>
        <w:tc>
          <w:tcPr>
            <w:tcW w:w="116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10.39(a)</w:t>
            </w:r>
          </w:p>
        </w:tc>
        <w:tc>
          <w:tcPr>
            <w:tcW w:w="120" w:type="dxa"/>
            <w:vAlign w:val="bottom"/>
            <w:tcBorders>
              <w:top w:val="single" w:sz="8" w:color="auto"/>
              <w:right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0140" w:type="dxa"/>
            <w:vAlign w:val="bottom"/>
            <w:tcBorders>
              <w:top w:val="single" w:sz="8" w:color="auto"/>
              <w:right w:val="single" w:sz="8" w:color="auto"/>
            </w:tcBorders>
            <w:gridSpan w:val="36"/>
          </w:tcPr>
          <w:p>
            <w:pPr>
              <w:spacing w:after="0"/>
              <w:rPr>
                <w:rFonts w:ascii="Arial" w:cs="Arial" w:eastAsia="Arial" w:hAnsi="Arial"/>
                <w:sz w:val="16"/>
                <w:szCs w:val="16"/>
                <w:color w:val="0000FF"/>
              </w:rPr>
            </w:pPr>
            <w:hyperlink r:id="rId219">
              <w:r>
                <w:rPr>
                  <w:rFonts w:ascii="Arial" w:cs="Arial" w:eastAsia="Arial" w:hAnsi="Arial"/>
                  <w:sz w:val="16"/>
                  <w:szCs w:val="16"/>
                  <w:color w:val="0000FF"/>
                </w:rPr>
                <w:t>First Amendment, dated as of December 23, 2005, among AESOP Leasing L.P., as Lessor, Cendant Car Rental Group, Inc.**, as Lessee, as</w:t>
              </w:r>
            </w:hyperlink>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9620" w:type="dxa"/>
            <w:vAlign w:val="bottom"/>
            <w:tcBorders>
              <w:top w:val="single" w:sz="8" w:color="0000FF"/>
              <w:bottom w:val="single" w:sz="8" w:color="0000FF"/>
            </w:tcBorders>
            <w:gridSpan w:val="20"/>
          </w:tcPr>
          <w:p>
            <w:pPr>
              <w:spacing w:after="0" w:line="169" w:lineRule="exact"/>
              <w:rPr>
                <w:rFonts w:ascii="Arial" w:cs="Arial" w:eastAsia="Arial" w:hAnsi="Arial"/>
                <w:sz w:val="16"/>
                <w:szCs w:val="16"/>
                <w:color w:val="0000FF"/>
              </w:rPr>
            </w:pPr>
            <w:hyperlink r:id="rId219">
              <w:r>
                <w:rPr>
                  <w:rFonts w:ascii="Arial" w:cs="Arial" w:eastAsia="Arial" w:hAnsi="Arial"/>
                  <w:sz w:val="16"/>
                  <w:szCs w:val="16"/>
                  <w:color w:val="0000FF"/>
                </w:rPr>
                <w:t>Administrator and as Finance Lease Guarantor, Avis Rent A Car System, Inc.****, as Lessee, and Budget Rent A Car System, Inc., as</w:t>
              </w:r>
            </w:hyperlink>
          </w:p>
        </w:tc>
        <w:tc>
          <w:tcPr>
            <w:tcW w:w="460" w:type="dxa"/>
            <w:vAlign w:val="bottom"/>
            <w:tcBorders>
              <w:top w:val="single" w:sz="8" w:color="0000FF"/>
            </w:tcBorders>
            <w:gridSpan w:val="15"/>
          </w:tcPr>
          <w:p>
            <w:pPr>
              <w:spacing w:after="0"/>
              <w:rPr>
                <w:sz w:val="14"/>
                <w:szCs w:val="14"/>
                <w:color w:val="auto"/>
              </w:rPr>
            </w:pPr>
          </w:p>
        </w:tc>
        <w:tc>
          <w:tcPr>
            <w:tcW w:w="60" w:type="dxa"/>
            <w:vAlign w:val="bottom"/>
            <w:tcBorders>
              <w:right w:val="single" w:sz="8" w:color="auto"/>
            </w:tcBorders>
          </w:tcPr>
          <w:p>
            <w:pPr>
              <w:spacing w:after="0"/>
              <w:rPr>
                <w:sz w:val="14"/>
                <w:szCs w:val="14"/>
                <w:color w:val="auto"/>
              </w:rPr>
            </w:pPr>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140" w:type="dxa"/>
            <w:vAlign w:val="bottom"/>
            <w:tcBorders>
              <w:right w:val="single" w:sz="8" w:color="auto"/>
            </w:tcBorders>
            <w:gridSpan w:val="36"/>
          </w:tcPr>
          <w:p>
            <w:pPr>
              <w:spacing w:after="0" w:line="169" w:lineRule="exact"/>
              <w:rPr>
                <w:rFonts w:ascii="Arial" w:cs="Arial" w:eastAsia="Arial" w:hAnsi="Arial"/>
                <w:sz w:val="16"/>
                <w:szCs w:val="16"/>
                <w:color w:val="0000FF"/>
              </w:rPr>
            </w:pPr>
            <w:hyperlink r:id="rId219">
              <w:r>
                <w:rPr>
                  <w:rFonts w:ascii="Arial" w:cs="Arial" w:eastAsia="Arial" w:hAnsi="Arial"/>
                  <w:sz w:val="16"/>
                  <w:szCs w:val="16"/>
                  <w:color w:val="0000FF"/>
                </w:rPr>
                <w:t>Lessee, to the Amended and Restated Master Motor Vehicle Finance Lease Agreement, dated as of June 3, 2004 (Incorporated by</w:t>
              </w:r>
            </w:hyperlink>
          </w:p>
        </w:tc>
      </w:tr>
      <w:tr>
        <w:trPr>
          <w:trHeight w:val="20"/>
        </w:trPr>
        <w:tc>
          <w:tcPr>
            <w:tcW w:w="1160" w:type="dxa"/>
            <w:vAlign w:val="bottom"/>
            <w:tcBorders>
              <w:left w:val="single" w:sz="8" w:color="auto"/>
              <w:right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3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right w:val="single" w:sz="8" w:color="auto"/>
            </w:tcBorders>
            <w:gridSpan w:val="2"/>
          </w:tcPr>
          <w:p>
            <w:pPr>
              <w:spacing w:after="0" w:line="20" w:lineRule="exact"/>
              <w:rPr>
                <w:sz w:val="1"/>
                <w:szCs w:val="1"/>
                <w:color w:val="auto"/>
              </w:rPr>
            </w:pPr>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140" w:type="dxa"/>
            <w:vAlign w:val="bottom"/>
            <w:tcBorders>
              <w:right w:val="single" w:sz="8" w:color="auto"/>
            </w:tcBorders>
            <w:gridSpan w:val="36"/>
          </w:tcPr>
          <w:p>
            <w:pPr>
              <w:spacing w:after="0" w:line="169" w:lineRule="exact"/>
              <w:rPr>
                <w:rFonts w:ascii="Arial" w:cs="Arial" w:eastAsia="Arial" w:hAnsi="Arial"/>
                <w:sz w:val="16"/>
                <w:szCs w:val="16"/>
                <w:color w:val="0000FF"/>
              </w:rPr>
            </w:pPr>
            <w:hyperlink r:id="rId219">
              <w:r>
                <w:rPr>
                  <w:rFonts w:ascii="Arial" w:cs="Arial" w:eastAsia="Arial" w:hAnsi="Arial"/>
                  <w:sz w:val="16"/>
                  <w:szCs w:val="16"/>
                  <w:color w:val="0000FF"/>
                </w:rPr>
                <w:t>reference to Exhibit 10.30(b) to the Company’s Annual Report on Form 10-K for the year ended December 31, 2006, dated March 1, 2007).</w:t>
              </w:r>
            </w:hyperlink>
          </w:p>
        </w:tc>
      </w:tr>
      <w:tr>
        <w:trPr>
          <w:trHeight w:val="34"/>
        </w:trPr>
        <w:tc>
          <w:tcPr>
            <w:tcW w:w="1160" w:type="dxa"/>
            <w:vAlign w:val="bottom"/>
            <w:tcBorders>
              <w:left w:val="single" w:sz="8" w:color="auto"/>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60" w:type="dxa"/>
            <w:vAlign w:val="bottom"/>
            <w:tcBorders>
              <w:top w:val="single" w:sz="8" w:color="0000FF"/>
              <w:bottom w:val="single" w:sz="8" w:color="auto"/>
            </w:tcBorders>
          </w:tcPr>
          <w:p>
            <w:pPr>
              <w:spacing w:after="0"/>
              <w:rPr>
                <w:sz w:val="2"/>
                <w:szCs w:val="2"/>
                <w:color w:val="auto"/>
              </w:rPr>
            </w:pPr>
          </w:p>
        </w:tc>
        <w:tc>
          <w:tcPr>
            <w:tcW w:w="2480" w:type="dxa"/>
            <w:vAlign w:val="bottom"/>
            <w:tcBorders>
              <w:top w:val="single" w:sz="8" w:color="0000FF"/>
              <w:bottom w:val="single" w:sz="8" w:color="auto"/>
            </w:tcBorders>
          </w:tcPr>
          <w:p>
            <w:pPr>
              <w:spacing w:after="0"/>
              <w:rPr>
                <w:sz w:val="2"/>
                <w:szCs w:val="2"/>
                <w:color w:val="auto"/>
              </w:rPr>
            </w:pPr>
          </w:p>
        </w:tc>
        <w:tc>
          <w:tcPr>
            <w:tcW w:w="20" w:type="dxa"/>
            <w:vAlign w:val="bottom"/>
            <w:tcBorders>
              <w:top w:val="single" w:sz="8" w:color="0000FF"/>
              <w:bottom w:val="single" w:sz="8" w:color="auto"/>
            </w:tcBorders>
          </w:tcPr>
          <w:p>
            <w:pPr>
              <w:spacing w:after="0"/>
              <w:rPr>
                <w:sz w:val="2"/>
                <w:szCs w:val="2"/>
                <w:color w:val="auto"/>
              </w:rPr>
            </w:pPr>
          </w:p>
        </w:tc>
        <w:tc>
          <w:tcPr>
            <w:tcW w:w="40" w:type="dxa"/>
            <w:vAlign w:val="bottom"/>
            <w:tcBorders>
              <w:top w:val="single" w:sz="8" w:color="0000FF"/>
              <w:bottom w:val="single" w:sz="8" w:color="auto"/>
            </w:tcBorders>
          </w:tcPr>
          <w:p>
            <w:pPr>
              <w:spacing w:after="0"/>
              <w:rPr>
                <w:sz w:val="2"/>
                <w:szCs w:val="2"/>
                <w:color w:val="auto"/>
              </w:rPr>
            </w:pPr>
          </w:p>
        </w:tc>
        <w:tc>
          <w:tcPr>
            <w:tcW w:w="20" w:type="dxa"/>
            <w:vAlign w:val="bottom"/>
            <w:tcBorders>
              <w:top w:val="single" w:sz="8" w:color="0000FF"/>
              <w:bottom w:val="single" w:sz="8" w:color="auto"/>
            </w:tcBorders>
          </w:tcPr>
          <w:p>
            <w:pPr>
              <w:spacing w:after="0"/>
              <w:rPr>
                <w:sz w:val="2"/>
                <w:szCs w:val="2"/>
                <w:color w:val="auto"/>
              </w:rPr>
            </w:pPr>
          </w:p>
        </w:tc>
        <w:tc>
          <w:tcPr>
            <w:tcW w:w="140" w:type="dxa"/>
            <w:vAlign w:val="bottom"/>
            <w:tcBorders>
              <w:top w:val="single" w:sz="8" w:color="0000FF"/>
              <w:bottom w:val="single" w:sz="8" w:color="auto"/>
            </w:tcBorders>
          </w:tcPr>
          <w:p>
            <w:pPr>
              <w:spacing w:after="0"/>
              <w:rPr>
                <w:sz w:val="2"/>
                <w:szCs w:val="2"/>
                <w:color w:val="auto"/>
              </w:rPr>
            </w:pPr>
          </w:p>
        </w:tc>
        <w:tc>
          <w:tcPr>
            <w:tcW w:w="700" w:type="dxa"/>
            <w:vAlign w:val="bottom"/>
            <w:tcBorders>
              <w:top w:val="single" w:sz="8" w:color="0000FF"/>
              <w:bottom w:val="single" w:sz="8" w:color="auto"/>
            </w:tcBorders>
          </w:tcPr>
          <w:p>
            <w:pPr>
              <w:spacing w:after="0"/>
              <w:rPr>
                <w:sz w:val="2"/>
                <w:szCs w:val="2"/>
                <w:color w:val="auto"/>
              </w:rPr>
            </w:pPr>
          </w:p>
        </w:tc>
        <w:tc>
          <w:tcPr>
            <w:tcW w:w="80" w:type="dxa"/>
            <w:vAlign w:val="bottom"/>
            <w:tcBorders>
              <w:top w:val="single" w:sz="8" w:color="0000FF"/>
              <w:bottom w:val="single" w:sz="8" w:color="auto"/>
            </w:tcBorders>
          </w:tcPr>
          <w:p>
            <w:pPr>
              <w:spacing w:after="0"/>
              <w:rPr>
                <w:sz w:val="2"/>
                <w:szCs w:val="2"/>
                <w:color w:val="auto"/>
              </w:rPr>
            </w:pPr>
          </w:p>
        </w:tc>
        <w:tc>
          <w:tcPr>
            <w:tcW w:w="920" w:type="dxa"/>
            <w:vAlign w:val="bottom"/>
            <w:tcBorders>
              <w:top w:val="single" w:sz="8" w:color="0000FF"/>
              <w:bottom w:val="single" w:sz="8" w:color="auto"/>
            </w:tcBorders>
          </w:tcPr>
          <w:p>
            <w:pPr>
              <w:spacing w:after="0"/>
              <w:rPr>
                <w:sz w:val="2"/>
                <w:szCs w:val="2"/>
                <w:color w:val="auto"/>
              </w:rPr>
            </w:pPr>
          </w:p>
        </w:tc>
        <w:tc>
          <w:tcPr>
            <w:tcW w:w="540" w:type="dxa"/>
            <w:vAlign w:val="bottom"/>
            <w:tcBorders>
              <w:top w:val="single" w:sz="8" w:color="0000FF"/>
              <w:bottom w:val="single" w:sz="8" w:color="auto"/>
            </w:tcBorders>
          </w:tcPr>
          <w:p>
            <w:pPr>
              <w:spacing w:after="0"/>
              <w:rPr>
                <w:sz w:val="2"/>
                <w:szCs w:val="2"/>
                <w:color w:val="auto"/>
              </w:rPr>
            </w:pPr>
          </w:p>
        </w:tc>
        <w:tc>
          <w:tcPr>
            <w:tcW w:w="2320" w:type="dxa"/>
            <w:vAlign w:val="bottom"/>
            <w:tcBorders>
              <w:top w:val="single" w:sz="8" w:color="0000FF"/>
              <w:bottom w:val="single" w:sz="8" w:color="auto"/>
            </w:tcBorders>
          </w:tcPr>
          <w:p>
            <w:pPr>
              <w:spacing w:after="0"/>
              <w:rPr>
                <w:sz w:val="2"/>
                <w:szCs w:val="2"/>
                <w:color w:val="auto"/>
              </w:rPr>
            </w:pPr>
          </w:p>
        </w:tc>
        <w:tc>
          <w:tcPr>
            <w:tcW w:w="500" w:type="dxa"/>
            <w:vAlign w:val="bottom"/>
            <w:tcBorders>
              <w:top w:val="single" w:sz="8" w:color="0000FF"/>
              <w:bottom w:val="single" w:sz="8" w:color="auto"/>
            </w:tcBorders>
          </w:tcPr>
          <w:p>
            <w:pPr>
              <w:spacing w:after="0"/>
              <w:rPr>
                <w:sz w:val="2"/>
                <w:szCs w:val="2"/>
                <w:color w:val="auto"/>
              </w:rPr>
            </w:pPr>
          </w:p>
        </w:tc>
        <w:tc>
          <w:tcPr>
            <w:tcW w:w="120" w:type="dxa"/>
            <w:vAlign w:val="bottom"/>
            <w:tcBorders>
              <w:top w:val="single" w:sz="8" w:color="0000FF"/>
              <w:bottom w:val="single" w:sz="8" w:color="auto"/>
            </w:tcBorders>
          </w:tcPr>
          <w:p>
            <w:pPr>
              <w:spacing w:after="0"/>
              <w:rPr>
                <w:sz w:val="2"/>
                <w:szCs w:val="2"/>
                <w:color w:val="auto"/>
              </w:rPr>
            </w:pPr>
          </w:p>
        </w:tc>
        <w:tc>
          <w:tcPr>
            <w:tcW w:w="600" w:type="dxa"/>
            <w:vAlign w:val="bottom"/>
            <w:tcBorders>
              <w:top w:val="single" w:sz="8" w:color="0000FF"/>
              <w:bottom w:val="single" w:sz="8" w:color="auto"/>
            </w:tcBorders>
          </w:tcPr>
          <w:p>
            <w:pPr>
              <w:spacing w:after="0"/>
              <w:rPr>
                <w:sz w:val="2"/>
                <w:szCs w:val="2"/>
                <w:color w:val="auto"/>
              </w:rPr>
            </w:pPr>
          </w:p>
        </w:tc>
        <w:tc>
          <w:tcPr>
            <w:tcW w:w="320" w:type="dxa"/>
            <w:vAlign w:val="bottom"/>
            <w:tcBorders>
              <w:top w:val="single" w:sz="8" w:color="0000FF"/>
              <w:bottom w:val="single" w:sz="8" w:color="auto"/>
            </w:tcBorders>
          </w:tcPr>
          <w:p>
            <w:pPr>
              <w:spacing w:after="0"/>
              <w:rPr>
                <w:sz w:val="2"/>
                <w:szCs w:val="2"/>
                <w:color w:val="auto"/>
              </w:rPr>
            </w:pPr>
          </w:p>
        </w:tc>
        <w:tc>
          <w:tcPr>
            <w:tcW w:w="120" w:type="dxa"/>
            <w:vAlign w:val="bottom"/>
            <w:tcBorders>
              <w:top w:val="single" w:sz="8" w:color="0000FF"/>
              <w:bottom w:val="single" w:sz="8" w:color="auto"/>
            </w:tcBorders>
          </w:tcPr>
          <w:p>
            <w:pPr>
              <w:spacing w:after="0"/>
              <w:rPr>
                <w:sz w:val="2"/>
                <w:szCs w:val="2"/>
                <w:color w:val="auto"/>
              </w:rPr>
            </w:pPr>
          </w:p>
        </w:tc>
        <w:tc>
          <w:tcPr>
            <w:tcW w:w="140" w:type="dxa"/>
            <w:vAlign w:val="bottom"/>
            <w:tcBorders>
              <w:top w:val="single" w:sz="8" w:color="0000FF"/>
              <w:bottom w:val="single" w:sz="8" w:color="auto"/>
            </w:tcBorders>
          </w:tcPr>
          <w:p>
            <w:pPr>
              <w:spacing w:after="0"/>
              <w:rPr>
                <w:sz w:val="2"/>
                <w:szCs w:val="2"/>
                <w:color w:val="auto"/>
              </w:rPr>
            </w:pPr>
          </w:p>
        </w:tc>
        <w:tc>
          <w:tcPr>
            <w:tcW w:w="60" w:type="dxa"/>
            <w:vAlign w:val="bottom"/>
            <w:tcBorders>
              <w:top w:val="single" w:sz="8" w:color="0000FF"/>
              <w:bottom w:val="single" w:sz="8" w:color="auto"/>
            </w:tcBorders>
          </w:tcPr>
          <w:p>
            <w:pPr>
              <w:spacing w:after="0"/>
              <w:rPr>
                <w:sz w:val="2"/>
                <w:szCs w:val="2"/>
                <w:color w:val="auto"/>
              </w:rPr>
            </w:pPr>
          </w:p>
        </w:tc>
        <w:tc>
          <w:tcPr>
            <w:tcW w:w="20" w:type="dxa"/>
            <w:vAlign w:val="bottom"/>
            <w:tcBorders>
              <w:top w:val="single" w:sz="8" w:color="0000FF"/>
              <w:bottom w:val="single" w:sz="8" w:color="auto"/>
            </w:tcBorders>
          </w:tcPr>
          <w:p>
            <w:pPr>
              <w:spacing w:after="0"/>
              <w:rPr>
                <w:sz w:val="2"/>
                <w:szCs w:val="2"/>
                <w:color w:val="auto"/>
              </w:rPr>
            </w:pPr>
          </w:p>
        </w:tc>
        <w:tc>
          <w:tcPr>
            <w:tcW w:w="20" w:type="dxa"/>
            <w:vAlign w:val="bottom"/>
            <w:tcBorders>
              <w:top w:val="single" w:sz="8" w:color="0000FF"/>
              <w:bottom w:val="single" w:sz="8" w:color="auto"/>
            </w:tcBorders>
          </w:tcPr>
          <w:p>
            <w:pPr>
              <w:spacing w:after="0"/>
              <w:rPr>
                <w:sz w:val="2"/>
                <w:szCs w:val="2"/>
                <w:color w:val="auto"/>
              </w:rPr>
            </w:pPr>
          </w:p>
        </w:tc>
        <w:tc>
          <w:tcPr>
            <w:tcW w:w="40" w:type="dxa"/>
            <w:vAlign w:val="bottom"/>
            <w:tcBorders>
              <w:top w:val="single" w:sz="8" w:color="0000FF"/>
              <w:bottom w:val="single" w:sz="8" w:color="auto"/>
            </w:tcBorders>
          </w:tcPr>
          <w:p>
            <w:pPr>
              <w:spacing w:after="0"/>
              <w:rPr>
                <w:sz w:val="2"/>
                <w:szCs w:val="2"/>
                <w:color w:val="auto"/>
              </w:rPr>
            </w:pPr>
          </w:p>
        </w:tc>
        <w:tc>
          <w:tcPr>
            <w:tcW w:w="20" w:type="dxa"/>
            <w:vAlign w:val="bottom"/>
            <w:tcBorders>
              <w:top w:val="single" w:sz="8" w:color="0000FF"/>
              <w:bottom w:val="single" w:sz="8" w:color="auto"/>
            </w:tcBorders>
          </w:tcPr>
          <w:p>
            <w:pPr>
              <w:spacing w:after="0"/>
              <w:rPr>
                <w:sz w:val="2"/>
                <w:szCs w:val="2"/>
                <w:color w:val="auto"/>
              </w:rPr>
            </w:pPr>
          </w:p>
        </w:tc>
        <w:tc>
          <w:tcPr>
            <w:tcW w:w="80" w:type="dxa"/>
            <w:vAlign w:val="bottom"/>
            <w:tcBorders>
              <w:top w:val="single" w:sz="8" w:color="0000FF"/>
              <w:bottom w:val="single" w:sz="8" w:color="auto"/>
            </w:tcBorders>
          </w:tcPr>
          <w:p>
            <w:pPr>
              <w:spacing w:after="0"/>
              <w:rPr>
                <w:sz w:val="2"/>
                <w:szCs w:val="2"/>
                <w:color w:val="auto"/>
              </w:rPr>
            </w:pPr>
          </w:p>
        </w:tc>
        <w:tc>
          <w:tcPr>
            <w:tcW w:w="40" w:type="dxa"/>
            <w:vAlign w:val="bottom"/>
            <w:tcBorders>
              <w:top w:val="single" w:sz="8" w:color="0000FF"/>
              <w:bottom w:val="single" w:sz="8" w:color="auto"/>
            </w:tcBorders>
          </w:tcPr>
          <w:p>
            <w:pPr>
              <w:spacing w:after="0"/>
              <w:rPr>
                <w:sz w:val="2"/>
                <w:szCs w:val="2"/>
                <w:color w:val="auto"/>
              </w:rPr>
            </w:pPr>
          </w:p>
        </w:tc>
        <w:tc>
          <w:tcPr>
            <w:tcW w:w="20" w:type="dxa"/>
            <w:vAlign w:val="bottom"/>
            <w:tcBorders>
              <w:top w:val="single" w:sz="8" w:color="0000FF"/>
              <w:bottom w:val="single" w:sz="8" w:color="auto"/>
            </w:tcBorders>
          </w:tcPr>
          <w:p>
            <w:pPr>
              <w:spacing w:after="0"/>
              <w:rPr>
                <w:sz w:val="2"/>
                <w:szCs w:val="2"/>
                <w:color w:val="auto"/>
              </w:rPr>
            </w:pPr>
          </w:p>
        </w:tc>
        <w:tc>
          <w:tcPr>
            <w:tcW w:w="20" w:type="dxa"/>
            <w:vAlign w:val="bottom"/>
            <w:tcBorders>
              <w:top w:val="single" w:sz="8" w:color="0000FF"/>
              <w:bottom w:val="single" w:sz="8" w:color="auto"/>
            </w:tcBorders>
          </w:tcPr>
          <w:p>
            <w:pPr>
              <w:spacing w:after="0"/>
              <w:rPr>
                <w:sz w:val="2"/>
                <w:szCs w:val="2"/>
                <w:color w:val="auto"/>
              </w:rPr>
            </w:pPr>
          </w:p>
        </w:tc>
        <w:tc>
          <w:tcPr>
            <w:tcW w:w="20" w:type="dxa"/>
            <w:vAlign w:val="bottom"/>
            <w:tcBorders>
              <w:top w:val="single" w:sz="8" w:color="0000FF"/>
              <w:bottom w:val="single" w:sz="8" w:color="auto"/>
            </w:tcBorders>
          </w:tcPr>
          <w:p>
            <w:pPr>
              <w:spacing w:after="0"/>
              <w:rPr>
                <w:sz w:val="2"/>
                <w:szCs w:val="2"/>
                <w:color w:val="auto"/>
              </w:rPr>
            </w:pPr>
          </w:p>
        </w:tc>
        <w:tc>
          <w:tcPr>
            <w:tcW w:w="40" w:type="dxa"/>
            <w:vAlign w:val="bottom"/>
            <w:tcBorders>
              <w:top w:val="single" w:sz="8" w:color="0000FF"/>
              <w:bottom w:val="single" w:sz="8" w:color="auto"/>
            </w:tcBorders>
          </w:tcPr>
          <w:p>
            <w:pPr>
              <w:spacing w:after="0"/>
              <w:rPr>
                <w:sz w:val="2"/>
                <w:szCs w:val="2"/>
                <w:color w:val="auto"/>
              </w:rPr>
            </w:pPr>
          </w:p>
        </w:tc>
        <w:tc>
          <w:tcPr>
            <w:tcW w:w="20" w:type="dxa"/>
            <w:vAlign w:val="bottom"/>
            <w:tcBorders>
              <w:top w:val="single" w:sz="8" w:color="0000FF"/>
              <w:bottom w:val="single" w:sz="8" w:color="auto"/>
            </w:tcBorders>
          </w:tcPr>
          <w:p>
            <w:pPr>
              <w:spacing w:after="0"/>
              <w:rPr>
                <w:sz w:val="2"/>
                <w:szCs w:val="2"/>
                <w:color w:val="auto"/>
              </w:rPr>
            </w:pPr>
          </w:p>
        </w:tc>
        <w:tc>
          <w:tcPr>
            <w:tcW w:w="40" w:type="dxa"/>
            <w:vAlign w:val="bottom"/>
            <w:tcBorders>
              <w:top w:val="single" w:sz="8" w:color="0000FF"/>
              <w:bottom w:val="single" w:sz="8" w:color="auto"/>
            </w:tcBorders>
          </w:tcPr>
          <w:p>
            <w:pPr>
              <w:spacing w:after="0"/>
              <w:rPr>
                <w:sz w:val="2"/>
                <w:szCs w:val="2"/>
                <w:color w:val="auto"/>
              </w:rPr>
            </w:pPr>
          </w:p>
        </w:tc>
        <w:tc>
          <w:tcPr>
            <w:tcW w:w="20" w:type="dxa"/>
            <w:vAlign w:val="bottom"/>
            <w:tcBorders>
              <w:top w:val="single" w:sz="8" w:color="0000FF"/>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right w:val="single" w:sz="8" w:color="auto"/>
            </w:tcBorders>
          </w:tcPr>
          <w:p>
            <w:pPr>
              <w:spacing w:after="0"/>
              <w:rPr>
                <w:sz w:val="2"/>
                <w:szCs w:val="2"/>
                <w:color w:val="auto"/>
              </w:rPr>
            </w:pPr>
          </w:p>
        </w:tc>
      </w:tr>
      <w:tr>
        <w:trPr>
          <w:trHeight w:val="183"/>
        </w:trPr>
        <w:tc>
          <w:tcPr>
            <w:tcW w:w="1160" w:type="dxa"/>
            <w:vAlign w:val="bottom"/>
            <w:tcBorders>
              <w:left w:val="single" w:sz="8" w:color="auto"/>
              <w:right w:val="single" w:sz="8" w:color="auto"/>
            </w:tcBorders>
          </w:tcPr>
          <w:p>
            <w:pPr>
              <w:ind w:left="40"/>
              <w:spacing w:after="0" w:line="183" w:lineRule="exact"/>
              <w:rPr>
                <w:sz w:val="20"/>
                <w:szCs w:val="20"/>
                <w:color w:val="auto"/>
              </w:rPr>
            </w:pPr>
            <w:r>
              <w:rPr>
                <w:rFonts w:ascii="Arial" w:cs="Arial" w:eastAsia="Arial" w:hAnsi="Arial"/>
                <w:sz w:val="16"/>
                <w:szCs w:val="16"/>
                <w:color w:val="auto"/>
              </w:rPr>
              <w:t>10.39(b)</w:t>
            </w:r>
          </w:p>
        </w:tc>
        <w:tc>
          <w:tcPr>
            <w:tcW w:w="12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0140" w:type="dxa"/>
            <w:vAlign w:val="bottom"/>
            <w:tcBorders>
              <w:right w:val="single" w:sz="8" w:color="auto"/>
            </w:tcBorders>
            <w:gridSpan w:val="36"/>
          </w:tcPr>
          <w:p>
            <w:pPr>
              <w:spacing w:after="0" w:line="183" w:lineRule="exact"/>
              <w:rPr>
                <w:rFonts w:ascii="Arial" w:cs="Arial" w:eastAsia="Arial" w:hAnsi="Arial"/>
                <w:sz w:val="16"/>
                <w:szCs w:val="16"/>
                <w:color w:val="0000FF"/>
              </w:rPr>
            </w:pPr>
            <w:hyperlink r:id="rId220">
              <w:r>
                <w:rPr>
                  <w:rFonts w:ascii="Arial" w:cs="Arial" w:eastAsia="Arial" w:hAnsi="Arial"/>
                  <w:sz w:val="16"/>
                  <w:szCs w:val="16"/>
                  <w:color w:val="0000FF"/>
                </w:rPr>
                <w:t>Third Amendment, dated as of May 9, 2007, among AESOP Leasing L.P., as Lessor, Avis Budget Car Rental, LLC, as Lessee, as</w:t>
              </w:r>
            </w:hyperlink>
          </w:p>
        </w:tc>
      </w:tr>
      <w:tr>
        <w:trPr>
          <w:trHeight w:val="20"/>
        </w:trPr>
        <w:tc>
          <w:tcPr>
            <w:tcW w:w="1160" w:type="dxa"/>
            <w:vAlign w:val="bottom"/>
            <w:tcBorders>
              <w:left w:val="single" w:sz="8" w:color="auto"/>
              <w:right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3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right w:val="single" w:sz="8" w:color="auto"/>
            </w:tcBorders>
            <w:gridSpan w:val="2"/>
          </w:tcPr>
          <w:p>
            <w:pPr>
              <w:spacing w:after="0" w:line="20" w:lineRule="exact"/>
              <w:rPr>
                <w:sz w:val="1"/>
                <w:szCs w:val="1"/>
                <w:color w:val="auto"/>
              </w:rPr>
            </w:pPr>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140" w:type="dxa"/>
            <w:vAlign w:val="bottom"/>
            <w:tcBorders>
              <w:right w:val="single" w:sz="8" w:color="auto"/>
            </w:tcBorders>
            <w:gridSpan w:val="36"/>
          </w:tcPr>
          <w:p>
            <w:pPr>
              <w:spacing w:after="0" w:line="169" w:lineRule="exact"/>
              <w:rPr>
                <w:rFonts w:ascii="Arial" w:cs="Arial" w:eastAsia="Arial" w:hAnsi="Arial"/>
                <w:sz w:val="16"/>
                <w:szCs w:val="16"/>
                <w:color w:val="0000FF"/>
              </w:rPr>
            </w:pPr>
            <w:hyperlink r:id="rId220">
              <w:r>
                <w:rPr>
                  <w:rFonts w:ascii="Arial" w:cs="Arial" w:eastAsia="Arial" w:hAnsi="Arial"/>
                  <w:sz w:val="16"/>
                  <w:szCs w:val="16"/>
                  <w:color w:val="0000FF"/>
                </w:rPr>
                <w:t>Administrator and as Finance Lease Guarantor, Avis Rent A Car System, LLC, as Lessee, and Budget Rent A Car System, Inc., as Lessee,</w:t>
              </w:r>
            </w:hyperlink>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9680" w:type="dxa"/>
            <w:vAlign w:val="bottom"/>
            <w:tcBorders>
              <w:top w:val="single" w:sz="8" w:color="0000FF"/>
              <w:bottom w:val="single" w:sz="8" w:color="0000FF"/>
            </w:tcBorders>
            <w:gridSpan w:val="22"/>
          </w:tcPr>
          <w:p>
            <w:pPr>
              <w:spacing w:after="0" w:line="169" w:lineRule="exact"/>
              <w:rPr>
                <w:rFonts w:ascii="Arial" w:cs="Arial" w:eastAsia="Arial" w:hAnsi="Arial"/>
                <w:sz w:val="16"/>
                <w:szCs w:val="16"/>
                <w:color w:val="0000FF"/>
              </w:rPr>
            </w:pPr>
            <w:hyperlink r:id="rId220">
              <w:r>
                <w:rPr>
                  <w:rFonts w:ascii="Arial" w:cs="Arial" w:eastAsia="Arial" w:hAnsi="Arial"/>
                  <w:sz w:val="16"/>
                  <w:szCs w:val="16"/>
                  <w:color w:val="0000FF"/>
                </w:rPr>
                <w:t>to the Amended and Restated Master Motor Vehicle Finance Lease Agreement, dated as of June 3, 2004 (Incorporated by reference to</w:t>
              </w:r>
            </w:hyperlink>
          </w:p>
        </w:tc>
        <w:tc>
          <w:tcPr>
            <w:tcW w:w="300" w:type="dxa"/>
            <w:vAlign w:val="bottom"/>
            <w:tcBorders>
              <w:top w:val="single" w:sz="8" w:color="0000FF"/>
            </w:tcBorders>
            <w:gridSpan w:val="9"/>
          </w:tcPr>
          <w:p>
            <w:pPr>
              <w:spacing w:after="0"/>
              <w:rPr>
                <w:sz w:val="14"/>
                <w:szCs w:val="14"/>
                <w:color w:val="auto"/>
              </w:rPr>
            </w:pPr>
          </w:p>
        </w:tc>
        <w:tc>
          <w:tcPr>
            <w:tcW w:w="160" w:type="dxa"/>
            <w:vAlign w:val="bottom"/>
            <w:tcBorders>
              <w:right w:val="single" w:sz="8" w:color="auto"/>
            </w:tcBorders>
            <w:gridSpan w:val="5"/>
          </w:tcPr>
          <w:p>
            <w:pPr>
              <w:spacing w:after="0"/>
              <w:rPr>
                <w:sz w:val="14"/>
                <w:szCs w:val="14"/>
                <w:color w:val="auto"/>
              </w:rPr>
            </w:pPr>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140" w:type="dxa"/>
            <w:vAlign w:val="bottom"/>
            <w:tcBorders>
              <w:right w:val="single" w:sz="8" w:color="auto"/>
            </w:tcBorders>
            <w:gridSpan w:val="36"/>
          </w:tcPr>
          <w:p>
            <w:pPr>
              <w:spacing w:after="0" w:line="169" w:lineRule="exact"/>
              <w:rPr>
                <w:rFonts w:ascii="Arial" w:cs="Arial" w:eastAsia="Arial" w:hAnsi="Arial"/>
                <w:sz w:val="16"/>
                <w:szCs w:val="16"/>
                <w:color w:val="0000FF"/>
              </w:rPr>
            </w:pPr>
            <w:hyperlink r:id="rId220">
              <w:r>
                <w:rPr>
                  <w:rFonts w:ascii="Arial" w:cs="Arial" w:eastAsia="Arial" w:hAnsi="Arial"/>
                  <w:sz w:val="16"/>
                  <w:szCs w:val="16"/>
                  <w:color w:val="0000FF"/>
                </w:rPr>
                <w:t>Exhibit 10.11 to the Company’s Quarterly Report on Form 10-Q for the quarterly period ended June 30, 2007, dated August 8, 2007).</w:t>
              </w:r>
            </w:hyperlink>
          </w:p>
        </w:tc>
      </w:tr>
      <w:tr>
        <w:trPr>
          <w:trHeight w:val="34"/>
        </w:trPr>
        <w:tc>
          <w:tcPr>
            <w:tcW w:w="1160" w:type="dxa"/>
            <w:vAlign w:val="bottom"/>
            <w:tcBorders>
              <w:left w:val="single" w:sz="8" w:color="auto"/>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60" w:type="dxa"/>
            <w:vAlign w:val="bottom"/>
            <w:tcBorders>
              <w:top w:val="single" w:sz="8" w:color="0000FF"/>
              <w:bottom w:val="single" w:sz="8" w:color="auto"/>
            </w:tcBorders>
          </w:tcPr>
          <w:p>
            <w:pPr>
              <w:spacing w:after="0"/>
              <w:rPr>
                <w:sz w:val="2"/>
                <w:szCs w:val="2"/>
                <w:color w:val="auto"/>
              </w:rPr>
            </w:pPr>
          </w:p>
        </w:tc>
        <w:tc>
          <w:tcPr>
            <w:tcW w:w="2480" w:type="dxa"/>
            <w:vAlign w:val="bottom"/>
            <w:tcBorders>
              <w:top w:val="single" w:sz="8" w:color="0000FF"/>
              <w:bottom w:val="single" w:sz="8" w:color="auto"/>
            </w:tcBorders>
          </w:tcPr>
          <w:p>
            <w:pPr>
              <w:spacing w:after="0"/>
              <w:rPr>
                <w:sz w:val="2"/>
                <w:szCs w:val="2"/>
                <w:color w:val="auto"/>
              </w:rPr>
            </w:pPr>
          </w:p>
        </w:tc>
        <w:tc>
          <w:tcPr>
            <w:tcW w:w="20" w:type="dxa"/>
            <w:vAlign w:val="bottom"/>
            <w:tcBorders>
              <w:top w:val="single" w:sz="8" w:color="0000FF"/>
              <w:bottom w:val="single" w:sz="8" w:color="auto"/>
            </w:tcBorders>
          </w:tcPr>
          <w:p>
            <w:pPr>
              <w:spacing w:after="0"/>
              <w:rPr>
                <w:sz w:val="2"/>
                <w:szCs w:val="2"/>
                <w:color w:val="auto"/>
              </w:rPr>
            </w:pPr>
          </w:p>
        </w:tc>
        <w:tc>
          <w:tcPr>
            <w:tcW w:w="40" w:type="dxa"/>
            <w:vAlign w:val="bottom"/>
            <w:tcBorders>
              <w:top w:val="single" w:sz="8" w:color="0000FF"/>
              <w:bottom w:val="single" w:sz="8" w:color="auto"/>
            </w:tcBorders>
          </w:tcPr>
          <w:p>
            <w:pPr>
              <w:spacing w:after="0"/>
              <w:rPr>
                <w:sz w:val="2"/>
                <w:szCs w:val="2"/>
                <w:color w:val="auto"/>
              </w:rPr>
            </w:pPr>
          </w:p>
        </w:tc>
        <w:tc>
          <w:tcPr>
            <w:tcW w:w="20" w:type="dxa"/>
            <w:vAlign w:val="bottom"/>
            <w:tcBorders>
              <w:top w:val="single" w:sz="8" w:color="0000FF"/>
              <w:bottom w:val="single" w:sz="8" w:color="auto"/>
            </w:tcBorders>
          </w:tcPr>
          <w:p>
            <w:pPr>
              <w:spacing w:after="0"/>
              <w:rPr>
                <w:sz w:val="2"/>
                <w:szCs w:val="2"/>
                <w:color w:val="auto"/>
              </w:rPr>
            </w:pPr>
          </w:p>
        </w:tc>
        <w:tc>
          <w:tcPr>
            <w:tcW w:w="140" w:type="dxa"/>
            <w:vAlign w:val="bottom"/>
            <w:tcBorders>
              <w:top w:val="single" w:sz="8" w:color="0000FF"/>
              <w:bottom w:val="single" w:sz="8" w:color="auto"/>
            </w:tcBorders>
          </w:tcPr>
          <w:p>
            <w:pPr>
              <w:spacing w:after="0"/>
              <w:rPr>
                <w:sz w:val="2"/>
                <w:szCs w:val="2"/>
                <w:color w:val="auto"/>
              </w:rPr>
            </w:pPr>
          </w:p>
        </w:tc>
        <w:tc>
          <w:tcPr>
            <w:tcW w:w="700" w:type="dxa"/>
            <w:vAlign w:val="bottom"/>
            <w:tcBorders>
              <w:top w:val="single" w:sz="8" w:color="0000FF"/>
              <w:bottom w:val="single" w:sz="8" w:color="auto"/>
            </w:tcBorders>
          </w:tcPr>
          <w:p>
            <w:pPr>
              <w:spacing w:after="0"/>
              <w:rPr>
                <w:sz w:val="2"/>
                <w:szCs w:val="2"/>
                <w:color w:val="auto"/>
              </w:rPr>
            </w:pPr>
          </w:p>
        </w:tc>
        <w:tc>
          <w:tcPr>
            <w:tcW w:w="80" w:type="dxa"/>
            <w:vAlign w:val="bottom"/>
            <w:tcBorders>
              <w:top w:val="single" w:sz="8" w:color="0000FF"/>
              <w:bottom w:val="single" w:sz="8" w:color="auto"/>
            </w:tcBorders>
          </w:tcPr>
          <w:p>
            <w:pPr>
              <w:spacing w:after="0"/>
              <w:rPr>
                <w:sz w:val="2"/>
                <w:szCs w:val="2"/>
                <w:color w:val="auto"/>
              </w:rPr>
            </w:pPr>
          </w:p>
        </w:tc>
        <w:tc>
          <w:tcPr>
            <w:tcW w:w="920" w:type="dxa"/>
            <w:vAlign w:val="bottom"/>
            <w:tcBorders>
              <w:top w:val="single" w:sz="8" w:color="0000FF"/>
              <w:bottom w:val="single" w:sz="8" w:color="auto"/>
            </w:tcBorders>
          </w:tcPr>
          <w:p>
            <w:pPr>
              <w:spacing w:after="0"/>
              <w:rPr>
                <w:sz w:val="2"/>
                <w:szCs w:val="2"/>
                <w:color w:val="auto"/>
              </w:rPr>
            </w:pPr>
          </w:p>
        </w:tc>
        <w:tc>
          <w:tcPr>
            <w:tcW w:w="540" w:type="dxa"/>
            <w:vAlign w:val="bottom"/>
            <w:tcBorders>
              <w:top w:val="single" w:sz="8" w:color="0000FF"/>
              <w:bottom w:val="single" w:sz="8" w:color="auto"/>
            </w:tcBorders>
          </w:tcPr>
          <w:p>
            <w:pPr>
              <w:spacing w:after="0"/>
              <w:rPr>
                <w:sz w:val="2"/>
                <w:szCs w:val="2"/>
                <w:color w:val="auto"/>
              </w:rPr>
            </w:pPr>
          </w:p>
        </w:tc>
        <w:tc>
          <w:tcPr>
            <w:tcW w:w="2320" w:type="dxa"/>
            <w:vAlign w:val="bottom"/>
            <w:tcBorders>
              <w:top w:val="single" w:sz="8" w:color="0000FF"/>
              <w:bottom w:val="single" w:sz="8" w:color="auto"/>
            </w:tcBorders>
          </w:tcPr>
          <w:p>
            <w:pPr>
              <w:spacing w:after="0"/>
              <w:rPr>
                <w:sz w:val="2"/>
                <w:szCs w:val="2"/>
                <w:color w:val="auto"/>
              </w:rPr>
            </w:pPr>
          </w:p>
        </w:tc>
        <w:tc>
          <w:tcPr>
            <w:tcW w:w="500" w:type="dxa"/>
            <w:vAlign w:val="bottom"/>
            <w:tcBorders>
              <w:top w:val="single" w:sz="8" w:color="0000FF"/>
              <w:bottom w:val="single" w:sz="8" w:color="auto"/>
            </w:tcBorders>
          </w:tcPr>
          <w:p>
            <w:pPr>
              <w:spacing w:after="0"/>
              <w:rPr>
                <w:sz w:val="2"/>
                <w:szCs w:val="2"/>
                <w:color w:val="auto"/>
              </w:rPr>
            </w:pPr>
          </w:p>
        </w:tc>
        <w:tc>
          <w:tcPr>
            <w:tcW w:w="120" w:type="dxa"/>
            <w:vAlign w:val="bottom"/>
            <w:tcBorders>
              <w:top w:val="single" w:sz="8" w:color="0000FF"/>
              <w:bottom w:val="single" w:sz="8" w:color="auto"/>
            </w:tcBorders>
          </w:tcPr>
          <w:p>
            <w:pPr>
              <w:spacing w:after="0"/>
              <w:rPr>
                <w:sz w:val="2"/>
                <w:szCs w:val="2"/>
                <w:color w:val="auto"/>
              </w:rPr>
            </w:pPr>
          </w:p>
        </w:tc>
        <w:tc>
          <w:tcPr>
            <w:tcW w:w="600" w:type="dxa"/>
            <w:vAlign w:val="bottom"/>
            <w:tcBorders>
              <w:top w:val="single" w:sz="8" w:color="0000FF"/>
              <w:bottom w:val="single" w:sz="8" w:color="auto"/>
            </w:tcBorders>
          </w:tcPr>
          <w:p>
            <w:pPr>
              <w:spacing w:after="0"/>
              <w:rPr>
                <w:sz w:val="2"/>
                <w:szCs w:val="2"/>
                <w:color w:val="auto"/>
              </w:rPr>
            </w:pPr>
          </w:p>
        </w:tc>
        <w:tc>
          <w:tcPr>
            <w:tcW w:w="320" w:type="dxa"/>
            <w:vAlign w:val="bottom"/>
            <w:tcBorders>
              <w:top w:val="single" w:sz="8" w:color="0000FF"/>
              <w:bottom w:val="single" w:sz="8" w:color="auto"/>
            </w:tcBorders>
          </w:tcPr>
          <w:p>
            <w:pPr>
              <w:spacing w:after="0"/>
              <w:rPr>
                <w:sz w:val="2"/>
                <w:szCs w:val="2"/>
                <w:color w:val="auto"/>
              </w:rPr>
            </w:pPr>
          </w:p>
        </w:tc>
        <w:tc>
          <w:tcPr>
            <w:tcW w:w="120" w:type="dxa"/>
            <w:vAlign w:val="bottom"/>
            <w:tcBorders>
              <w:top w:val="single" w:sz="8" w:color="0000FF"/>
              <w:bottom w:val="single" w:sz="8" w:color="auto"/>
            </w:tcBorders>
          </w:tcPr>
          <w:p>
            <w:pPr>
              <w:spacing w:after="0"/>
              <w:rPr>
                <w:sz w:val="2"/>
                <w:szCs w:val="2"/>
                <w:color w:val="auto"/>
              </w:rPr>
            </w:pPr>
          </w:p>
        </w:tc>
        <w:tc>
          <w:tcPr>
            <w:tcW w:w="140" w:type="dxa"/>
            <w:vAlign w:val="bottom"/>
            <w:tcBorders>
              <w:top w:val="single" w:sz="8" w:color="0000FF"/>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right w:val="single" w:sz="8" w:color="auto"/>
            </w:tcBorders>
          </w:tcPr>
          <w:p>
            <w:pPr>
              <w:spacing w:after="0"/>
              <w:rPr>
                <w:sz w:val="2"/>
                <w:szCs w:val="2"/>
                <w:color w:val="auto"/>
              </w:rPr>
            </w:pPr>
          </w:p>
        </w:tc>
      </w:tr>
      <w:tr>
        <w:trPr>
          <w:trHeight w:val="183"/>
        </w:trPr>
        <w:tc>
          <w:tcPr>
            <w:tcW w:w="1160" w:type="dxa"/>
            <w:vAlign w:val="bottom"/>
            <w:tcBorders>
              <w:left w:val="single" w:sz="8" w:color="auto"/>
              <w:right w:val="single" w:sz="8" w:color="auto"/>
            </w:tcBorders>
          </w:tcPr>
          <w:p>
            <w:pPr>
              <w:ind w:left="40"/>
              <w:spacing w:after="0" w:line="183" w:lineRule="exact"/>
              <w:rPr>
                <w:sz w:val="20"/>
                <w:szCs w:val="20"/>
                <w:color w:val="auto"/>
              </w:rPr>
            </w:pPr>
            <w:r>
              <w:rPr>
                <w:rFonts w:ascii="Arial" w:cs="Arial" w:eastAsia="Arial" w:hAnsi="Arial"/>
                <w:sz w:val="16"/>
                <w:szCs w:val="16"/>
                <w:color w:val="auto"/>
              </w:rPr>
              <w:t>10.39(c)</w:t>
            </w:r>
          </w:p>
        </w:tc>
        <w:tc>
          <w:tcPr>
            <w:tcW w:w="12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9660" w:type="dxa"/>
            <w:vAlign w:val="bottom"/>
            <w:tcBorders>
              <w:bottom w:val="single" w:sz="8" w:color="0000FF"/>
            </w:tcBorders>
            <w:gridSpan w:val="21"/>
          </w:tcPr>
          <w:p>
            <w:pPr>
              <w:spacing w:after="0" w:line="183" w:lineRule="exact"/>
              <w:rPr>
                <w:rFonts w:ascii="Arial" w:cs="Arial" w:eastAsia="Arial" w:hAnsi="Arial"/>
                <w:sz w:val="16"/>
                <w:szCs w:val="16"/>
                <w:color w:val="0000FF"/>
              </w:rPr>
            </w:pPr>
            <w:hyperlink r:id="rId221">
              <w:r>
                <w:rPr>
                  <w:rFonts w:ascii="Arial" w:cs="Arial" w:eastAsia="Arial" w:hAnsi="Arial"/>
                  <w:sz w:val="16"/>
                  <w:szCs w:val="16"/>
                  <w:color w:val="0000FF"/>
                </w:rPr>
                <w:t>Fourth Amendment, dated as of August 16, 2013, among AESOP Leasing L.P., as Lessor, Avis Budget Car Rental, LLC, as Lessee, as</w:t>
              </w:r>
            </w:hyperlink>
          </w:p>
        </w:tc>
        <w:tc>
          <w:tcPr>
            <w:tcW w:w="480" w:type="dxa"/>
            <w:vAlign w:val="bottom"/>
            <w:tcBorders>
              <w:right w:val="single" w:sz="8" w:color="auto"/>
            </w:tcBorders>
            <w:gridSpan w:val="15"/>
          </w:tcPr>
          <w:p>
            <w:pPr>
              <w:spacing w:after="0"/>
              <w:rPr>
                <w:sz w:val="15"/>
                <w:szCs w:val="15"/>
                <w:color w:val="auto"/>
              </w:rPr>
            </w:pPr>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140" w:type="dxa"/>
            <w:vAlign w:val="bottom"/>
            <w:tcBorders>
              <w:right w:val="single" w:sz="8" w:color="auto"/>
            </w:tcBorders>
            <w:gridSpan w:val="36"/>
          </w:tcPr>
          <w:p>
            <w:pPr>
              <w:spacing w:after="0" w:line="169" w:lineRule="exact"/>
              <w:rPr>
                <w:rFonts w:ascii="Arial" w:cs="Arial" w:eastAsia="Arial" w:hAnsi="Arial"/>
                <w:sz w:val="16"/>
                <w:szCs w:val="16"/>
                <w:color w:val="0000FF"/>
              </w:rPr>
            </w:pPr>
            <w:hyperlink r:id="rId221">
              <w:r>
                <w:rPr>
                  <w:rFonts w:ascii="Arial" w:cs="Arial" w:eastAsia="Arial" w:hAnsi="Arial"/>
                  <w:sz w:val="16"/>
                  <w:szCs w:val="16"/>
                  <w:color w:val="0000FF"/>
                </w:rPr>
                <w:t>Administrator and as Finance Lease Guarantor, Avis Rent A Car System, LLC, as Lessee, and Budget Rent A Car System, Inc., as Lessee,</w:t>
              </w:r>
            </w:hyperlink>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9680" w:type="dxa"/>
            <w:vAlign w:val="bottom"/>
            <w:tcBorders>
              <w:top w:val="single" w:sz="8" w:color="0000FF"/>
              <w:bottom w:val="single" w:sz="8" w:color="0000FF"/>
            </w:tcBorders>
            <w:gridSpan w:val="22"/>
          </w:tcPr>
          <w:p>
            <w:pPr>
              <w:spacing w:after="0" w:line="169" w:lineRule="exact"/>
              <w:rPr>
                <w:rFonts w:ascii="Arial" w:cs="Arial" w:eastAsia="Arial" w:hAnsi="Arial"/>
                <w:sz w:val="16"/>
                <w:szCs w:val="16"/>
                <w:color w:val="0000FF"/>
              </w:rPr>
            </w:pPr>
            <w:hyperlink r:id="rId221">
              <w:r>
                <w:rPr>
                  <w:rFonts w:ascii="Arial" w:cs="Arial" w:eastAsia="Arial" w:hAnsi="Arial"/>
                  <w:sz w:val="16"/>
                  <w:szCs w:val="16"/>
                  <w:color w:val="0000FF"/>
                </w:rPr>
                <w:t>to the Amended and Restated Master Motor Vehicle Finance Lease Agreement, dated as of June 3, 2004 (Incorporated by reference to</w:t>
              </w:r>
            </w:hyperlink>
          </w:p>
        </w:tc>
        <w:tc>
          <w:tcPr>
            <w:tcW w:w="300" w:type="dxa"/>
            <w:vAlign w:val="bottom"/>
            <w:tcBorders>
              <w:top w:val="single" w:sz="8" w:color="0000FF"/>
            </w:tcBorders>
            <w:gridSpan w:val="9"/>
          </w:tcPr>
          <w:p>
            <w:pPr>
              <w:spacing w:after="0"/>
              <w:rPr>
                <w:sz w:val="14"/>
                <w:szCs w:val="14"/>
                <w:color w:val="auto"/>
              </w:rPr>
            </w:pPr>
          </w:p>
        </w:tc>
        <w:tc>
          <w:tcPr>
            <w:tcW w:w="160" w:type="dxa"/>
            <w:vAlign w:val="bottom"/>
            <w:tcBorders>
              <w:right w:val="single" w:sz="8" w:color="auto"/>
            </w:tcBorders>
            <w:gridSpan w:val="5"/>
          </w:tcPr>
          <w:p>
            <w:pPr>
              <w:spacing w:after="0"/>
              <w:rPr>
                <w:sz w:val="14"/>
                <w:szCs w:val="14"/>
                <w:color w:val="auto"/>
              </w:rPr>
            </w:pPr>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140" w:type="dxa"/>
            <w:vAlign w:val="bottom"/>
            <w:tcBorders>
              <w:right w:val="single" w:sz="8" w:color="auto"/>
            </w:tcBorders>
            <w:gridSpan w:val="36"/>
          </w:tcPr>
          <w:p>
            <w:pPr>
              <w:spacing w:after="0" w:line="169" w:lineRule="exact"/>
              <w:rPr>
                <w:rFonts w:ascii="Arial" w:cs="Arial" w:eastAsia="Arial" w:hAnsi="Arial"/>
                <w:sz w:val="16"/>
                <w:szCs w:val="16"/>
                <w:color w:val="0000FF"/>
              </w:rPr>
            </w:pPr>
            <w:hyperlink r:id="rId221">
              <w:r>
                <w:rPr>
                  <w:rFonts w:ascii="Arial" w:cs="Arial" w:eastAsia="Arial" w:hAnsi="Arial"/>
                  <w:sz w:val="16"/>
                  <w:szCs w:val="16"/>
                  <w:color w:val="0000FF"/>
                </w:rPr>
                <w:t>Exhibit 10.39(c) to the Company’s Annual Report on Form 10-K for the year ended December 31, 2013, dated February 20, 2014).</w:t>
              </w:r>
            </w:hyperlink>
          </w:p>
        </w:tc>
      </w:tr>
      <w:tr>
        <w:trPr>
          <w:trHeight w:val="34"/>
        </w:trPr>
        <w:tc>
          <w:tcPr>
            <w:tcW w:w="1160" w:type="dxa"/>
            <w:vAlign w:val="bottom"/>
            <w:tcBorders>
              <w:left w:val="single" w:sz="8" w:color="auto"/>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60" w:type="dxa"/>
            <w:vAlign w:val="bottom"/>
            <w:tcBorders>
              <w:top w:val="single" w:sz="8" w:color="0000FF"/>
              <w:bottom w:val="single" w:sz="8" w:color="auto"/>
            </w:tcBorders>
          </w:tcPr>
          <w:p>
            <w:pPr>
              <w:spacing w:after="0"/>
              <w:rPr>
                <w:sz w:val="2"/>
                <w:szCs w:val="2"/>
                <w:color w:val="auto"/>
              </w:rPr>
            </w:pPr>
          </w:p>
        </w:tc>
        <w:tc>
          <w:tcPr>
            <w:tcW w:w="2480" w:type="dxa"/>
            <w:vAlign w:val="bottom"/>
            <w:tcBorders>
              <w:top w:val="single" w:sz="8" w:color="0000FF"/>
              <w:bottom w:val="single" w:sz="8" w:color="auto"/>
            </w:tcBorders>
          </w:tcPr>
          <w:p>
            <w:pPr>
              <w:spacing w:after="0"/>
              <w:rPr>
                <w:sz w:val="2"/>
                <w:szCs w:val="2"/>
                <w:color w:val="auto"/>
              </w:rPr>
            </w:pPr>
          </w:p>
        </w:tc>
        <w:tc>
          <w:tcPr>
            <w:tcW w:w="20" w:type="dxa"/>
            <w:vAlign w:val="bottom"/>
            <w:tcBorders>
              <w:top w:val="single" w:sz="8" w:color="0000FF"/>
              <w:bottom w:val="single" w:sz="8" w:color="auto"/>
            </w:tcBorders>
          </w:tcPr>
          <w:p>
            <w:pPr>
              <w:spacing w:after="0"/>
              <w:rPr>
                <w:sz w:val="2"/>
                <w:szCs w:val="2"/>
                <w:color w:val="auto"/>
              </w:rPr>
            </w:pPr>
          </w:p>
        </w:tc>
        <w:tc>
          <w:tcPr>
            <w:tcW w:w="40" w:type="dxa"/>
            <w:vAlign w:val="bottom"/>
            <w:tcBorders>
              <w:top w:val="single" w:sz="8" w:color="0000FF"/>
              <w:bottom w:val="single" w:sz="8" w:color="auto"/>
            </w:tcBorders>
          </w:tcPr>
          <w:p>
            <w:pPr>
              <w:spacing w:after="0"/>
              <w:rPr>
                <w:sz w:val="2"/>
                <w:szCs w:val="2"/>
                <w:color w:val="auto"/>
              </w:rPr>
            </w:pPr>
          </w:p>
        </w:tc>
        <w:tc>
          <w:tcPr>
            <w:tcW w:w="20" w:type="dxa"/>
            <w:vAlign w:val="bottom"/>
            <w:tcBorders>
              <w:top w:val="single" w:sz="8" w:color="0000FF"/>
              <w:bottom w:val="single" w:sz="8" w:color="auto"/>
            </w:tcBorders>
          </w:tcPr>
          <w:p>
            <w:pPr>
              <w:spacing w:after="0"/>
              <w:rPr>
                <w:sz w:val="2"/>
                <w:szCs w:val="2"/>
                <w:color w:val="auto"/>
              </w:rPr>
            </w:pPr>
          </w:p>
        </w:tc>
        <w:tc>
          <w:tcPr>
            <w:tcW w:w="140" w:type="dxa"/>
            <w:vAlign w:val="bottom"/>
            <w:tcBorders>
              <w:top w:val="single" w:sz="8" w:color="0000FF"/>
              <w:bottom w:val="single" w:sz="8" w:color="auto"/>
            </w:tcBorders>
          </w:tcPr>
          <w:p>
            <w:pPr>
              <w:spacing w:after="0"/>
              <w:rPr>
                <w:sz w:val="2"/>
                <w:szCs w:val="2"/>
                <w:color w:val="auto"/>
              </w:rPr>
            </w:pPr>
          </w:p>
        </w:tc>
        <w:tc>
          <w:tcPr>
            <w:tcW w:w="700" w:type="dxa"/>
            <w:vAlign w:val="bottom"/>
            <w:tcBorders>
              <w:top w:val="single" w:sz="8" w:color="0000FF"/>
              <w:bottom w:val="single" w:sz="8" w:color="auto"/>
            </w:tcBorders>
          </w:tcPr>
          <w:p>
            <w:pPr>
              <w:spacing w:after="0"/>
              <w:rPr>
                <w:sz w:val="2"/>
                <w:szCs w:val="2"/>
                <w:color w:val="auto"/>
              </w:rPr>
            </w:pPr>
          </w:p>
        </w:tc>
        <w:tc>
          <w:tcPr>
            <w:tcW w:w="80" w:type="dxa"/>
            <w:vAlign w:val="bottom"/>
            <w:tcBorders>
              <w:top w:val="single" w:sz="8" w:color="0000FF"/>
              <w:bottom w:val="single" w:sz="8" w:color="auto"/>
            </w:tcBorders>
          </w:tcPr>
          <w:p>
            <w:pPr>
              <w:spacing w:after="0"/>
              <w:rPr>
                <w:sz w:val="2"/>
                <w:szCs w:val="2"/>
                <w:color w:val="auto"/>
              </w:rPr>
            </w:pPr>
          </w:p>
        </w:tc>
        <w:tc>
          <w:tcPr>
            <w:tcW w:w="920" w:type="dxa"/>
            <w:vAlign w:val="bottom"/>
            <w:tcBorders>
              <w:top w:val="single" w:sz="8" w:color="0000FF"/>
              <w:bottom w:val="single" w:sz="8" w:color="auto"/>
            </w:tcBorders>
          </w:tcPr>
          <w:p>
            <w:pPr>
              <w:spacing w:after="0"/>
              <w:rPr>
                <w:sz w:val="2"/>
                <w:szCs w:val="2"/>
                <w:color w:val="auto"/>
              </w:rPr>
            </w:pPr>
          </w:p>
        </w:tc>
        <w:tc>
          <w:tcPr>
            <w:tcW w:w="540" w:type="dxa"/>
            <w:vAlign w:val="bottom"/>
            <w:tcBorders>
              <w:top w:val="single" w:sz="8" w:color="0000FF"/>
              <w:bottom w:val="single" w:sz="8" w:color="auto"/>
            </w:tcBorders>
          </w:tcPr>
          <w:p>
            <w:pPr>
              <w:spacing w:after="0"/>
              <w:rPr>
                <w:sz w:val="2"/>
                <w:szCs w:val="2"/>
                <w:color w:val="auto"/>
              </w:rPr>
            </w:pPr>
          </w:p>
        </w:tc>
        <w:tc>
          <w:tcPr>
            <w:tcW w:w="2320" w:type="dxa"/>
            <w:vAlign w:val="bottom"/>
            <w:tcBorders>
              <w:top w:val="single" w:sz="8" w:color="0000FF"/>
              <w:bottom w:val="single" w:sz="8" w:color="auto"/>
            </w:tcBorders>
          </w:tcPr>
          <w:p>
            <w:pPr>
              <w:spacing w:after="0"/>
              <w:rPr>
                <w:sz w:val="2"/>
                <w:szCs w:val="2"/>
                <w:color w:val="auto"/>
              </w:rPr>
            </w:pPr>
          </w:p>
        </w:tc>
        <w:tc>
          <w:tcPr>
            <w:tcW w:w="500" w:type="dxa"/>
            <w:vAlign w:val="bottom"/>
            <w:tcBorders>
              <w:top w:val="single" w:sz="8" w:color="0000FF"/>
              <w:bottom w:val="single" w:sz="8" w:color="auto"/>
            </w:tcBorders>
          </w:tcPr>
          <w:p>
            <w:pPr>
              <w:spacing w:after="0"/>
              <w:rPr>
                <w:sz w:val="2"/>
                <w:szCs w:val="2"/>
                <w:color w:val="auto"/>
              </w:rPr>
            </w:pPr>
          </w:p>
        </w:tc>
        <w:tc>
          <w:tcPr>
            <w:tcW w:w="120" w:type="dxa"/>
            <w:vAlign w:val="bottom"/>
            <w:tcBorders>
              <w:top w:val="single" w:sz="8" w:color="0000FF"/>
              <w:bottom w:val="single" w:sz="8" w:color="auto"/>
            </w:tcBorders>
          </w:tcPr>
          <w:p>
            <w:pPr>
              <w:spacing w:after="0"/>
              <w:rPr>
                <w:sz w:val="2"/>
                <w:szCs w:val="2"/>
                <w:color w:val="auto"/>
              </w:rPr>
            </w:pPr>
          </w:p>
        </w:tc>
        <w:tc>
          <w:tcPr>
            <w:tcW w:w="600" w:type="dxa"/>
            <w:vAlign w:val="bottom"/>
            <w:tcBorders>
              <w:top w:val="single" w:sz="8" w:color="0000FF"/>
              <w:bottom w:val="single" w:sz="8" w:color="auto"/>
            </w:tcBorders>
          </w:tcPr>
          <w:p>
            <w:pPr>
              <w:spacing w:after="0"/>
              <w:rPr>
                <w:sz w:val="2"/>
                <w:szCs w:val="2"/>
                <w:color w:val="auto"/>
              </w:rPr>
            </w:pPr>
          </w:p>
        </w:tc>
        <w:tc>
          <w:tcPr>
            <w:tcW w:w="320" w:type="dxa"/>
            <w:vAlign w:val="bottom"/>
            <w:tcBorders>
              <w:top w:val="single" w:sz="8" w:color="0000FF"/>
              <w:bottom w:val="single" w:sz="8" w:color="auto"/>
            </w:tcBorders>
          </w:tcPr>
          <w:p>
            <w:pPr>
              <w:spacing w:after="0"/>
              <w:rPr>
                <w:sz w:val="2"/>
                <w:szCs w:val="2"/>
                <w:color w:val="auto"/>
              </w:rPr>
            </w:pPr>
          </w:p>
        </w:tc>
        <w:tc>
          <w:tcPr>
            <w:tcW w:w="120" w:type="dxa"/>
            <w:vAlign w:val="bottom"/>
            <w:tcBorders>
              <w:top w:val="single" w:sz="8" w:color="0000FF"/>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right w:val="single" w:sz="8" w:color="auto"/>
            </w:tcBorders>
          </w:tcPr>
          <w:p>
            <w:pPr>
              <w:spacing w:after="0"/>
              <w:rPr>
                <w:sz w:val="2"/>
                <w:szCs w:val="2"/>
                <w:color w:val="auto"/>
              </w:rPr>
            </w:pPr>
          </w:p>
        </w:tc>
      </w:tr>
      <w:tr>
        <w:trPr>
          <w:trHeight w:val="183"/>
        </w:trPr>
        <w:tc>
          <w:tcPr>
            <w:tcW w:w="1160" w:type="dxa"/>
            <w:vAlign w:val="bottom"/>
            <w:tcBorders>
              <w:left w:val="single" w:sz="8" w:color="auto"/>
              <w:right w:val="single" w:sz="8" w:color="auto"/>
            </w:tcBorders>
          </w:tcPr>
          <w:p>
            <w:pPr>
              <w:ind w:left="40"/>
              <w:spacing w:after="0" w:line="183" w:lineRule="exact"/>
              <w:rPr>
                <w:sz w:val="20"/>
                <w:szCs w:val="20"/>
                <w:color w:val="auto"/>
              </w:rPr>
            </w:pPr>
            <w:r>
              <w:rPr>
                <w:rFonts w:ascii="Arial" w:cs="Arial" w:eastAsia="Arial" w:hAnsi="Arial"/>
                <w:sz w:val="16"/>
                <w:szCs w:val="16"/>
                <w:color w:val="auto"/>
              </w:rPr>
              <w:t>10.40</w:t>
            </w:r>
          </w:p>
        </w:tc>
        <w:tc>
          <w:tcPr>
            <w:tcW w:w="12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9920" w:type="dxa"/>
            <w:vAlign w:val="bottom"/>
            <w:tcBorders>
              <w:bottom w:val="single" w:sz="8" w:color="0000FF"/>
            </w:tcBorders>
            <w:gridSpan w:val="29"/>
          </w:tcPr>
          <w:p>
            <w:pPr>
              <w:spacing w:after="0" w:line="183" w:lineRule="exact"/>
              <w:rPr>
                <w:rFonts w:ascii="Arial" w:cs="Arial" w:eastAsia="Arial" w:hAnsi="Arial"/>
                <w:sz w:val="16"/>
                <w:szCs w:val="16"/>
                <w:color w:val="0000FF"/>
              </w:rPr>
            </w:pPr>
            <w:hyperlink r:id="rId222">
              <w:r>
                <w:rPr>
                  <w:rFonts w:ascii="Arial" w:cs="Arial" w:eastAsia="Arial" w:hAnsi="Arial"/>
                  <w:sz w:val="16"/>
                  <w:szCs w:val="16"/>
                  <w:color w:val="0000FF"/>
                </w:rPr>
                <w:t>AESOP I Operating Sublease Agreement dated as of March 26, 2013 between Zipcar, Inc. and Avis Budget Car Rental, LLC (Incorporated</w:t>
              </w:r>
            </w:hyperlink>
          </w:p>
        </w:tc>
        <w:tc>
          <w:tcPr>
            <w:tcW w:w="220" w:type="dxa"/>
            <w:vAlign w:val="bottom"/>
            <w:tcBorders>
              <w:right w:val="single" w:sz="8" w:color="auto"/>
            </w:tcBorders>
            <w:gridSpan w:val="7"/>
          </w:tcPr>
          <w:p>
            <w:pPr>
              <w:spacing w:after="0"/>
              <w:rPr>
                <w:sz w:val="15"/>
                <w:szCs w:val="15"/>
                <w:color w:val="auto"/>
              </w:rPr>
            </w:pPr>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140" w:type="dxa"/>
            <w:vAlign w:val="bottom"/>
            <w:tcBorders>
              <w:right w:val="single" w:sz="8" w:color="auto"/>
            </w:tcBorders>
            <w:gridSpan w:val="36"/>
          </w:tcPr>
          <w:p>
            <w:pPr>
              <w:spacing w:after="0" w:line="169" w:lineRule="exact"/>
              <w:rPr>
                <w:rFonts w:ascii="Arial" w:cs="Arial" w:eastAsia="Arial" w:hAnsi="Arial"/>
                <w:sz w:val="16"/>
                <w:szCs w:val="16"/>
                <w:color w:val="0000FF"/>
              </w:rPr>
            </w:pPr>
            <w:hyperlink r:id="rId222">
              <w:r>
                <w:rPr>
                  <w:rFonts w:ascii="Arial" w:cs="Arial" w:eastAsia="Arial" w:hAnsi="Arial"/>
                  <w:sz w:val="16"/>
                  <w:szCs w:val="16"/>
                  <w:color w:val="0000FF"/>
                </w:rPr>
                <w:t>by reference to Exhibit 10.1 to the Company’s Quarterly Report on Form 10-Q for the quarterly period ended March 31, 2013 dated May 8,</w:t>
              </w:r>
            </w:hyperlink>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2940" w:type="dxa"/>
            <w:vAlign w:val="bottom"/>
            <w:tcBorders>
              <w:top w:val="single" w:sz="8" w:color="0000FF"/>
            </w:tcBorders>
            <w:gridSpan w:val="2"/>
          </w:tcPr>
          <w:p>
            <w:pPr>
              <w:spacing w:after="0" w:line="169" w:lineRule="exact"/>
              <w:rPr>
                <w:rFonts w:ascii="Arial" w:cs="Arial" w:eastAsia="Arial" w:hAnsi="Arial"/>
                <w:sz w:val="16"/>
                <w:szCs w:val="16"/>
                <w:color w:val="0000FF"/>
              </w:rPr>
            </w:pPr>
            <w:hyperlink r:id="rId222">
              <w:r>
                <w:rPr>
                  <w:rFonts w:ascii="Arial" w:cs="Arial" w:eastAsia="Arial" w:hAnsi="Arial"/>
                  <w:sz w:val="16"/>
                  <w:szCs w:val="16"/>
                  <w:color w:val="0000FF"/>
                </w:rPr>
                <w:t>2013).</w:t>
              </w:r>
            </w:hyperlink>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70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920" w:type="dxa"/>
            <w:vAlign w:val="bottom"/>
            <w:tcBorders>
              <w:top w:val="single" w:sz="8" w:color="0000FF"/>
            </w:tcBorders>
          </w:tcPr>
          <w:p>
            <w:pPr>
              <w:spacing w:after="0"/>
              <w:rPr>
                <w:sz w:val="14"/>
                <w:szCs w:val="14"/>
                <w:color w:val="auto"/>
              </w:rPr>
            </w:pPr>
          </w:p>
        </w:tc>
        <w:tc>
          <w:tcPr>
            <w:tcW w:w="540" w:type="dxa"/>
            <w:vAlign w:val="bottom"/>
            <w:tcBorders>
              <w:top w:val="single" w:sz="8" w:color="0000FF"/>
            </w:tcBorders>
          </w:tcPr>
          <w:p>
            <w:pPr>
              <w:spacing w:after="0"/>
              <w:rPr>
                <w:sz w:val="14"/>
                <w:szCs w:val="14"/>
                <w:color w:val="auto"/>
              </w:rPr>
            </w:pPr>
          </w:p>
        </w:tc>
        <w:tc>
          <w:tcPr>
            <w:tcW w:w="2320" w:type="dxa"/>
            <w:vAlign w:val="bottom"/>
            <w:tcBorders>
              <w:top w:val="single" w:sz="8" w:color="0000FF"/>
            </w:tcBorders>
          </w:tcPr>
          <w:p>
            <w:pPr>
              <w:spacing w:after="0"/>
              <w:rPr>
                <w:sz w:val="14"/>
                <w:szCs w:val="14"/>
                <w:color w:val="auto"/>
              </w:rPr>
            </w:pPr>
          </w:p>
        </w:tc>
        <w:tc>
          <w:tcPr>
            <w:tcW w:w="50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600" w:type="dxa"/>
            <w:vAlign w:val="bottom"/>
            <w:tcBorders>
              <w:top w:val="single" w:sz="8" w:color="0000FF"/>
            </w:tcBorders>
          </w:tcPr>
          <w:p>
            <w:pPr>
              <w:spacing w:after="0"/>
              <w:rPr>
                <w:sz w:val="14"/>
                <w:szCs w:val="14"/>
                <w:color w:val="auto"/>
              </w:rPr>
            </w:pPr>
          </w:p>
        </w:tc>
        <w:tc>
          <w:tcPr>
            <w:tcW w:w="32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Borders>
              <w:right w:val="single" w:sz="8" w:color="auto"/>
            </w:tcBorders>
          </w:tcPr>
          <w:p>
            <w:pPr>
              <w:spacing w:after="0"/>
              <w:rPr>
                <w:sz w:val="14"/>
                <w:szCs w:val="14"/>
                <w:color w:val="auto"/>
              </w:rPr>
            </w:pPr>
          </w:p>
        </w:tc>
      </w:tr>
      <w:tr>
        <w:trPr>
          <w:trHeight w:val="34"/>
        </w:trPr>
        <w:tc>
          <w:tcPr>
            <w:tcW w:w="1160" w:type="dxa"/>
            <w:vAlign w:val="bottom"/>
            <w:tcBorders>
              <w:left w:val="single" w:sz="8" w:color="auto"/>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60" w:type="dxa"/>
            <w:vAlign w:val="bottom"/>
            <w:tcBorders>
              <w:top w:val="single" w:sz="8" w:color="0000FF"/>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right w:val="single" w:sz="8" w:color="auto"/>
            </w:tcBorders>
          </w:tcPr>
          <w:p>
            <w:pPr>
              <w:spacing w:after="0"/>
              <w:rPr>
                <w:sz w:val="2"/>
                <w:szCs w:val="2"/>
                <w:color w:val="auto"/>
              </w:rPr>
            </w:pPr>
          </w:p>
        </w:tc>
      </w:tr>
      <w:tr>
        <w:trPr>
          <w:trHeight w:val="183"/>
        </w:trPr>
        <w:tc>
          <w:tcPr>
            <w:tcW w:w="1160" w:type="dxa"/>
            <w:vAlign w:val="bottom"/>
            <w:tcBorders>
              <w:left w:val="single" w:sz="8" w:color="auto"/>
              <w:right w:val="single" w:sz="8" w:color="auto"/>
            </w:tcBorders>
          </w:tcPr>
          <w:p>
            <w:pPr>
              <w:ind w:left="40"/>
              <w:spacing w:after="0" w:line="183" w:lineRule="exact"/>
              <w:rPr>
                <w:sz w:val="20"/>
                <w:szCs w:val="20"/>
                <w:color w:val="auto"/>
              </w:rPr>
            </w:pPr>
            <w:r>
              <w:rPr>
                <w:rFonts w:ascii="Arial" w:cs="Arial" w:eastAsia="Arial" w:hAnsi="Arial"/>
                <w:sz w:val="16"/>
                <w:szCs w:val="16"/>
                <w:color w:val="auto"/>
              </w:rPr>
              <w:t>10.41</w:t>
            </w:r>
          </w:p>
        </w:tc>
        <w:tc>
          <w:tcPr>
            <w:tcW w:w="12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0140" w:type="dxa"/>
            <w:vAlign w:val="bottom"/>
            <w:tcBorders>
              <w:right w:val="single" w:sz="8" w:color="auto"/>
            </w:tcBorders>
            <w:gridSpan w:val="36"/>
          </w:tcPr>
          <w:p>
            <w:pPr>
              <w:spacing w:after="0" w:line="183" w:lineRule="exact"/>
              <w:rPr>
                <w:rFonts w:ascii="Arial" w:cs="Arial" w:eastAsia="Arial" w:hAnsi="Arial"/>
                <w:sz w:val="16"/>
                <w:szCs w:val="16"/>
                <w:color w:val="0000FF"/>
              </w:rPr>
            </w:pPr>
            <w:hyperlink r:id="rId223">
              <w:r>
                <w:rPr>
                  <w:rFonts w:ascii="Arial" w:cs="Arial" w:eastAsia="Arial" w:hAnsi="Arial"/>
                  <w:sz w:val="16"/>
                  <w:szCs w:val="16"/>
                  <w:color w:val="0000FF"/>
                </w:rPr>
                <w:t>Second Amended and Restated Administration Agreement, dated as of June 3, 2004, among Cendant Rental Car Funding (AESOP) LLC***,</w:t>
              </w:r>
            </w:hyperlink>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60" w:type="dxa"/>
            <w:vAlign w:val="bottom"/>
            <w:tcBorders>
              <w:top w:val="single" w:sz="8" w:color="0000FF"/>
            </w:tcBorders>
            <w:gridSpan w:val="34"/>
          </w:tcPr>
          <w:p>
            <w:pPr>
              <w:spacing w:after="0" w:line="169" w:lineRule="exact"/>
              <w:rPr>
                <w:rFonts w:ascii="Arial" w:cs="Arial" w:eastAsia="Arial" w:hAnsi="Arial"/>
                <w:sz w:val="16"/>
                <w:szCs w:val="16"/>
                <w:color w:val="0000FF"/>
              </w:rPr>
            </w:pPr>
            <w:hyperlink r:id="rId223">
              <w:r>
                <w:rPr>
                  <w:rFonts w:ascii="Arial" w:cs="Arial" w:eastAsia="Arial" w:hAnsi="Arial"/>
                  <w:sz w:val="16"/>
                  <w:szCs w:val="16"/>
                  <w:color w:val="0000FF"/>
                </w:rPr>
                <w:t>AESOP Leasing L.P., AESOP Leasing Corp. II, Avis Rent A Car System, Inc.****, Budget Rent A Car System, Inc., Cendant Car Rental</w:t>
              </w:r>
            </w:hyperlink>
          </w:p>
        </w:tc>
        <w:tc>
          <w:tcPr>
            <w:tcW w:w="80" w:type="dxa"/>
            <w:vAlign w:val="bottom"/>
            <w:tcBorders>
              <w:right w:val="single" w:sz="8" w:color="auto"/>
            </w:tcBorders>
            <w:gridSpan w:val="2"/>
          </w:tcPr>
          <w:p>
            <w:pPr>
              <w:spacing w:after="0"/>
              <w:rPr>
                <w:sz w:val="14"/>
                <w:szCs w:val="14"/>
                <w:color w:val="auto"/>
              </w:rPr>
            </w:pPr>
          </w:p>
        </w:tc>
      </w:tr>
      <w:tr>
        <w:trPr>
          <w:trHeight w:val="20"/>
        </w:trPr>
        <w:tc>
          <w:tcPr>
            <w:tcW w:w="1160" w:type="dxa"/>
            <w:vAlign w:val="bottom"/>
            <w:tcBorders>
              <w:left w:val="single" w:sz="8" w:color="auto"/>
              <w:right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9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3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64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right w:val="single" w:sz="8" w:color="auto"/>
            </w:tcBorders>
            <w:gridSpan w:val="3"/>
          </w:tcPr>
          <w:p>
            <w:pPr>
              <w:spacing w:after="0" w:line="20" w:lineRule="exact"/>
              <w:rPr>
                <w:sz w:val="1"/>
                <w:szCs w:val="1"/>
                <w:color w:val="auto"/>
              </w:rPr>
            </w:pPr>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9900" w:type="dxa"/>
            <w:vAlign w:val="bottom"/>
            <w:tcBorders>
              <w:bottom w:val="single" w:sz="8" w:color="0000FF"/>
            </w:tcBorders>
            <w:gridSpan w:val="28"/>
          </w:tcPr>
          <w:p>
            <w:pPr>
              <w:spacing w:after="0" w:line="169" w:lineRule="exact"/>
              <w:rPr>
                <w:rFonts w:ascii="Arial" w:cs="Arial" w:eastAsia="Arial" w:hAnsi="Arial"/>
                <w:sz w:val="16"/>
                <w:szCs w:val="16"/>
                <w:color w:val="0000FF"/>
              </w:rPr>
            </w:pPr>
            <w:hyperlink r:id="rId223">
              <w:r>
                <w:rPr>
                  <w:rFonts w:ascii="Arial" w:cs="Arial" w:eastAsia="Arial" w:hAnsi="Arial"/>
                  <w:sz w:val="16"/>
                  <w:szCs w:val="16"/>
                  <w:color w:val="0000FF"/>
                </w:rPr>
                <w:t>Group, Inc.** and The Bank of New York, as Trustee (Incorporated by reference to Exhibit 10.34 to the Company’s Annual Report on Form</w:t>
              </w:r>
            </w:hyperlink>
          </w:p>
        </w:tc>
        <w:tc>
          <w:tcPr>
            <w:tcW w:w="240" w:type="dxa"/>
            <w:vAlign w:val="bottom"/>
            <w:tcBorders>
              <w:right w:val="single" w:sz="8" w:color="auto"/>
            </w:tcBorders>
            <w:gridSpan w:val="8"/>
          </w:tcPr>
          <w:p>
            <w:pPr>
              <w:spacing w:after="0"/>
              <w:rPr>
                <w:sz w:val="14"/>
                <w:szCs w:val="14"/>
                <w:color w:val="auto"/>
              </w:rPr>
            </w:pPr>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140" w:type="dxa"/>
            <w:vAlign w:val="bottom"/>
            <w:tcBorders>
              <w:right w:val="single" w:sz="8" w:color="auto"/>
            </w:tcBorders>
            <w:gridSpan w:val="36"/>
          </w:tcPr>
          <w:p>
            <w:pPr>
              <w:spacing w:after="0" w:line="169" w:lineRule="exact"/>
              <w:rPr>
                <w:rFonts w:ascii="Arial" w:cs="Arial" w:eastAsia="Arial" w:hAnsi="Arial"/>
                <w:sz w:val="16"/>
                <w:szCs w:val="16"/>
                <w:color w:val="0000FF"/>
              </w:rPr>
            </w:pPr>
            <w:hyperlink r:id="rId223">
              <w:r>
                <w:rPr>
                  <w:rFonts w:ascii="Arial" w:cs="Arial" w:eastAsia="Arial" w:hAnsi="Arial"/>
                  <w:sz w:val="16"/>
                  <w:szCs w:val="16"/>
                  <w:color w:val="0000FF"/>
                </w:rPr>
                <w:t>10-K for the year ended December 31, 2005, dated March 1, 2006).</w:t>
              </w:r>
            </w:hyperlink>
          </w:p>
        </w:tc>
      </w:tr>
      <w:tr>
        <w:trPr>
          <w:trHeight w:val="34"/>
        </w:trPr>
        <w:tc>
          <w:tcPr>
            <w:tcW w:w="1160" w:type="dxa"/>
            <w:vAlign w:val="bottom"/>
            <w:tcBorders>
              <w:left w:val="single" w:sz="8" w:color="auto"/>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60" w:type="dxa"/>
            <w:vAlign w:val="bottom"/>
            <w:tcBorders>
              <w:top w:val="single" w:sz="8" w:color="0000FF"/>
              <w:bottom w:val="single" w:sz="8" w:color="auto"/>
            </w:tcBorders>
          </w:tcPr>
          <w:p>
            <w:pPr>
              <w:spacing w:after="0"/>
              <w:rPr>
                <w:sz w:val="2"/>
                <w:szCs w:val="2"/>
                <w:color w:val="auto"/>
              </w:rPr>
            </w:pPr>
          </w:p>
        </w:tc>
        <w:tc>
          <w:tcPr>
            <w:tcW w:w="2480" w:type="dxa"/>
            <w:vAlign w:val="bottom"/>
            <w:tcBorders>
              <w:top w:val="single" w:sz="8" w:color="0000FF"/>
              <w:bottom w:val="single" w:sz="8" w:color="auto"/>
            </w:tcBorders>
          </w:tcPr>
          <w:p>
            <w:pPr>
              <w:spacing w:after="0"/>
              <w:rPr>
                <w:sz w:val="2"/>
                <w:szCs w:val="2"/>
                <w:color w:val="auto"/>
              </w:rPr>
            </w:pPr>
          </w:p>
        </w:tc>
        <w:tc>
          <w:tcPr>
            <w:tcW w:w="20" w:type="dxa"/>
            <w:vAlign w:val="bottom"/>
            <w:tcBorders>
              <w:top w:val="single" w:sz="8" w:color="0000FF"/>
              <w:bottom w:val="single" w:sz="8" w:color="auto"/>
            </w:tcBorders>
          </w:tcPr>
          <w:p>
            <w:pPr>
              <w:spacing w:after="0"/>
              <w:rPr>
                <w:sz w:val="2"/>
                <w:szCs w:val="2"/>
                <w:color w:val="auto"/>
              </w:rPr>
            </w:pPr>
          </w:p>
        </w:tc>
        <w:tc>
          <w:tcPr>
            <w:tcW w:w="40" w:type="dxa"/>
            <w:vAlign w:val="bottom"/>
            <w:tcBorders>
              <w:top w:val="single" w:sz="8" w:color="0000FF"/>
              <w:bottom w:val="single" w:sz="8" w:color="auto"/>
            </w:tcBorders>
          </w:tcPr>
          <w:p>
            <w:pPr>
              <w:spacing w:after="0"/>
              <w:rPr>
                <w:sz w:val="2"/>
                <w:szCs w:val="2"/>
                <w:color w:val="auto"/>
              </w:rPr>
            </w:pPr>
          </w:p>
        </w:tc>
        <w:tc>
          <w:tcPr>
            <w:tcW w:w="20" w:type="dxa"/>
            <w:vAlign w:val="bottom"/>
            <w:tcBorders>
              <w:top w:val="single" w:sz="8" w:color="0000FF"/>
              <w:bottom w:val="single" w:sz="8" w:color="auto"/>
            </w:tcBorders>
          </w:tcPr>
          <w:p>
            <w:pPr>
              <w:spacing w:after="0"/>
              <w:rPr>
                <w:sz w:val="2"/>
                <w:szCs w:val="2"/>
                <w:color w:val="auto"/>
              </w:rPr>
            </w:pPr>
          </w:p>
        </w:tc>
        <w:tc>
          <w:tcPr>
            <w:tcW w:w="140" w:type="dxa"/>
            <w:vAlign w:val="bottom"/>
            <w:tcBorders>
              <w:top w:val="single" w:sz="8" w:color="0000FF"/>
              <w:bottom w:val="single" w:sz="8" w:color="auto"/>
            </w:tcBorders>
          </w:tcPr>
          <w:p>
            <w:pPr>
              <w:spacing w:after="0"/>
              <w:rPr>
                <w:sz w:val="2"/>
                <w:szCs w:val="2"/>
                <w:color w:val="auto"/>
              </w:rPr>
            </w:pPr>
          </w:p>
        </w:tc>
        <w:tc>
          <w:tcPr>
            <w:tcW w:w="700" w:type="dxa"/>
            <w:vAlign w:val="bottom"/>
            <w:tcBorders>
              <w:top w:val="single" w:sz="8" w:color="0000FF"/>
              <w:bottom w:val="single" w:sz="8" w:color="auto"/>
            </w:tcBorders>
          </w:tcPr>
          <w:p>
            <w:pPr>
              <w:spacing w:after="0"/>
              <w:rPr>
                <w:sz w:val="2"/>
                <w:szCs w:val="2"/>
                <w:color w:val="auto"/>
              </w:rPr>
            </w:pPr>
          </w:p>
        </w:tc>
        <w:tc>
          <w:tcPr>
            <w:tcW w:w="80" w:type="dxa"/>
            <w:vAlign w:val="bottom"/>
            <w:tcBorders>
              <w:top w:val="single" w:sz="8" w:color="0000FF"/>
              <w:bottom w:val="single" w:sz="8" w:color="auto"/>
            </w:tcBorders>
          </w:tcPr>
          <w:p>
            <w:pPr>
              <w:spacing w:after="0"/>
              <w:rPr>
                <w:sz w:val="2"/>
                <w:szCs w:val="2"/>
                <w:color w:val="auto"/>
              </w:rPr>
            </w:pPr>
          </w:p>
        </w:tc>
        <w:tc>
          <w:tcPr>
            <w:tcW w:w="920" w:type="dxa"/>
            <w:vAlign w:val="bottom"/>
            <w:tcBorders>
              <w:top w:val="single" w:sz="8" w:color="0000FF"/>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right w:val="single" w:sz="8" w:color="auto"/>
            </w:tcBorders>
          </w:tcPr>
          <w:p>
            <w:pPr>
              <w:spacing w:after="0"/>
              <w:rPr>
                <w:sz w:val="2"/>
                <w:szCs w:val="2"/>
                <w:color w:val="auto"/>
              </w:rPr>
            </w:pPr>
          </w:p>
        </w:tc>
      </w:tr>
      <w:tr>
        <w:trPr>
          <w:trHeight w:val="183"/>
        </w:trPr>
        <w:tc>
          <w:tcPr>
            <w:tcW w:w="1160" w:type="dxa"/>
            <w:vAlign w:val="bottom"/>
            <w:tcBorders>
              <w:left w:val="single" w:sz="8" w:color="auto"/>
              <w:right w:val="single" w:sz="8" w:color="auto"/>
            </w:tcBorders>
          </w:tcPr>
          <w:p>
            <w:pPr>
              <w:ind w:left="40"/>
              <w:spacing w:after="0" w:line="183" w:lineRule="exact"/>
              <w:rPr>
                <w:sz w:val="20"/>
                <w:szCs w:val="20"/>
                <w:color w:val="auto"/>
              </w:rPr>
            </w:pPr>
            <w:r>
              <w:rPr>
                <w:rFonts w:ascii="Arial" w:cs="Arial" w:eastAsia="Arial" w:hAnsi="Arial"/>
                <w:sz w:val="16"/>
                <w:szCs w:val="16"/>
                <w:color w:val="auto"/>
              </w:rPr>
              <w:t>10.41(a)</w:t>
            </w:r>
          </w:p>
        </w:tc>
        <w:tc>
          <w:tcPr>
            <w:tcW w:w="12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9600" w:type="dxa"/>
            <w:vAlign w:val="bottom"/>
            <w:tcBorders>
              <w:bottom w:val="single" w:sz="8" w:color="0000FF"/>
            </w:tcBorders>
            <w:gridSpan w:val="19"/>
          </w:tcPr>
          <w:p>
            <w:pPr>
              <w:spacing w:after="0" w:line="183" w:lineRule="exact"/>
              <w:rPr>
                <w:rFonts w:ascii="Arial" w:cs="Arial" w:eastAsia="Arial" w:hAnsi="Arial"/>
                <w:sz w:val="16"/>
                <w:szCs w:val="16"/>
                <w:color w:val="0000FF"/>
              </w:rPr>
            </w:pPr>
            <w:hyperlink r:id="rId224">
              <w:r>
                <w:rPr>
                  <w:rFonts w:ascii="Arial" w:cs="Arial" w:eastAsia="Arial" w:hAnsi="Arial"/>
                  <w:sz w:val="16"/>
                  <w:szCs w:val="16"/>
                  <w:color w:val="0000FF"/>
                </w:rPr>
                <w:t>First Amendment, dated as of August 16, 2013, among Avis Budget Rental Car Funding (AESOP) LLC, AESOP Leasing L.P., AESOP</w:t>
              </w:r>
            </w:hyperlink>
          </w:p>
        </w:tc>
        <w:tc>
          <w:tcPr>
            <w:tcW w:w="540" w:type="dxa"/>
            <w:vAlign w:val="bottom"/>
            <w:tcBorders>
              <w:right w:val="single" w:sz="8" w:color="auto"/>
            </w:tcBorders>
            <w:gridSpan w:val="17"/>
          </w:tcPr>
          <w:p>
            <w:pPr>
              <w:spacing w:after="0"/>
              <w:rPr>
                <w:sz w:val="15"/>
                <w:szCs w:val="15"/>
                <w:color w:val="auto"/>
              </w:rPr>
            </w:pPr>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140" w:type="dxa"/>
            <w:vAlign w:val="bottom"/>
            <w:tcBorders>
              <w:right w:val="single" w:sz="8" w:color="auto"/>
            </w:tcBorders>
            <w:gridSpan w:val="36"/>
          </w:tcPr>
          <w:p>
            <w:pPr>
              <w:spacing w:after="0" w:line="169" w:lineRule="exact"/>
              <w:rPr>
                <w:rFonts w:ascii="Arial" w:cs="Arial" w:eastAsia="Arial" w:hAnsi="Arial"/>
                <w:sz w:val="16"/>
                <w:szCs w:val="16"/>
                <w:color w:val="0000FF"/>
              </w:rPr>
            </w:pPr>
            <w:hyperlink r:id="rId224">
              <w:r>
                <w:rPr>
                  <w:rFonts w:ascii="Arial" w:cs="Arial" w:eastAsia="Arial" w:hAnsi="Arial"/>
                  <w:sz w:val="16"/>
                  <w:szCs w:val="16"/>
                  <w:color w:val="0000FF"/>
                </w:rPr>
                <w:t>Leasing Corp. II, Avis Rent A Car System, LLC, Budget Rent A Car System, Inc. and Avis Budget Car Rental, LLC, as Administrator, to the</w:t>
              </w:r>
            </w:hyperlink>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9820" w:type="dxa"/>
            <w:vAlign w:val="bottom"/>
            <w:tcBorders>
              <w:top w:val="single" w:sz="8" w:color="0000FF"/>
              <w:bottom w:val="single" w:sz="8" w:color="0000FF"/>
            </w:tcBorders>
            <w:gridSpan w:val="25"/>
          </w:tcPr>
          <w:p>
            <w:pPr>
              <w:spacing w:after="0" w:line="169" w:lineRule="exact"/>
              <w:rPr>
                <w:rFonts w:ascii="Arial" w:cs="Arial" w:eastAsia="Arial" w:hAnsi="Arial"/>
                <w:sz w:val="16"/>
                <w:szCs w:val="16"/>
                <w:color w:val="0000FF"/>
              </w:rPr>
            </w:pPr>
            <w:hyperlink r:id="rId224">
              <w:r>
                <w:rPr>
                  <w:rFonts w:ascii="Arial" w:cs="Arial" w:eastAsia="Arial" w:hAnsi="Arial"/>
                  <w:sz w:val="16"/>
                  <w:szCs w:val="16"/>
                  <w:color w:val="0000FF"/>
                </w:rPr>
                <w:t>Second Amended and Restated Administration Agreement dated as of June 3, 2004 (Incorporated by reference to Exhibit 10.41(a) to the</w:t>
              </w:r>
            </w:hyperlink>
          </w:p>
        </w:tc>
        <w:tc>
          <w:tcPr>
            <w:tcW w:w="100" w:type="dxa"/>
            <w:vAlign w:val="bottom"/>
            <w:tcBorders>
              <w:top w:val="single" w:sz="8" w:color="0000FF"/>
            </w:tcBorders>
            <w:gridSpan w:val="4"/>
          </w:tcPr>
          <w:p>
            <w:pPr>
              <w:spacing w:after="0"/>
              <w:rPr>
                <w:sz w:val="14"/>
                <w:szCs w:val="14"/>
                <w:color w:val="auto"/>
              </w:rPr>
            </w:pPr>
          </w:p>
        </w:tc>
        <w:tc>
          <w:tcPr>
            <w:tcW w:w="220" w:type="dxa"/>
            <w:vAlign w:val="bottom"/>
            <w:tcBorders>
              <w:right w:val="single" w:sz="8" w:color="auto"/>
            </w:tcBorders>
            <w:gridSpan w:val="7"/>
          </w:tcPr>
          <w:p>
            <w:pPr>
              <w:spacing w:after="0"/>
              <w:rPr>
                <w:sz w:val="14"/>
                <w:szCs w:val="14"/>
                <w:color w:val="auto"/>
              </w:rPr>
            </w:pPr>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140" w:type="dxa"/>
            <w:vAlign w:val="bottom"/>
            <w:tcBorders>
              <w:right w:val="single" w:sz="8" w:color="auto"/>
            </w:tcBorders>
            <w:gridSpan w:val="36"/>
          </w:tcPr>
          <w:p>
            <w:pPr>
              <w:spacing w:after="0" w:line="169" w:lineRule="exact"/>
              <w:rPr>
                <w:rFonts w:ascii="Arial" w:cs="Arial" w:eastAsia="Arial" w:hAnsi="Arial"/>
                <w:sz w:val="16"/>
                <w:szCs w:val="16"/>
                <w:color w:val="0000FF"/>
              </w:rPr>
            </w:pPr>
            <w:hyperlink r:id="rId224">
              <w:r>
                <w:rPr>
                  <w:rFonts w:ascii="Arial" w:cs="Arial" w:eastAsia="Arial" w:hAnsi="Arial"/>
                  <w:sz w:val="16"/>
                  <w:szCs w:val="16"/>
                  <w:color w:val="0000FF"/>
                </w:rPr>
                <w:t>Company’s Annual Report on Form 10-K for the year ended December 31, 2013, dated February 20, 2014).</w:t>
              </w:r>
            </w:hyperlink>
          </w:p>
        </w:tc>
      </w:tr>
      <w:tr>
        <w:trPr>
          <w:trHeight w:val="34"/>
        </w:trPr>
        <w:tc>
          <w:tcPr>
            <w:tcW w:w="1160" w:type="dxa"/>
            <w:vAlign w:val="bottom"/>
            <w:tcBorders>
              <w:left w:val="single" w:sz="8" w:color="auto"/>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60" w:type="dxa"/>
            <w:vAlign w:val="bottom"/>
            <w:tcBorders>
              <w:top w:val="single" w:sz="8" w:color="0000FF"/>
              <w:bottom w:val="single" w:sz="8" w:color="auto"/>
            </w:tcBorders>
          </w:tcPr>
          <w:p>
            <w:pPr>
              <w:spacing w:after="0"/>
              <w:rPr>
                <w:sz w:val="2"/>
                <w:szCs w:val="2"/>
                <w:color w:val="auto"/>
              </w:rPr>
            </w:pPr>
          </w:p>
        </w:tc>
        <w:tc>
          <w:tcPr>
            <w:tcW w:w="2480" w:type="dxa"/>
            <w:vAlign w:val="bottom"/>
            <w:tcBorders>
              <w:top w:val="single" w:sz="8" w:color="0000FF"/>
              <w:bottom w:val="single" w:sz="8" w:color="auto"/>
            </w:tcBorders>
          </w:tcPr>
          <w:p>
            <w:pPr>
              <w:spacing w:after="0"/>
              <w:rPr>
                <w:sz w:val="2"/>
                <w:szCs w:val="2"/>
                <w:color w:val="auto"/>
              </w:rPr>
            </w:pPr>
          </w:p>
        </w:tc>
        <w:tc>
          <w:tcPr>
            <w:tcW w:w="20" w:type="dxa"/>
            <w:vAlign w:val="bottom"/>
            <w:tcBorders>
              <w:top w:val="single" w:sz="8" w:color="0000FF"/>
              <w:bottom w:val="single" w:sz="8" w:color="auto"/>
            </w:tcBorders>
          </w:tcPr>
          <w:p>
            <w:pPr>
              <w:spacing w:after="0"/>
              <w:rPr>
                <w:sz w:val="2"/>
                <w:szCs w:val="2"/>
                <w:color w:val="auto"/>
              </w:rPr>
            </w:pPr>
          </w:p>
        </w:tc>
        <w:tc>
          <w:tcPr>
            <w:tcW w:w="40" w:type="dxa"/>
            <w:vAlign w:val="bottom"/>
            <w:tcBorders>
              <w:top w:val="single" w:sz="8" w:color="0000FF"/>
              <w:bottom w:val="single" w:sz="8" w:color="auto"/>
            </w:tcBorders>
          </w:tcPr>
          <w:p>
            <w:pPr>
              <w:spacing w:after="0"/>
              <w:rPr>
                <w:sz w:val="2"/>
                <w:szCs w:val="2"/>
                <w:color w:val="auto"/>
              </w:rPr>
            </w:pPr>
          </w:p>
        </w:tc>
        <w:tc>
          <w:tcPr>
            <w:tcW w:w="20" w:type="dxa"/>
            <w:vAlign w:val="bottom"/>
            <w:tcBorders>
              <w:top w:val="single" w:sz="8" w:color="0000FF"/>
              <w:bottom w:val="single" w:sz="8" w:color="auto"/>
            </w:tcBorders>
          </w:tcPr>
          <w:p>
            <w:pPr>
              <w:spacing w:after="0"/>
              <w:rPr>
                <w:sz w:val="2"/>
                <w:szCs w:val="2"/>
                <w:color w:val="auto"/>
              </w:rPr>
            </w:pPr>
          </w:p>
        </w:tc>
        <w:tc>
          <w:tcPr>
            <w:tcW w:w="140" w:type="dxa"/>
            <w:vAlign w:val="bottom"/>
            <w:tcBorders>
              <w:top w:val="single" w:sz="8" w:color="0000FF"/>
              <w:bottom w:val="single" w:sz="8" w:color="auto"/>
            </w:tcBorders>
          </w:tcPr>
          <w:p>
            <w:pPr>
              <w:spacing w:after="0"/>
              <w:rPr>
                <w:sz w:val="2"/>
                <w:szCs w:val="2"/>
                <w:color w:val="auto"/>
              </w:rPr>
            </w:pPr>
          </w:p>
        </w:tc>
        <w:tc>
          <w:tcPr>
            <w:tcW w:w="700" w:type="dxa"/>
            <w:vAlign w:val="bottom"/>
            <w:tcBorders>
              <w:top w:val="single" w:sz="8" w:color="0000FF"/>
              <w:bottom w:val="single" w:sz="8" w:color="auto"/>
            </w:tcBorders>
          </w:tcPr>
          <w:p>
            <w:pPr>
              <w:spacing w:after="0"/>
              <w:rPr>
                <w:sz w:val="2"/>
                <w:szCs w:val="2"/>
                <w:color w:val="auto"/>
              </w:rPr>
            </w:pPr>
          </w:p>
        </w:tc>
        <w:tc>
          <w:tcPr>
            <w:tcW w:w="80" w:type="dxa"/>
            <w:vAlign w:val="bottom"/>
            <w:tcBorders>
              <w:top w:val="single" w:sz="8" w:color="0000FF"/>
              <w:bottom w:val="single" w:sz="8" w:color="auto"/>
            </w:tcBorders>
          </w:tcPr>
          <w:p>
            <w:pPr>
              <w:spacing w:after="0"/>
              <w:rPr>
                <w:sz w:val="2"/>
                <w:szCs w:val="2"/>
                <w:color w:val="auto"/>
              </w:rPr>
            </w:pPr>
          </w:p>
        </w:tc>
        <w:tc>
          <w:tcPr>
            <w:tcW w:w="920" w:type="dxa"/>
            <w:vAlign w:val="bottom"/>
            <w:tcBorders>
              <w:top w:val="single" w:sz="8" w:color="0000FF"/>
              <w:bottom w:val="single" w:sz="8" w:color="auto"/>
            </w:tcBorders>
          </w:tcPr>
          <w:p>
            <w:pPr>
              <w:spacing w:after="0"/>
              <w:rPr>
                <w:sz w:val="2"/>
                <w:szCs w:val="2"/>
                <w:color w:val="auto"/>
              </w:rPr>
            </w:pPr>
          </w:p>
        </w:tc>
        <w:tc>
          <w:tcPr>
            <w:tcW w:w="540" w:type="dxa"/>
            <w:vAlign w:val="bottom"/>
            <w:tcBorders>
              <w:top w:val="single" w:sz="8" w:color="0000FF"/>
              <w:bottom w:val="single" w:sz="8" w:color="auto"/>
            </w:tcBorders>
          </w:tcPr>
          <w:p>
            <w:pPr>
              <w:spacing w:after="0"/>
              <w:rPr>
                <w:sz w:val="2"/>
                <w:szCs w:val="2"/>
                <w:color w:val="auto"/>
              </w:rPr>
            </w:pPr>
          </w:p>
        </w:tc>
        <w:tc>
          <w:tcPr>
            <w:tcW w:w="2320" w:type="dxa"/>
            <w:vAlign w:val="bottom"/>
            <w:tcBorders>
              <w:top w:val="single" w:sz="8" w:color="0000FF"/>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right w:val="single" w:sz="8" w:color="auto"/>
            </w:tcBorders>
          </w:tcPr>
          <w:p>
            <w:pPr>
              <w:spacing w:after="0"/>
              <w:rPr>
                <w:sz w:val="2"/>
                <w:szCs w:val="2"/>
                <w:color w:val="auto"/>
              </w:rPr>
            </w:pPr>
          </w:p>
        </w:tc>
      </w:tr>
      <w:tr>
        <w:trPr>
          <w:trHeight w:val="183"/>
        </w:trPr>
        <w:tc>
          <w:tcPr>
            <w:tcW w:w="1160" w:type="dxa"/>
            <w:vAlign w:val="bottom"/>
            <w:tcBorders>
              <w:left w:val="single" w:sz="8" w:color="auto"/>
              <w:right w:val="single" w:sz="8" w:color="auto"/>
            </w:tcBorders>
          </w:tcPr>
          <w:p>
            <w:pPr>
              <w:ind w:left="40"/>
              <w:spacing w:after="0" w:line="183" w:lineRule="exact"/>
              <w:rPr>
                <w:sz w:val="20"/>
                <w:szCs w:val="20"/>
                <w:color w:val="auto"/>
              </w:rPr>
            </w:pPr>
            <w:r>
              <w:rPr>
                <w:rFonts w:ascii="Arial" w:cs="Arial" w:eastAsia="Arial" w:hAnsi="Arial"/>
                <w:sz w:val="16"/>
                <w:szCs w:val="16"/>
                <w:color w:val="auto"/>
              </w:rPr>
              <w:t>10.42</w:t>
            </w:r>
          </w:p>
        </w:tc>
        <w:tc>
          <w:tcPr>
            <w:tcW w:w="12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0140" w:type="dxa"/>
            <w:vAlign w:val="bottom"/>
            <w:tcBorders>
              <w:right w:val="single" w:sz="8" w:color="auto"/>
            </w:tcBorders>
            <w:gridSpan w:val="36"/>
          </w:tcPr>
          <w:p>
            <w:pPr>
              <w:spacing w:after="0" w:line="183" w:lineRule="exact"/>
              <w:rPr>
                <w:rFonts w:ascii="Arial" w:cs="Arial" w:eastAsia="Arial" w:hAnsi="Arial"/>
                <w:sz w:val="16"/>
                <w:szCs w:val="16"/>
                <w:color w:val="0000FF"/>
              </w:rPr>
            </w:pPr>
            <w:hyperlink r:id="rId225">
              <w:r>
                <w:rPr>
                  <w:rFonts w:ascii="Arial" w:cs="Arial" w:eastAsia="Arial" w:hAnsi="Arial"/>
                  <w:sz w:val="16"/>
                  <w:szCs w:val="16"/>
                  <w:color w:val="0000FF"/>
                </w:rPr>
                <w:t>Assignment and Assumption Agreement dated as of June 3, 2004, among Avis Rent A Car System, Inc.****, Avis Group Holdings, Inc.*****</w:t>
              </w:r>
            </w:hyperlink>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5400" w:type="dxa"/>
            <w:vAlign w:val="bottom"/>
            <w:tcBorders>
              <w:top w:val="single" w:sz="8" w:color="0000FF"/>
              <w:bottom w:val="single" w:sz="8" w:color="0000FF"/>
            </w:tcBorders>
            <w:gridSpan w:val="10"/>
          </w:tcPr>
          <w:p>
            <w:pPr>
              <w:spacing w:after="0" w:line="169" w:lineRule="exact"/>
              <w:rPr>
                <w:rFonts w:ascii="Arial" w:cs="Arial" w:eastAsia="Arial" w:hAnsi="Arial"/>
                <w:sz w:val="16"/>
                <w:szCs w:val="16"/>
                <w:color w:val="0000FF"/>
              </w:rPr>
            </w:pPr>
            <w:hyperlink r:id="rId225">
              <w:r>
                <w:rPr>
                  <w:rFonts w:ascii="Arial" w:cs="Arial" w:eastAsia="Arial" w:hAnsi="Arial"/>
                  <w:sz w:val="16"/>
                  <w:szCs w:val="16"/>
                  <w:color w:val="0000FF"/>
                </w:rPr>
                <w:t>and Cendant Car Rental Group, Inc.** (Incorporated by reference to Exhibit</w:t>
              </w:r>
            </w:hyperlink>
          </w:p>
        </w:tc>
        <w:tc>
          <w:tcPr>
            <w:tcW w:w="4520" w:type="dxa"/>
            <w:vAlign w:val="bottom"/>
            <w:tcBorders>
              <w:top w:val="single" w:sz="8" w:color="0000FF"/>
            </w:tcBorders>
            <w:gridSpan w:val="19"/>
          </w:tcPr>
          <w:p>
            <w:pPr>
              <w:spacing w:after="0"/>
              <w:rPr>
                <w:sz w:val="14"/>
                <w:szCs w:val="14"/>
                <w:color w:val="auto"/>
              </w:rPr>
            </w:pPr>
          </w:p>
        </w:tc>
        <w:tc>
          <w:tcPr>
            <w:tcW w:w="220" w:type="dxa"/>
            <w:vAlign w:val="bottom"/>
            <w:tcBorders>
              <w:right w:val="single" w:sz="8" w:color="auto"/>
            </w:tcBorders>
            <w:gridSpan w:val="7"/>
          </w:tcPr>
          <w:p>
            <w:pPr>
              <w:spacing w:after="0"/>
              <w:rPr>
                <w:sz w:val="14"/>
                <w:szCs w:val="14"/>
                <w:color w:val="auto"/>
              </w:rPr>
            </w:pPr>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340" w:type="dxa"/>
            <w:vAlign w:val="bottom"/>
            <w:tcBorders>
              <w:bottom w:val="single" w:sz="8" w:color="0000FF"/>
            </w:tcBorders>
            <w:gridSpan w:val="13"/>
          </w:tcPr>
          <w:p>
            <w:pPr>
              <w:spacing w:after="0" w:line="169" w:lineRule="exact"/>
              <w:rPr>
                <w:rFonts w:ascii="Arial" w:cs="Arial" w:eastAsia="Arial" w:hAnsi="Arial"/>
                <w:sz w:val="16"/>
                <w:szCs w:val="16"/>
                <w:color w:val="0000FF"/>
              </w:rPr>
            </w:pPr>
            <w:hyperlink r:id="rId225">
              <w:r>
                <w:rPr>
                  <w:rFonts w:ascii="Arial" w:cs="Arial" w:eastAsia="Arial" w:hAnsi="Arial"/>
                  <w:sz w:val="16"/>
                  <w:szCs w:val="16"/>
                  <w:color w:val="0000FF"/>
                </w:rPr>
                <w:t>10.35 to the Company’s Annual Report on Form 10-K for the year ended December 31, 2005, dated March 1, 2006).</w:t>
              </w:r>
            </w:hyperlink>
          </w:p>
        </w:tc>
        <w:tc>
          <w:tcPr>
            <w:tcW w:w="1800" w:type="dxa"/>
            <w:vAlign w:val="bottom"/>
            <w:tcBorders>
              <w:right w:val="single" w:sz="8" w:color="auto"/>
            </w:tcBorders>
            <w:gridSpan w:val="23"/>
          </w:tcPr>
          <w:p>
            <w:pPr>
              <w:spacing w:after="0"/>
              <w:rPr>
                <w:sz w:val="14"/>
                <w:szCs w:val="14"/>
                <w:color w:val="auto"/>
              </w:rPr>
            </w:pPr>
          </w:p>
        </w:tc>
      </w:tr>
      <w:tr>
        <w:trPr>
          <w:trHeight w:val="223"/>
        </w:trPr>
        <w:tc>
          <w:tcPr>
            <w:tcW w:w="11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10.43</w:t>
            </w:r>
          </w:p>
        </w:tc>
        <w:tc>
          <w:tcPr>
            <w:tcW w:w="120" w:type="dxa"/>
            <w:vAlign w:val="bottom"/>
            <w:tcBorders>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9760" w:type="dxa"/>
            <w:vAlign w:val="bottom"/>
            <w:tcBorders>
              <w:bottom w:val="single" w:sz="8" w:color="0000FF"/>
            </w:tcBorders>
            <w:gridSpan w:val="23"/>
          </w:tcPr>
          <w:p>
            <w:pPr>
              <w:spacing w:after="0"/>
              <w:rPr>
                <w:rFonts w:ascii="Arial" w:cs="Arial" w:eastAsia="Arial" w:hAnsi="Arial"/>
                <w:sz w:val="16"/>
                <w:szCs w:val="16"/>
                <w:color w:val="0000FF"/>
              </w:rPr>
            </w:pPr>
            <w:hyperlink r:id="rId226">
              <w:r>
                <w:rPr>
                  <w:rFonts w:ascii="Arial" w:cs="Arial" w:eastAsia="Arial" w:hAnsi="Arial"/>
                  <w:sz w:val="16"/>
                  <w:szCs w:val="16"/>
                  <w:color w:val="0000FF"/>
                </w:rPr>
                <w:t>Amended and Restated Series 2012-3 Supplement, dated as of September 9, 2013, between Avis Budget Rental Car Funding (AESOP)</w:t>
              </w:r>
            </w:hyperlink>
          </w:p>
        </w:tc>
        <w:tc>
          <w:tcPr>
            <w:tcW w:w="380" w:type="dxa"/>
            <w:vAlign w:val="bottom"/>
            <w:tcBorders>
              <w:right w:val="single" w:sz="8" w:color="auto"/>
            </w:tcBorders>
            <w:gridSpan w:val="13"/>
          </w:tcPr>
          <w:p>
            <w:pPr>
              <w:spacing w:after="0"/>
              <w:rPr>
                <w:sz w:val="19"/>
                <w:szCs w:val="19"/>
                <w:color w:val="auto"/>
              </w:rPr>
            </w:pPr>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9860" w:type="dxa"/>
            <w:vAlign w:val="bottom"/>
            <w:tcBorders>
              <w:bottom w:val="single" w:sz="8" w:color="0000FF"/>
            </w:tcBorders>
            <w:gridSpan w:val="27"/>
          </w:tcPr>
          <w:p>
            <w:pPr>
              <w:spacing w:after="0" w:line="169" w:lineRule="exact"/>
              <w:rPr>
                <w:rFonts w:ascii="Arial" w:cs="Arial" w:eastAsia="Arial" w:hAnsi="Arial"/>
                <w:sz w:val="16"/>
                <w:szCs w:val="16"/>
                <w:color w:val="0000FF"/>
              </w:rPr>
            </w:pPr>
            <w:hyperlink r:id="rId226">
              <w:r>
                <w:rPr>
                  <w:rFonts w:ascii="Arial" w:cs="Arial" w:eastAsia="Arial" w:hAnsi="Arial"/>
                  <w:sz w:val="16"/>
                  <w:szCs w:val="16"/>
                  <w:color w:val="0000FF"/>
                </w:rPr>
                <w:t>LLC and The Bank of New York Mellon Trust Company, N.A., as trustee and as Series 2012-3 Agent (Incorporated by reference to Exhibit</w:t>
              </w:r>
            </w:hyperlink>
          </w:p>
        </w:tc>
        <w:tc>
          <w:tcPr>
            <w:tcW w:w="280" w:type="dxa"/>
            <w:vAlign w:val="bottom"/>
            <w:tcBorders>
              <w:right w:val="single" w:sz="8" w:color="auto"/>
            </w:tcBorders>
            <w:gridSpan w:val="9"/>
          </w:tcPr>
          <w:p>
            <w:pPr>
              <w:spacing w:after="0"/>
              <w:rPr>
                <w:sz w:val="14"/>
                <w:szCs w:val="14"/>
                <w:color w:val="auto"/>
              </w:rPr>
            </w:pPr>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140" w:type="dxa"/>
            <w:vAlign w:val="bottom"/>
            <w:tcBorders>
              <w:right w:val="single" w:sz="8" w:color="auto"/>
            </w:tcBorders>
            <w:gridSpan w:val="36"/>
          </w:tcPr>
          <w:p>
            <w:pPr>
              <w:spacing w:after="0" w:line="169" w:lineRule="exact"/>
              <w:rPr>
                <w:rFonts w:ascii="Arial" w:cs="Arial" w:eastAsia="Arial" w:hAnsi="Arial"/>
                <w:sz w:val="16"/>
                <w:szCs w:val="16"/>
                <w:color w:val="0000FF"/>
              </w:rPr>
            </w:pPr>
            <w:hyperlink r:id="rId226">
              <w:r>
                <w:rPr>
                  <w:rFonts w:ascii="Arial" w:cs="Arial" w:eastAsia="Arial" w:hAnsi="Arial"/>
                  <w:sz w:val="16"/>
                  <w:szCs w:val="16"/>
                  <w:color w:val="0000FF"/>
                </w:rPr>
                <w:t>10.8 to the Company’s Quarterly Report on Form 10- Q for the period ended September 30, 2013, dated November 1, 2013).</w:t>
              </w:r>
            </w:hyperlink>
          </w:p>
        </w:tc>
      </w:tr>
      <w:tr>
        <w:trPr>
          <w:trHeight w:val="34"/>
        </w:trPr>
        <w:tc>
          <w:tcPr>
            <w:tcW w:w="1160" w:type="dxa"/>
            <w:vAlign w:val="bottom"/>
            <w:tcBorders>
              <w:left w:val="single" w:sz="8" w:color="auto"/>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60" w:type="dxa"/>
            <w:vAlign w:val="bottom"/>
            <w:tcBorders>
              <w:top w:val="single" w:sz="8" w:color="0000FF"/>
              <w:bottom w:val="single" w:sz="8" w:color="auto"/>
            </w:tcBorders>
          </w:tcPr>
          <w:p>
            <w:pPr>
              <w:spacing w:after="0"/>
              <w:rPr>
                <w:sz w:val="2"/>
                <w:szCs w:val="2"/>
                <w:color w:val="auto"/>
              </w:rPr>
            </w:pPr>
          </w:p>
        </w:tc>
        <w:tc>
          <w:tcPr>
            <w:tcW w:w="2480" w:type="dxa"/>
            <w:vAlign w:val="bottom"/>
            <w:tcBorders>
              <w:top w:val="single" w:sz="8" w:color="0000FF"/>
              <w:bottom w:val="single" w:sz="8" w:color="auto"/>
            </w:tcBorders>
          </w:tcPr>
          <w:p>
            <w:pPr>
              <w:spacing w:after="0"/>
              <w:rPr>
                <w:sz w:val="2"/>
                <w:szCs w:val="2"/>
                <w:color w:val="auto"/>
              </w:rPr>
            </w:pPr>
          </w:p>
        </w:tc>
        <w:tc>
          <w:tcPr>
            <w:tcW w:w="20" w:type="dxa"/>
            <w:vAlign w:val="bottom"/>
            <w:tcBorders>
              <w:top w:val="single" w:sz="8" w:color="0000FF"/>
              <w:bottom w:val="single" w:sz="8" w:color="auto"/>
            </w:tcBorders>
          </w:tcPr>
          <w:p>
            <w:pPr>
              <w:spacing w:after="0"/>
              <w:rPr>
                <w:sz w:val="2"/>
                <w:szCs w:val="2"/>
                <w:color w:val="auto"/>
              </w:rPr>
            </w:pPr>
          </w:p>
        </w:tc>
        <w:tc>
          <w:tcPr>
            <w:tcW w:w="40" w:type="dxa"/>
            <w:vAlign w:val="bottom"/>
            <w:tcBorders>
              <w:top w:val="single" w:sz="8" w:color="0000FF"/>
              <w:bottom w:val="single" w:sz="8" w:color="auto"/>
            </w:tcBorders>
          </w:tcPr>
          <w:p>
            <w:pPr>
              <w:spacing w:after="0"/>
              <w:rPr>
                <w:sz w:val="2"/>
                <w:szCs w:val="2"/>
                <w:color w:val="auto"/>
              </w:rPr>
            </w:pPr>
          </w:p>
        </w:tc>
        <w:tc>
          <w:tcPr>
            <w:tcW w:w="20" w:type="dxa"/>
            <w:vAlign w:val="bottom"/>
            <w:tcBorders>
              <w:top w:val="single" w:sz="8" w:color="0000FF"/>
              <w:bottom w:val="single" w:sz="8" w:color="auto"/>
            </w:tcBorders>
          </w:tcPr>
          <w:p>
            <w:pPr>
              <w:spacing w:after="0"/>
              <w:rPr>
                <w:sz w:val="2"/>
                <w:szCs w:val="2"/>
                <w:color w:val="auto"/>
              </w:rPr>
            </w:pPr>
          </w:p>
        </w:tc>
        <w:tc>
          <w:tcPr>
            <w:tcW w:w="140" w:type="dxa"/>
            <w:vAlign w:val="bottom"/>
            <w:tcBorders>
              <w:top w:val="single" w:sz="8" w:color="0000FF"/>
              <w:bottom w:val="single" w:sz="8" w:color="auto"/>
            </w:tcBorders>
          </w:tcPr>
          <w:p>
            <w:pPr>
              <w:spacing w:after="0"/>
              <w:rPr>
                <w:sz w:val="2"/>
                <w:szCs w:val="2"/>
                <w:color w:val="auto"/>
              </w:rPr>
            </w:pPr>
          </w:p>
        </w:tc>
        <w:tc>
          <w:tcPr>
            <w:tcW w:w="700" w:type="dxa"/>
            <w:vAlign w:val="bottom"/>
            <w:tcBorders>
              <w:top w:val="single" w:sz="8" w:color="0000FF"/>
              <w:bottom w:val="single" w:sz="8" w:color="auto"/>
            </w:tcBorders>
          </w:tcPr>
          <w:p>
            <w:pPr>
              <w:spacing w:after="0"/>
              <w:rPr>
                <w:sz w:val="2"/>
                <w:szCs w:val="2"/>
                <w:color w:val="auto"/>
              </w:rPr>
            </w:pPr>
          </w:p>
        </w:tc>
        <w:tc>
          <w:tcPr>
            <w:tcW w:w="80" w:type="dxa"/>
            <w:vAlign w:val="bottom"/>
            <w:tcBorders>
              <w:top w:val="single" w:sz="8" w:color="0000FF"/>
              <w:bottom w:val="single" w:sz="8" w:color="auto"/>
            </w:tcBorders>
          </w:tcPr>
          <w:p>
            <w:pPr>
              <w:spacing w:after="0"/>
              <w:rPr>
                <w:sz w:val="2"/>
                <w:szCs w:val="2"/>
                <w:color w:val="auto"/>
              </w:rPr>
            </w:pPr>
          </w:p>
        </w:tc>
        <w:tc>
          <w:tcPr>
            <w:tcW w:w="920" w:type="dxa"/>
            <w:vAlign w:val="bottom"/>
            <w:tcBorders>
              <w:top w:val="single" w:sz="8" w:color="0000FF"/>
              <w:bottom w:val="single" w:sz="8" w:color="auto"/>
            </w:tcBorders>
          </w:tcPr>
          <w:p>
            <w:pPr>
              <w:spacing w:after="0"/>
              <w:rPr>
                <w:sz w:val="2"/>
                <w:szCs w:val="2"/>
                <w:color w:val="auto"/>
              </w:rPr>
            </w:pPr>
          </w:p>
        </w:tc>
        <w:tc>
          <w:tcPr>
            <w:tcW w:w="540" w:type="dxa"/>
            <w:vAlign w:val="bottom"/>
            <w:tcBorders>
              <w:top w:val="single" w:sz="8" w:color="0000FF"/>
              <w:bottom w:val="single" w:sz="8" w:color="auto"/>
            </w:tcBorders>
          </w:tcPr>
          <w:p>
            <w:pPr>
              <w:spacing w:after="0"/>
              <w:rPr>
                <w:sz w:val="2"/>
                <w:szCs w:val="2"/>
                <w:color w:val="auto"/>
              </w:rPr>
            </w:pPr>
          </w:p>
        </w:tc>
        <w:tc>
          <w:tcPr>
            <w:tcW w:w="2320" w:type="dxa"/>
            <w:vAlign w:val="bottom"/>
            <w:tcBorders>
              <w:top w:val="single" w:sz="8" w:color="0000FF"/>
              <w:bottom w:val="single" w:sz="8" w:color="auto"/>
            </w:tcBorders>
          </w:tcPr>
          <w:p>
            <w:pPr>
              <w:spacing w:after="0"/>
              <w:rPr>
                <w:sz w:val="2"/>
                <w:szCs w:val="2"/>
                <w:color w:val="auto"/>
              </w:rPr>
            </w:pPr>
          </w:p>
        </w:tc>
        <w:tc>
          <w:tcPr>
            <w:tcW w:w="500" w:type="dxa"/>
            <w:vAlign w:val="bottom"/>
            <w:tcBorders>
              <w:top w:val="single" w:sz="8" w:color="0000FF"/>
              <w:bottom w:val="single" w:sz="8" w:color="auto"/>
            </w:tcBorders>
          </w:tcPr>
          <w:p>
            <w:pPr>
              <w:spacing w:after="0"/>
              <w:rPr>
                <w:sz w:val="2"/>
                <w:szCs w:val="2"/>
                <w:color w:val="auto"/>
              </w:rPr>
            </w:pPr>
          </w:p>
        </w:tc>
        <w:tc>
          <w:tcPr>
            <w:tcW w:w="120" w:type="dxa"/>
            <w:vAlign w:val="bottom"/>
            <w:tcBorders>
              <w:top w:val="single" w:sz="8" w:color="0000FF"/>
              <w:bottom w:val="single" w:sz="8" w:color="auto"/>
            </w:tcBorders>
          </w:tcPr>
          <w:p>
            <w:pPr>
              <w:spacing w:after="0"/>
              <w:rPr>
                <w:sz w:val="2"/>
                <w:szCs w:val="2"/>
                <w:color w:val="auto"/>
              </w:rPr>
            </w:pPr>
          </w:p>
        </w:tc>
        <w:tc>
          <w:tcPr>
            <w:tcW w:w="600" w:type="dxa"/>
            <w:vAlign w:val="bottom"/>
            <w:tcBorders>
              <w:top w:val="single" w:sz="8" w:color="0000FF"/>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right w:val="single" w:sz="8" w:color="auto"/>
            </w:tcBorders>
          </w:tcPr>
          <w:p>
            <w:pPr>
              <w:spacing w:after="0"/>
              <w:rPr>
                <w:sz w:val="2"/>
                <w:szCs w:val="2"/>
                <w:color w:val="auto"/>
              </w:rPr>
            </w:pPr>
          </w:p>
        </w:tc>
      </w:tr>
      <w:tr>
        <w:trPr>
          <w:trHeight w:val="183"/>
        </w:trPr>
        <w:tc>
          <w:tcPr>
            <w:tcW w:w="1160" w:type="dxa"/>
            <w:vAlign w:val="bottom"/>
            <w:tcBorders>
              <w:left w:val="single" w:sz="8" w:color="auto"/>
              <w:right w:val="single" w:sz="8" w:color="auto"/>
            </w:tcBorders>
          </w:tcPr>
          <w:p>
            <w:pPr>
              <w:ind w:left="40"/>
              <w:spacing w:after="0" w:line="183" w:lineRule="exact"/>
              <w:rPr>
                <w:sz w:val="20"/>
                <w:szCs w:val="20"/>
                <w:color w:val="auto"/>
              </w:rPr>
            </w:pPr>
            <w:r>
              <w:rPr>
                <w:rFonts w:ascii="Arial" w:cs="Arial" w:eastAsia="Arial" w:hAnsi="Arial"/>
                <w:sz w:val="16"/>
                <w:szCs w:val="16"/>
                <w:color w:val="auto"/>
              </w:rPr>
              <w:t>10.44</w:t>
            </w:r>
          </w:p>
        </w:tc>
        <w:tc>
          <w:tcPr>
            <w:tcW w:w="12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9760" w:type="dxa"/>
            <w:vAlign w:val="bottom"/>
            <w:tcBorders>
              <w:bottom w:val="single" w:sz="8" w:color="0000FF"/>
            </w:tcBorders>
            <w:gridSpan w:val="23"/>
          </w:tcPr>
          <w:p>
            <w:pPr>
              <w:spacing w:after="0" w:line="183" w:lineRule="exact"/>
              <w:rPr>
                <w:rFonts w:ascii="Arial" w:cs="Arial" w:eastAsia="Arial" w:hAnsi="Arial"/>
                <w:sz w:val="16"/>
                <w:szCs w:val="16"/>
                <w:color w:val="0000FF"/>
              </w:rPr>
            </w:pPr>
            <w:hyperlink r:id="rId227">
              <w:r>
                <w:rPr>
                  <w:rFonts w:ascii="Arial" w:cs="Arial" w:eastAsia="Arial" w:hAnsi="Arial"/>
                  <w:sz w:val="16"/>
                  <w:szCs w:val="16"/>
                  <w:color w:val="0000FF"/>
                </w:rPr>
                <w:t>Amended and Restated Series 2013-1 Supplement, dated as of September 9, 2013, between Avis Budget Rental Car Funding (AESOP)</w:t>
              </w:r>
            </w:hyperlink>
          </w:p>
        </w:tc>
        <w:tc>
          <w:tcPr>
            <w:tcW w:w="380" w:type="dxa"/>
            <w:vAlign w:val="bottom"/>
            <w:tcBorders>
              <w:right w:val="single" w:sz="8" w:color="auto"/>
            </w:tcBorders>
            <w:gridSpan w:val="13"/>
          </w:tcPr>
          <w:p>
            <w:pPr>
              <w:spacing w:after="0"/>
              <w:rPr>
                <w:sz w:val="15"/>
                <w:szCs w:val="15"/>
                <w:color w:val="auto"/>
              </w:rPr>
            </w:pPr>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9860" w:type="dxa"/>
            <w:vAlign w:val="bottom"/>
            <w:tcBorders>
              <w:bottom w:val="single" w:sz="8" w:color="0000FF"/>
            </w:tcBorders>
            <w:gridSpan w:val="27"/>
          </w:tcPr>
          <w:p>
            <w:pPr>
              <w:spacing w:after="0" w:line="169" w:lineRule="exact"/>
              <w:rPr>
                <w:rFonts w:ascii="Arial" w:cs="Arial" w:eastAsia="Arial" w:hAnsi="Arial"/>
                <w:sz w:val="16"/>
                <w:szCs w:val="16"/>
                <w:color w:val="0000FF"/>
              </w:rPr>
            </w:pPr>
            <w:hyperlink r:id="rId227">
              <w:r>
                <w:rPr>
                  <w:rFonts w:ascii="Arial" w:cs="Arial" w:eastAsia="Arial" w:hAnsi="Arial"/>
                  <w:sz w:val="16"/>
                  <w:szCs w:val="16"/>
                  <w:color w:val="0000FF"/>
                </w:rPr>
                <w:t>LLC and The Bank of New York Mellon Trust Company, N.A., as trustee and as Series 2013-1 Agent (Incorporated by reference to Exhibit</w:t>
              </w:r>
            </w:hyperlink>
          </w:p>
        </w:tc>
        <w:tc>
          <w:tcPr>
            <w:tcW w:w="280" w:type="dxa"/>
            <w:vAlign w:val="bottom"/>
            <w:tcBorders>
              <w:right w:val="single" w:sz="8" w:color="auto"/>
            </w:tcBorders>
            <w:gridSpan w:val="9"/>
          </w:tcPr>
          <w:p>
            <w:pPr>
              <w:spacing w:after="0"/>
              <w:rPr>
                <w:sz w:val="14"/>
                <w:szCs w:val="14"/>
                <w:color w:val="auto"/>
              </w:rPr>
            </w:pPr>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140" w:type="dxa"/>
            <w:vAlign w:val="bottom"/>
            <w:tcBorders>
              <w:right w:val="single" w:sz="8" w:color="auto"/>
            </w:tcBorders>
            <w:gridSpan w:val="36"/>
          </w:tcPr>
          <w:p>
            <w:pPr>
              <w:spacing w:after="0" w:line="169" w:lineRule="exact"/>
              <w:rPr>
                <w:rFonts w:ascii="Arial" w:cs="Arial" w:eastAsia="Arial" w:hAnsi="Arial"/>
                <w:sz w:val="16"/>
                <w:szCs w:val="16"/>
                <w:color w:val="0000FF"/>
              </w:rPr>
            </w:pPr>
            <w:hyperlink r:id="rId227">
              <w:r>
                <w:rPr>
                  <w:rFonts w:ascii="Arial" w:cs="Arial" w:eastAsia="Arial" w:hAnsi="Arial"/>
                  <w:sz w:val="16"/>
                  <w:szCs w:val="16"/>
                  <w:color w:val="0000FF"/>
                </w:rPr>
                <w:t>10.7 to the Company’s Quarterly Report on Form 10- Q for the period ended September 30, 2013, dated November 1, 2013).</w:t>
              </w:r>
            </w:hyperlink>
          </w:p>
        </w:tc>
      </w:tr>
      <w:tr>
        <w:trPr>
          <w:trHeight w:val="34"/>
        </w:trPr>
        <w:tc>
          <w:tcPr>
            <w:tcW w:w="1160" w:type="dxa"/>
            <w:vAlign w:val="bottom"/>
            <w:tcBorders>
              <w:left w:val="single" w:sz="8" w:color="auto"/>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60" w:type="dxa"/>
            <w:vAlign w:val="bottom"/>
            <w:tcBorders>
              <w:top w:val="single" w:sz="8" w:color="0000FF"/>
              <w:bottom w:val="single" w:sz="8" w:color="auto"/>
            </w:tcBorders>
          </w:tcPr>
          <w:p>
            <w:pPr>
              <w:spacing w:after="0"/>
              <w:rPr>
                <w:sz w:val="2"/>
                <w:szCs w:val="2"/>
                <w:color w:val="auto"/>
              </w:rPr>
            </w:pPr>
          </w:p>
        </w:tc>
        <w:tc>
          <w:tcPr>
            <w:tcW w:w="2480" w:type="dxa"/>
            <w:vAlign w:val="bottom"/>
            <w:tcBorders>
              <w:top w:val="single" w:sz="8" w:color="0000FF"/>
              <w:bottom w:val="single" w:sz="8" w:color="auto"/>
            </w:tcBorders>
          </w:tcPr>
          <w:p>
            <w:pPr>
              <w:spacing w:after="0"/>
              <w:rPr>
                <w:sz w:val="2"/>
                <w:szCs w:val="2"/>
                <w:color w:val="auto"/>
              </w:rPr>
            </w:pPr>
          </w:p>
        </w:tc>
        <w:tc>
          <w:tcPr>
            <w:tcW w:w="20" w:type="dxa"/>
            <w:vAlign w:val="bottom"/>
            <w:tcBorders>
              <w:top w:val="single" w:sz="8" w:color="0000FF"/>
              <w:bottom w:val="single" w:sz="8" w:color="auto"/>
            </w:tcBorders>
          </w:tcPr>
          <w:p>
            <w:pPr>
              <w:spacing w:after="0"/>
              <w:rPr>
                <w:sz w:val="2"/>
                <w:szCs w:val="2"/>
                <w:color w:val="auto"/>
              </w:rPr>
            </w:pPr>
          </w:p>
        </w:tc>
        <w:tc>
          <w:tcPr>
            <w:tcW w:w="40" w:type="dxa"/>
            <w:vAlign w:val="bottom"/>
            <w:tcBorders>
              <w:top w:val="single" w:sz="8" w:color="0000FF"/>
              <w:bottom w:val="single" w:sz="8" w:color="auto"/>
            </w:tcBorders>
          </w:tcPr>
          <w:p>
            <w:pPr>
              <w:spacing w:after="0"/>
              <w:rPr>
                <w:sz w:val="2"/>
                <w:szCs w:val="2"/>
                <w:color w:val="auto"/>
              </w:rPr>
            </w:pPr>
          </w:p>
        </w:tc>
        <w:tc>
          <w:tcPr>
            <w:tcW w:w="20" w:type="dxa"/>
            <w:vAlign w:val="bottom"/>
            <w:tcBorders>
              <w:top w:val="single" w:sz="8" w:color="0000FF"/>
              <w:bottom w:val="single" w:sz="8" w:color="auto"/>
            </w:tcBorders>
          </w:tcPr>
          <w:p>
            <w:pPr>
              <w:spacing w:after="0"/>
              <w:rPr>
                <w:sz w:val="2"/>
                <w:szCs w:val="2"/>
                <w:color w:val="auto"/>
              </w:rPr>
            </w:pPr>
          </w:p>
        </w:tc>
        <w:tc>
          <w:tcPr>
            <w:tcW w:w="140" w:type="dxa"/>
            <w:vAlign w:val="bottom"/>
            <w:tcBorders>
              <w:top w:val="single" w:sz="8" w:color="0000FF"/>
              <w:bottom w:val="single" w:sz="8" w:color="auto"/>
            </w:tcBorders>
          </w:tcPr>
          <w:p>
            <w:pPr>
              <w:spacing w:after="0"/>
              <w:rPr>
                <w:sz w:val="2"/>
                <w:szCs w:val="2"/>
                <w:color w:val="auto"/>
              </w:rPr>
            </w:pPr>
          </w:p>
        </w:tc>
        <w:tc>
          <w:tcPr>
            <w:tcW w:w="700" w:type="dxa"/>
            <w:vAlign w:val="bottom"/>
            <w:tcBorders>
              <w:top w:val="single" w:sz="8" w:color="0000FF"/>
              <w:bottom w:val="single" w:sz="8" w:color="auto"/>
            </w:tcBorders>
          </w:tcPr>
          <w:p>
            <w:pPr>
              <w:spacing w:after="0"/>
              <w:rPr>
                <w:sz w:val="2"/>
                <w:szCs w:val="2"/>
                <w:color w:val="auto"/>
              </w:rPr>
            </w:pPr>
          </w:p>
        </w:tc>
        <w:tc>
          <w:tcPr>
            <w:tcW w:w="80" w:type="dxa"/>
            <w:vAlign w:val="bottom"/>
            <w:tcBorders>
              <w:top w:val="single" w:sz="8" w:color="0000FF"/>
              <w:bottom w:val="single" w:sz="8" w:color="auto"/>
            </w:tcBorders>
          </w:tcPr>
          <w:p>
            <w:pPr>
              <w:spacing w:after="0"/>
              <w:rPr>
                <w:sz w:val="2"/>
                <w:szCs w:val="2"/>
                <w:color w:val="auto"/>
              </w:rPr>
            </w:pPr>
          </w:p>
        </w:tc>
        <w:tc>
          <w:tcPr>
            <w:tcW w:w="920" w:type="dxa"/>
            <w:vAlign w:val="bottom"/>
            <w:tcBorders>
              <w:top w:val="single" w:sz="8" w:color="0000FF"/>
              <w:bottom w:val="single" w:sz="8" w:color="auto"/>
            </w:tcBorders>
          </w:tcPr>
          <w:p>
            <w:pPr>
              <w:spacing w:after="0"/>
              <w:rPr>
                <w:sz w:val="2"/>
                <w:szCs w:val="2"/>
                <w:color w:val="auto"/>
              </w:rPr>
            </w:pPr>
          </w:p>
        </w:tc>
        <w:tc>
          <w:tcPr>
            <w:tcW w:w="540" w:type="dxa"/>
            <w:vAlign w:val="bottom"/>
            <w:tcBorders>
              <w:top w:val="single" w:sz="8" w:color="0000FF"/>
              <w:bottom w:val="single" w:sz="8" w:color="auto"/>
            </w:tcBorders>
          </w:tcPr>
          <w:p>
            <w:pPr>
              <w:spacing w:after="0"/>
              <w:rPr>
                <w:sz w:val="2"/>
                <w:szCs w:val="2"/>
                <w:color w:val="auto"/>
              </w:rPr>
            </w:pPr>
          </w:p>
        </w:tc>
        <w:tc>
          <w:tcPr>
            <w:tcW w:w="2320" w:type="dxa"/>
            <w:vAlign w:val="bottom"/>
            <w:tcBorders>
              <w:top w:val="single" w:sz="8" w:color="0000FF"/>
              <w:bottom w:val="single" w:sz="8" w:color="auto"/>
            </w:tcBorders>
          </w:tcPr>
          <w:p>
            <w:pPr>
              <w:spacing w:after="0"/>
              <w:rPr>
                <w:sz w:val="2"/>
                <w:szCs w:val="2"/>
                <w:color w:val="auto"/>
              </w:rPr>
            </w:pPr>
          </w:p>
        </w:tc>
        <w:tc>
          <w:tcPr>
            <w:tcW w:w="500" w:type="dxa"/>
            <w:vAlign w:val="bottom"/>
            <w:tcBorders>
              <w:top w:val="single" w:sz="8" w:color="0000FF"/>
              <w:bottom w:val="single" w:sz="8" w:color="auto"/>
            </w:tcBorders>
          </w:tcPr>
          <w:p>
            <w:pPr>
              <w:spacing w:after="0"/>
              <w:rPr>
                <w:sz w:val="2"/>
                <w:szCs w:val="2"/>
                <w:color w:val="auto"/>
              </w:rPr>
            </w:pPr>
          </w:p>
        </w:tc>
        <w:tc>
          <w:tcPr>
            <w:tcW w:w="120" w:type="dxa"/>
            <w:vAlign w:val="bottom"/>
            <w:tcBorders>
              <w:top w:val="single" w:sz="8" w:color="0000FF"/>
              <w:bottom w:val="single" w:sz="8" w:color="auto"/>
            </w:tcBorders>
          </w:tcPr>
          <w:p>
            <w:pPr>
              <w:spacing w:after="0"/>
              <w:rPr>
                <w:sz w:val="2"/>
                <w:szCs w:val="2"/>
                <w:color w:val="auto"/>
              </w:rPr>
            </w:pPr>
          </w:p>
        </w:tc>
        <w:tc>
          <w:tcPr>
            <w:tcW w:w="600" w:type="dxa"/>
            <w:vAlign w:val="bottom"/>
            <w:tcBorders>
              <w:top w:val="single" w:sz="8" w:color="0000FF"/>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right w:val="single" w:sz="8" w:color="auto"/>
            </w:tcBorders>
          </w:tcPr>
          <w:p>
            <w:pPr>
              <w:spacing w:after="0"/>
              <w:rPr>
                <w:sz w:val="2"/>
                <w:szCs w:val="2"/>
                <w:color w:val="auto"/>
              </w:rPr>
            </w:pPr>
          </w:p>
        </w:tc>
      </w:tr>
      <w:tr>
        <w:trPr>
          <w:trHeight w:val="183"/>
        </w:trPr>
        <w:tc>
          <w:tcPr>
            <w:tcW w:w="1160" w:type="dxa"/>
            <w:vAlign w:val="bottom"/>
            <w:tcBorders>
              <w:left w:val="single" w:sz="8" w:color="auto"/>
              <w:right w:val="single" w:sz="8" w:color="auto"/>
            </w:tcBorders>
          </w:tcPr>
          <w:p>
            <w:pPr>
              <w:ind w:left="40"/>
              <w:spacing w:after="0" w:line="183" w:lineRule="exact"/>
              <w:rPr>
                <w:sz w:val="20"/>
                <w:szCs w:val="20"/>
                <w:color w:val="auto"/>
              </w:rPr>
            </w:pPr>
            <w:r>
              <w:rPr>
                <w:rFonts w:ascii="Arial" w:cs="Arial" w:eastAsia="Arial" w:hAnsi="Arial"/>
                <w:sz w:val="16"/>
                <w:szCs w:val="16"/>
                <w:color w:val="auto"/>
              </w:rPr>
              <w:t>10.45</w:t>
            </w:r>
          </w:p>
        </w:tc>
        <w:tc>
          <w:tcPr>
            <w:tcW w:w="12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0140" w:type="dxa"/>
            <w:vAlign w:val="bottom"/>
            <w:tcBorders>
              <w:right w:val="single" w:sz="8" w:color="auto"/>
            </w:tcBorders>
            <w:gridSpan w:val="36"/>
          </w:tcPr>
          <w:p>
            <w:pPr>
              <w:spacing w:after="0" w:line="183" w:lineRule="exact"/>
              <w:rPr>
                <w:rFonts w:ascii="Arial" w:cs="Arial" w:eastAsia="Arial" w:hAnsi="Arial"/>
                <w:sz w:val="16"/>
                <w:szCs w:val="16"/>
                <w:color w:val="0000FF"/>
              </w:rPr>
            </w:pPr>
            <w:hyperlink r:id="rId228">
              <w:r>
                <w:rPr>
                  <w:rFonts w:ascii="Arial" w:cs="Arial" w:eastAsia="Arial" w:hAnsi="Arial"/>
                  <w:sz w:val="16"/>
                  <w:szCs w:val="16"/>
                  <w:color w:val="0000FF"/>
                </w:rPr>
                <w:t>Amended and Restated Series 2013-2 Supplement, dated as of February 12, 2014, between Avis Budget Rental Car Funding (AESOP) LLC</w:t>
              </w:r>
            </w:hyperlink>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40" w:type="dxa"/>
            <w:vAlign w:val="bottom"/>
            <w:tcBorders>
              <w:top w:val="single" w:sz="8" w:color="0000FF"/>
            </w:tcBorders>
            <w:gridSpan w:val="33"/>
          </w:tcPr>
          <w:p>
            <w:pPr>
              <w:spacing w:after="0" w:line="169" w:lineRule="exact"/>
              <w:rPr>
                <w:rFonts w:ascii="Arial" w:cs="Arial" w:eastAsia="Arial" w:hAnsi="Arial"/>
                <w:sz w:val="16"/>
                <w:szCs w:val="16"/>
                <w:color w:val="0000FF"/>
              </w:rPr>
            </w:pPr>
            <w:hyperlink r:id="rId228">
              <w:r>
                <w:rPr>
                  <w:rFonts w:ascii="Arial" w:cs="Arial" w:eastAsia="Arial" w:hAnsi="Arial"/>
                  <w:sz w:val="16"/>
                  <w:szCs w:val="16"/>
                  <w:color w:val="0000FF"/>
                </w:rPr>
                <w:t>and The Bank of New York Mellon Trust Company, N.A., as trustee and as Series 2013-2 Agent (Incorporated by reference to Exhibit 10.54</w:t>
              </w:r>
            </w:hyperlink>
          </w:p>
        </w:tc>
        <w:tc>
          <w:tcPr>
            <w:tcW w:w="100" w:type="dxa"/>
            <w:vAlign w:val="bottom"/>
            <w:tcBorders>
              <w:right w:val="single" w:sz="8" w:color="auto"/>
            </w:tcBorders>
            <w:gridSpan w:val="3"/>
          </w:tcPr>
          <w:p>
            <w:pPr>
              <w:spacing w:after="0"/>
              <w:rPr>
                <w:sz w:val="14"/>
                <w:szCs w:val="14"/>
                <w:color w:val="auto"/>
              </w:rPr>
            </w:pPr>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9960" w:type="dxa"/>
            <w:vAlign w:val="bottom"/>
            <w:tcBorders>
              <w:top w:val="single" w:sz="8" w:color="0000FF"/>
            </w:tcBorders>
            <w:gridSpan w:val="30"/>
          </w:tcPr>
          <w:p>
            <w:pPr>
              <w:spacing w:after="0" w:line="169" w:lineRule="exact"/>
              <w:rPr>
                <w:rFonts w:ascii="Arial" w:cs="Arial" w:eastAsia="Arial" w:hAnsi="Arial"/>
                <w:sz w:val="16"/>
                <w:szCs w:val="16"/>
                <w:color w:val="0000FF"/>
              </w:rPr>
            </w:pPr>
            <w:hyperlink r:id="rId228">
              <w:r>
                <w:rPr>
                  <w:rFonts w:ascii="Arial" w:cs="Arial" w:eastAsia="Arial" w:hAnsi="Arial"/>
                  <w:sz w:val="16"/>
                  <w:szCs w:val="16"/>
                  <w:color w:val="0000FF"/>
                </w:rPr>
                <w:t>to the Company’s Annual Report on Form 10- K for the year ended December 31, 2013, dated February 20, 2014).</w:t>
              </w:r>
            </w:hyperlink>
          </w:p>
        </w:tc>
        <w:tc>
          <w:tcPr>
            <w:tcW w:w="180" w:type="dxa"/>
            <w:vAlign w:val="bottom"/>
            <w:tcBorders>
              <w:right w:val="single" w:sz="8" w:color="auto"/>
            </w:tcBorders>
            <w:gridSpan w:val="6"/>
          </w:tcPr>
          <w:p>
            <w:pPr>
              <w:spacing w:after="0"/>
              <w:rPr>
                <w:sz w:val="14"/>
                <w:szCs w:val="14"/>
                <w:color w:val="auto"/>
              </w:rPr>
            </w:pPr>
          </w:p>
        </w:tc>
      </w:tr>
      <w:tr>
        <w:trPr>
          <w:trHeight w:val="34"/>
        </w:trPr>
        <w:tc>
          <w:tcPr>
            <w:tcW w:w="1160" w:type="dxa"/>
            <w:vAlign w:val="bottom"/>
            <w:tcBorders>
              <w:left w:val="single" w:sz="8" w:color="auto"/>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60" w:type="dxa"/>
            <w:vAlign w:val="bottom"/>
            <w:tcBorders>
              <w:top w:val="single" w:sz="8" w:color="0000FF"/>
              <w:bottom w:val="single" w:sz="8" w:color="auto"/>
            </w:tcBorders>
          </w:tcPr>
          <w:p>
            <w:pPr>
              <w:spacing w:after="0"/>
              <w:rPr>
                <w:sz w:val="2"/>
                <w:szCs w:val="2"/>
                <w:color w:val="auto"/>
              </w:rPr>
            </w:pPr>
          </w:p>
        </w:tc>
        <w:tc>
          <w:tcPr>
            <w:tcW w:w="2480" w:type="dxa"/>
            <w:vAlign w:val="bottom"/>
            <w:tcBorders>
              <w:top w:val="single" w:sz="8" w:color="0000FF"/>
              <w:bottom w:val="single" w:sz="8" w:color="auto"/>
            </w:tcBorders>
          </w:tcPr>
          <w:p>
            <w:pPr>
              <w:spacing w:after="0"/>
              <w:rPr>
                <w:sz w:val="2"/>
                <w:szCs w:val="2"/>
                <w:color w:val="auto"/>
              </w:rPr>
            </w:pPr>
          </w:p>
        </w:tc>
        <w:tc>
          <w:tcPr>
            <w:tcW w:w="20" w:type="dxa"/>
            <w:vAlign w:val="bottom"/>
            <w:tcBorders>
              <w:top w:val="single" w:sz="8" w:color="0000FF"/>
              <w:bottom w:val="single" w:sz="8" w:color="auto"/>
            </w:tcBorders>
          </w:tcPr>
          <w:p>
            <w:pPr>
              <w:spacing w:after="0"/>
              <w:rPr>
                <w:sz w:val="2"/>
                <w:szCs w:val="2"/>
                <w:color w:val="auto"/>
              </w:rPr>
            </w:pPr>
          </w:p>
        </w:tc>
        <w:tc>
          <w:tcPr>
            <w:tcW w:w="40" w:type="dxa"/>
            <w:vAlign w:val="bottom"/>
            <w:tcBorders>
              <w:top w:val="single" w:sz="8" w:color="0000FF"/>
              <w:bottom w:val="single" w:sz="8" w:color="auto"/>
            </w:tcBorders>
          </w:tcPr>
          <w:p>
            <w:pPr>
              <w:spacing w:after="0"/>
              <w:rPr>
                <w:sz w:val="2"/>
                <w:szCs w:val="2"/>
                <w:color w:val="auto"/>
              </w:rPr>
            </w:pPr>
          </w:p>
        </w:tc>
        <w:tc>
          <w:tcPr>
            <w:tcW w:w="20" w:type="dxa"/>
            <w:vAlign w:val="bottom"/>
            <w:tcBorders>
              <w:top w:val="single" w:sz="8" w:color="0000FF"/>
              <w:bottom w:val="single" w:sz="8" w:color="auto"/>
            </w:tcBorders>
          </w:tcPr>
          <w:p>
            <w:pPr>
              <w:spacing w:after="0"/>
              <w:rPr>
                <w:sz w:val="2"/>
                <w:szCs w:val="2"/>
                <w:color w:val="auto"/>
              </w:rPr>
            </w:pPr>
          </w:p>
        </w:tc>
        <w:tc>
          <w:tcPr>
            <w:tcW w:w="140" w:type="dxa"/>
            <w:vAlign w:val="bottom"/>
            <w:tcBorders>
              <w:top w:val="single" w:sz="8" w:color="0000FF"/>
              <w:bottom w:val="single" w:sz="8" w:color="auto"/>
            </w:tcBorders>
          </w:tcPr>
          <w:p>
            <w:pPr>
              <w:spacing w:after="0"/>
              <w:rPr>
                <w:sz w:val="2"/>
                <w:szCs w:val="2"/>
                <w:color w:val="auto"/>
              </w:rPr>
            </w:pPr>
          </w:p>
        </w:tc>
        <w:tc>
          <w:tcPr>
            <w:tcW w:w="700" w:type="dxa"/>
            <w:vAlign w:val="bottom"/>
            <w:tcBorders>
              <w:top w:val="single" w:sz="8" w:color="0000FF"/>
              <w:bottom w:val="single" w:sz="8" w:color="auto"/>
            </w:tcBorders>
          </w:tcPr>
          <w:p>
            <w:pPr>
              <w:spacing w:after="0"/>
              <w:rPr>
                <w:sz w:val="2"/>
                <w:szCs w:val="2"/>
                <w:color w:val="auto"/>
              </w:rPr>
            </w:pPr>
          </w:p>
        </w:tc>
        <w:tc>
          <w:tcPr>
            <w:tcW w:w="80" w:type="dxa"/>
            <w:vAlign w:val="bottom"/>
            <w:tcBorders>
              <w:top w:val="single" w:sz="8" w:color="0000FF"/>
              <w:bottom w:val="single" w:sz="8" w:color="auto"/>
            </w:tcBorders>
          </w:tcPr>
          <w:p>
            <w:pPr>
              <w:spacing w:after="0"/>
              <w:rPr>
                <w:sz w:val="2"/>
                <w:szCs w:val="2"/>
                <w:color w:val="auto"/>
              </w:rPr>
            </w:pPr>
          </w:p>
        </w:tc>
        <w:tc>
          <w:tcPr>
            <w:tcW w:w="920" w:type="dxa"/>
            <w:vAlign w:val="bottom"/>
            <w:tcBorders>
              <w:top w:val="single" w:sz="8" w:color="0000FF"/>
              <w:bottom w:val="single" w:sz="8" w:color="auto"/>
            </w:tcBorders>
          </w:tcPr>
          <w:p>
            <w:pPr>
              <w:spacing w:after="0"/>
              <w:rPr>
                <w:sz w:val="2"/>
                <w:szCs w:val="2"/>
                <w:color w:val="auto"/>
              </w:rPr>
            </w:pPr>
          </w:p>
        </w:tc>
        <w:tc>
          <w:tcPr>
            <w:tcW w:w="540" w:type="dxa"/>
            <w:vAlign w:val="bottom"/>
            <w:tcBorders>
              <w:top w:val="single" w:sz="8" w:color="0000FF"/>
              <w:bottom w:val="single" w:sz="8" w:color="auto"/>
            </w:tcBorders>
          </w:tcPr>
          <w:p>
            <w:pPr>
              <w:spacing w:after="0"/>
              <w:rPr>
                <w:sz w:val="2"/>
                <w:szCs w:val="2"/>
                <w:color w:val="auto"/>
              </w:rPr>
            </w:pPr>
          </w:p>
        </w:tc>
        <w:tc>
          <w:tcPr>
            <w:tcW w:w="2320" w:type="dxa"/>
            <w:vAlign w:val="bottom"/>
            <w:tcBorders>
              <w:top w:val="single" w:sz="8" w:color="0000FF"/>
              <w:bottom w:val="single" w:sz="8" w:color="auto"/>
            </w:tcBorders>
          </w:tcPr>
          <w:p>
            <w:pPr>
              <w:spacing w:after="0"/>
              <w:rPr>
                <w:sz w:val="2"/>
                <w:szCs w:val="2"/>
                <w:color w:val="auto"/>
              </w:rPr>
            </w:pPr>
          </w:p>
        </w:tc>
        <w:tc>
          <w:tcPr>
            <w:tcW w:w="500" w:type="dxa"/>
            <w:vAlign w:val="bottom"/>
            <w:tcBorders>
              <w:top w:val="single" w:sz="8" w:color="0000FF"/>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right w:val="single" w:sz="8" w:color="auto"/>
            </w:tcBorders>
          </w:tcPr>
          <w:p>
            <w:pPr>
              <w:spacing w:after="0"/>
              <w:rPr>
                <w:sz w:val="2"/>
                <w:szCs w:val="2"/>
                <w:color w:val="auto"/>
              </w:rPr>
            </w:pPr>
          </w:p>
        </w:tc>
      </w:tr>
      <w:tr>
        <w:trPr>
          <w:trHeight w:val="183"/>
        </w:trPr>
        <w:tc>
          <w:tcPr>
            <w:tcW w:w="1160" w:type="dxa"/>
            <w:vAlign w:val="bottom"/>
            <w:tcBorders>
              <w:left w:val="single" w:sz="8" w:color="auto"/>
              <w:right w:val="single" w:sz="8" w:color="auto"/>
            </w:tcBorders>
          </w:tcPr>
          <w:p>
            <w:pPr>
              <w:ind w:left="40"/>
              <w:spacing w:after="0" w:line="183" w:lineRule="exact"/>
              <w:rPr>
                <w:sz w:val="20"/>
                <w:szCs w:val="20"/>
                <w:color w:val="auto"/>
              </w:rPr>
            </w:pPr>
            <w:r>
              <w:rPr>
                <w:rFonts w:ascii="Arial" w:cs="Arial" w:eastAsia="Arial" w:hAnsi="Arial"/>
                <w:sz w:val="16"/>
                <w:szCs w:val="16"/>
                <w:color w:val="auto"/>
              </w:rPr>
              <w:t>10.46</w:t>
            </w:r>
          </w:p>
        </w:tc>
        <w:tc>
          <w:tcPr>
            <w:tcW w:w="12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0140" w:type="dxa"/>
            <w:vAlign w:val="bottom"/>
            <w:tcBorders>
              <w:right w:val="single" w:sz="8" w:color="auto"/>
            </w:tcBorders>
            <w:gridSpan w:val="36"/>
          </w:tcPr>
          <w:p>
            <w:pPr>
              <w:spacing w:after="0" w:line="183" w:lineRule="exact"/>
              <w:rPr>
                <w:rFonts w:ascii="Arial" w:cs="Arial" w:eastAsia="Arial" w:hAnsi="Arial"/>
                <w:sz w:val="16"/>
                <w:szCs w:val="16"/>
                <w:color w:val="0000FF"/>
              </w:rPr>
            </w:pPr>
            <w:hyperlink r:id="rId229">
              <w:r>
                <w:rPr>
                  <w:rFonts w:ascii="Arial" w:cs="Arial" w:eastAsia="Arial" w:hAnsi="Arial"/>
                  <w:sz w:val="16"/>
                  <w:szCs w:val="16"/>
                  <w:color w:val="0000FF"/>
                </w:rPr>
                <w:t>Series 2014-1 Supplement, dated as of February 12, 2014, between Avis Budget Rental Car Funding (AESOP) LLC and The Bank of New</w:t>
              </w:r>
            </w:hyperlink>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9580" w:type="dxa"/>
            <w:vAlign w:val="bottom"/>
            <w:tcBorders>
              <w:top w:val="single" w:sz="8" w:color="0000FF"/>
              <w:bottom w:val="single" w:sz="8" w:color="0000FF"/>
            </w:tcBorders>
            <w:gridSpan w:val="18"/>
          </w:tcPr>
          <w:p>
            <w:pPr>
              <w:spacing w:after="0" w:line="169" w:lineRule="exact"/>
              <w:rPr>
                <w:rFonts w:ascii="Arial" w:cs="Arial" w:eastAsia="Arial" w:hAnsi="Arial"/>
                <w:sz w:val="16"/>
                <w:szCs w:val="16"/>
                <w:color w:val="0000FF"/>
              </w:rPr>
            </w:pPr>
            <w:hyperlink r:id="rId229">
              <w:r>
                <w:rPr>
                  <w:rFonts w:ascii="Arial" w:cs="Arial" w:eastAsia="Arial" w:hAnsi="Arial"/>
                  <w:sz w:val="16"/>
                  <w:szCs w:val="16"/>
                  <w:color w:val="0000FF"/>
                </w:rPr>
                <w:t>York Mellon Trust Company, N.A., as trustee and as Series 2014-1 Agent (Incorporated by reference to Exhibit 10.1 to the Company’s</w:t>
              </w:r>
            </w:hyperlink>
          </w:p>
        </w:tc>
        <w:tc>
          <w:tcPr>
            <w:tcW w:w="320" w:type="dxa"/>
            <w:vAlign w:val="bottom"/>
            <w:tcBorders>
              <w:top w:val="single" w:sz="8" w:color="0000FF"/>
            </w:tcBorders>
            <w:gridSpan w:val="10"/>
          </w:tcPr>
          <w:p>
            <w:pPr>
              <w:spacing w:after="0"/>
              <w:rPr>
                <w:sz w:val="14"/>
                <w:szCs w:val="14"/>
                <w:color w:val="auto"/>
              </w:rPr>
            </w:pPr>
          </w:p>
        </w:tc>
        <w:tc>
          <w:tcPr>
            <w:tcW w:w="240" w:type="dxa"/>
            <w:vAlign w:val="bottom"/>
            <w:tcBorders>
              <w:right w:val="single" w:sz="8" w:color="auto"/>
            </w:tcBorders>
            <w:gridSpan w:val="8"/>
          </w:tcPr>
          <w:p>
            <w:pPr>
              <w:spacing w:after="0"/>
              <w:rPr>
                <w:sz w:val="14"/>
                <w:szCs w:val="14"/>
                <w:color w:val="auto"/>
              </w:rPr>
            </w:pPr>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140" w:type="dxa"/>
            <w:vAlign w:val="bottom"/>
            <w:tcBorders>
              <w:right w:val="single" w:sz="8" w:color="auto"/>
            </w:tcBorders>
            <w:gridSpan w:val="36"/>
          </w:tcPr>
          <w:p>
            <w:pPr>
              <w:spacing w:after="0" w:line="169" w:lineRule="exact"/>
              <w:rPr>
                <w:rFonts w:ascii="Arial" w:cs="Arial" w:eastAsia="Arial" w:hAnsi="Arial"/>
                <w:sz w:val="16"/>
                <w:szCs w:val="16"/>
                <w:color w:val="0000FF"/>
              </w:rPr>
            </w:pPr>
            <w:hyperlink r:id="rId229">
              <w:r>
                <w:rPr>
                  <w:rFonts w:ascii="Arial" w:cs="Arial" w:eastAsia="Arial" w:hAnsi="Arial"/>
                  <w:sz w:val="16"/>
                  <w:szCs w:val="16"/>
                  <w:color w:val="0000FF"/>
                </w:rPr>
                <w:t>Current Report on Form 8-K dated February 18, 2014).</w:t>
              </w:r>
            </w:hyperlink>
          </w:p>
        </w:tc>
      </w:tr>
      <w:tr>
        <w:trPr>
          <w:trHeight w:val="34"/>
        </w:trPr>
        <w:tc>
          <w:tcPr>
            <w:tcW w:w="1160" w:type="dxa"/>
            <w:vAlign w:val="bottom"/>
            <w:tcBorders>
              <w:left w:val="single" w:sz="8" w:color="auto"/>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60" w:type="dxa"/>
            <w:vAlign w:val="bottom"/>
            <w:tcBorders>
              <w:top w:val="single" w:sz="8" w:color="0000FF"/>
              <w:bottom w:val="single" w:sz="8" w:color="auto"/>
            </w:tcBorders>
          </w:tcPr>
          <w:p>
            <w:pPr>
              <w:spacing w:after="0"/>
              <w:rPr>
                <w:sz w:val="2"/>
                <w:szCs w:val="2"/>
                <w:color w:val="auto"/>
              </w:rPr>
            </w:pPr>
          </w:p>
        </w:tc>
        <w:tc>
          <w:tcPr>
            <w:tcW w:w="2480" w:type="dxa"/>
            <w:vAlign w:val="bottom"/>
            <w:tcBorders>
              <w:top w:val="single" w:sz="8" w:color="0000FF"/>
              <w:bottom w:val="single" w:sz="8" w:color="auto"/>
            </w:tcBorders>
          </w:tcPr>
          <w:p>
            <w:pPr>
              <w:spacing w:after="0"/>
              <w:rPr>
                <w:sz w:val="2"/>
                <w:szCs w:val="2"/>
                <w:color w:val="auto"/>
              </w:rPr>
            </w:pPr>
          </w:p>
        </w:tc>
        <w:tc>
          <w:tcPr>
            <w:tcW w:w="20" w:type="dxa"/>
            <w:vAlign w:val="bottom"/>
            <w:tcBorders>
              <w:top w:val="single" w:sz="8" w:color="0000FF"/>
              <w:bottom w:val="single" w:sz="8" w:color="auto"/>
            </w:tcBorders>
          </w:tcPr>
          <w:p>
            <w:pPr>
              <w:spacing w:after="0"/>
              <w:rPr>
                <w:sz w:val="2"/>
                <w:szCs w:val="2"/>
                <w:color w:val="auto"/>
              </w:rPr>
            </w:pPr>
          </w:p>
        </w:tc>
        <w:tc>
          <w:tcPr>
            <w:tcW w:w="40" w:type="dxa"/>
            <w:vAlign w:val="bottom"/>
            <w:tcBorders>
              <w:top w:val="single" w:sz="8" w:color="0000FF"/>
              <w:bottom w:val="single" w:sz="8" w:color="auto"/>
            </w:tcBorders>
          </w:tcPr>
          <w:p>
            <w:pPr>
              <w:spacing w:after="0"/>
              <w:rPr>
                <w:sz w:val="2"/>
                <w:szCs w:val="2"/>
                <w:color w:val="auto"/>
              </w:rPr>
            </w:pPr>
          </w:p>
        </w:tc>
        <w:tc>
          <w:tcPr>
            <w:tcW w:w="20" w:type="dxa"/>
            <w:vAlign w:val="bottom"/>
            <w:tcBorders>
              <w:top w:val="single" w:sz="8" w:color="0000FF"/>
              <w:bottom w:val="single" w:sz="8" w:color="auto"/>
            </w:tcBorders>
          </w:tcPr>
          <w:p>
            <w:pPr>
              <w:spacing w:after="0"/>
              <w:rPr>
                <w:sz w:val="2"/>
                <w:szCs w:val="2"/>
                <w:color w:val="auto"/>
              </w:rPr>
            </w:pPr>
          </w:p>
        </w:tc>
        <w:tc>
          <w:tcPr>
            <w:tcW w:w="140" w:type="dxa"/>
            <w:vAlign w:val="bottom"/>
            <w:tcBorders>
              <w:top w:val="single" w:sz="8" w:color="0000FF"/>
              <w:bottom w:val="single" w:sz="8" w:color="auto"/>
            </w:tcBorders>
          </w:tcPr>
          <w:p>
            <w:pPr>
              <w:spacing w:after="0"/>
              <w:rPr>
                <w:sz w:val="2"/>
                <w:szCs w:val="2"/>
                <w:color w:val="auto"/>
              </w:rPr>
            </w:pPr>
          </w:p>
        </w:tc>
        <w:tc>
          <w:tcPr>
            <w:tcW w:w="700" w:type="dxa"/>
            <w:vAlign w:val="bottom"/>
            <w:tcBorders>
              <w:top w:val="single" w:sz="8" w:color="0000FF"/>
              <w:bottom w:val="single" w:sz="8" w:color="auto"/>
            </w:tcBorders>
          </w:tcPr>
          <w:p>
            <w:pPr>
              <w:spacing w:after="0"/>
              <w:rPr>
                <w:sz w:val="2"/>
                <w:szCs w:val="2"/>
                <w:color w:val="auto"/>
              </w:rPr>
            </w:pPr>
          </w:p>
        </w:tc>
        <w:tc>
          <w:tcPr>
            <w:tcW w:w="80" w:type="dxa"/>
            <w:vAlign w:val="bottom"/>
            <w:tcBorders>
              <w:top w:val="single" w:sz="8" w:color="0000FF"/>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right w:val="single" w:sz="8" w:color="auto"/>
            </w:tcBorders>
          </w:tcPr>
          <w:p>
            <w:pPr>
              <w:spacing w:after="0"/>
              <w:rPr>
                <w:sz w:val="2"/>
                <w:szCs w:val="2"/>
                <w:color w:val="auto"/>
              </w:rPr>
            </w:pPr>
          </w:p>
        </w:tc>
      </w:tr>
      <w:tr>
        <w:trPr>
          <w:trHeight w:val="183"/>
        </w:trPr>
        <w:tc>
          <w:tcPr>
            <w:tcW w:w="1160" w:type="dxa"/>
            <w:vAlign w:val="bottom"/>
            <w:tcBorders>
              <w:left w:val="single" w:sz="8" w:color="auto"/>
              <w:right w:val="single" w:sz="8" w:color="auto"/>
            </w:tcBorders>
          </w:tcPr>
          <w:p>
            <w:pPr>
              <w:ind w:left="40"/>
              <w:spacing w:after="0" w:line="183" w:lineRule="exact"/>
              <w:rPr>
                <w:sz w:val="20"/>
                <w:szCs w:val="20"/>
                <w:color w:val="auto"/>
              </w:rPr>
            </w:pPr>
            <w:r>
              <w:rPr>
                <w:rFonts w:ascii="Arial" w:cs="Arial" w:eastAsia="Arial" w:hAnsi="Arial"/>
                <w:sz w:val="16"/>
                <w:szCs w:val="16"/>
                <w:color w:val="auto"/>
              </w:rPr>
              <w:t>10.47</w:t>
            </w:r>
          </w:p>
        </w:tc>
        <w:tc>
          <w:tcPr>
            <w:tcW w:w="12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0140" w:type="dxa"/>
            <w:vAlign w:val="bottom"/>
            <w:tcBorders>
              <w:right w:val="single" w:sz="8" w:color="auto"/>
            </w:tcBorders>
            <w:gridSpan w:val="36"/>
          </w:tcPr>
          <w:p>
            <w:pPr>
              <w:spacing w:after="0" w:line="183" w:lineRule="exact"/>
              <w:rPr>
                <w:rFonts w:ascii="Arial" w:cs="Arial" w:eastAsia="Arial" w:hAnsi="Arial"/>
                <w:sz w:val="16"/>
                <w:szCs w:val="16"/>
                <w:color w:val="0000FF"/>
              </w:rPr>
            </w:pPr>
            <w:hyperlink r:id="rId230">
              <w:r>
                <w:rPr>
                  <w:rFonts w:ascii="Arial" w:cs="Arial" w:eastAsia="Arial" w:hAnsi="Arial"/>
                  <w:sz w:val="16"/>
                  <w:szCs w:val="16"/>
                  <w:color w:val="0000FF"/>
                </w:rPr>
                <w:t>Series 2014-2 Supplement, dated as of July 24, 2014, between Avis Budget Rental Car Funding (AESOP) LLC and The Bank of New York</w:t>
              </w:r>
            </w:hyperlink>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9800" w:type="dxa"/>
            <w:vAlign w:val="bottom"/>
            <w:tcBorders>
              <w:top w:val="single" w:sz="8" w:color="0000FF"/>
              <w:bottom w:val="single" w:sz="8" w:color="0000FF"/>
            </w:tcBorders>
            <w:gridSpan w:val="24"/>
          </w:tcPr>
          <w:p>
            <w:pPr>
              <w:spacing w:after="0" w:line="169" w:lineRule="exact"/>
              <w:rPr>
                <w:rFonts w:ascii="Arial" w:cs="Arial" w:eastAsia="Arial" w:hAnsi="Arial"/>
                <w:sz w:val="16"/>
                <w:szCs w:val="16"/>
                <w:color w:val="0000FF"/>
              </w:rPr>
            </w:pPr>
            <w:hyperlink r:id="rId230">
              <w:r>
                <w:rPr>
                  <w:rFonts w:ascii="Arial" w:cs="Arial" w:eastAsia="Arial" w:hAnsi="Arial"/>
                  <w:sz w:val="16"/>
                  <w:szCs w:val="16"/>
                  <w:color w:val="0000FF"/>
                </w:rPr>
                <w:t>Mellon Trust Company, N.A., as trustee and as Series 2014-2 Agent (Incorporated by reference to Exhibit 10.1 to the Company’s Current</w:t>
              </w:r>
            </w:hyperlink>
          </w:p>
        </w:tc>
        <w:tc>
          <w:tcPr>
            <w:tcW w:w="100" w:type="dxa"/>
            <w:vAlign w:val="bottom"/>
            <w:tcBorders>
              <w:top w:val="single" w:sz="8" w:color="0000FF"/>
            </w:tcBorders>
            <w:gridSpan w:val="4"/>
          </w:tcPr>
          <w:p>
            <w:pPr>
              <w:spacing w:after="0"/>
              <w:rPr>
                <w:sz w:val="14"/>
                <w:szCs w:val="14"/>
                <w:color w:val="auto"/>
              </w:rPr>
            </w:pPr>
          </w:p>
        </w:tc>
        <w:tc>
          <w:tcPr>
            <w:tcW w:w="240" w:type="dxa"/>
            <w:vAlign w:val="bottom"/>
            <w:tcBorders>
              <w:right w:val="single" w:sz="8" w:color="auto"/>
            </w:tcBorders>
            <w:gridSpan w:val="8"/>
          </w:tcPr>
          <w:p>
            <w:pPr>
              <w:spacing w:after="0"/>
              <w:rPr>
                <w:sz w:val="14"/>
                <w:szCs w:val="14"/>
                <w:color w:val="auto"/>
              </w:rPr>
            </w:pPr>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140" w:type="dxa"/>
            <w:vAlign w:val="bottom"/>
            <w:tcBorders>
              <w:right w:val="single" w:sz="8" w:color="auto"/>
            </w:tcBorders>
            <w:gridSpan w:val="36"/>
          </w:tcPr>
          <w:p>
            <w:pPr>
              <w:spacing w:after="0" w:line="169" w:lineRule="exact"/>
              <w:rPr>
                <w:rFonts w:ascii="Arial" w:cs="Arial" w:eastAsia="Arial" w:hAnsi="Arial"/>
                <w:sz w:val="16"/>
                <w:szCs w:val="16"/>
                <w:color w:val="0000FF"/>
              </w:rPr>
            </w:pPr>
            <w:hyperlink r:id="rId230">
              <w:r>
                <w:rPr>
                  <w:rFonts w:ascii="Arial" w:cs="Arial" w:eastAsia="Arial" w:hAnsi="Arial"/>
                  <w:sz w:val="16"/>
                  <w:szCs w:val="16"/>
                  <w:color w:val="0000FF"/>
                </w:rPr>
                <w:t>Report on Form 8-K dated July 24, 2014).</w:t>
              </w:r>
            </w:hyperlink>
          </w:p>
        </w:tc>
      </w:tr>
      <w:tr>
        <w:trPr>
          <w:trHeight w:val="34"/>
        </w:trPr>
        <w:tc>
          <w:tcPr>
            <w:tcW w:w="1160" w:type="dxa"/>
            <w:vAlign w:val="bottom"/>
            <w:tcBorders>
              <w:left w:val="single" w:sz="8" w:color="auto"/>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60" w:type="dxa"/>
            <w:vAlign w:val="bottom"/>
            <w:tcBorders>
              <w:top w:val="single" w:sz="8" w:color="0000FF"/>
              <w:bottom w:val="single" w:sz="8" w:color="auto"/>
            </w:tcBorders>
          </w:tcPr>
          <w:p>
            <w:pPr>
              <w:spacing w:after="0"/>
              <w:rPr>
                <w:sz w:val="2"/>
                <w:szCs w:val="2"/>
                <w:color w:val="auto"/>
              </w:rPr>
            </w:pPr>
          </w:p>
        </w:tc>
        <w:tc>
          <w:tcPr>
            <w:tcW w:w="2480" w:type="dxa"/>
            <w:vAlign w:val="bottom"/>
            <w:tcBorders>
              <w:top w:val="single" w:sz="8" w:color="0000FF"/>
              <w:bottom w:val="single" w:sz="8" w:color="auto"/>
            </w:tcBorders>
          </w:tcPr>
          <w:p>
            <w:pPr>
              <w:spacing w:after="0"/>
              <w:rPr>
                <w:sz w:val="2"/>
                <w:szCs w:val="2"/>
                <w:color w:val="auto"/>
              </w:rPr>
            </w:pPr>
          </w:p>
        </w:tc>
        <w:tc>
          <w:tcPr>
            <w:tcW w:w="20" w:type="dxa"/>
            <w:vAlign w:val="bottom"/>
            <w:tcBorders>
              <w:top w:val="single" w:sz="8" w:color="0000FF"/>
              <w:bottom w:val="single" w:sz="8" w:color="auto"/>
            </w:tcBorders>
          </w:tcPr>
          <w:p>
            <w:pPr>
              <w:spacing w:after="0"/>
              <w:rPr>
                <w:sz w:val="2"/>
                <w:szCs w:val="2"/>
                <w:color w:val="auto"/>
              </w:rPr>
            </w:pPr>
          </w:p>
        </w:tc>
        <w:tc>
          <w:tcPr>
            <w:tcW w:w="40" w:type="dxa"/>
            <w:vAlign w:val="bottom"/>
            <w:tcBorders>
              <w:top w:val="single" w:sz="8" w:color="0000FF"/>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right w:val="single" w:sz="8" w:color="auto"/>
            </w:tcBorders>
          </w:tcPr>
          <w:p>
            <w:pPr>
              <w:spacing w:after="0"/>
              <w:rPr>
                <w:sz w:val="2"/>
                <w:szCs w:val="2"/>
                <w:color w:val="auto"/>
              </w:rPr>
            </w:pPr>
          </w:p>
        </w:tc>
      </w:tr>
      <w:tr>
        <w:trPr>
          <w:trHeight w:val="183"/>
        </w:trPr>
        <w:tc>
          <w:tcPr>
            <w:tcW w:w="1160" w:type="dxa"/>
            <w:vAlign w:val="bottom"/>
            <w:tcBorders>
              <w:left w:val="single" w:sz="8" w:color="auto"/>
              <w:right w:val="single" w:sz="8" w:color="auto"/>
            </w:tcBorders>
          </w:tcPr>
          <w:p>
            <w:pPr>
              <w:ind w:left="40"/>
              <w:spacing w:after="0" w:line="183" w:lineRule="exact"/>
              <w:rPr>
                <w:sz w:val="20"/>
                <w:szCs w:val="20"/>
                <w:color w:val="auto"/>
              </w:rPr>
            </w:pPr>
            <w:r>
              <w:rPr>
                <w:rFonts w:ascii="Arial" w:cs="Arial" w:eastAsia="Arial" w:hAnsi="Arial"/>
                <w:sz w:val="16"/>
                <w:szCs w:val="16"/>
                <w:color w:val="auto"/>
              </w:rPr>
              <w:t>10.48</w:t>
            </w:r>
          </w:p>
        </w:tc>
        <w:tc>
          <w:tcPr>
            <w:tcW w:w="12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9840" w:type="dxa"/>
            <w:vAlign w:val="bottom"/>
            <w:tcBorders>
              <w:bottom w:val="single" w:sz="8" w:color="0000FF"/>
            </w:tcBorders>
            <w:gridSpan w:val="26"/>
          </w:tcPr>
          <w:p>
            <w:pPr>
              <w:spacing w:after="0" w:line="183" w:lineRule="exact"/>
              <w:rPr>
                <w:rFonts w:ascii="Arial" w:cs="Arial" w:eastAsia="Arial" w:hAnsi="Arial"/>
                <w:sz w:val="16"/>
                <w:szCs w:val="16"/>
                <w:color w:val="0000FF"/>
              </w:rPr>
            </w:pPr>
            <w:hyperlink r:id="rId231">
              <w:r>
                <w:rPr>
                  <w:rFonts w:ascii="Arial" w:cs="Arial" w:eastAsia="Arial" w:hAnsi="Arial"/>
                  <w:sz w:val="16"/>
                  <w:szCs w:val="16"/>
                  <w:color w:val="0000FF"/>
                </w:rPr>
                <w:t>Series 2015-1 Supplement, dated as of January 29, 2015, between Avis Budget Rental Car Funding (AESOP) LLC and The Bank of New</w:t>
              </w:r>
            </w:hyperlink>
          </w:p>
        </w:tc>
        <w:tc>
          <w:tcPr>
            <w:tcW w:w="300" w:type="dxa"/>
            <w:vAlign w:val="bottom"/>
            <w:tcBorders>
              <w:right w:val="single" w:sz="8" w:color="auto"/>
            </w:tcBorders>
            <w:gridSpan w:val="10"/>
          </w:tcPr>
          <w:p>
            <w:pPr>
              <w:spacing w:after="0"/>
              <w:rPr>
                <w:sz w:val="15"/>
                <w:szCs w:val="15"/>
                <w:color w:val="auto"/>
              </w:rPr>
            </w:pPr>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9580" w:type="dxa"/>
            <w:vAlign w:val="bottom"/>
            <w:tcBorders>
              <w:bottom w:val="single" w:sz="8" w:color="0000FF"/>
            </w:tcBorders>
            <w:gridSpan w:val="18"/>
          </w:tcPr>
          <w:p>
            <w:pPr>
              <w:spacing w:after="0" w:line="169" w:lineRule="exact"/>
              <w:rPr>
                <w:rFonts w:ascii="Arial" w:cs="Arial" w:eastAsia="Arial" w:hAnsi="Arial"/>
                <w:sz w:val="16"/>
                <w:szCs w:val="16"/>
                <w:color w:val="0000FF"/>
              </w:rPr>
            </w:pPr>
            <w:hyperlink r:id="rId231">
              <w:r>
                <w:rPr>
                  <w:rFonts w:ascii="Arial" w:cs="Arial" w:eastAsia="Arial" w:hAnsi="Arial"/>
                  <w:sz w:val="16"/>
                  <w:szCs w:val="16"/>
                  <w:color w:val="0000FF"/>
                </w:rPr>
                <w:t>York Mellon Trust Company, N.A., as trustee and as Series 2015-1 Agent (Incorporated by reference to Exhibit 10.1 to the Company’s</w:t>
              </w:r>
            </w:hyperlink>
          </w:p>
        </w:tc>
        <w:tc>
          <w:tcPr>
            <w:tcW w:w="560" w:type="dxa"/>
            <w:vAlign w:val="bottom"/>
            <w:tcBorders>
              <w:right w:val="single" w:sz="8" w:color="auto"/>
            </w:tcBorders>
            <w:gridSpan w:val="18"/>
          </w:tcPr>
          <w:p>
            <w:pPr>
              <w:spacing w:after="0"/>
              <w:rPr>
                <w:sz w:val="14"/>
                <w:szCs w:val="14"/>
                <w:color w:val="auto"/>
              </w:rPr>
            </w:pPr>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140" w:type="dxa"/>
            <w:vAlign w:val="bottom"/>
            <w:tcBorders>
              <w:right w:val="single" w:sz="8" w:color="auto"/>
            </w:tcBorders>
            <w:gridSpan w:val="36"/>
          </w:tcPr>
          <w:p>
            <w:pPr>
              <w:spacing w:after="0" w:line="169" w:lineRule="exact"/>
              <w:rPr>
                <w:rFonts w:ascii="Arial" w:cs="Arial" w:eastAsia="Arial" w:hAnsi="Arial"/>
                <w:sz w:val="16"/>
                <w:szCs w:val="16"/>
                <w:color w:val="0000FF"/>
              </w:rPr>
            </w:pPr>
            <w:hyperlink r:id="rId231">
              <w:r>
                <w:rPr>
                  <w:rFonts w:ascii="Arial" w:cs="Arial" w:eastAsia="Arial" w:hAnsi="Arial"/>
                  <w:sz w:val="16"/>
                  <w:szCs w:val="16"/>
                  <w:color w:val="0000FF"/>
                </w:rPr>
                <w:t>Current Report on Form 8-K dated January 30, 2015).</w:t>
              </w:r>
            </w:hyperlink>
          </w:p>
        </w:tc>
      </w:tr>
      <w:tr>
        <w:trPr>
          <w:trHeight w:val="34"/>
        </w:trPr>
        <w:tc>
          <w:tcPr>
            <w:tcW w:w="1160" w:type="dxa"/>
            <w:vAlign w:val="bottom"/>
            <w:tcBorders>
              <w:left w:val="single" w:sz="8" w:color="auto"/>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60" w:type="dxa"/>
            <w:vAlign w:val="bottom"/>
            <w:tcBorders>
              <w:top w:val="single" w:sz="8" w:color="0000FF"/>
              <w:bottom w:val="single" w:sz="8" w:color="auto"/>
            </w:tcBorders>
          </w:tcPr>
          <w:p>
            <w:pPr>
              <w:spacing w:after="0"/>
              <w:rPr>
                <w:sz w:val="2"/>
                <w:szCs w:val="2"/>
                <w:color w:val="auto"/>
              </w:rPr>
            </w:pPr>
          </w:p>
        </w:tc>
        <w:tc>
          <w:tcPr>
            <w:tcW w:w="2480" w:type="dxa"/>
            <w:vAlign w:val="bottom"/>
            <w:tcBorders>
              <w:top w:val="single" w:sz="8" w:color="0000FF"/>
              <w:bottom w:val="single" w:sz="8" w:color="auto"/>
            </w:tcBorders>
          </w:tcPr>
          <w:p>
            <w:pPr>
              <w:spacing w:after="0"/>
              <w:rPr>
                <w:sz w:val="2"/>
                <w:szCs w:val="2"/>
                <w:color w:val="auto"/>
              </w:rPr>
            </w:pPr>
          </w:p>
        </w:tc>
        <w:tc>
          <w:tcPr>
            <w:tcW w:w="20" w:type="dxa"/>
            <w:vAlign w:val="bottom"/>
            <w:tcBorders>
              <w:top w:val="single" w:sz="8" w:color="0000FF"/>
              <w:bottom w:val="single" w:sz="8" w:color="auto"/>
            </w:tcBorders>
          </w:tcPr>
          <w:p>
            <w:pPr>
              <w:spacing w:after="0"/>
              <w:rPr>
                <w:sz w:val="2"/>
                <w:szCs w:val="2"/>
                <w:color w:val="auto"/>
              </w:rPr>
            </w:pPr>
          </w:p>
        </w:tc>
        <w:tc>
          <w:tcPr>
            <w:tcW w:w="40" w:type="dxa"/>
            <w:vAlign w:val="bottom"/>
            <w:tcBorders>
              <w:top w:val="single" w:sz="8" w:color="0000FF"/>
              <w:bottom w:val="single" w:sz="8" w:color="auto"/>
            </w:tcBorders>
          </w:tcPr>
          <w:p>
            <w:pPr>
              <w:spacing w:after="0"/>
              <w:rPr>
                <w:sz w:val="2"/>
                <w:szCs w:val="2"/>
                <w:color w:val="auto"/>
              </w:rPr>
            </w:pPr>
          </w:p>
        </w:tc>
        <w:tc>
          <w:tcPr>
            <w:tcW w:w="20" w:type="dxa"/>
            <w:vAlign w:val="bottom"/>
            <w:tcBorders>
              <w:top w:val="single" w:sz="8" w:color="0000FF"/>
              <w:bottom w:val="single" w:sz="8" w:color="auto"/>
            </w:tcBorders>
          </w:tcPr>
          <w:p>
            <w:pPr>
              <w:spacing w:after="0"/>
              <w:rPr>
                <w:sz w:val="2"/>
                <w:szCs w:val="2"/>
                <w:color w:val="auto"/>
              </w:rPr>
            </w:pPr>
          </w:p>
        </w:tc>
        <w:tc>
          <w:tcPr>
            <w:tcW w:w="140" w:type="dxa"/>
            <w:vAlign w:val="bottom"/>
            <w:tcBorders>
              <w:top w:val="single" w:sz="8" w:color="0000FF"/>
              <w:bottom w:val="single" w:sz="8" w:color="auto"/>
            </w:tcBorders>
          </w:tcPr>
          <w:p>
            <w:pPr>
              <w:spacing w:after="0"/>
              <w:rPr>
                <w:sz w:val="2"/>
                <w:szCs w:val="2"/>
                <w:color w:val="auto"/>
              </w:rPr>
            </w:pPr>
          </w:p>
        </w:tc>
        <w:tc>
          <w:tcPr>
            <w:tcW w:w="700" w:type="dxa"/>
            <w:vAlign w:val="bottom"/>
            <w:tcBorders>
              <w:top w:val="single" w:sz="8" w:color="0000FF"/>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right w:val="single" w:sz="8" w:color="auto"/>
            </w:tcBorders>
          </w:tcPr>
          <w:p>
            <w:pPr>
              <w:spacing w:after="0"/>
              <w:rPr>
                <w:sz w:val="2"/>
                <w:szCs w:val="2"/>
                <w:color w:val="auto"/>
              </w:rPr>
            </w:pPr>
          </w:p>
        </w:tc>
      </w:tr>
      <w:tr>
        <w:trPr>
          <w:trHeight w:val="183"/>
        </w:trPr>
        <w:tc>
          <w:tcPr>
            <w:tcW w:w="1160" w:type="dxa"/>
            <w:vAlign w:val="bottom"/>
            <w:tcBorders>
              <w:left w:val="single" w:sz="8" w:color="auto"/>
              <w:right w:val="single" w:sz="8" w:color="auto"/>
            </w:tcBorders>
          </w:tcPr>
          <w:p>
            <w:pPr>
              <w:ind w:left="40"/>
              <w:spacing w:after="0" w:line="183" w:lineRule="exact"/>
              <w:rPr>
                <w:sz w:val="20"/>
                <w:szCs w:val="20"/>
                <w:color w:val="auto"/>
              </w:rPr>
            </w:pPr>
            <w:r>
              <w:rPr>
                <w:rFonts w:ascii="Arial" w:cs="Arial" w:eastAsia="Arial" w:hAnsi="Arial"/>
                <w:sz w:val="16"/>
                <w:szCs w:val="16"/>
                <w:color w:val="auto"/>
              </w:rPr>
              <w:t>10.49</w:t>
            </w:r>
          </w:p>
        </w:tc>
        <w:tc>
          <w:tcPr>
            <w:tcW w:w="12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0140" w:type="dxa"/>
            <w:vAlign w:val="bottom"/>
            <w:tcBorders>
              <w:right w:val="single" w:sz="8" w:color="auto"/>
            </w:tcBorders>
            <w:gridSpan w:val="36"/>
          </w:tcPr>
          <w:p>
            <w:pPr>
              <w:spacing w:after="0" w:line="183" w:lineRule="exact"/>
              <w:rPr>
                <w:rFonts w:ascii="Arial" w:cs="Arial" w:eastAsia="Arial" w:hAnsi="Arial"/>
                <w:sz w:val="16"/>
                <w:szCs w:val="16"/>
                <w:color w:val="0000FF"/>
              </w:rPr>
            </w:pPr>
            <w:hyperlink r:id="rId232">
              <w:r>
                <w:rPr>
                  <w:rFonts w:ascii="Arial" w:cs="Arial" w:eastAsia="Arial" w:hAnsi="Arial"/>
                  <w:sz w:val="16"/>
                  <w:szCs w:val="16"/>
                  <w:color w:val="0000FF"/>
                </w:rPr>
                <w:t>Series 2015-2 Supplement, dated as of May 27, 2015, between Avis Budget Rental Car Funding (AESOP) LLC and the Bank of New York</w:t>
              </w:r>
            </w:hyperlink>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9800" w:type="dxa"/>
            <w:vAlign w:val="bottom"/>
            <w:tcBorders>
              <w:top w:val="single" w:sz="8" w:color="0000FF"/>
              <w:bottom w:val="single" w:sz="8" w:color="0000FF"/>
            </w:tcBorders>
            <w:gridSpan w:val="24"/>
          </w:tcPr>
          <w:p>
            <w:pPr>
              <w:spacing w:after="0" w:line="169" w:lineRule="exact"/>
              <w:rPr>
                <w:rFonts w:ascii="Arial" w:cs="Arial" w:eastAsia="Arial" w:hAnsi="Arial"/>
                <w:sz w:val="16"/>
                <w:szCs w:val="16"/>
                <w:color w:val="0000FF"/>
              </w:rPr>
            </w:pPr>
            <w:hyperlink r:id="rId232">
              <w:r>
                <w:rPr>
                  <w:rFonts w:ascii="Arial" w:cs="Arial" w:eastAsia="Arial" w:hAnsi="Arial"/>
                  <w:sz w:val="16"/>
                  <w:szCs w:val="16"/>
                  <w:color w:val="0000FF"/>
                </w:rPr>
                <w:t>Mellon Trust Company, N.A., as trustee and as Series 2015-2 Agent (Incorporated by reference to Exhibit 10.1 to the Company’s Current</w:t>
              </w:r>
            </w:hyperlink>
          </w:p>
        </w:tc>
        <w:tc>
          <w:tcPr>
            <w:tcW w:w="60" w:type="dxa"/>
            <w:vAlign w:val="bottom"/>
            <w:tcBorders>
              <w:top w:val="single" w:sz="8" w:color="0000FF"/>
            </w:tcBorders>
            <w:gridSpan w:val="3"/>
          </w:tcPr>
          <w:p>
            <w:pPr>
              <w:spacing w:after="0"/>
              <w:rPr>
                <w:sz w:val="14"/>
                <w:szCs w:val="14"/>
                <w:color w:val="auto"/>
              </w:rPr>
            </w:pPr>
          </w:p>
        </w:tc>
        <w:tc>
          <w:tcPr>
            <w:tcW w:w="280" w:type="dxa"/>
            <w:vAlign w:val="bottom"/>
            <w:tcBorders>
              <w:right w:val="single" w:sz="8" w:color="auto"/>
            </w:tcBorders>
            <w:gridSpan w:val="9"/>
          </w:tcPr>
          <w:p>
            <w:pPr>
              <w:spacing w:after="0"/>
              <w:rPr>
                <w:sz w:val="14"/>
                <w:szCs w:val="14"/>
                <w:color w:val="auto"/>
              </w:rPr>
            </w:pPr>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140" w:type="dxa"/>
            <w:vAlign w:val="bottom"/>
            <w:tcBorders>
              <w:right w:val="single" w:sz="8" w:color="auto"/>
            </w:tcBorders>
            <w:gridSpan w:val="36"/>
          </w:tcPr>
          <w:p>
            <w:pPr>
              <w:spacing w:after="0" w:line="169" w:lineRule="exact"/>
              <w:rPr>
                <w:rFonts w:ascii="Arial" w:cs="Arial" w:eastAsia="Arial" w:hAnsi="Arial"/>
                <w:sz w:val="16"/>
                <w:szCs w:val="16"/>
                <w:color w:val="0000FF"/>
              </w:rPr>
            </w:pPr>
            <w:hyperlink r:id="rId232">
              <w:r>
                <w:rPr>
                  <w:rFonts w:ascii="Arial" w:cs="Arial" w:eastAsia="Arial" w:hAnsi="Arial"/>
                  <w:sz w:val="16"/>
                  <w:szCs w:val="16"/>
                  <w:color w:val="0000FF"/>
                </w:rPr>
                <w:t>Report on Form 8-K dated May 29, 2015).</w:t>
              </w:r>
            </w:hyperlink>
          </w:p>
        </w:tc>
      </w:tr>
      <w:tr>
        <w:trPr>
          <w:trHeight w:val="34"/>
        </w:trPr>
        <w:tc>
          <w:tcPr>
            <w:tcW w:w="1160" w:type="dxa"/>
            <w:vAlign w:val="bottom"/>
            <w:tcBorders>
              <w:left w:val="single" w:sz="8" w:color="auto"/>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60" w:type="dxa"/>
            <w:vAlign w:val="bottom"/>
            <w:tcBorders>
              <w:top w:val="single" w:sz="8" w:color="0000FF"/>
              <w:bottom w:val="single" w:sz="8" w:color="auto"/>
            </w:tcBorders>
          </w:tcPr>
          <w:p>
            <w:pPr>
              <w:spacing w:after="0"/>
              <w:rPr>
                <w:sz w:val="2"/>
                <w:szCs w:val="2"/>
                <w:color w:val="auto"/>
              </w:rPr>
            </w:pPr>
          </w:p>
        </w:tc>
        <w:tc>
          <w:tcPr>
            <w:tcW w:w="2480" w:type="dxa"/>
            <w:vAlign w:val="bottom"/>
            <w:tcBorders>
              <w:top w:val="single" w:sz="8" w:color="0000FF"/>
              <w:bottom w:val="single" w:sz="8" w:color="auto"/>
            </w:tcBorders>
          </w:tcPr>
          <w:p>
            <w:pPr>
              <w:spacing w:after="0"/>
              <w:rPr>
                <w:sz w:val="2"/>
                <w:szCs w:val="2"/>
                <w:color w:val="auto"/>
              </w:rPr>
            </w:pPr>
          </w:p>
        </w:tc>
        <w:tc>
          <w:tcPr>
            <w:tcW w:w="20" w:type="dxa"/>
            <w:vAlign w:val="bottom"/>
            <w:tcBorders>
              <w:top w:val="single" w:sz="8" w:color="0000FF"/>
              <w:bottom w:val="single" w:sz="8" w:color="auto"/>
            </w:tcBorders>
          </w:tcPr>
          <w:p>
            <w:pPr>
              <w:spacing w:after="0"/>
              <w:rPr>
                <w:sz w:val="2"/>
                <w:szCs w:val="2"/>
                <w:color w:val="auto"/>
              </w:rPr>
            </w:pPr>
          </w:p>
        </w:tc>
        <w:tc>
          <w:tcPr>
            <w:tcW w:w="40" w:type="dxa"/>
            <w:vAlign w:val="bottom"/>
            <w:tcBorders>
              <w:top w:val="single" w:sz="8" w:color="0000FF"/>
              <w:bottom w:val="single" w:sz="8" w:color="auto"/>
            </w:tcBorders>
          </w:tcPr>
          <w:p>
            <w:pPr>
              <w:spacing w:after="0"/>
              <w:rPr>
                <w:sz w:val="2"/>
                <w:szCs w:val="2"/>
                <w:color w:val="auto"/>
              </w:rPr>
            </w:pPr>
          </w:p>
        </w:tc>
        <w:tc>
          <w:tcPr>
            <w:tcW w:w="20" w:type="dxa"/>
            <w:vAlign w:val="bottom"/>
            <w:tcBorders>
              <w:top w:val="single" w:sz="8" w:color="0000FF"/>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right w:val="single" w:sz="8" w:color="auto"/>
            </w:tcBorders>
          </w:tcPr>
          <w:p>
            <w:pPr>
              <w:spacing w:after="0"/>
              <w:rPr>
                <w:sz w:val="2"/>
                <w:szCs w:val="2"/>
                <w:color w:val="auto"/>
              </w:rPr>
            </w:pPr>
          </w:p>
        </w:tc>
      </w:tr>
      <w:tr>
        <w:trPr>
          <w:trHeight w:val="183"/>
        </w:trPr>
        <w:tc>
          <w:tcPr>
            <w:tcW w:w="1160" w:type="dxa"/>
            <w:vAlign w:val="bottom"/>
            <w:tcBorders>
              <w:left w:val="single" w:sz="8" w:color="auto"/>
              <w:right w:val="single" w:sz="8" w:color="auto"/>
            </w:tcBorders>
          </w:tcPr>
          <w:p>
            <w:pPr>
              <w:ind w:left="40"/>
              <w:spacing w:after="0" w:line="183" w:lineRule="exact"/>
              <w:rPr>
                <w:sz w:val="20"/>
                <w:szCs w:val="20"/>
                <w:color w:val="auto"/>
              </w:rPr>
            </w:pPr>
            <w:r>
              <w:rPr>
                <w:rFonts w:ascii="Arial" w:cs="Arial" w:eastAsia="Arial" w:hAnsi="Arial"/>
                <w:sz w:val="16"/>
                <w:szCs w:val="16"/>
                <w:color w:val="auto"/>
              </w:rPr>
              <w:t>10.50</w:t>
            </w:r>
          </w:p>
        </w:tc>
        <w:tc>
          <w:tcPr>
            <w:tcW w:w="12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0020" w:type="dxa"/>
            <w:vAlign w:val="bottom"/>
            <w:tcBorders>
              <w:bottom w:val="single" w:sz="8" w:color="0000FF"/>
            </w:tcBorders>
            <w:gridSpan w:val="32"/>
          </w:tcPr>
          <w:p>
            <w:pPr>
              <w:spacing w:after="0" w:line="183" w:lineRule="exact"/>
              <w:rPr>
                <w:rFonts w:ascii="Arial" w:cs="Arial" w:eastAsia="Arial" w:hAnsi="Arial"/>
                <w:sz w:val="16"/>
                <w:szCs w:val="16"/>
                <w:color w:val="0000FF"/>
              </w:rPr>
            </w:pPr>
            <w:hyperlink r:id="rId233">
              <w:r>
                <w:rPr>
                  <w:rFonts w:ascii="Arial" w:cs="Arial" w:eastAsia="Arial" w:hAnsi="Arial"/>
                  <w:sz w:val="16"/>
                  <w:szCs w:val="16"/>
                  <w:color w:val="0000FF"/>
                </w:rPr>
                <w:t>Series 2016-1 Supplement, dated as of March 30, 2016, between Avis Budget Rental Car Funding (AESOP) LLC and the Bank of New York</w:t>
              </w:r>
            </w:hyperlink>
          </w:p>
        </w:tc>
        <w:tc>
          <w:tcPr>
            <w:tcW w:w="120" w:type="dxa"/>
            <w:vAlign w:val="bottom"/>
            <w:tcBorders>
              <w:right w:val="single" w:sz="8" w:color="auto"/>
            </w:tcBorders>
            <w:gridSpan w:val="4"/>
          </w:tcPr>
          <w:p>
            <w:pPr>
              <w:spacing w:after="0"/>
              <w:rPr>
                <w:sz w:val="15"/>
                <w:szCs w:val="15"/>
                <w:color w:val="auto"/>
              </w:rPr>
            </w:pPr>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9800" w:type="dxa"/>
            <w:vAlign w:val="bottom"/>
            <w:tcBorders>
              <w:bottom w:val="single" w:sz="8" w:color="0000FF"/>
            </w:tcBorders>
            <w:gridSpan w:val="24"/>
          </w:tcPr>
          <w:p>
            <w:pPr>
              <w:spacing w:after="0" w:line="169" w:lineRule="exact"/>
              <w:rPr>
                <w:rFonts w:ascii="Arial" w:cs="Arial" w:eastAsia="Arial" w:hAnsi="Arial"/>
                <w:sz w:val="16"/>
                <w:szCs w:val="16"/>
                <w:color w:val="0000FF"/>
              </w:rPr>
            </w:pPr>
            <w:hyperlink r:id="rId233">
              <w:r>
                <w:rPr>
                  <w:rFonts w:ascii="Arial" w:cs="Arial" w:eastAsia="Arial" w:hAnsi="Arial"/>
                  <w:sz w:val="16"/>
                  <w:szCs w:val="16"/>
                  <w:color w:val="0000FF"/>
                </w:rPr>
                <w:t>Mellon Trust Company, N.A., as trustee and as Series 2016-1 Agent (Incorporated by reference to Exhibit 10.1 to the Company’s Current</w:t>
              </w:r>
            </w:hyperlink>
          </w:p>
        </w:tc>
        <w:tc>
          <w:tcPr>
            <w:tcW w:w="340" w:type="dxa"/>
            <w:vAlign w:val="bottom"/>
            <w:tcBorders>
              <w:right w:val="single" w:sz="8" w:color="auto"/>
            </w:tcBorders>
            <w:gridSpan w:val="12"/>
          </w:tcPr>
          <w:p>
            <w:pPr>
              <w:spacing w:after="0"/>
              <w:rPr>
                <w:sz w:val="14"/>
                <w:szCs w:val="14"/>
                <w:color w:val="auto"/>
              </w:rPr>
            </w:pPr>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140" w:type="dxa"/>
            <w:vAlign w:val="bottom"/>
            <w:tcBorders>
              <w:right w:val="single" w:sz="8" w:color="auto"/>
            </w:tcBorders>
            <w:gridSpan w:val="36"/>
          </w:tcPr>
          <w:p>
            <w:pPr>
              <w:spacing w:after="0" w:line="169" w:lineRule="exact"/>
              <w:rPr>
                <w:rFonts w:ascii="Arial" w:cs="Arial" w:eastAsia="Arial" w:hAnsi="Arial"/>
                <w:sz w:val="16"/>
                <w:szCs w:val="16"/>
                <w:color w:val="0000FF"/>
              </w:rPr>
            </w:pPr>
            <w:hyperlink r:id="rId233">
              <w:r>
                <w:rPr>
                  <w:rFonts w:ascii="Arial" w:cs="Arial" w:eastAsia="Arial" w:hAnsi="Arial"/>
                  <w:sz w:val="16"/>
                  <w:szCs w:val="16"/>
                  <w:color w:val="0000FF"/>
                </w:rPr>
                <w:t>Report on Form 8-K dated April 5, 2016).</w:t>
              </w:r>
            </w:hyperlink>
          </w:p>
        </w:tc>
      </w:tr>
      <w:tr>
        <w:trPr>
          <w:trHeight w:val="34"/>
        </w:trPr>
        <w:tc>
          <w:tcPr>
            <w:tcW w:w="1160" w:type="dxa"/>
            <w:vAlign w:val="bottom"/>
            <w:tcBorders>
              <w:left w:val="single" w:sz="8" w:color="auto"/>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60" w:type="dxa"/>
            <w:vAlign w:val="bottom"/>
            <w:tcBorders>
              <w:top w:val="single" w:sz="8" w:color="0000FF"/>
              <w:bottom w:val="single" w:sz="8" w:color="auto"/>
            </w:tcBorders>
          </w:tcPr>
          <w:p>
            <w:pPr>
              <w:spacing w:after="0"/>
              <w:rPr>
                <w:sz w:val="2"/>
                <w:szCs w:val="2"/>
                <w:color w:val="auto"/>
              </w:rPr>
            </w:pPr>
          </w:p>
        </w:tc>
        <w:tc>
          <w:tcPr>
            <w:tcW w:w="2480" w:type="dxa"/>
            <w:vAlign w:val="bottom"/>
            <w:tcBorders>
              <w:top w:val="single" w:sz="8" w:color="0000FF"/>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right w:val="single" w:sz="8" w:color="auto"/>
            </w:tcBorders>
          </w:tcPr>
          <w:p>
            <w:pPr>
              <w:spacing w:after="0"/>
              <w:rPr>
                <w:sz w:val="2"/>
                <w:szCs w:val="2"/>
                <w:color w:val="auto"/>
              </w:rPr>
            </w:pPr>
          </w:p>
        </w:tc>
      </w:tr>
      <w:tr>
        <w:trPr>
          <w:trHeight w:val="183"/>
        </w:trPr>
        <w:tc>
          <w:tcPr>
            <w:tcW w:w="1160" w:type="dxa"/>
            <w:vAlign w:val="bottom"/>
            <w:tcBorders>
              <w:left w:val="single" w:sz="8" w:color="auto"/>
              <w:right w:val="single" w:sz="8" w:color="auto"/>
            </w:tcBorders>
          </w:tcPr>
          <w:p>
            <w:pPr>
              <w:ind w:left="40"/>
              <w:spacing w:after="0" w:line="183" w:lineRule="exact"/>
              <w:rPr>
                <w:sz w:val="20"/>
                <w:szCs w:val="20"/>
                <w:color w:val="auto"/>
              </w:rPr>
            </w:pPr>
            <w:r>
              <w:rPr>
                <w:rFonts w:ascii="Arial" w:cs="Arial" w:eastAsia="Arial" w:hAnsi="Arial"/>
                <w:sz w:val="16"/>
                <w:szCs w:val="16"/>
                <w:color w:val="auto"/>
              </w:rPr>
              <w:t>10.51</w:t>
            </w:r>
          </w:p>
        </w:tc>
        <w:tc>
          <w:tcPr>
            <w:tcW w:w="12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0140" w:type="dxa"/>
            <w:vAlign w:val="bottom"/>
            <w:tcBorders>
              <w:right w:val="single" w:sz="8" w:color="auto"/>
            </w:tcBorders>
            <w:gridSpan w:val="36"/>
          </w:tcPr>
          <w:p>
            <w:pPr>
              <w:spacing w:after="0" w:line="183" w:lineRule="exact"/>
              <w:rPr>
                <w:rFonts w:ascii="Arial" w:cs="Arial" w:eastAsia="Arial" w:hAnsi="Arial"/>
                <w:sz w:val="16"/>
                <w:szCs w:val="16"/>
                <w:color w:val="0000FF"/>
              </w:rPr>
            </w:pPr>
            <w:hyperlink r:id="rId234">
              <w:r>
                <w:rPr>
                  <w:rFonts w:ascii="Arial" w:cs="Arial" w:eastAsia="Arial" w:hAnsi="Arial"/>
                  <w:sz w:val="16"/>
                  <w:szCs w:val="16"/>
                  <w:color w:val="0000FF"/>
                </w:rPr>
                <w:t>Series 2016-2 Supplement, dated as of June 1, 2016, between Avis Budget Rental Car Funding (AESOP) LLC and the Bank of New York</w:t>
              </w:r>
            </w:hyperlink>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9800" w:type="dxa"/>
            <w:vAlign w:val="bottom"/>
            <w:tcBorders>
              <w:top w:val="single" w:sz="8" w:color="0000FF"/>
              <w:bottom w:val="single" w:sz="8" w:color="0000FF"/>
            </w:tcBorders>
            <w:gridSpan w:val="24"/>
          </w:tcPr>
          <w:p>
            <w:pPr>
              <w:spacing w:after="0" w:line="169" w:lineRule="exact"/>
              <w:rPr>
                <w:rFonts w:ascii="Arial" w:cs="Arial" w:eastAsia="Arial" w:hAnsi="Arial"/>
                <w:sz w:val="16"/>
                <w:szCs w:val="16"/>
                <w:color w:val="0000FF"/>
              </w:rPr>
            </w:pPr>
            <w:hyperlink r:id="rId234">
              <w:r>
                <w:rPr>
                  <w:rFonts w:ascii="Arial" w:cs="Arial" w:eastAsia="Arial" w:hAnsi="Arial"/>
                  <w:sz w:val="16"/>
                  <w:szCs w:val="16"/>
                  <w:color w:val="0000FF"/>
                </w:rPr>
                <w:t>Mellon Trust Company, N.A., as trustee and as Series 2016-2 Agent (Incorporated by reference to Exhibit 10.1 to the Company’s Current</w:t>
              </w:r>
            </w:hyperlink>
          </w:p>
        </w:tc>
        <w:tc>
          <w:tcPr>
            <w:tcW w:w="20" w:type="dxa"/>
            <w:vAlign w:val="bottom"/>
            <w:tcBorders>
              <w:top w:val="single" w:sz="8" w:color="0000FF"/>
            </w:tcBorders>
          </w:tcPr>
          <w:p>
            <w:pPr>
              <w:spacing w:after="0"/>
              <w:rPr>
                <w:sz w:val="14"/>
                <w:szCs w:val="14"/>
                <w:color w:val="auto"/>
              </w:rPr>
            </w:pPr>
          </w:p>
        </w:tc>
        <w:tc>
          <w:tcPr>
            <w:tcW w:w="320" w:type="dxa"/>
            <w:vAlign w:val="bottom"/>
            <w:tcBorders>
              <w:right w:val="single" w:sz="8" w:color="auto"/>
            </w:tcBorders>
            <w:gridSpan w:val="11"/>
          </w:tcPr>
          <w:p>
            <w:pPr>
              <w:spacing w:after="0"/>
              <w:rPr>
                <w:sz w:val="14"/>
                <w:szCs w:val="14"/>
                <w:color w:val="auto"/>
              </w:rPr>
            </w:pPr>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140" w:type="dxa"/>
            <w:vAlign w:val="bottom"/>
            <w:tcBorders>
              <w:right w:val="single" w:sz="8" w:color="auto"/>
            </w:tcBorders>
            <w:gridSpan w:val="36"/>
          </w:tcPr>
          <w:p>
            <w:pPr>
              <w:spacing w:after="0" w:line="169" w:lineRule="exact"/>
              <w:rPr>
                <w:rFonts w:ascii="Arial" w:cs="Arial" w:eastAsia="Arial" w:hAnsi="Arial"/>
                <w:sz w:val="16"/>
                <w:szCs w:val="16"/>
                <w:color w:val="0000FF"/>
              </w:rPr>
            </w:pPr>
            <w:hyperlink r:id="rId234">
              <w:r>
                <w:rPr>
                  <w:rFonts w:ascii="Arial" w:cs="Arial" w:eastAsia="Arial" w:hAnsi="Arial"/>
                  <w:sz w:val="16"/>
                  <w:szCs w:val="16"/>
                  <w:color w:val="0000FF"/>
                </w:rPr>
                <w:t>Report on Form 8-K dated June 7, 2016).</w:t>
              </w:r>
            </w:hyperlink>
          </w:p>
        </w:tc>
      </w:tr>
      <w:tr>
        <w:trPr>
          <w:trHeight w:val="34"/>
        </w:trPr>
        <w:tc>
          <w:tcPr>
            <w:tcW w:w="1160" w:type="dxa"/>
            <w:vAlign w:val="bottom"/>
            <w:tcBorders>
              <w:left w:val="single" w:sz="8" w:color="auto"/>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60" w:type="dxa"/>
            <w:vAlign w:val="bottom"/>
            <w:tcBorders>
              <w:top w:val="single" w:sz="8" w:color="0000FF"/>
              <w:bottom w:val="single" w:sz="8" w:color="auto"/>
            </w:tcBorders>
          </w:tcPr>
          <w:p>
            <w:pPr>
              <w:spacing w:after="0"/>
              <w:rPr>
                <w:sz w:val="2"/>
                <w:szCs w:val="2"/>
                <w:color w:val="auto"/>
              </w:rPr>
            </w:pPr>
          </w:p>
        </w:tc>
        <w:tc>
          <w:tcPr>
            <w:tcW w:w="2480" w:type="dxa"/>
            <w:vAlign w:val="bottom"/>
            <w:tcBorders>
              <w:top w:val="single" w:sz="8" w:color="0000FF"/>
              <w:bottom w:val="single" w:sz="8" w:color="auto"/>
            </w:tcBorders>
          </w:tcPr>
          <w:p>
            <w:pPr>
              <w:spacing w:after="0"/>
              <w:rPr>
                <w:sz w:val="2"/>
                <w:szCs w:val="2"/>
                <w:color w:val="auto"/>
              </w:rPr>
            </w:pPr>
          </w:p>
        </w:tc>
        <w:tc>
          <w:tcPr>
            <w:tcW w:w="20" w:type="dxa"/>
            <w:vAlign w:val="bottom"/>
            <w:tcBorders>
              <w:top w:val="single" w:sz="8" w:color="0000FF"/>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right w:val="single" w:sz="8" w:color="auto"/>
            </w:tcBorders>
          </w:tcPr>
          <w:p>
            <w:pPr>
              <w:spacing w:after="0"/>
              <w:rPr>
                <w:sz w:val="2"/>
                <w:szCs w:val="2"/>
                <w:color w:val="auto"/>
              </w:rPr>
            </w:pPr>
          </w:p>
        </w:tc>
      </w:tr>
      <w:tr>
        <w:trPr>
          <w:trHeight w:val="183"/>
        </w:trPr>
        <w:tc>
          <w:tcPr>
            <w:tcW w:w="1160" w:type="dxa"/>
            <w:vAlign w:val="bottom"/>
            <w:tcBorders>
              <w:left w:val="single" w:sz="8" w:color="auto"/>
              <w:right w:val="single" w:sz="8" w:color="auto"/>
            </w:tcBorders>
          </w:tcPr>
          <w:p>
            <w:pPr>
              <w:ind w:left="40"/>
              <w:spacing w:after="0" w:line="183" w:lineRule="exact"/>
              <w:rPr>
                <w:sz w:val="20"/>
                <w:szCs w:val="20"/>
                <w:color w:val="auto"/>
              </w:rPr>
            </w:pPr>
            <w:r>
              <w:rPr>
                <w:rFonts w:ascii="Arial" w:cs="Arial" w:eastAsia="Arial" w:hAnsi="Arial"/>
                <w:sz w:val="16"/>
                <w:szCs w:val="16"/>
                <w:color w:val="auto"/>
              </w:rPr>
              <w:t>10.52</w:t>
            </w:r>
          </w:p>
        </w:tc>
        <w:tc>
          <w:tcPr>
            <w:tcW w:w="12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0020" w:type="dxa"/>
            <w:vAlign w:val="bottom"/>
            <w:tcBorders>
              <w:bottom w:val="single" w:sz="8" w:color="0000FF"/>
            </w:tcBorders>
            <w:gridSpan w:val="32"/>
          </w:tcPr>
          <w:p>
            <w:pPr>
              <w:spacing w:after="0" w:line="183" w:lineRule="exact"/>
              <w:rPr>
                <w:rFonts w:ascii="Arial" w:cs="Arial" w:eastAsia="Arial" w:hAnsi="Arial"/>
                <w:sz w:val="16"/>
                <w:szCs w:val="16"/>
                <w:color w:val="0000FF"/>
              </w:rPr>
            </w:pPr>
            <w:hyperlink r:id="rId235">
              <w:r>
                <w:rPr>
                  <w:rFonts w:ascii="Arial" w:cs="Arial" w:eastAsia="Arial" w:hAnsi="Arial"/>
                  <w:sz w:val="16"/>
                  <w:szCs w:val="16"/>
                  <w:color w:val="0000FF"/>
                </w:rPr>
                <w:t>Series 2017-1 Supplement, dated as of March 15, 2017, between Avis Budget Rental Car Funding (AESOP) LLC and the Bank of New York</w:t>
              </w:r>
            </w:hyperlink>
          </w:p>
        </w:tc>
        <w:tc>
          <w:tcPr>
            <w:tcW w:w="120" w:type="dxa"/>
            <w:vAlign w:val="bottom"/>
            <w:tcBorders>
              <w:right w:val="single" w:sz="8" w:color="auto"/>
            </w:tcBorders>
            <w:gridSpan w:val="4"/>
          </w:tcPr>
          <w:p>
            <w:pPr>
              <w:spacing w:after="0"/>
              <w:rPr>
                <w:sz w:val="15"/>
                <w:szCs w:val="15"/>
                <w:color w:val="auto"/>
              </w:rPr>
            </w:pPr>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9800" w:type="dxa"/>
            <w:vAlign w:val="bottom"/>
            <w:tcBorders>
              <w:bottom w:val="single" w:sz="8" w:color="0000FF"/>
            </w:tcBorders>
            <w:gridSpan w:val="24"/>
          </w:tcPr>
          <w:p>
            <w:pPr>
              <w:spacing w:after="0" w:line="169" w:lineRule="exact"/>
              <w:rPr>
                <w:rFonts w:ascii="Arial" w:cs="Arial" w:eastAsia="Arial" w:hAnsi="Arial"/>
                <w:sz w:val="16"/>
                <w:szCs w:val="16"/>
                <w:color w:val="0000FF"/>
              </w:rPr>
            </w:pPr>
            <w:hyperlink r:id="rId235">
              <w:r>
                <w:rPr>
                  <w:rFonts w:ascii="Arial" w:cs="Arial" w:eastAsia="Arial" w:hAnsi="Arial"/>
                  <w:sz w:val="16"/>
                  <w:szCs w:val="16"/>
                  <w:color w:val="0000FF"/>
                </w:rPr>
                <w:t>Mellon Trust Company, N.A., as trustee and as Series 2017-1 Agent (Incorporated by reference to Exhibit 10.1 to the Company’s Current</w:t>
              </w:r>
            </w:hyperlink>
          </w:p>
        </w:tc>
        <w:tc>
          <w:tcPr>
            <w:tcW w:w="340" w:type="dxa"/>
            <w:vAlign w:val="bottom"/>
            <w:tcBorders>
              <w:right w:val="single" w:sz="8" w:color="auto"/>
            </w:tcBorders>
            <w:gridSpan w:val="12"/>
          </w:tcPr>
          <w:p>
            <w:pPr>
              <w:spacing w:after="0"/>
              <w:rPr>
                <w:sz w:val="14"/>
                <w:szCs w:val="14"/>
                <w:color w:val="auto"/>
              </w:rPr>
            </w:pPr>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140" w:type="dxa"/>
            <w:vAlign w:val="bottom"/>
            <w:tcBorders>
              <w:right w:val="single" w:sz="8" w:color="auto"/>
            </w:tcBorders>
            <w:gridSpan w:val="36"/>
          </w:tcPr>
          <w:p>
            <w:pPr>
              <w:spacing w:after="0" w:line="169" w:lineRule="exact"/>
              <w:rPr>
                <w:rFonts w:ascii="Arial" w:cs="Arial" w:eastAsia="Arial" w:hAnsi="Arial"/>
                <w:sz w:val="16"/>
                <w:szCs w:val="16"/>
                <w:color w:val="0000FF"/>
              </w:rPr>
            </w:pPr>
            <w:hyperlink r:id="rId235">
              <w:r>
                <w:rPr>
                  <w:rFonts w:ascii="Arial" w:cs="Arial" w:eastAsia="Arial" w:hAnsi="Arial"/>
                  <w:sz w:val="16"/>
                  <w:szCs w:val="16"/>
                  <w:color w:val="0000FF"/>
                </w:rPr>
                <w:t>Report on Form 8-K dated March 21, 2017).</w:t>
              </w:r>
            </w:hyperlink>
          </w:p>
        </w:tc>
      </w:tr>
      <w:tr>
        <w:trPr>
          <w:trHeight w:val="34"/>
        </w:trPr>
        <w:tc>
          <w:tcPr>
            <w:tcW w:w="1160" w:type="dxa"/>
            <w:vAlign w:val="bottom"/>
            <w:tcBorders>
              <w:left w:val="single" w:sz="8" w:color="auto"/>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60" w:type="dxa"/>
            <w:vAlign w:val="bottom"/>
            <w:tcBorders>
              <w:top w:val="single" w:sz="8" w:color="0000FF"/>
              <w:bottom w:val="single" w:sz="8" w:color="auto"/>
            </w:tcBorders>
          </w:tcPr>
          <w:p>
            <w:pPr>
              <w:spacing w:after="0"/>
              <w:rPr>
                <w:sz w:val="2"/>
                <w:szCs w:val="2"/>
                <w:color w:val="auto"/>
              </w:rPr>
            </w:pPr>
          </w:p>
        </w:tc>
        <w:tc>
          <w:tcPr>
            <w:tcW w:w="2480" w:type="dxa"/>
            <w:vAlign w:val="bottom"/>
            <w:tcBorders>
              <w:top w:val="single" w:sz="8" w:color="0000FF"/>
              <w:bottom w:val="single" w:sz="8" w:color="auto"/>
            </w:tcBorders>
          </w:tcPr>
          <w:p>
            <w:pPr>
              <w:spacing w:after="0"/>
              <w:rPr>
                <w:sz w:val="2"/>
                <w:szCs w:val="2"/>
                <w:color w:val="auto"/>
              </w:rPr>
            </w:pPr>
          </w:p>
        </w:tc>
        <w:tc>
          <w:tcPr>
            <w:tcW w:w="20" w:type="dxa"/>
            <w:vAlign w:val="bottom"/>
            <w:tcBorders>
              <w:top w:val="single" w:sz="8" w:color="0000FF"/>
              <w:bottom w:val="single" w:sz="8" w:color="auto"/>
            </w:tcBorders>
          </w:tcPr>
          <w:p>
            <w:pPr>
              <w:spacing w:after="0"/>
              <w:rPr>
                <w:sz w:val="2"/>
                <w:szCs w:val="2"/>
                <w:color w:val="auto"/>
              </w:rPr>
            </w:pPr>
          </w:p>
        </w:tc>
        <w:tc>
          <w:tcPr>
            <w:tcW w:w="40" w:type="dxa"/>
            <w:vAlign w:val="bottom"/>
            <w:tcBorders>
              <w:top w:val="single" w:sz="8" w:color="0000FF"/>
              <w:bottom w:val="single" w:sz="8" w:color="auto"/>
            </w:tcBorders>
          </w:tcPr>
          <w:p>
            <w:pPr>
              <w:spacing w:after="0"/>
              <w:rPr>
                <w:sz w:val="2"/>
                <w:szCs w:val="2"/>
                <w:color w:val="auto"/>
              </w:rPr>
            </w:pPr>
          </w:p>
        </w:tc>
        <w:tc>
          <w:tcPr>
            <w:tcW w:w="20" w:type="dxa"/>
            <w:vAlign w:val="bottom"/>
            <w:tcBorders>
              <w:top w:val="single" w:sz="8" w:color="0000FF"/>
              <w:bottom w:val="single" w:sz="8" w:color="auto"/>
            </w:tcBorders>
          </w:tcPr>
          <w:p>
            <w:pPr>
              <w:spacing w:after="0"/>
              <w:rPr>
                <w:sz w:val="2"/>
                <w:szCs w:val="2"/>
                <w:color w:val="auto"/>
              </w:rPr>
            </w:pPr>
          </w:p>
        </w:tc>
        <w:tc>
          <w:tcPr>
            <w:tcW w:w="140" w:type="dxa"/>
            <w:vAlign w:val="bottom"/>
            <w:tcBorders>
              <w:top w:val="single" w:sz="8" w:color="0000FF"/>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right w:val="single" w:sz="8" w:color="auto"/>
            </w:tcBorders>
          </w:tcPr>
          <w:p>
            <w:pPr>
              <w:spacing w:after="0"/>
              <w:rPr>
                <w:sz w:val="2"/>
                <w:szCs w:val="2"/>
                <w:color w:val="auto"/>
              </w:rPr>
            </w:pPr>
          </w:p>
        </w:tc>
      </w:tr>
      <w:tr>
        <w:trPr>
          <w:trHeight w:val="453"/>
        </w:trPr>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0" w:type="dxa"/>
            <w:vAlign w:val="bottom"/>
            <w:gridSpan w:val="28"/>
          </w:tcPr>
          <w:p>
            <w:pPr>
              <w:ind w:left="320"/>
              <w:spacing w:after="0"/>
              <w:rPr>
                <w:sz w:val="20"/>
                <w:szCs w:val="20"/>
                <w:color w:val="auto"/>
              </w:rPr>
            </w:pPr>
            <w:r>
              <w:rPr>
                <w:rFonts w:ascii="Arial" w:cs="Arial" w:eastAsia="Arial" w:hAnsi="Arial"/>
                <w:sz w:val="18"/>
                <w:szCs w:val="18"/>
                <w:color w:val="auto"/>
              </w:rPr>
              <w:t>H-5</w:t>
            </w:r>
          </w:p>
        </w:tc>
      </w:tr>
    </w:tbl>
    <w:p>
      <w:pPr>
        <w:sectPr>
          <w:pgSz w:w="11900" w:h="16838" w:orient="portrait"/>
          <w:cols w:equalWidth="0" w:num="1">
            <w:col w:w="11440"/>
          </w:cols>
          <w:pgMar w:left="240" w:top="140" w:right="219" w:bottom="1440" w:gutter="0" w:footer="0" w:header="0"/>
        </w:sectPr>
      </w:pPr>
    </w:p>
    <w:bookmarkStart w:id="131" w:name="page132"/>
    <w:bookmarkEnd w:id="1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7" w:lineRule="exact"/>
        <w:rPr>
          <w:sz w:val="20"/>
          <w:szCs w:val="20"/>
          <w:color w:val="auto"/>
        </w:rPr>
      </w:pPr>
    </w:p>
    <w:tbl>
      <w:tblPr>
        <w:tblLayout w:type="fixed"/>
        <w:tblInd w:w="10" w:type="dxa"/>
        <w:tblCellMar>
          <w:top w:w="0" w:type="dxa"/>
          <w:left w:w="0" w:type="dxa"/>
          <w:bottom w:w="0" w:type="dxa"/>
          <w:right w:w="0" w:type="dxa"/>
        </w:tblCellMar>
      </w:tblPr>
      <w:tr>
        <w:trPr>
          <w:trHeight w:val="203"/>
        </w:trPr>
        <w:tc>
          <w:tcPr>
            <w:tcW w:w="116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10.53</w:t>
            </w:r>
          </w:p>
        </w:tc>
        <w:tc>
          <w:tcPr>
            <w:tcW w:w="120" w:type="dxa"/>
            <w:vAlign w:val="bottom"/>
            <w:tcBorders>
              <w:top w:val="single" w:sz="8" w:color="auto"/>
              <w:right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0140" w:type="dxa"/>
            <w:vAlign w:val="bottom"/>
            <w:tcBorders>
              <w:top w:val="single" w:sz="8" w:color="auto"/>
              <w:right w:val="single" w:sz="8" w:color="auto"/>
            </w:tcBorders>
            <w:gridSpan w:val="39"/>
          </w:tcPr>
          <w:p>
            <w:pPr>
              <w:spacing w:after="0"/>
              <w:rPr>
                <w:rFonts w:ascii="Arial" w:cs="Arial" w:eastAsia="Arial" w:hAnsi="Arial"/>
                <w:sz w:val="16"/>
                <w:szCs w:val="16"/>
                <w:color w:val="0000FF"/>
              </w:rPr>
            </w:pPr>
            <w:hyperlink r:id="rId236">
              <w:r>
                <w:rPr>
                  <w:rFonts w:ascii="Arial" w:cs="Arial" w:eastAsia="Arial" w:hAnsi="Arial"/>
                  <w:sz w:val="16"/>
                  <w:szCs w:val="16"/>
                  <w:color w:val="0000FF"/>
                </w:rPr>
                <w:t>Series 2017-2 Supplement, dated as of December 13, 2017, between Avis Budget Rental Car Funding (AESOP) LLC and the Bank of New</w:t>
              </w:r>
            </w:hyperlink>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9580" w:type="dxa"/>
            <w:vAlign w:val="bottom"/>
            <w:tcBorders>
              <w:top w:val="single" w:sz="8" w:color="0000FF"/>
              <w:bottom w:val="single" w:sz="8" w:color="0000FF"/>
            </w:tcBorders>
            <w:gridSpan w:val="19"/>
          </w:tcPr>
          <w:p>
            <w:pPr>
              <w:spacing w:after="0" w:line="169" w:lineRule="exact"/>
              <w:rPr>
                <w:rFonts w:ascii="Arial" w:cs="Arial" w:eastAsia="Arial" w:hAnsi="Arial"/>
                <w:sz w:val="16"/>
                <w:szCs w:val="16"/>
                <w:color w:val="0000FF"/>
              </w:rPr>
            </w:pPr>
            <w:hyperlink r:id="rId236">
              <w:r>
                <w:rPr>
                  <w:rFonts w:ascii="Arial" w:cs="Arial" w:eastAsia="Arial" w:hAnsi="Arial"/>
                  <w:sz w:val="16"/>
                  <w:szCs w:val="16"/>
                  <w:color w:val="0000FF"/>
                </w:rPr>
                <w:t>York Mellon Trust Company, N.A., as trustee and as Series 2017-2 Agent (Incorporated by reference to Exhibit 10.1 to the Company’s</w:t>
              </w:r>
            </w:hyperlink>
          </w:p>
        </w:tc>
        <w:tc>
          <w:tcPr>
            <w:tcW w:w="360" w:type="dxa"/>
            <w:vAlign w:val="bottom"/>
            <w:tcBorders>
              <w:top w:val="single" w:sz="8" w:color="0000FF"/>
            </w:tcBorders>
            <w:gridSpan w:val="13"/>
          </w:tcPr>
          <w:p>
            <w:pPr>
              <w:spacing w:after="0"/>
              <w:rPr>
                <w:sz w:val="14"/>
                <w:szCs w:val="14"/>
                <w:color w:val="auto"/>
              </w:rPr>
            </w:pPr>
          </w:p>
        </w:tc>
        <w:tc>
          <w:tcPr>
            <w:tcW w:w="200" w:type="dxa"/>
            <w:vAlign w:val="bottom"/>
            <w:tcBorders>
              <w:right w:val="single" w:sz="8" w:color="auto"/>
            </w:tcBorders>
            <w:gridSpan w:val="7"/>
          </w:tcPr>
          <w:p>
            <w:pPr>
              <w:spacing w:after="0"/>
              <w:rPr>
                <w:sz w:val="14"/>
                <w:szCs w:val="14"/>
                <w:color w:val="auto"/>
              </w:rPr>
            </w:pPr>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140" w:type="dxa"/>
            <w:vAlign w:val="bottom"/>
            <w:tcBorders>
              <w:right w:val="single" w:sz="8" w:color="auto"/>
            </w:tcBorders>
            <w:gridSpan w:val="39"/>
          </w:tcPr>
          <w:p>
            <w:pPr>
              <w:spacing w:after="0" w:line="169" w:lineRule="exact"/>
              <w:rPr>
                <w:rFonts w:ascii="Arial" w:cs="Arial" w:eastAsia="Arial" w:hAnsi="Arial"/>
                <w:sz w:val="16"/>
                <w:szCs w:val="16"/>
                <w:color w:val="0000FF"/>
              </w:rPr>
            </w:pPr>
            <w:hyperlink r:id="rId236">
              <w:r>
                <w:rPr>
                  <w:rFonts w:ascii="Arial" w:cs="Arial" w:eastAsia="Arial" w:hAnsi="Arial"/>
                  <w:sz w:val="16"/>
                  <w:szCs w:val="16"/>
                  <w:color w:val="0000FF"/>
                </w:rPr>
                <w:t>Current Report on Form 8-K dated December 19, 2017).</w:t>
              </w:r>
            </w:hyperlink>
          </w:p>
        </w:tc>
      </w:tr>
      <w:tr>
        <w:trPr>
          <w:trHeight w:val="34"/>
        </w:trPr>
        <w:tc>
          <w:tcPr>
            <w:tcW w:w="1160" w:type="dxa"/>
            <w:vAlign w:val="bottom"/>
            <w:tcBorders>
              <w:left w:val="single" w:sz="8" w:color="auto"/>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20" w:type="dxa"/>
            <w:vAlign w:val="bottom"/>
            <w:tcBorders>
              <w:top w:val="single" w:sz="8" w:color="0000FF"/>
              <w:bottom w:val="single" w:sz="8" w:color="auto"/>
            </w:tcBorders>
          </w:tcPr>
          <w:p>
            <w:pPr>
              <w:spacing w:after="0"/>
              <w:rPr>
                <w:sz w:val="2"/>
                <w:szCs w:val="2"/>
                <w:color w:val="auto"/>
              </w:rPr>
            </w:pPr>
          </w:p>
        </w:tc>
        <w:tc>
          <w:tcPr>
            <w:tcW w:w="640" w:type="dxa"/>
            <w:vAlign w:val="bottom"/>
            <w:tcBorders>
              <w:top w:val="single" w:sz="8" w:color="0000FF"/>
              <w:bottom w:val="single" w:sz="8" w:color="auto"/>
            </w:tcBorders>
          </w:tcPr>
          <w:p>
            <w:pPr>
              <w:spacing w:after="0"/>
              <w:rPr>
                <w:sz w:val="2"/>
                <w:szCs w:val="2"/>
                <w:color w:val="auto"/>
              </w:rPr>
            </w:pPr>
          </w:p>
        </w:tc>
        <w:tc>
          <w:tcPr>
            <w:tcW w:w="120" w:type="dxa"/>
            <w:vAlign w:val="bottom"/>
            <w:tcBorders>
              <w:top w:val="single" w:sz="8" w:color="0000FF"/>
              <w:bottom w:val="single" w:sz="8" w:color="auto"/>
            </w:tcBorders>
          </w:tcPr>
          <w:p>
            <w:pPr>
              <w:spacing w:after="0"/>
              <w:rPr>
                <w:sz w:val="2"/>
                <w:szCs w:val="2"/>
                <w:color w:val="auto"/>
              </w:rPr>
            </w:pPr>
          </w:p>
        </w:tc>
        <w:tc>
          <w:tcPr>
            <w:tcW w:w="20" w:type="dxa"/>
            <w:vAlign w:val="bottom"/>
            <w:tcBorders>
              <w:top w:val="single" w:sz="8" w:color="0000FF"/>
              <w:bottom w:val="single" w:sz="8" w:color="auto"/>
            </w:tcBorders>
          </w:tcPr>
          <w:p>
            <w:pPr>
              <w:spacing w:after="0"/>
              <w:rPr>
                <w:sz w:val="2"/>
                <w:szCs w:val="2"/>
                <w:color w:val="auto"/>
              </w:rPr>
            </w:pPr>
          </w:p>
        </w:tc>
        <w:tc>
          <w:tcPr>
            <w:tcW w:w="240" w:type="dxa"/>
            <w:vAlign w:val="bottom"/>
            <w:tcBorders>
              <w:top w:val="single" w:sz="8" w:color="0000FF"/>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right w:val="single" w:sz="8" w:color="auto"/>
            </w:tcBorders>
          </w:tcPr>
          <w:p>
            <w:pPr>
              <w:spacing w:after="0"/>
              <w:rPr>
                <w:sz w:val="2"/>
                <w:szCs w:val="2"/>
                <w:color w:val="auto"/>
              </w:rPr>
            </w:pPr>
          </w:p>
        </w:tc>
      </w:tr>
      <w:tr>
        <w:trPr>
          <w:trHeight w:val="183"/>
        </w:trPr>
        <w:tc>
          <w:tcPr>
            <w:tcW w:w="1160" w:type="dxa"/>
            <w:vAlign w:val="bottom"/>
            <w:tcBorders>
              <w:left w:val="single" w:sz="8" w:color="auto"/>
              <w:right w:val="single" w:sz="8" w:color="auto"/>
            </w:tcBorders>
          </w:tcPr>
          <w:p>
            <w:pPr>
              <w:ind w:left="40"/>
              <w:spacing w:after="0" w:line="183" w:lineRule="exact"/>
              <w:rPr>
                <w:sz w:val="20"/>
                <w:szCs w:val="20"/>
                <w:color w:val="auto"/>
              </w:rPr>
            </w:pPr>
            <w:r>
              <w:rPr>
                <w:rFonts w:ascii="Arial" w:cs="Arial" w:eastAsia="Arial" w:hAnsi="Arial"/>
                <w:sz w:val="16"/>
                <w:szCs w:val="16"/>
                <w:color w:val="auto"/>
              </w:rPr>
              <w:t>10.54</w:t>
            </w:r>
          </w:p>
        </w:tc>
        <w:tc>
          <w:tcPr>
            <w:tcW w:w="12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0140" w:type="dxa"/>
            <w:vAlign w:val="bottom"/>
            <w:tcBorders>
              <w:right w:val="single" w:sz="8" w:color="auto"/>
            </w:tcBorders>
            <w:gridSpan w:val="39"/>
          </w:tcPr>
          <w:p>
            <w:pPr>
              <w:spacing w:after="0" w:line="183" w:lineRule="exact"/>
              <w:rPr>
                <w:rFonts w:ascii="Arial" w:cs="Arial" w:eastAsia="Arial" w:hAnsi="Arial"/>
                <w:sz w:val="16"/>
                <w:szCs w:val="16"/>
                <w:color w:val="0000FF"/>
              </w:rPr>
            </w:pPr>
            <w:hyperlink r:id="rId237">
              <w:r>
                <w:rPr>
                  <w:rFonts w:ascii="Arial" w:cs="Arial" w:eastAsia="Arial" w:hAnsi="Arial"/>
                  <w:sz w:val="16"/>
                  <w:szCs w:val="16"/>
                  <w:color w:val="0000FF"/>
                </w:rPr>
                <w:t>Fourth Amended and Restated Credit Agreement dated as of October 7, 2016, among Avis Budget Holdings, LLC, Avis Budget Car Rental,</w:t>
              </w:r>
            </w:hyperlink>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9960" w:type="dxa"/>
            <w:vAlign w:val="bottom"/>
            <w:tcBorders>
              <w:top w:val="single" w:sz="8" w:color="0000FF"/>
            </w:tcBorders>
            <w:gridSpan w:val="33"/>
          </w:tcPr>
          <w:p>
            <w:pPr>
              <w:spacing w:after="0" w:line="169" w:lineRule="exact"/>
              <w:rPr>
                <w:rFonts w:ascii="Arial" w:cs="Arial" w:eastAsia="Arial" w:hAnsi="Arial"/>
                <w:sz w:val="16"/>
                <w:szCs w:val="16"/>
                <w:color w:val="0000FF"/>
              </w:rPr>
            </w:pPr>
            <w:hyperlink r:id="rId237">
              <w:r>
                <w:rPr>
                  <w:rFonts w:ascii="Arial" w:cs="Arial" w:eastAsia="Arial" w:hAnsi="Arial"/>
                  <w:sz w:val="16"/>
                  <w:szCs w:val="16"/>
                  <w:color w:val="0000FF"/>
                </w:rPr>
                <w:t>LLC, Avis Budget Group, Inc., the Subsidiary Borrowers from time to time parties there, the several banks and other financial institutions or</w:t>
              </w:r>
            </w:hyperlink>
          </w:p>
        </w:tc>
        <w:tc>
          <w:tcPr>
            <w:tcW w:w="180" w:type="dxa"/>
            <w:vAlign w:val="bottom"/>
            <w:tcBorders>
              <w:right w:val="single" w:sz="8" w:color="auto"/>
            </w:tcBorders>
            <w:gridSpan w:val="6"/>
          </w:tcPr>
          <w:p>
            <w:pPr>
              <w:spacing w:after="0"/>
              <w:rPr>
                <w:sz w:val="14"/>
                <w:szCs w:val="14"/>
                <w:color w:val="auto"/>
              </w:rPr>
            </w:pPr>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9320" w:type="dxa"/>
            <w:vAlign w:val="bottom"/>
            <w:tcBorders>
              <w:top w:val="single" w:sz="8" w:color="0000FF"/>
              <w:bottom w:val="single" w:sz="8" w:color="0000FF"/>
            </w:tcBorders>
            <w:gridSpan w:val="14"/>
          </w:tcPr>
          <w:p>
            <w:pPr>
              <w:spacing w:after="0" w:line="169" w:lineRule="exact"/>
              <w:rPr>
                <w:rFonts w:ascii="Arial" w:cs="Arial" w:eastAsia="Arial" w:hAnsi="Arial"/>
                <w:sz w:val="16"/>
                <w:szCs w:val="16"/>
                <w:color w:val="0000FF"/>
              </w:rPr>
            </w:pPr>
            <w:hyperlink r:id="rId237">
              <w:r>
                <w:rPr>
                  <w:rFonts w:ascii="Arial" w:cs="Arial" w:eastAsia="Arial" w:hAnsi="Arial"/>
                  <w:sz w:val="16"/>
                  <w:szCs w:val="16"/>
                  <w:color w:val="0000FF"/>
                </w:rPr>
                <w:t>entities from time to time parties thereto, JPMorgan Chase Bank, N.A., as Administrative Agent, Deutsche Bank Securities Inc., as</w:t>
              </w:r>
            </w:hyperlink>
          </w:p>
        </w:tc>
        <w:tc>
          <w:tcPr>
            <w:tcW w:w="600" w:type="dxa"/>
            <w:vAlign w:val="bottom"/>
            <w:tcBorders>
              <w:top w:val="single" w:sz="8" w:color="0000FF"/>
            </w:tcBorders>
            <w:gridSpan w:val="17"/>
          </w:tcPr>
          <w:p>
            <w:pPr>
              <w:spacing w:after="0"/>
              <w:rPr>
                <w:sz w:val="14"/>
                <w:szCs w:val="14"/>
                <w:color w:val="auto"/>
              </w:rPr>
            </w:pPr>
          </w:p>
        </w:tc>
        <w:tc>
          <w:tcPr>
            <w:tcW w:w="220" w:type="dxa"/>
            <w:vAlign w:val="bottom"/>
            <w:tcBorders>
              <w:right w:val="single" w:sz="8" w:color="auto"/>
            </w:tcBorders>
            <w:gridSpan w:val="8"/>
          </w:tcPr>
          <w:p>
            <w:pPr>
              <w:spacing w:after="0"/>
              <w:rPr>
                <w:sz w:val="14"/>
                <w:szCs w:val="14"/>
                <w:color w:val="auto"/>
              </w:rPr>
            </w:pPr>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9780" w:type="dxa"/>
            <w:vAlign w:val="bottom"/>
            <w:tcBorders>
              <w:bottom w:val="single" w:sz="8" w:color="0000FF"/>
            </w:tcBorders>
            <w:gridSpan w:val="24"/>
          </w:tcPr>
          <w:p>
            <w:pPr>
              <w:spacing w:after="0" w:line="169" w:lineRule="exact"/>
              <w:rPr>
                <w:rFonts w:ascii="Arial" w:cs="Arial" w:eastAsia="Arial" w:hAnsi="Arial"/>
                <w:sz w:val="16"/>
                <w:szCs w:val="16"/>
                <w:color w:val="0000FF"/>
              </w:rPr>
            </w:pPr>
            <w:hyperlink r:id="rId237">
              <w:r>
                <w:rPr>
                  <w:rFonts w:ascii="Arial" w:cs="Arial" w:eastAsia="Arial" w:hAnsi="Arial"/>
                  <w:sz w:val="16"/>
                  <w:szCs w:val="16"/>
                  <w:color w:val="0000FF"/>
                </w:rPr>
                <w:t>Syndication Agent, Citibank, N.A., Bank of America, N.A., Barclays Bank plc and Credit Agricole Corporate and Investment Bank, as Co-</w:t>
              </w:r>
            </w:hyperlink>
          </w:p>
        </w:tc>
        <w:tc>
          <w:tcPr>
            <w:tcW w:w="360" w:type="dxa"/>
            <w:vAlign w:val="bottom"/>
            <w:tcBorders>
              <w:right w:val="single" w:sz="8" w:color="auto"/>
            </w:tcBorders>
            <w:gridSpan w:val="15"/>
          </w:tcPr>
          <w:p>
            <w:pPr>
              <w:spacing w:after="0"/>
              <w:rPr>
                <w:sz w:val="14"/>
                <w:szCs w:val="14"/>
                <w:color w:val="auto"/>
              </w:rPr>
            </w:pPr>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140" w:type="dxa"/>
            <w:vAlign w:val="bottom"/>
            <w:tcBorders>
              <w:right w:val="single" w:sz="8" w:color="auto"/>
            </w:tcBorders>
            <w:gridSpan w:val="39"/>
          </w:tcPr>
          <w:p>
            <w:pPr>
              <w:spacing w:after="0" w:line="169" w:lineRule="exact"/>
              <w:rPr>
                <w:rFonts w:ascii="Arial" w:cs="Arial" w:eastAsia="Arial" w:hAnsi="Arial"/>
                <w:sz w:val="16"/>
                <w:szCs w:val="16"/>
                <w:color w:val="0000FF"/>
              </w:rPr>
            </w:pPr>
            <w:hyperlink r:id="rId237">
              <w:r>
                <w:rPr>
                  <w:rFonts w:ascii="Arial" w:cs="Arial" w:eastAsia="Arial" w:hAnsi="Arial"/>
                  <w:sz w:val="16"/>
                  <w:szCs w:val="16"/>
                  <w:color w:val="0000FF"/>
                </w:rPr>
                <w:t>Documentation Agents Incorporated by reference to Exhibit 10.1 to the Company’s Current Report on Form 8-K dated October 12, 2016).</w:t>
              </w:r>
            </w:hyperlink>
          </w:p>
        </w:tc>
      </w:tr>
      <w:tr>
        <w:trPr>
          <w:trHeight w:val="34"/>
        </w:trPr>
        <w:tc>
          <w:tcPr>
            <w:tcW w:w="1160" w:type="dxa"/>
            <w:vAlign w:val="bottom"/>
            <w:tcBorders>
              <w:left w:val="single" w:sz="8" w:color="auto"/>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20" w:type="dxa"/>
            <w:vAlign w:val="bottom"/>
            <w:tcBorders>
              <w:top w:val="single" w:sz="8" w:color="0000FF"/>
              <w:bottom w:val="single" w:sz="8" w:color="auto"/>
            </w:tcBorders>
          </w:tcPr>
          <w:p>
            <w:pPr>
              <w:spacing w:after="0"/>
              <w:rPr>
                <w:sz w:val="2"/>
                <w:szCs w:val="2"/>
                <w:color w:val="auto"/>
              </w:rPr>
            </w:pPr>
          </w:p>
        </w:tc>
        <w:tc>
          <w:tcPr>
            <w:tcW w:w="640" w:type="dxa"/>
            <w:vAlign w:val="bottom"/>
            <w:tcBorders>
              <w:top w:val="single" w:sz="8" w:color="0000FF"/>
              <w:bottom w:val="single" w:sz="8" w:color="auto"/>
            </w:tcBorders>
          </w:tcPr>
          <w:p>
            <w:pPr>
              <w:spacing w:after="0"/>
              <w:rPr>
                <w:sz w:val="2"/>
                <w:szCs w:val="2"/>
                <w:color w:val="auto"/>
              </w:rPr>
            </w:pPr>
          </w:p>
        </w:tc>
        <w:tc>
          <w:tcPr>
            <w:tcW w:w="120" w:type="dxa"/>
            <w:vAlign w:val="bottom"/>
            <w:tcBorders>
              <w:top w:val="single" w:sz="8" w:color="0000FF"/>
              <w:bottom w:val="single" w:sz="8" w:color="auto"/>
            </w:tcBorders>
          </w:tcPr>
          <w:p>
            <w:pPr>
              <w:spacing w:after="0"/>
              <w:rPr>
                <w:sz w:val="2"/>
                <w:szCs w:val="2"/>
                <w:color w:val="auto"/>
              </w:rPr>
            </w:pPr>
          </w:p>
        </w:tc>
        <w:tc>
          <w:tcPr>
            <w:tcW w:w="20" w:type="dxa"/>
            <w:vAlign w:val="bottom"/>
            <w:tcBorders>
              <w:top w:val="single" w:sz="8" w:color="0000FF"/>
              <w:bottom w:val="single" w:sz="8" w:color="auto"/>
            </w:tcBorders>
          </w:tcPr>
          <w:p>
            <w:pPr>
              <w:spacing w:after="0"/>
              <w:rPr>
                <w:sz w:val="2"/>
                <w:szCs w:val="2"/>
                <w:color w:val="auto"/>
              </w:rPr>
            </w:pPr>
          </w:p>
        </w:tc>
        <w:tc>
          <w:tcPr>
            <w:tcW w:w="240" w:type="dxa"/>
            <w:vAlign w:val="bottom"/>
            <w:tcBorders>
              <w:top w:val="single" w:sz="8" w:color="0000FF"/>
              <w:bottom w:val="single" w:sz="8" w:color="auto"/>
            </w:tcBorders>
          </w:tcPr>
          <w:p>
            <w:pPr>
              <w:spacing w:after="0"/>
              <w:rPr>
                <w:sz w:val="2"/>
                <w:szCs w:val="2"/>
                <w:color w:val="auto"/>
              </w:rPr>
            </w:pPr>
          </w:p>
        </w:tc>
        <w:tc>
          <w:tcPr>
            <w:tcW w:w="340" w:type="dxa"/>
            <w:vAlign w:val="bottom"/>
            <w:tcBorders>
              <w:top w:val="single" w:sz="8" w:color="0000FF"/>
              <w:bottom w:val="single" w:sz="8" w:color="auto"/>
            </w:tcBorders>
          </w:tcPr>
          <w:p>
            <w:pPr>
              <w:spacing w:after="0"/>
              <w:rPr>
                <w:sz w:val="2"/>
                <w:szCs w:val="2"/>
                <w:color w:val="auto"/>
              </w:rPr>
            </w:pPr>
          </w:p>
        </w:tc>
        <w:tc>
          <w:tcPr>
            <w:tcW w:w="1320" w:type="dxa"/>
            <w:vAlign w:val="bottom"/>
            <w:tcBorders>
              <w:top w:val="single" w:sz="8" w:color="0000FF"/>
              <w:bottom w:val="single" w:sz="8" w:color="auto"/>
            </w:tcBorders>
          </w:tcPr>
          <w:p>
            <w:pPr>
              <w:spacing w:after="0"/>
              <w:rPr>
                <w:sz w:val="2"/>
                <w:szCs w:val="2"/>
                <w:color w:val="auto"/>
              </w:rPr>
            </w:pPr>
          </w:p>
        </w:tc>
        <w:tc>
          <w:tcPr>
            <w:tcW w:w="60" w:type="dxa"/>
            <w:vAlign w:val="bottom"/>
            <w:tcBorders>
              <w:top w:val="single" w:sz="8" w:color="0000FF"/>
              <w:bottom w:val="single" w:sz="8" w:color="auto"/>
            </w:tcBorders>
          </w:tcPr>
          <w:p>
            <w:pPr>
              <w:spacing w:after="0"/>
              <w:rPr>
                <w:sz w:val="2"/>
                <w:szCs w:val="2"/>
                <w:color w:val="auto"/>
              </w:rPr>
            </w:pPr>
          </w:p>
        </w:tc>
        <w:tc>
          <w:tcPr>
            <w:tcW w:w="80" w:type="dxa"/>
            <w:vAlign w:val="bottom"/>
            <w:tcBorders>
              <w:top w:val="single" w:sz="8" w:color="0000FF"/>
              <w:bottom w:val="single" w:sz="8" w:color="auto"/>
            </w:tcBorders>
          </w:tcPr>
          <w:p>
            <w:pPr>
              <w:spacing w:after="0"/>
              <w:rPr>
                <w:sz w:val="2"/>
                <w:szCs w:val="2"/>
                <w:color w:val="auto"/>
              </w:rPr>
            </w:pPr>
          </w:p>
        </w:tc>
        <w:tc>
          <w:tcPr>
            <w:tcW w:w="1400" w:type="dxa"/>
            <w:vAlign w:val="bottom"/>
            <w:tcBorders>
              <w:top w:val="single" w:sz="8" w:color="0000FF"/>
              <w:bottom w:val="single" w:sz="8" w:color="auto"/>
            </w:tcBorders>
          </w:tcPr>
          <w:p>
            <w:pPr>
              <w:spacing w:after="0"/>
              <w:rPr>
                <w:sz w:val="2"/>
                <w:szCs w:val="2"/>
                <w:color w:val="auto"/>
              </w:rPr>
            </w:pPr>
          </w:p>
        </w:tc>
        <w:tc>
          <w:tcPr>
            <w:tcW w:w="140" w:type="dxa"/>
            <w:vAlign w:val="bottom"/>
            <w:tcBorders>
              <w:top w:val="single" w:sz="8" w:color="0000FF"/>
              <w:bottom w:val="single" w:sz="8" w:color="auto"/>
            </w:tcBorders>
          </w:tcPr>
          <w:p>
            <w:pPr>
              <w:spacing w:after="0"/>
              <w:rPr>
                <w:sz w:val="2"/>
                <w:szCs w:val="2"/>
                <w:color w:val="auto"/>
              </w:rPr>
            </w:pPr>
          </w:p>
        </w:tc>
        <w:tc>
          <w:tcPr>
            <w:tcW w:w="720" w:type="dxa"/>
            <w:vAlign w:val="bottom"/>
            <w:tcBorders>
              <w:top w:val="single" w:sz="8" w:color="0000FF"/>
              <w:bottom w:val="single" w:sz="8" w:color="auto"/>
            </w:tcBorders>
          </w:tcPr>
          <w:p>
            <w:pPr>
              <w:spacing w:after="0"/>
              <w:rPr>
                <w:sz w:val="2"/>
                <w:szCs w:val="2"/>
                <w:color w:val="auto"/>
              </w:rPr>
            </w:pPr>
          </w:p>
        </w:tc>
        <w:tc>
          <w:tcPr>
            <w:tcW w:w="820" w:type="dxa"/>
            <w:vAlign w:val="bottom"/>
            <w:tcBorders>
              <w:top w:val="single" w:sz="8" w:color="0000FF"/>
              <w:bottom w:val="single" w:sz="8" w:color="auto"/>
            </w:tcBorders>
          </w:tcPr>
          <w:p>
            <w:pPr>
              <w:spacing w:after="0"/>
              <w:rPr>
                <w:sz w:val="2"/>
                <w:szCs w:val="2"/>
                <w:color w:val="auto"/>
              </w:rPr>
            </w:pPr>
          </w:p>
        </w:tc>
        <w:tc>
          <w:tcPr>
            <w:tcW w:w="400" w:type="dxa"/>
            <w:vAlign w:val="bottom"/>
            <w:tcBorders>
              <w:top w:val="single" w:sz="8" w:color="0000FF"/>
              <w:bottom w:val="single" w:sz="8" w:color="auto"/>
            </w:tcBorders>
          </w:tcPr>
          <w:p>
            <w:pPr>
              <w:spacing w:after="0"/>
              <w:rPr>
                <w:sz w:val="2"/>
                <w:szCs w:val="2"/>
                <w:color w:val="auto"/>
              </w:rPr>
            </w:pPr>
          </w:p>
        </w:tc>
        <w:tc>
          <w:tcPr>
            <w:tcW w:w="60" w:type="dxa"/>
            <w:vAlign w:val="bottom"/>
            <w:tcBorders>
              <w:top w:val="single" w:sz="8" w:color="0000FF"/>
              <w:bottom w:val="single" w:sz="8" w:color="auto"/>
            </w:tcBorders>
          </w:tcPr>
          <w:p>
            <w:pPr>
              <w:spacing w:after="0"/>
              <w:rPr>
                <w:sz w:val="2"/>
                <w:szCs w:val="2"/>
                <w:color w:val="auto"/>
              </w:rPr>
            </w:pPr>
          </w:p>
        </w:tc>
        <w:tc>
          <w:tcPr>
            <w:tcW w:w="100" w:type="dxa"/>
            <w:vAlign w:val="bottom"/>
            <w:tcBorders>
              <w:top w:val="single" w:sz="8" w:color="0000FF"/>
              <w:bottom w:val="single" w:sz="8" w:color="auto"/>
            </w:tcBorders>
          </w:tcPr>
          <w:p>
            <w:pPr>
              <w:spacing w:after="0"/>
              <w:rPr>
                <w:sz w:val="2"/>
                <w:szCs w:val="2"/>
                <w:color w:val="auto"/>
              </w:rPr>
            </w:pPr>
          </w:p>
        </w:tc>
        <w:tc>
          <w:tcPr>
            <w:tcW w:w="20" w:type="dxa"/>
            <w:vAlign w:val="bottom"/>
            <w:tcBorders>
              <w:top w:val="single" w:sz="8" w:color="0000FF"/>
              <w:bottom w:val="single" w:sz="8" w:color="auto"/>
            </w:tcBorders>
          </w:tcPr>
          <w:p>
            <w:pPr>
              <w:spacing w:after="0"/>
              <w:rPr>
                <w:sz w:val="2"/>
                <w:szCs w:val="2"/>
                <w:color w:val="auto"/>
              </w:rPr>
            </w:pPr>
          </w:p>
        </w:tc>
        <w:tc>
          <w:tcPr>
            <w:tcW w:w="60" w:type="dxa"/>
            <w:vAlign w:val="bottom"/>
            <w:tcBorders>
              <w:top w:val="single" w:sz="8" w:color="0000FF"/>
              <w:bottom w:val="single" w:sz="8" w:color="auto"/>
            </w:tcBorders>
          </w:tcPr>
          <w:p>
            <w:pPr>
              <w:spacing w:after="0"/>
              <w:rPr>
                <w:sz w:val="2"/>
                <w:szCs w:val="2"/>
                <w:color w:val="auto"/>
              </w:rPr>
            </w:pPr>
          </w:p>
        </w:tc>
        <w:tc>
          <w:tcPr>
            <w:tcW w:w="20" w:type="dxa"/>
            <w:vAlign w:val="bottom"/>
            <w:tcBorders>
              <w:top w:val="single" w:sz="8" w:color="0000FF"/>
              <w:bottom w:val="single" w:sz="8" w:color="auto"/>
            </w:tcBorders>
          </w:tcPr>
          <w:p>
            <w:pPr>
              <w:spacing w:after="0"/>
              <w:rPr>
                <w:sz w:val="2"/>
                <w:szCs w:val="2"/>
                <w:color w:val="auto"/>
              </w:rPr>
            </w:pPr>
          </w:p>
        </w:tc>
        <w:tc>
          <w:tcPr>
            <w:tcW w:w="80" w:type="dxa"/>
            <w:vAlign w:val="bottom"/>
            <w:tcBorders>
              <w:top w:val="single" w:sz="8" w:color="0000FF"/>
              <w:bottom w:val="single" w:sz="8" w:color="auto"/>
            </w:tcBorders>
          </w:tcPr>
          <w:p>
            <w:pPr>
              <w:spacing w:after="0"/>
              <w:rPr>
                <w:sz w:val="2"/>
                <w:szCs w:val="2"/>
                <w:color w:val="auto"/>
              </w:rPr>
            </w:pPr>
          </w:p>
        </w:tc>
        <w:tc>
          <w:tcPr>
            <w:tcW w:w="20" w:type="dxa"/>
            <w:vAlign w:val="bottom"/>
            <w:tcBorders>
              <w:top w:val="single" w:sz="8" w:color="0000FF"/>
              <w:bottom w:val="single" w:sz="8" w:color="auto"/>
            </w:tcBorders>
          </w:tcPr>
          <w:p>
            <w:pPr>
              <w:spacing w:after="0"/>
              <w:rPr>
                <w:sz w:val="2"/>
                <w:szCs w:val="2"/>
                <w:color w:val="auto"/>
              </w:rPr>
            </w:pPr>
          </w:p>
        </w:tc>
        <w:tc>
          <w:tcPr>
            <w:tcW w:w="20" w:type="dxa"/>
            <w:vAlign w:val="bottom"/>
            <w:tcBorders>
              <w:top w:val="single" w:sz="8" w:color="0000FF"/>
              <w:bottom w:val="single" w:sz="8" w:color="auto"/>
            </w:tcBorders>
          </w:tcPr>
          <w:p>
            <w:pPr>
              <w:spacing w:after="0"/>
              <w:rPr>
                <w:sz w:val="2"/>
                <w:szCs w:val="2"/>
                <w:color w:val="auto"/>
              </w:rPr>
            </w:pPr>
          </w:p>
        </w:tc>
        <w:tc>
          <w:tcPr>
            <w:tcW w:w="20" w:type="dxa"/>
            <w:vAlign w:val="bottom"/>
            <w:tcBorders>
              <w:top w:val="single" w:sz="8" w:color="0000FF"/>
              <w:bottom w:val="single" w:sz="8" w:color="auto"/>
            </w:tcBorders>
          </w:tcPr>
          <w:p>
            <w:pPr>
              <w:spacing w:after="0"/>
              <w:rPr>
                <w:sz w:val="2"/>
                <w:szCs w:val="2"/>
                <w:color w:val="auto"/>
              </w:rPr>
            </w:pPr>
          </w:p>
        </w:tc>
        <w:tc>
          <w:tcPr>
            <w:tcW w:w="60" w:type="dxa"/>
            <w:vAlign w:val="bottom"/>
            <w:tcBorders>
              <w:top w:val="single" w:sz="8" w:color="0000FF"/>
              <w:bottom w:val="single" w:sz="8" w:color="auto"/>
            </w:tcBorders>
          </w:tcPr>
          <w:p>
            <w:pPr>
              <w:spacing w:after="0"/>
              <w:rPr>
                <w:sz w:val="2"/>
                <w:szCs w:val="2"/>
                <w:color w:val="auto"/>
              </w:rPr>
            </w:pPr>
          </w:p>
        </w:tc>
        <w:tc>
          <w:tcPr>
            <w:tcW w:w="20" w:type="dxa"/>
            <w:vAlign w:val="bottom"/>
            <w:tcBorders>
              <w:top w:val="single" w:sz="8" w:color="0000FF"/>
              <w:bottom w:val="single" w:sz="8" w:color="auto"/>
            </w:tcBorders>
          </w:tcPr>
          <w:p>
            <w:pPr>
              <w:spacing w:after="0"/>
              <w:rPr>
                <w:sz w:val="2"/>
                <w:szCs w:val="2"/>
                <w:color w:val="auto"/>
              </w:rPr>
            </w:pPr>
          </w:p>
        </w:tc>
        <w:tc>
          <w:tcPr>
            <w:tcW w:w="20" w:type="dxa"/>
            <w:vAlign w:val="bottom"/>
            <w:tcBorders>
              <w:top w:val="single" w:sz="8" w:color="0000FF"/>
              <w:bottom w:val="single" w:sz="8" w:color="auto"/>
            </w:tcBorders>
          </w:tcPr>
          <w:p>
            <w:pPr>
              <w:spacing w:after="0"/>
              <w:rPr>
                <w:sz w:val="2"/>
                <w:szCs w:val="2"/>
                <w:color w:val="auto"/>
              </w:rPr>
            </w:pPr>
          </w:p>
        </w:tc>
        <w:tc>
          <w:tcPr>
            <w:tcW w:w="20" w:type="dxa"/>
            <w:vAlign w:val="bottom"/>
            <w:tcBorders>
              <w:top w:val="single" w:sz="8" w:color="0000FF"/>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right w:val="single" w:sz="8" w:color="auto"/>
            </w:tcBorders>
          </w:tcPr>
          <w:p>
            <w:pPr>
              <w:spacing w:after="0"/>
              <w:rPr>
                <w:sz w:val="2"/>
                <w:szCs w:val="2"/>
                <w:color w:val="auto"/>
              </w:rPr>
            </w:pPr>
          </w:p>
        </w:tc>
      </w:tr>
      <w:tr>
        <w:trPr>
          <w:trHeight w:val="183"/>
        </w:trPr>
        <w:tc>
          <w:tcPr>
            <w:tcW w:w="1160" w:type="dxa"/>
            <w:vAlign w:val="bottom"/>
            <w:tcBorders>
              <w:left w:val="single" w:sz="8" w:color="auto"/>
              <w:right w:val="single" w:sz="8" w:color="auto"/>
            </w:tcBorders>
          </w:tcPr>
          <w:p>
            <w:pPr>
              <w:ind w:left="40"/>
              <w:spacing w:after="0" w:line="183" w:lineRule="exact"/>
              <w:rPr>
                <w:sz w:val="20"/>
                <w:szCs w:val="20"/>
                <w:color w:val="auto"/>
              </w:rPr>
            </w:pPr>
            <w:r>
              <w:rPr>
                <w:rFonts w:ascii="Arial" w:cs="Arial" w:eastAsia="Arial" w:hAnsi="Arial"/>
                <w:sz w:val="16"/>
                <w:szCs w:val="16"/>
                <w:color w:val="auto"/>
              </w:rPr>
              <w:t>10.55</w:t>
            </w:r>
          </w:p>
        </w:tc>
        <w:tc>
          <w:tcPr>
            <w:tcW w:w="12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9880" w:type="dxa"/>
            <w:vAlign w:val="bottom"/>
            <w:tcBorders>
              <w:bottom w:val="single" w:sz="8" w:color="0000FF"/>
            </w:tcBorders>
            <w:gridSpan w:val="29"/>
          </w:tcPr>
          <w:p>
            <w:pPr>
              <w:spacing w:after="0" w:line="183" w:lineRule="exact"/>
              <w:rPr>
                <w:rFonts w:ascii="Arial" w:cs="Arial" w:eastAsia="Arial" w:hAnsi="Arial"/>
                <w:sz w:val="16"/>
                <w:szCs w:val="16"/>
                <w:color w:val="0000FF"/>
              </w:rPr>
            </w:pPr>
            <w:hyperlink r:id="rId238">
              <w:r>
                <w:rPr>
                  <w:rFonts w:ascii="Arial" w:cs="Arial" w:eastAsia="Arial" w:hAnsi="Arial"/>
                  <w:sz w:val="16"/>
                  <w:szCs w:val="16"/>
                  <w:color w:val="0000FF"/>
                </w:rPr>
                <w:t>First Amendment dated as of March 3, 2017, to the Fourth Amended and Restated Credit Agreement dated as of October 7, 2016, among</w:t>
              </w:r>
            </w:hyperlink>
          </w:p>
        </w:tc>
        <w:tc>
          <w:tcPr>
            <w:tcW w:w="260" w:type="dxa"/>
            <w:vAlign w:val="bottom"/>
            <w:tcBorders>
              <w:right w:val="single" w:sz="8" w:color="auto"/>
            </w:tcBorders>
            <w:gridSpan w:val="10"/>
          </w:tcPr>
          <w:p>
            <w:pPr>
              <w:spacing w:after="0"/>
              <w:rPr>
                <w:sz w:val="15"/>
                <w:szCs w:val="15"/>
                <w:color w:val="auto"/>
              </w:rPr>
            </w:pPr>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9580" w:type="dxa"/>
            <w:vAlign w:val="bottom"/>
            <w:tcBorders>
              <w:bottom w:val="single" w:sz="8" w:color="0000FF"/>
            </w:tcBorders>
            <w:gridSpan w:val="19"/>
          </w:tcPr>
          <w:p>
            <w:pPr>
              <w:spacing w:after="0" w:line="169" w:lineRule="exact"/>
              <w:rPr>
                <w:rFonts w:ascii="Arial" w:cs="Arial" w:eastAsia="Arial" w:hAnsi="Arial"/>
                <w:sz w:val="16"/>
                <w:szCs w:val="16"/>
                <w:color w:val="0000FF"/>
              </w:rPr>
            </w:pPr>
            <w:hyperlink r:id="rId238">
              <w:r>
                <w:rPr>
                  <w:rFonts w:ascii="Arial" w:cs="Arial" w:eastAsia="Arial" w:hAnsi="Arial"/>
                  <w:sz w:val="16"/>
                  <w:szCs w:val="16"/>
                  <w:color w:val="0000FF"/>
                </w:rPr>
                <w:t>Avis Budget Holdings, LLC, Avis Budget Car Rental, LLC, Avis Budget Group, Inc., the Subsidiary Borrowers from time to time parties</w:t>
              </w:r>
            </w:hyperlink>
          </w:p>
        </w:tc>
        <w:tc>
          <w:tcPr>
            <w:tcW w:w="560" w:type="dxa"/>
            <w:vAlign w:val="bottom"/>
            <w:tcBorders>
              <w:right w:val="single" w:sz="8" w:color="auto"/>
            </w:tcBorders>
            <w:gridSpan w:val="20"/>
          </w:tcPr>
          <w:p>
            <w:pPr>
              <w:spacing w:after="0"/>
              <w:rPr>
                <w:sz w:val="14"/>
                <w:szCs w:val="14"/>
                <w:color w:val="auto"/>
              </w:rPr>
            </w:pPr>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9560" w:type="dxa"/>
            <w:vAlign w:val="bottom"/>
            <w:tcBorders>
              <w:bottom w:val="single" w:sz="8" w:color="0000FF"/>
            </w:tcBorders>
            <w:gridSpan w:val="18"/>
          </w:tcPr>
          <w:p>
            <w:pPr>
              <w:spacing w:after="0" w:line="169" w:lineRule="exact"/>
              <w:rPr>
                <w:rFonts w:ascii="Arial" w:cs="Arial" w:eastAsia="Arial" w:hAnsi="Arial"/>
                <w:sz w:val="16"/>
                <w:szCs w:val="16"/>
                <w:color w:val="0000FF"/>
              </w:rPr>
            </w:pPr>
            <w:hyperlink r:id="rId238">
              <w:r>
                <w:rPr>
                  <w:rFonts w:ascii="Arial" w:cs="Arial" w:eastAsia="Arial" w:hAnsi="Arial"/>
                  <w:sz w:val="16"/>
                  <w:szCs w:val="16"/>
                  <w:color w:val="0000FF"/>
                </w:rPr>
                <w:t>thereto, the several banks and other financial institutions or entities from time to time parties thereto, JPMorgan Chase Bank, N.A., as</w:t>
              </w:r>
            </w:hyperlink>
          </w:p>
        </w:tc>
        <w:tc>
          <w:tcPr>
            <w:tcW w:w="580" w:type="dxa"/>
            <w:vAlign w:val="bottom"/>
            <w:tcBorders>
              <w:right w:val="single" w:sz="8" w:color="auto"/>
            </w:tcBorders>
            <w:gridSpan w:val="21"/>
          </w:tcPr>
          <w:p>
            <w:pPr>
              <w:spacing w:after="0"/>
              <w:rPr>
                <w:sz w:val="14"/>
                <w:szCs w:val="14"/>
                <w:color w:val="auto"/>
              </w:rPr>
            </w:pPr>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9820" w:type="dxa"/>
            <w:vAlign w:val="bottom"/>
            <w:tcBorders>
              <w:bottom w:val="single" w:sz="8" w:color="0000FF"/>
            </w:tcBorders>
            <w:gridSpan w:val="26"/>
          </w:tcPr>
          <w:p>
            <w:pPr>
              <w:spacing w:after="0" w:line="169" w:lineRule="exact"/>
              <w:rPr>
                <w:rFonts w:ascii="Arial" w:cs="Arial" w:eastAsia="Arial" w:hAnsi="Arial"/>
                <w:sz w:val="16"/>
                <w:szCs w:val="16"/>
                <w:color w:val="0000FF"/>
              </w:rPr>
            </w:pPr>
            <w:hyperlink r:id="rId238">
              <w:r>
                <w:rPr>
                  <w:rFonts w:ascii="Arial" w:cs="Arial" w:eastAsia="Arial" w:hAnsi="Arial"/>
                  <w:sz w:val="16"/>
                  <w:szCs w:val="16"/>
                  <w:color w:val="0000FF"/>
                </w:rPr>
                <w:t>Administrative Agent, Deutsche Bank Securities Inc., as Syndication Agent, Citibank, N.A., Bank of America, N.A., Barclays Bank plc and</w:t>
              </w:r>
            </w:hyperlink>
          </w:p>
        </w:tc>
        <w:tc>
          <w:tcPr>
            <w:tcW w:w="320" w:type="dxa"/>
            <w:vAlign w:val="bottom"/>
            <w:tcBorders>
              <w:right w:val="single" w:sz="8" w:color="auto"/>
            </w:tcBorders>
            <w:gridSpan w:val="13"/>
          </w:tcPr>
          <w:p>
            <w:pPr>
              <w:spacing w:after="0"/>
              <w:rPr>
                <w:sz w:val="14"/>
                <w:szCs w:val="14"/>
                <w:color w:val="auto"/>
              </w:rPr>
            </w:pPr>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9900" w:type="dxa"/>
            <w:vAlign w:val="bottom"/>
            <w:tcBorders>
              <w:bottom w:val="single" w:sz="8" w:color="0000FF"/>
            </w:tcBorders>
            <w:gridSpan w:val="30"/>
          </w:tcPr>
          <w:p>
            <w:pPr>
              <w:spacing w:after="0" w:line="169" w:lineRule="exact"/>
              <w:rPr>
                <w:rFonts w:ascii="Arial" w:cs="Arial" w:eastAsia="Arial" w:hAnsi="Arial"/>
                <w:sz w:val="16"/>
                <w:szCs w:val="16"/>
                <w:color w:val="0000FF"/>
              </w:rPr>
            </w:pPr>
            <w:hyperlink r:id="rId238">
              <w:r>
                <w:rPr>
                  <w:rFonts w:ascii="Arial" w:cs="Arial" w:eastAsia="Arial" w:hAnsi="Arial"/>
                  <w:sz w:val="16"/>
                  <w:szCs w:val="16"/>
                  <w:color w:val="0000FF"/>
                </w:rPr>
                <w:t>Credit Agricole Corporate and Investment Bank, as Co-Documentation Agents Incorporated by reference to Exhibit 10.1 to the Company’s</w:t>
              </w:r>
            </w:hyperlink>
          </w:p>
        </w:tc>
        <w:tc>
          <w:tcPr>
            <w:tcW w:w="240" w:type="dxa"/>
            <w:vAlign w:val="bottom"/>
            <w:tcBorders>
              <w:right w:val="single" w:sz="8" w:color="auto"/>
            </w:tcBorders>
            <w:gridSpan w:val="9"/>
          </w:tcPr>
          <w:p>
            <w:pPr>
              <w:spacing w:after="0"/>
              <w:rPr>
                <w:sz w:val="14"/>
                <w:szCs w:val="14"/>
                <w:color w:val="auto"/>
              </w:rPr>
            </w:pPr>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140" w:type="dxa"/>
            <w:vAlign w:val="bottom"/>
            <w:tcBorders>
              <w:right w:val="single" w:sz="8" w:color="auto"/>
            </w:tcBorders>
            <w:gridSpan w:val="39"/>
          </w:tcPr>
          <w:p>
            <w:pPr>
              <w:spacing w:after="0" w:line="169" w:lineRule="exact"/>
              <w:rPr>
                <w:rFonts w:ascii="Arial" w:cs="Arial" w:eastAsia="Arial" w:hAnsi="Arial"/>
                <w:sz w:val="16"/>
                <w:szCs w:val="16"/>
                <w:color w:val="0000FF"/>
              </w:rPr>
            </w:pPr>
            <w:hyperlink r:id="rId238">
              <w:r>
                <w:rPr>
                  <w:rFonts w:ascii="Arial" w:cs="Arial" w:eastAsia="Arial" w:hAnsi="Arial"/>
                  <w:sz w:val="16"/>
                  <w:szCs w:val="16"/>
                  <w:color w:val="0000FF"/>
                </w:rPr>
                <w:t>Current Report on Form 8-K dated March 9, 2017).</w:t>
              </w:r>
            </w:hyperlink>
          </w:p>
        </w:tc>
      </w:tr>
      <w:tr>
        <w:trPr>
          <w:trHeight w:val="34"/>
        </w:trPr>
        <w:tc>
          <w:tcPr>
            <w:tcW w:w="1160" w:type="dxa"/>
            <w:vAlign w:val="bottom"/>
            <w:tcBorders>
              <w:left w:val="single" w:sz="8" w:color="auto"/>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20" w:type="dxa"/>
            <w:vAlign w:val="bottom"/>
            <w:tcBorders>
              <w:top w:val="single" w:sz="8" w:color="0000FF"/>
              <w:bottom w:val="single" w:sz="8" w:color="auto"/>
            </w:tcBorders>
          </w:tcPr>
          <w:p>
            <w:pPr>
              <w:spacing w:after="0"/>
              <w:rPr>
                <w:sz w:val="2"/>
                <w:szCs w:val="2"/>
                <w:color w:val="auto"/>
              </w:rPr>
            </w:pPr>
          </w:p>
        </w:tc>
        <w:tc>
          <w:tcPr>
            <w:tcW w:w="640" w:type="dxa"/>
            <w:vAlign w:val="bottom"/>
            <w:tcBorders>
              <w:top w:val="single" w:sz="8" w:color="0000FF"/>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right w:val="single" w:sz="8" w:color="auto"/>
            </w:tcBorders>
          </w:tcPr>
          <w:p>
            <w:pPr>
              <w:spacing w:after="0"/>
              <w:rPr>
                <w:sz w:val="2"/>
                <w:szCs w:val="2"/>
                <w:color w:val="auto"/>
              </w:rPr>
            </w:pPr>
          </w:p>
        </w:tc>
      </w:tr>
      <w:tr>
        <w:trPr>
          <w:trHeight w:val="183"/>
        </w:trPr>
        <w:tc>
          <w:tcPr>
            <w:tcW w:w="1160" w:type="dxa"/>
            <w:vAlign w:val="bottom"/>
            <w:tcBorders>
              <w:left w:val="single" w:sz="8" w:color="auto"/>
              <w:right w:val="single" w:sz="8" w:color="auto"/>
            </w:tcBorders>
          </w:tcPr>
          <w:p>
            <w:pPr>
              <w:ind w:left="40"/>
              <w:spacing w:after="0" w:line="183" w:lineRule="exact"/>
              <w:rPr>
                <w:sz w:val="20"/>
                <w:szCs w:val="20"/>
                <w:color w:val="auto"/>
              </w:rPr>
            </w:pPr>
            <w:r>
              <w:rPr>
                <w:rFonts w:ascii="Arial" w:cs="Arial" w:eastAsia="Arial" w:hAnsi="Arial"/>
                <w:sz w:val="16"/>
                <w:szCs w:val="16"/>
                <w:color w:val="auto"/>
              </w:rPr>
              <w:t>10.56</w:t>
            </w:r>
          </w:p>
        </w:tc>
        <w:tc>
          <w:tcPr>
            <w:tcW w:w="12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9860" w:type="dxa"/>
            <w:vAlign w:val="bottom"/>
            <w:tcBorders>
              <w:bottom w:val="single" w:sz="8" w:color="0000FF"/>
            </w:tcBorders>
            <w:gridSpan w:val="28"/>
          </w:tcPr>
          <w:p>
            <w:pPr>
              <w:spacing w:after="0" w:line="183" w:lineRule="exact"/>
              <w:rPr>
                <w:rFonts w:ascii="Arial" w:cs="Arial" w:eastAsia="Arial" w:hAnsi="Arial"/>
                <w:sz w:val="16"/>
                <w:szCs w:val="16"/>
                <w:color w:val="0000FF"/>
              </w:rPr>
            </w:pPr>
            <w:hyperlink r:id="rId239">
              <w:r>
                <w:rPr>
                  <w:rFonts w:ascii="Arial" w:cs="Arial" w:eastAsia="Arial" w:hAnsi="Arial"/>
                  <w:sz w:val="16"/>
                  <w:szCs w:val="16"/>
                  <w:color w:val="0000FF"/>
                </w:rPr>
                <w:t>Second Amendment dated August 23, 2017, to the Fourth Amended and Restated Credit Agreement dated as of October 7, 2016, among</w:t>
              </w:r>
            </w:hyperlink>
          </w:p>
        </w:tc>
        <w:tc>
          <w:tcPr>
            <w:tcW w:w="280" w:type="dxa"/>
            <w:vAlign w:val="bottom"/>
            <w:tcBorders>
              <w:right w:val="single" w:sz="8" w:color="auto"/>
            </w:tcBorders>
            <w:gridSpan w:val="11"/>
          </w:tcPr>
          <w:p>
            <w:pPr>
              <w:spacing w:after="0"/>
              <w:rPr>
                <w:sz w:val="15"/>
                <w:szCs w:val="15"/>
                <w:color w:val="auto"/>
              </w:rPr>
            </w:pPr>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9580" w:type="dxa"/>
            <w:vAlign w:val="bottom"/>
            <w:tcBorders>
              <w:bottom w:val="single" w:sz="8" w:color="0000FF"/>
            </w:tcBorders>
            <w:gridSpan w:val="19"/>
          </w:tcPr>
          <w:p>
            <w:pPr>
              <w:spacing w:after="0" w:line="169" w:lineRule="exact"/>
              <w:rPr>
                <w:rFonts w:ascii="Arial" w:cs="Arial" w:eastAsia="Arial" w:hAnsi="Arial"/>
                <w:sz w:val="16"/>
                <w:szCs w:val="16"/>
                <w:color w:val="0000FF"/>
              </w:rPr>
            </w:pPr>
            <w:hyperlink r:id="rId239">
              <w:r>
                <w:rPr>
                  <w:rFonts w:ascii="Arial" w:cs="Arial" w:eastAsia="Arial" w:hAnsi="Arial"/>
                  <w:sz w:val="16"/>
                  <w:szCs w:val="16"/>
                  <w:color w:val="0000FF"/>
                </w:rPr>
                <w:t>Avis Budget Holdings, LLC, Avis Budget Car Rental, LLC, Avis Budget Group, Inc., the Subsidiary Borrowers from time to time parties</w:t>
              </w:r>
            </w:hyperlink>
          </w:p>
        </w:tc>
        <w:tc>
          <w:tcPr>
            <w:tcW w:w="560" w:type="dxa"/>
            <w:vAlign w:val="bottom"/>
            <w:tcBorders>
              <w:right w:val="single" w:sz="8" w:color="auto"/>
            </w:tcBorders>
            <w:gridSpan w:val="20"/>
          </w:tcPr>
          <w:p>
            <w:pPr>
              <w:spacing w:after="0"/>
              <w:rPr>
                <w:sz w:val="14"/>
                <w:szCs w:val="14"/>
                <w:color w:val="auto"/>
              </w:rPr>
            </w:pPr>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9560" w:type="dxa"/>
            <w:vAlign w:val="bottom"/>
            <w:tcBorders>
              <w:bottom w:val="single" w:sz="8" w:color="0000FF"/>
            </w:tcBorders>
            <w:gridSpan w:val="18"/>
          </w:tcPr>
          <w:p>
            <w:pPr>
              <w:spacing w:after="0" w:line="169" w:lineRule="exact"/>
              <w:rPr>
                <w:rFonts w:ascii="Arial" w:cs="Arial" w:eastAsia="Arial" w:hAnsi="Arial"/>
                <w:sz w:val="16"/>
                <w:szCs w:val="16"/>
                <w:color w:val="0000FF"/>
              </w:rPr>
            </w:pPr>
            <w:hyperlink r:id="rId239">
              <w:r>
                <w:rPr>
                  <w:rFonts w:ascii="Arial" w:cs="Arial" w:eastAsia="Arial" w:hAnsi="Arial"/>
                  <w:sz w:val="16"/>
                  <w:szCs w:val="16"/>
                  <w:color w:val="0000FF"/>
                </w:rPr>
                <w:t>thereto, the several banks and other financial institutions or entities from time to time parties thereto, JPMorgan Chase Bank, N.A., as</w:t>
              </w:r>
            </w:hyperlink>
          </w:p>
        </w:tc>
        <w:tc>
          <w:tcPr>
            <w:tcW w:w="580" w:type="dxa"/>
            <w:vAlign w:val="bottom"/>
            <w:tcBorders>
              <w:right w:val="single" w:sz="8" w:color="auto"/>
            </w:tcBorders>
            <w:gridSpan w:val="21"/>
          </w:tcPr>
          <w:p>
            <w:pPr>
              <w:spacing w:after="0"/>
              <w:rPr>
                <w:sz w:val="14"/>
                <w:szCs w:val="14"/>
                <w:color w:val="auto"/>
              </w:rPr>
            </w:pPr>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9820" w:type="dxa"/>
            <w:vAlign w:val="bottom"/>
            <w:tcBorders>
              <w:bottom w:val="single" w:sz="8" w:color="0000FF"/>
            </w:tcBorders>
            <w:gridSpan w:val="26"/>
          </w:tcPr>
          <w:p>
            <w:pPr>
              <w:spacing w:after="0" w:line="169" w:lineRule="exact"/>
              <w:rPr>
                <w:rFonts w:ascii="Arial" w:cs="Arial" w:eastAsia="Arial" w:hAnsi="Arial"/>
                <w:sz w:val="16"/>
                <w:szCs w:val="16"/>
                <w:color w:val="0000FF"/>
              </w:rPr>
            </w:pPr>
            <w:hyperlink r:id="rId239">
              <w:r>
                <w:rPr>
                  <w:rFonts w:ascii="Arial" w:cs="Arial" w:eastAsia="Arial" w:hAnsi="Arial"/>
                  <w:sz w:val="16"/>
                  <w:szCs w:val="16"/>
                  <w:color w:val="0000FF"/>
                </w:rPr>
                <w:t>Administrative Agent, Deutsche Bank Securities Inc., as Syndication Agent, Citibank, N.A., Bank of America, N.A., Barclays Bank plc and</w:t>
              </w:r>
            </w:hyperlink>
          </w:p>
        </w:tc>
        <w:tc>
          <w:tcPr>
            <w:tcW w:w="320" w:type="dxa"/>
            <w:vAlign w:val="bottom"/>
            <w:tcBorders>
              <w:right w:val="single" w:sz="8" w:color="auto"/>
            </w:tcBorders>
            <w:gridSpan w:val="13"/>
          </w:tcPr>
          <w:p>
            <w:pPr>
              <w:spacing w:after="0"/>
              <w:rPr>
                <w:sz w:val="14"/>
                <w:szCs w:val="14"/>
                <w:color w:val="auto"/>
              </w:rPr>
            </w:pPr>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9900" w:type="dxa"/>
            <w:vAlign w:val="bottom"/>
            <w:tcBorders>
              <w:bottom w:val="single" w:sz="8" w:color="0000FF"/>
            </w:tcBorders>
            <w:gridSpan w:val="30"/>
          </w:tcPr>
          <w:p>
            <w:pPr>
              <w:spacing w:after="0" w:line="169" w:lineRule="exact"/>
              <w:rPr>
                <w:rFonts w:ascii="Arial" w:cs="Arial" w:eastAsia="Arial" w:hAnsi="Arial"/>
                <w:sz w:val="16"/>
                <w:szCs w:val="16"/>
                <w:color w:val="0000FF"/>
              </w:rPr>
            </w:pPr>
            <w:hyperlink r:id="rId239">
              <w:r>
                <w:rPr>
                  <w:rFonts w:ascii="Arial" w:cs="Arial" w:eastAsia="Arial" w:hAnsi="Arial"/>
                  <w:sz w:val="16"/>
                  <w:szCs w:val="16"/>
                  <w:color w:val="0000FF"/>
                </w:rPr>
                <w:t>Credit Agricole Corporate and Investment Bank, as Co-Documentation Agents Incorporated by reference to Exhibit 10.1 to the Company’s</w:t>
              </w:r>
            </w:hyperlink>
          </w:p>
        </w:tc>
        <w:tc>
          <w:tcPr>
            <w:tcW w:w="240" w:type="dxa"/>
            <w:vAlign w:val="bottom"/>
            <w:tcBorders>
              <w:right w:val="single" w:sz="8" w:color="auto"/>
            </w:tcBorders>
            <w:gridSpan w:val="9"/>
          </w:tcPr>
          <w:p>
            <w:pPr>
              <w:spacing w:after="0"/>
              <w:rPr>
                <w:sz w:val="14"/>
                <w:szCs w:val="14"/>
                <w:color w:val="auto"/>
              </w:rPr>
            </w:pPr>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140" w:type="dxa"/>
            <w:vAlign w:val="bottom"/>
            <w:tcBorders>
              <w:right w:val="single" w:sz="8" w:color="auto"/>
            </w:tcBorders>
            <w:gridSpan w:val="39"/>
          </w:tcPr>
          <w:p>
            <w:pPr>
              <w:spacing w:after="0" w:line="169" w:lineRule="exact"/>
              <w:rPr>
                <w:rFonts w:ascii="Arial" w:cs="Arial" w:eastAsia="Arial" w:hAnsi="Arial"/>
                <w:sz w:val="16"/>
                <w:szCs w:val="16"/>
                <w:color w:val="0000FF"/>
              </w:rPr>
            </w:pPr>
            <w:hyperlink r:id="rId239">
              <w:r>
                <w:rPr>
                  <w:rFonts w:ascii="Arial" w:cs="Arial" w:eastAsia="Arial" w:hAnsi="Arial"/>
                  <w:sz w:val="16"/>
                  <w:szCs w:val="16"/>
                  <w:color w:val="0000FF"/>
                </w:rPr>
                <w:t>Current Report on Form 8-K dated August 24, 2017).</w:t>
              </w:r>
            </w:hyperlink>
          </w:p>
        </w:tc>
      </w:tr>
      <w:tr>
        <w:trPr>
          <w:trHeight w:val="34"/>
        </w:trPr>
        <w:tc>
          <w:tcPr>
            <w:tcW w:w="1160" w:type="dxa"/>
            <w:vAlign w:val="bottom"/>
            <w:tcBorders>
              <w:left w:val="single" w:sz="8" w:color="auto"/>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20" w:type="dxa"/>
            <w:vAlign w:val="bottom"/>
            <w:tcBorders>
              <w:top w:val="single" w:sz="8" w:color="0000FF"/>
              <w:bottom w:val="single" w:sz="8" w:color="auto"/>
            </w:tcBorders>
          </w:tcPr>
          <w:p>
            <w:pPr>
              <w:spacing w:after="0"/>
              <w:rPr>
                <w:sz w:val="2"/>
                <w:szCs w:val="2"/>
                <w:color w:val="auto"/>
              </w:rPr>
            </w:pPr>
          </w:p>
        </w:tc>
        <w:tc>
          <w:tcPr>
            <w:tcW w:w="640" w:type="dxa"/>
            <w:vAlign w:val="bottom"/>
            <w:tcBorders>
              <w:top w:val="single" w:sz="8" w:color="0000FF"/>
              <w:bottom w:val="single" w:sz="8" w:color="auto"/>
            </w:tcBorders>
          </w:tcPr>
          <w:p>
            <w:pPr>
              <w:spacing w:after="0"/>
              <w:rPr>
                <w:sz w:val="2"/>
                <w:szCs w:val="2"/>
                <w:color w:val="auto"/>
              </w:rPr>
            </w:pPr>
          </w:p>
        </w:tc>
        <w:tc>
          <w:tcPr>
            <w:tcW w:w="120" w:type="dxa"/>
            <w:vAlign w:val="bottom"/>
            <w:tcBorders>
              <w:top w:val="single" w:sz="8" w:color="0000FF"/>
              <w:bottom w:val="single" w:sz="8" w:color="auto"/>
            </w:tcBorders>
          </w:tcPr>
          <w:p>
            <w:pPr>
              <w:spacing w:after="0"/>
              <w:rPr>
                <w:sz w:val="2"/>
                <w:szCs w:val="2"/>
                <w:color w:val="auto"/>
              </w:rPr>
            </w:pPr>
          </w:p>
        </w:tc>
        <w:tc>
          <w:tcPr>
            <w:tcW w:w="20" w:type="dxa"/>
            <w:vAlign w:val="bottom"/>
            <w:tcBorders>
              <w:top w:val="single" w:sz="8" w:color="0000FF"/>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right w:val="single" w:sz="8" w:color="auto"/>
            </w:tcBorders>
          </w:tcPr>
          <w:p>
            <w:pPr>
              <w:spacing w:after="0"/>
              <w:rPr>
                <w:sz w:val="2"/>
                <w:szCs w:val="2"/>
                <w:color w:val="auto"/>
              </w:rPr>
            </w:pPr>
          </w:p>
        </w:tc>
      </w:tr>
      <w:tr>
        <w:trPr>
          <w:trHeight w:val="183"/>
        </w:trPr>
        <w:tc>
          <w:tcPr>
            <w:tcW w:w="1160" w:type="dxa"/>
            <w:vAlign w:val="bottom"/>
            <w:tcBorders>
              <w:left w:val="single" w:sz="8" w:color="auto"/>
              <w:right w:val="single" w:sz="8" w:color="auto"/>
            </w:tcBorders>
          </w:tcPr>
          <w:p>
            <w:pPr>
              <w:ind w:left="40"/>
              <w:spacing w:after="0" w:line="183" w:lineRule="exact"/>
              <w:rPr>
                <w:sz w:val="20"/>
                <w:szCs w:val="20"/>
                <w:color w:val="auto"/>
              </w:rPr>
            </w:pPr>
            <w:r>
              <w:rPr>
                <w:rFonts w:ascii="Arial" w:cs="Arial" w:eastAsia="Arial" w:hAnsi="Arial"/>
                <w:sz w:val="16"/>
                <w:szCs w:val="16"/>
                <w:color w:val="auto"/>
              </w:rPr>
              <w:t>10.57</w:t>
            </w:r>
          </w:p>
        </w:tc>
        <w:tc>
          <w:tcPr>
            <w:tcW w:w="12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0140" w:type="dxa"/>
            <w:vAlign w:val="bottom"/>
            <w:tcBorders>
              <w:right w:val="single" w:sz="8" w:color="auto"/>
            </w:tcBorders>
            <w:gridSpan w:val="39"/>
          </w:tcPr>
          <w:p>
            <w:pPr>
              <w:spacing w:after="0" w:line="183" w:lineRule="exact"/>
              <w:rPr>
                <w:rFonts w:ascii="Arial" w:cs="Arial" w:eastAsia="Arial" w:hAnsi="Arial"/>
                <w:sz w:val="16"/>
                <w:szCs w:val="16"/>
                <w:color w:val="0000FF"/>
              </w:rPr>
            </w:pPr>
            <w:hyperlink r:id="rId240">
              <w:r>
                <w:rPr>
                  <w:rFonts w:ascii="Arial" w:cs="Arial" w:eastAsia="Arial" w:hAnsi="Arial"/>
                  <w:sz w:val="16"/>
                  <w:szCs w:val="16"/>
                  <w:color w:val="0000FF"/>
                </w:rPr>
                <w:t>Amended and Restated Guarantee &amp; Collateral Agreement, dated as of May 3, 2011, among Avis Budget Holdings, LLC, Avis Budget Car</w:t>
              </w:r>
            </w:hyperlink>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9880" w:type="dxa"/>
            <w:vAlign w:val="bottom"/>
            <w:tcBorders>
              <w:top w:val="single" w:sz="8" w:color="0000FF"/>
            </w:tcBorders>
            <w:gridSpan w:val="29"/>
          </w:tcPr>
          <w:p>
            <w:pPr>
              <w:spacing w:after="0" w:line="169" w:lineRule="exact"/>
              <w:rPr>
                <w:rFonts w:ascii="Arial" w:cs="Arial" w:eastAsia="Arial" w:hAnsi="Arial"/>
                <w:sz w:val="16"/>
                <w:szCs w:val="16"/>
                <w:color w:val="0000FF"/>
              </w:rPr>
            </w:pPr>
            <w:hyperlink r:id="rId240">
              <w:r>
                <w:rPr>
                  <w:rFonts w:ascii="Arial" w:cs="Arial" w:eastAsia="Arial" w:hAnsi="Arial"/>
                  <w:sz w:val="16"/>
                  <w:szCs w:val="16"/>
                  <w:color w:val="0000FF"/>
                </w:rPr>
                <w:t>Rental, LLC and certain of its Subsidiaries in favor of JPMorgan Chase Bank, N.A., as Administrative Agent (Incorporated by reference to</w:t>
              </w:r>
            </w:hyperlink>
          </w:p>
        </w:tc>
        <w:tc>
          <w:tcPr>
            <w:tcW w:w="260" w:type="dxa"/>
            <w:vAlign w:val="bottom"/>
            <w:tcBorders>
              <w:right w:val="single" w:sz="8" w:color="auto"/>
            </w:tcBorders>
            <w:gridSpan w:val="10"/>
          </w:tcPr>
          <w:p>
            <w:pPr>
              <w:spacing w:after="0"/>
              <w:rPr>
                <w:sz w:val="14"/>
                <w:szCs w:val="14"/>
                <w:color w:val="auto"/>
              </w:rPr>
            </w:pPr>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9820" w:type="dxa"/>
            <w:vAlign w:val="bottom"/>
            <w:tcBorders>
              <w:top w:val="single" w:sz="8" w:color="0000FF"/>
            </w:tcBorders>
            <w:gridSpan w:val="26"/>
          </w:tcPr>
          <w:p>
            <w:pPr>
              <w:spacing w:after="0" w:line="169" w:lineRule="exact"/>
              <w:rPr>
                <w:rFonts w:ascii="Arial" w:cs="Arial" w:eastAsia="Arial" w:hAnsi="Arial"/>
                <w:sz w:val="16"/>
                <w:szCs w:val="16"/>
                <w:color w:val="0000FF"/>
              </w:rPr>
            </w:pPr>
            <w:hyperlink r:id="rId240">
              <w:r>
                <w:rPr>
                  <w:rFonts w:ascii="Arial" w:cs="Arial" w:eastAsia="Arial" w:hAnsi="Arial"/>
                  <w:sz w:val="16"/>
                  <w:szCs w:val="16"/>
                  <w:color w:val="0000FF"/>
                </w:rPr>
                <w:t>Exhibit 10.2 to the Company’s Current Report on Form 8-K dated May 6, 2011).</w:t>
              </w:r>
            </w:hyperlink>
          </w:p>
        </w:tc>
        <w:tc>
          <w:tcPr>
            <w:tcW w:w="320" w:type="dxa"/>
            <w:vAlign w:val="bottom"/>
            <w:tcBorders>
              <w:right w:val="single" w:sz="8" w:color="auto"/>
            </w:tcBorders>
            <w:gridSpan w:val="13"/>
          </w:tcPr>
          <w:p>
            <w:pPr>
              <w:spacing w:after="0"/>
              <w:rPr>
                <w:sz w:val="14"/>
                <w:szCs w:val="14"/>
                <w:color w:val="auto"/>
              </w:rPr>
            </w:pPr>
          </w:p>
        </w:tc>
      </w:tr>
      <w:tr>
        <w:trPr>
          <w:trHeight w:val="34"/>
        </w:trPr>
        <w:tc>
          <w:tcPr>
            <w:tcW w:w="1160" w:type="dxa"/>
            <w:vAlign w:val="bottom"/>
            <w:tcBorders>
              <w:left w:val="single" w:sz="8" w:color="auto"/>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20" w:type="dxa"/>
            <w:vAlign w:val="bottom"/>
            <w:tcBorders>
              <w:top w:val="single" w:sz="8" w:color="0000FF"/>
              <w:bottom w:val="single" w:sz="8" w:color="auto"/>
            </w:tcBorders>
          </w:tcPr>
          <w:p>
            <w:pPr>
              <w:spacing w:after="0"/>
              <w:rPr>
                <w:sz w:val="2"/>
                <w:szCs w:val="2"/>
                <w:color w:val="auto"/>
              </w:rPr>
            </w:pPr>
          </w:p>
        </w:tc>
        <w:tc>
          <w:tcPr>
            <w:tcW w:w="640" w:type="dxa"/>
            <w:vAlign w:val="bottom"/>
            <w:tcBorders>
              <w:top w:val="single" w:sz="8" w:color="0000FF"/>
              <w:bottom w:val="single" w:sz="8" w:color="auto"/>
            </w:tcBorders>
          </w:tcPr>
          <w:p>
            <w:pPr>
              <w:spacing w:after="0"/>
              <w:rPr>
                <w:sz w:val="2"/>
                <w:szCs w:val="2"/>
                <w:color w:val="auto"/>
              </w:rPr>
            </w:pPr>
          </w:p>
        </w:tc>
        <w:tc>
          <w:tcPr>
            <w:tcW w:w="120" w:type="dxa"/>
            <w:vAlign w:val="bottom"/>
            <w:tcBorders>
              <w:top w:val="single" w:sz="8" w:color="0000FF"/>
              <w:bottom w:val="single" w:sz="8" w:color="auto"/>
            </w:tcBorders>
          </w:tcPr>
          <w:p>
            <w:pPr>
              <w:spacing w:after="0"/>
              <w:rPr>
                <w:sz w:val="2"/>
                <w:szCs w:val="2"/>
                <w:color w:val="auto"/>
              </w:rPr>
            </w:pPr>
          </w:p>
        </w:tc>
        <w:tc>
          <w:tcPr>
            <w:tcW w:w="20" w:type="dxa"/>
            <w:vAlign w:val="bottom"/>
            <w:tcBorders>
              <w:top w:val="single" w:sz="8" w:color="0000FF"/>
              <w:bottom w:val="single" w:sz="8" w:color="auto"/>
            </w:tcBorders>
          </w:tcPr>
          <w:p>
            <w:pPr>
              <w:spacing w:after="0"/>
              <w:rPr>
                <w:sz w:val="2"/>
                <w:szCs w:val="2"/>
                <w:color w:val="auto"/>
              </w:rPr>
            </w:pPr>
          </w:p>
        </w:tc>
        <w:tc>
          <w:tcPr>
            <w:tcW w:w="240" w:type="dxa"/>
            <w:vAlign w:val="bottom"/>
            <w:tcBorders>
              <w:top w:val="single" w:sz="8" w:color="0000FF"/>
              <w:bottom w:val="single" w:sz="8" w:color="auto"/>
            </w:tcBorders>
          </w:tcPr>
          <w:p>
            <w:pPr>
              <w:spacing w:after="0"/>
              <w:rPr>
                <w:sz w:val="2"/>
                <w:szCs w:val="2"/>
                <w:color w:val="auto"/>
              </w:rPr>
            </w:pPr>
          </w:p>
        </w:tc>
        <w:tc>
          <w:tcPr>
            <w:tcW w:w="340" w:type="dxa"/>
            <w:vAlign w:val="bottom"/>
            <w:tcBorders>
              <w:top w:val="single" w:sz="8" w:color="0000FF"/>
              <w:bottom w:val="single" w:sz="8" w:color="auto"/>
            </w:tcBorders>
          </w:tcPr>
          <w:p>
            <w:pPr>
              <w:spacing w:after="0"/>
              <w:rPr>
                <w:sz w:val="2"/>
                <w:szCs w:val="2"/>
                <w:color w:val="auto"/>
              </w:rPr>
            </w:pPr>
          </w:p>
        </w:tc>
        <w:tc>
          <w:tcPr>
            <w:tcW w:w="1320" w:type="dxa"/>
            <w:vAlign w:val="bottom"/>
            <w:tcBorders>
              <w:top w:val="single" w:sz="8" w:color="0000FF"/>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right w:val="single" w:sz="8" w:color="auto"/>
            </w:tcBorders>
          </w:tcPr>
          <w:p>
            <w:pPr>
              <w:spacing w:after="0"/>
              <w:rPr>
                <w:sz w:val="2"/>
                <w:szCs w:val="2"/>
                <w:color w:val="auto"/>
              </w:rPr>
            </w:pPr>
          </w:p>
        </w:tc>
      </w:tr>
      <w:tr>
        <w:trPr>
          <w:trHeight w:val="183"/>
        </w:trPr>
        <w:tc>
          <w:tcPr>
            <w:tcW w:w="1160" w:type="dxa"/>
            <w:vAlign w:val="bottom"/>
            <w:tcBorders>
              <w:left w:val="single" w:sz="8" w:color="auto"/>
              <w:right w:val="single" w:sz="8" w:color="auto"/>
            </w:tcBorders>
          </w:tcPr>
          <w:p>
            <w:pPr>
              <w:ind w:left="40"/>
              <w:spacing w:after="0" w:line="183" w:lineRule="exact"/>
              <w:rPr>
                <w:sz w:val="20"/>
                <w:szCs w:val="20"/>
                <w:color w:val="auto"/>
              </w:rPr>
            </w:pPr>
            <w:r>
              <w:rPr>
                <w:rFonts w:ascii="Arial" w:cs="Arial" w:eastAsia="Arial" w:hAnsi="Arial"/>
                <w:sz w:val="16"/>
                <w:szCs w:val="16"/>
                <w:color w:val="auto"/>
              </w:rPr>
              <w:t>10.57(a)</w:t>
            </w:r>
          </w:p>
        </w:tc>
        <w:tc>
          <w:tcPr>
            <w:tcW w:w="12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0140" w:type="dxa"/>
            <w:vAlign w:val="bottom"/>
            <w:tcBorders>
              <w:right w:val="single" w:sz="8" w:color="auto"/>
            </w:tcBorders>
            <w:gridSpan w:val="39"/>
          </w:tcPr>
          <w:p>
            <w:pPr>
              <w:spacing w:after="0" w:line="183" w:lineRule="exact"/>
              <w:rPr>
                <w:rFonts w:ascii="Arial" w:cs="Arial" w:eastAsia="Arial" w:hAnsi="Arial"/>
                <w:sz w:val="16"/>
                <w:szCs w:val="16"/>
                <w:color w:val="0000FF"/>
              </w:rPr>
            </w:pPr>
            <w:hyperlink r:id="rId241">
              <w:r>
                <w:rPr>
                  <w:rFonts w:ascii="Arial" w:cs="Arial" w:eastAsia="Arial" w:hAnsi="Arial"/>
                  <w:sz w:val="16"/>
                  <w:szCs w:val="16"/>
                  <w:color w:val="0000FF"/>
                </w:rPr>
                <w:t>Amendment dated as of March 4, 2013, to the Amended and Restated Credit Agreement and the Amended and Restated Guarantee &amp;</w:t>
              </w:r>
            </w:hyperlink>
          </w:p>
        </w:tc>
      </w:tr>
      <w:tr>
        <w:trPr>
          <w:trHeight w:val="20"/>
        </w:trPr>
        <w:tc>
          <w:tcPr>
            <w:tcW w:w="1160" w:type="dxa"/>
            <w:vAlign w:val="bottom"/>
            <w:tcBorders>
              <w:left w:val="single" w:sz="8" w:color="auto"/>
              <w:right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20" w:type="dxa"/>
            <w:vAlign w:val="bottom"/>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13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9720" w:type="dxa"/>
            <w:vAlign w:val="bottom"/>
            <w:tcBorders>
              <w:bottom w:val="single" w:sz="8" w:color="0000FF"/>
            </w:tcBorders>
            <w:gridSpan w:val="23"/>
          </w:tcPr>
          <w:p>
            <w:pPr>
              <w:spacing w:after="0" w:line="169" w:lineRule="exact"/>
              <w:rPr>
                <w:rFonts w:ascii="Arial" w:cs="Arial" w:eastAsia="Arial" w:hAnsi="Arial"/>
                <w:sz w:val="16"/>
                <w:szCs w:val="16"/>
                <w:color w:val="0000FF"/>
              </w:rPr>
            </w:pPr>
            <w:hyperlink r:id="rId241">
              <w:r>
                <w:rPr>
                  <w:rFonts w:ascii="Arial" w:cs="Arial" w:eastAsia="Arial" w:hAnsi="Arial"/>
                  <w:sz w:val="16"/>
                  <w:szCs w:val="16"/>
                  <w:color w:val="0000FF"/>
                </w:rPr>
                <w:t>Collateral Agreement, each dated as of May 3, 2011, among Avis Budget Holdings, LLC, Avis Budget Car Rental, LLC and certain of its</w:t>
              </w:r>
            </w:hyperlink>
          </w:p>
        </w:tc>
        <w:tc>
          <w:tcPr>
            <w:tcW w:w="420" w:type="dxa"/>
            <w:vAlign w:val="bottom"/>
            <w:tcBorders>
              <w:right w:val="single" w:sz="8" w:color="auto"/>
            </w:tcBorders>
            <w:gridSpan w:val="16"/>
          </w:tcPr>
          <w:p>
            <w:pPr>
              <w:spacing w:after="0"/>
              <w:rPr>
                <w:sz w:val="14"/>
                <w:szCs w:val="14"/>
                <w:color w:val="auto"/>
              </w:rPr>
            </w:pPr>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9660" w:type="dxa"/>
            <w:vAlign w:val="bottom"/>
            <w:tcBorders>
              <w:bottom w:val="single" w:sz="8" w:color="0000FF"/>
            </w:tcBorders>
            <w:gridSpan w:val="20"/>
          </w:tcPr>
          <w:p>
            <w:pPr>
              <w:spacing w:after="0" w:line="169" w:lineRule="exact"/>
              <w:rPr>
                <w:rFonts w:ascii="Arial" w:cs="Arial" w:eastAsia="Arial" w:hAnsi="Arial"/>
                <w:sz w:val="16"/>
                <w:szCs w:val="16"/>
                <w:color w:val="0000FF"/>
              </w:rPr>
            </w:pPr>
            <w:hyperlink r:id="rId241">
              <w:r>
                <w:rPr>
                  <w:rFonts w:ascii="Arial" w:cs="Arial" w:eastAsia="Arial" w:hAnsi="Arial"/>
                  <w:sz w:val="16"/>
                  <w:szCs w:val="16"/>
                  <w:color w:val="0000FF"/>
                </w:rPr>
                <w:t>Subsidiaries, JPMorgan Chase Bank, N.A., as Administrative Agent and certain other signatories thereto (Incorporated by reference to</w:t>
              </w:r>
            </w:hyperlink>
          </w:p>
        </w:tc>
        <w:tc>
          <w:tcPr>
            <w:tcW w:w="480" w:type="dxa"/>
            <w:vAlign w:val="bottom"/>
            <w:tcBorders>
              <w:right w:val="single" w:sz="8" w:color="auto"/>
            </w:tcBorders>
            <w:gridSpan w:val="19"/>
          </w:tcPr>
          <w:p>
            <w:pPr>
              <w:spacing w:after="0"/>
              <w:rPr>
                <w:sz w:val="14"/>
                <w:szCs w:val="14"/>
                <w:color w:val="auto"/>
              </w:rPr>
            </w:pPr>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140" w:type="dxa"/>
            <w:vAlign w:val="bottom"/>
            <w:tcBorders>
              <w:right w:val="single" w:sz="8" w:color="auto"/>
            </w:tcBorders>
            <w:gridSpan w:val="39"/>
          </w:tcPr>
          <w:p>
            <w:pPr>
              <w:spacing w:after="0" w:line="169" w:lineRule="exact"/>
              <w:rPr>
                <w:rFonts w:ascii="Arial" w:cs="Arial" w:eastAsia="Arial" w:hAnsi="Arial"/>
                <w:sz w:val="16"/>
                <w:szCs w:val="16"/>
                <w:color w:val="0000FF"/>
              </w:rPr>
            </w:pPr>
            <w:hyperlink r:id="rId241">
              <w:r>
                <w:rPr>
                  <w:rFonts w:ascii="Arial" w:cs="Arial" w:eastAsia="Arial" w:hAnsi="Arial"/>
                  <w:sz w:val="16"/>
                  <w:szCs w:val="16"/>
                  <w:color w:val="0000FF"/>
                </w:rPr>
                <w:t>Exhibit 10.2 to the Company’s Current Report on Form 8-K dated March 5, 2013).</w:t>
              </w:r>
            </w:hyperlink>
          </w:p>
        </w:tc>
      </w:tr>
      <w:tr>
        <w:trPr>
          <w:trHeight w:val="34"/>
        </w:trPr>
        <w:tc>
          <w:tcPr>
            <w:tcW w:w="1160" w:type="dxa"/>
            <w:vAlign w:val="bottom"/>
            <w:tcBorders>
              <w:left w:val="single" w:sz="8" w:color="auto"/>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20" w:type="dxa"/>
            <w:vAlign w:val="bottom"/>
            <w:tcBorders>
              <w:top w:val="single" w:sz="8" w:color="0000FF"/>
              <w:bottom w:val="single" w:sz="8" w:color="auto"/>
            </w:tcBorders>
          </w:tcPr>
          <w:p>
            <w:pPr>
              <w:spacing w:after="0"/>
              <w:rPr>
                <w:sz w:val="2"/>
                <w:szCs w:val="2"/>
                <w:color w:val="auto"/>
              </w:rPr>
            </w:pPr>
          </w:p>
        </w:tc>
        <w:tc>
          <w:tcPr>
            <w:tcW w:w="640" w:type="dxa"/>
            <w:vAlign w:val="bottom"/>
            <w:tcBorders>
              <w:top w:val="single" w:sz="8" w:color="0000FF"/>
              <w:bottom w:val="single" w:sz="8" w:color="auto"/>
            </w:tcBorders>
          </w:tcPr>
          <w:p>
            <w:pPr>
              <w:spacing w:after="0"/>
              <w:rPr>
                <w:sz w:val="2"/>
                <w:szCs w:val="2"/>
                <w:color w:val="auto"/>
              </w:rPr>
            </w:pPr>
          </w:p>
        </w:tc>
        <w:tc>
          <w:tcPr>
            <w:tcW w:w="120" w:type="dxa"/>
            <w:vAlign w:val="bottom"/>
            <w:tcBorders>
              <w:top w:val="single" w:sz="8" w:color="0000FF"/>
              <w:bottom w:val="single" w:sz="8" w:color="auto"/>
            </w:tcBorders>
          </w:tcPr>
          <w:p>
            <w:pPr>
              <w:spacing w:after="0"/>
              <w:rPr>
                <w:sz w:val="2"/>
                <w:szCs w:val="2"/>
                <w:color w:val="auto"/>
              </w:rPr>
            </w:pPr>
          </w:p>
        </w:tc>
        <w:tc>
          <w:tcPr>
            <w:tcW w:w="20" w:type="dxa"/>
            <w:vAlign w:val="bottom"/>
            <w:tcBorders>
              <w:top w:val="single" w:sz="8" w:color="0000FF"/>
              <w:bottom w:val="single" w:sz="8" w:color="auto"/>
            </w:tcBorders>
          </w:tcPr>
          <w:p>
            <w:pPr>
              <w:spacing w:after="0"/>
              <w:rPr>
                <w:sz w:val="2"/>
                <w:szCs w:val="2"/>
                <w:color w:val="auto"/>
              </w:rPr>
            </w:pPr>
          </w:p>
        </w:tc>
        <w:tc>
          <w:tcPr>
            <w:tcW w:w="240" w:type="dxa"/>
            <w:vAlign w:val="bottom"/>
            <w:tcBorders>
              <w:top w:val="single" w:sz="8" w:color="0000FF"/>
              <w:bottom w:val="single" w:sz="8" w:color="auto"/>
            </w:tcBorders>
          </w:tcPr>
          <w:p>
            <w:pPr>
              <w:spacing w:after="0"/>
              <w:rPr>
                <w:sz w:val="2"/>
                <w:szCs w:val="2"/>
                <w:color w:val="auto"/>
              </w:rPr>
            </w:pPr>
          </w:p>
        </w:tc>
        <w:tc>
          <w:tcPr>
            <w:tcW w:w="340" w:type="dxa"/>
            <w:vAlign w:val="bottom"/>
            <w:tcBorders>
              <w:top w:val="single" w:sz="8" w:color="0000FF"/>
              <w:bottom w:val="single" w:sz="8" w:color="auto"/>
            </w:tcBorders>
          </w:tcPr>
          <w:p>
            <w:pPr>
              <w:spacing w:after="0"/>
              <w:rPr>
                <w:sz w:val="2"/>
                <w:szCs w:val="2"/>
                <w:color w:val="auto"/>
              </w:rPr>
            </w:pPr>
          </w:p>
        </w:tc>
        <w:tc>
          <w:tcPr>
            <w:tcW w:w="1320" w:type="dxa"/>
            <w:vAlign w:val="bottom"/>
            <w:tcBorders>
              <w:top w:val="single" w:sz="8" w:color="0000FF"/>
              <w:bottom w:val="single" w:sz="8" w:color="auto"/>
            </w:tcBorders>
          </w:tcPr>
          <w:p>
            <w:pPr>
              <w:spacing w:after="0"/>
              <w:rPr>
                <w:sz w:val="2"/>
                <w:szCs w:val="2"/>
                <w:color w:val="auto"/>
              </w:rPr>
            </w:pPr>
          </w:p>
        </w:tc>
        <w:tc>
          <w:tcPr>
            <w:tcW w:w="60" w:type="dxa"/>
            <w:vAlign w:val="bottom"/>
            <w:tcBorders>
              <w:top w:val="single" w:sz="8" w:color="0000FF"/>
              <w:bottom w:val="single" w:sz="8" w:color="auto"/>
            </w:tcBorders>
          </w:tcPr>
          <w:p>
            <w:pPr>
              <w:spacing w:after="0"/>
              <w:rPr>
                <w:sz w:val="2"/>
                <w:szCs w:val="2"/>
                <w:color w:val="auto"/>
              </w:rPr>
            </w:pPr>
          </w:p>
        </w:tc>
        <w:tc>
          <w:tcPr>
            <w:tcW w:w="80" w:type="dxa"/>
            <w:vAlign w:val="bottom"/>
            <w:tcBorders>
              <w:top w:val="single" w:sz="8" w:color="0000FF"/>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right w:val="single" w:sz="8" w:color="auto"/>
            </w:tcBorders>
          </w:tcPr>
          <w:p>
            <w:pPr>
              <w:spacing w:after="0"/>
              <w:rPr>
                <w:sz w:val="2"/>
                <w:szCs w:val="2"/>
                <w:color w:val="auto"/>
              </w:rPr>
            </w:pPr>
          </w:p>
        </w:tc>
      </w:tr>
      <w:tr>
        <w:trPr>
          <w:trHeight w:val="183"/>
        </w:trPr>
        <w:tc>
          <w:tcPr>
            <w:tcW w:w="1160" w:type="dxa"/>
            <w:vAlign w:val="bottom"/>
            <w:tcBorders>
              <w:left w:val="single" w:sz="8" w:color="auto"/>
              <w:right w:val="single" w:sz="8" w:color="auto"/>
            </w:tcBorders>
          </w:tcPr>
          <w:p>
            <w:pPr>
              <w:ind w:left="40"/>
              <w:spacing w:after="0" w:line="183" w:lineRule="exact"/>
              <w:rPr>
                <w:sz w:val="20"/>
                <w:szCs w:val="20"/>
                <w:color w:val="auto"/>
              </w:rPr>
            </w:pPr>
            <w:r>
              <w:rPr>
                <w:rFonts w:ascii="Arial" w:cs="Arial" w:eastAsia="Arial" w:hAnsi="Arial"/>
                <w:sz w:val="16"/>
                <w:szCs w:val="16"/>
                <w:color w:val="auto"/>
              </w:rPr>
              <w:t>10.57(b)</w:t>
            </w:r>
          </w:p>
        </w:tc>
        <w:tc>
          <w:tcPr>
            <w:tcW w:w="12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9800" w:type="dxa"/>
            <w:vAlign w:val="bottom"/>
            <w:tcBorders>
              <w:bottom w:val="single" w:sz="8" w:color="0000FF"/>
            </w:tcBorders>
            <w:gridSpan w:val="25"/>
          </w:tcPr>
          <w:p>
            <w:pPr>
              <w:spacing w:after="0" w:line="183" w:lineRule="exact"/>
              <w:rPr>
                <w:rFonts w:ascii="Arial" w:cs="Arial" w:eastAsia="Arial" w:hAnsi="Arial"/>
                <w:sz w:val="16"/>
                <w:szCs w:val="16"/>
                <w:color w:val="0000FF"/>
              </w:rPr>
            </w:pPr>
            <w:hyperlink r:id="rId242">
              <w:r>
                <w:rPr>
                  <w:rFonts w:ascii="Arial" w:cs="Arial" w:eastAsia="Arial" w:hAnsi="Arial"/>
                  <w:sz w:val="16"/>
                  <w:szCs w:val="16"/>
                  <w:color w:val="0000FF"/>
                </w:rPr>
                <w:t>Second Amendment to the Amended and Restated Guarantee &amp; Collateral Agreement, dated as of October 3, 2014, among Avis Budget</w:t>
              </w:r>
            </w:hyperlink>
          </w:p>
        </w:tc>
        <w:tc>
          <w:tcPr>
            <w:tcW w:w="340" w:type="dxa"/>
            <w:vAlign w:val="bottom"/>
            <w:tcBorders>
              <w:right w:val="single" w:sz="8" w:color="auto"/>
            </w:tcBorders>
            <w:gridSpan w:val="14"/>
          </w:tcPr>
          <w:p>
            <w:pPr>
              <w:spacing w:after="0"/>
              <w:rPr>
                <w:sz w:val="15"/>
                <w:szCs w:val="15"/>
                <w:color w:val="auto"/>
              </w:rPr>
            </w:pPr>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60" w:type="dxa"/>
            <w:vAlign w:val="bottom"/>
            <w:tcBorders>
              <w:bottom w:val="single" w:sz="8" w:color="0000FF"/>
            </w:tcBorders>
            <w:gridSpan w:val="37"/>
          </w:tcPr>
          <w:p>
            <w:pPr>
              <w:spacing w:after="0" w:line="169" w:lineRule="exact"/>
              <w:rPr>
                <w:rFonts w:ascii="Arial" w:cs="Arial" w:eastAsia="Arial" w:hAnsi="Arial"/>
                <w:sz w:val="16"/>
                <w:szCs w:val="16"/>
                <w:color w:val="0000FF"/>
              </w:rPr>
            </w:pPr>
            <w:hyperlink r:id="rId242">
              <w:r>
                <w:rPr>
                  <w:rFonts w:ascii="Arial" w:cs="Arial" w:eastAsia="Arial" w:hAnsi="Arial"/>
                  <w:sz w:val="16"/>
                  <w:szCs w:val="16"/>
                  <w:color w:val="0000FF"/>
                </w:rPr>
                <w:t>Holdings, LLC, Avis Budget Car Rental, LLC and certain of its Subsidiaries, in favor of JPMorgan Chase Bank, N.A., as Administrative Agent</w:t>
              </w:r>
            </w:hyperlink>
          </w:p>
        </w:tc>
        <w:tc>
          <w:tcPr>
            <w:tcW w:w="80" w:type="dxa"/>
            <w:vAlign w:val="bottom"/>
            <w:tcBorders>
              <w:right w:val="single" w:sz="8" w:color="auto"/>
            </w:tcBorders>
            <w:gridSpan w:val="2"/>
          </w:tcPr>
          <w:p>
            <w:pPr>
              <w:spacing w:after="0"/>
              <w:rPr>
                <w:sz w:val="14"/>
                <w:szCs w:val="14"/>
                <w:color w:val="auto"/>
              </w:rPr>
            </w:pPr>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140" w:type="dxa"/>
            <w:vAlign w:val="bottom"/>
            <w:tcBorders>
              <w:right w:val="single" w:sz="8" w:color="auto"/>
            </w:tcBorders>
            <w:gridSpan w:val="39"/>
          </w:tcPr>
          <w:p>
            <w:pPr>
              <w:spacing w:after="0" w:line="169" w:lineRule="exact"/>
              <w:rPr>
                <w:rFonts w:ascii="Arial" w:cs="Arial" w:eastAsia="Arial" w:hAnsi="Arial"/>
                <w:sz w:val="16"/>
                <w:szCs w:val="16"/>
                <w:color w:val="0000FF"/>
              </w:rPr>
            </w:pPr>
            <w:hyperlink r:id="rId242">
              <w:r>
                <w:rPr>
                  <w:rFonts w:ascii="Arial" w:cs="Arial" w:eastAsia="Arial" w:hAnsi="Arial"/>
                  <w:sz w:val="16"/>
                  <w:szCs w:val="16"/>
                  <w:color w:val="0000FF"/>
                </w:rPr>
                <w:t>(Incorporated by reference to Exhibit 10.2 to the Company’s Current Report on Form 8-K dated October 6, 2014).</w:t>
              </w:r>
            </w:hyperlink>
          </w:p>
        </w:tc>
      </w:tr>
      <w:tr>
        <w:trPr>
          <w:trHeight w:val="34"/>
        </w:trPr>
        <w:tc>
          <w:tcPr>
            <w:tcW w:w="1160" w:type="dxa"/>
            <w:vAlign w:val="bottom"/>
            <w:tcBorders>
              <w:left w:val="single" w:sz="8" w:color="auto"/>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20" w:type="dxa"/>
            <w:vAlign w:val="bottom"/>
            <w:tcBorders>
              <w:top w:val="single" w:sz="8" w:color="0000FF"/>
              <w:bottom w:val="single" w:sz="8" w:color="auto"/>
            </w:tcBorders>
          </w:tcPr>
          <w:p>
            <w:pPr>
              <w:spacing w:after="0"/>
              <w:rPr>
                <w:sz w:val="2"/>
                <w:szCs w:val="2"/>
                <w:color w:val="auto"/>
              </w:rPr>
            </w:pPr>
          </w:p>
        </w:tc>
        <w:tc>
          <w:tcPr>
            <w:tcW w:w="640" w:type="dxa"/>
            <w:vAlign w:val="bottom"/>
            <w:tcBorders>
              <w:top w:val="single" w:sz="8" w:color="0000FF"/>
              <w:bottom w:val="single" w:sz="8" w:color="auto"/>
            </w:tcBorders>
          </w:tcPr>
          <w:p>
            <w:pPr>
              <w:spacing w:after="0"/>
              <w:rPr>
                <w:sz w:val="2"/>
                <w:szCs w:val="2"/>
                <w:color w:val="auto"/>
              </w:rPr>
            </w:pPr>
          </w:p>
        </w:tc>
        <w:tc>
          <w:tcPr>
            <w:tcW w:w="120" w:type="dxa"/>
            <w:vAlign w:val="bottom"/>
            <w:tcBorders>
              <w:top w:val="single" w:sz="8" w:color="0000FF"/>
              <w:bottom w:val="single" w:sz="8" w:color="auto"/>
            </w:tcBorders>
          </w:tcPr>
          <w:p>
            <w:pPr>
              <w:spacing w:after="0"/>
              <w:rPr>
                <w:sz w:val="2"/>
                <w:szCs w:val="2"/>
                <w:color w:val="auto"/>
              </w:rPr>
            </w:pPr>
          </w:p>
        </w:tc>
        <w:tc>
          <w:tcPr>
            <w:tcW w:w="20" w:type="dxa"/>
            <w:vAlign w:val="bottom"/>
            <w:tcBorders>
              <w:top w:val="single" w:sz="8" w:color="0000FF"/>
              <w:bottom w:val="single" w:sz="8" w:color="auto"/>
            </w:tcBorders>
          </w:tcPr>
          <w:p>
            <w:pPr>
              <w:spacing w:after="0"/>
              <w:rPr>
                <w:sz w:val="2"/>
                <w:szCs w:val="2"/>
                <w:color w:val="auto"/>
              </w:rPr>
            </w:pPr>
          </w:p>
        </w:tc>
        <w:tc>
          <w:tcPr>
            <w:tcW w:w="240" w:type="dxa"/>
            <w:vAlign w:val="bottom"/>
            <w:tcBorders>
              <w:top w:val="single" w:sz="8" w:color="0000FF"/>
              <w:bottom w:val="single" w:sz="8" w:color="auto"/>
            </w:tcBorders>
          </w:tcPr>
          <w:p>
            <w:pPr>
              <w:spacing w:after="0"/>
              <w:rPr>
                <w:sz w:val="2"/>
                <w:szCs w:val="2"/>
                <w:color w:val="auto"/>
              </w:rPr>
            </w:pPr>
          </w:p>
        </w:tc>
        <w:tc>
          <w:tcPr>
            <w:tcW w:w="340" w:type="dxa"/>
            <w:vAlign w:val="bottom"/>
            <w:tcBorders>
              <w:top w:val="single" w:sz="8" w:color="0000FF"/>
              <w:bottom w:val="single" w:sz="8" w:color="auto"/>
            </w:tcBorders>
          </w:tcPr>
          <w:p>
            <w:pPr>
              <w:spacing w:after="0"/>
              <w:rPr>
                <w:sz w:val="2"/>
                <w:szCs w:val="2"/>
                <w:color w:val="auto"/>
              </w:rPr>
            </w:pPr>
          </w:p>
        </w:tc>
        <w:tc>
          <w:tcPr>
            <w:tcW w:w="1320" w:type="dxa"/>
            <w:vAlign w:val="bottom"/>
            <w:tcBorders>
              <w:top w:val="single" w:sz="8" w:color="0000FF"/>
              <w:bottom w:val="single" w:sz="8" w:color="auto"/>
            </w:tcBorders>
          </w:tcPr>
          <w:p>
            <w:pPr>
              <w:spacing w:after="0"/>
              <w:rPr>
                <w:sz w:val="2"/>
                <w:szCs w:val="2"/>
                <w:color w:val="auto"/>
              </w:rPr>
            </w:pPr>
          </w:p>
        </w:tc>
        <w:tc>
          <w:tcPr>
            <w:tcW w:w="60" w:type="dxa"/>
            <w:vAlign w:val="bottom"/>
            <w:tcBorders>
              <w:top w:val="single" w:sz="8" w:color="0000FF"/>
              <w:bottom w:val="single" w:sz="8" w:color="auto"/>
            </w:tcBorders>
          </w:tcPr>
          <w:p>
            <w:pPr>
              <w:spacing w:after="0"/>
              <w:rPr>
                <w:sz w:val="2"/>
                <w:szCs w:val="2"/>
                <w:color w:val="auto"/>
              </w:rPr>
            </w:pPr>
          </w:p>
        </w:tc>
        <w:tc>
          <w:tcPr>
            <w:tcW w:w="80" w:type="dxa"/>
            <w:vAlign w:val="bottom"/>
            <w:tcBorders>
              <w:top w:val="single" w:sz="8" w:color="0000FF"/>
              <w:bottom w:val="single" w:sz="8" w:color="auto"/>
            </w:tcBorders>
          </w:tcPr>
          <w:p>
            <w:pPr>
              <w:spacing w:after="0"/>
              <w:rPr>
                <w:sz w:val="2"/>
                <w:szCs w:val="2"/>
                <w:color w:val="auto"/>
              </w:rPr>
            </w:pPr>
          </w:p>
        </w:tc>
        <w:tc>
          <w:tcPr>
            <w:tcW w:w="1400" w:type="dxa"/>
            <w:vAlign w:val="bottom"/>
            <w:tcBorders>
              <w:top w:val="single" w:sz="8" w:color="0000FF"/>
              <w:bottom w:val="single" w:sz="8" w:color="auto"/>
            </w:tcBorders>
          </w:tcPr>
          <w:p>
            <w:pPr>
              <w:spacing w:after="0"/>
              <w:rPr>
                <w:sz w:val="2"/>
                <w:szCs w:val="2"/>
                <w:color w:val="auto"/>
              </w:rPr>
            </w:pPr>
          </w:p>
        </w:tc>
        <w:tc>
          <w:tcPr>
            <w:tcW w:w="140" w:type="dxa"/>
            <w:vAlign w:val="bottom"/>
            <w:tcBorders>
              <w:top w:val="single" w:sz="8" w:color="0000FF"/>
              <w:bottom w:val="single" w:sz="8" w:color="auto"/>
            </w:tcBorders>
          </w:tcPr>
          <w:p>
            <w:pPr>
              <w:spacing w:after="0"/>
              <w:rPr>
                <w:sz w:val="2"/>
                <w:szCs w:val="2"/>
                <w:color w:val="auto"/>
              </w:rPr>
            </w:pPr>
          </w:p>
        </w:tc>
        <w:tc>
          <w:tcPr>
            <w:tcW w:w="720" w:type="dxa"/>
            <w:vAlign w:val="bottom"/>
            <w:tcBorders>
              <w:top w:val="single" w:sz="8" w:color="0000FF"/>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right w:val="single" w:sz="8" w:color="auto"/>
            </w:tcBorders>
          </w:tcPr>
          <w:p>
            <w:pPr>
              <w:spacing w:after="0"/>
              <w:rPr>
                <w:sz w:val="2"/>
                <w:szCs w:val="2"/>
                <w:color w:val="auto"/>
              </w:rPr>
            </w:pPr>
          </w:p>
        </w:tc>
      </w:tr>
      <w:tr>
        <w:trPr>
          <w:trHeight w:val="183"/>
        </w:trPr>
        <w:tc>
          <w:tcPr>
            <w:tcW w:w="1160" w:type="dxa"/>
            <w:vAlign w:val="bottom"/>
            <w:tcBorders>
              <w:left w:val="single" w:sz="8" w:color="auto"/>
              <w:right w:val="single" w:sz="8" w:color="auto"/>
            </w:tcBorders>
          </w:tcPr>
          <w:p>
            <w:pPr>
              <w:ind w:left="40"/>
              <w:spacing w:after="0" w:line="183" w:lineRule="exact"/>
              <w:rPr>
                <w:sz w:val="20"/>
                <w:szCs w:val="20"/>
                <w:color w:val="auto"/>
              </w:rPr>
            </w:pPr>
            <w:r>
              <w:rPr>
                <w:rFonts w:ascii="Arial" w:cs="Arial" w:eastAsia="Arial" w:hAnsi="Arial"/>
                <w:sz w:val="16"/>
                <w:szCs w:val="16"/>
                <w:color w:val="auto"/>
              </w:rPr>
              <w:t>10.58</w:t>
            </w:r>
          </w:p>
        </w:tc>
        <w:tc>
          <w:tcPr>
            <w:tcW w:w="12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9840" w:type="dxa"/>
            <w:vAlign w:val="bottom"/>
            <w:tcBorders>
              <w:bottom w:val="single" w:sz="8" w:color="0000FF"/>
            </w:tcBorders>
            <w:gridSpan w:val="27"/>
          </w:tcPr>
          <w:p>
            <w:pPr>
              <w:spacing w:after="0" w:line="183" w:lineRule="exact"/>
              <w:rPr>
                <w:rFonts w:ascii="Arial" w:cs="Arial" w:eastAsia="Arial" w:hAnsi="Arial"/>
                <w:sz w:val="16"/>
                <w:szCs w:val="16"/>
                <w:color w:val="0000FF"/>
              </w:rPr>
            </w:pPr>
            <w:hyperlink r:id="rId243">
              <w:r>
                <w:rPr>
                  <w:rFonts w:ascii="Arial" w:cs="Arial" w:eastAsia="Arial" w:hAnsi="Arial"/>
                  <w:sz w:val="16"/>
                  <w:szCs w:val="16"/>
                  <w:color w:val="0000FF"/>
                </w:rPr>
                <w:t>Purchase Agreement, dated as of March 19, 2013, by and among Avis Budget Car Rental, LLC and Avis Budget Finance, Inc. as issuers,</w:t>
              </w:r>
            </w:hyperlink>
          </w:p>
        </w:tc>
        <w:tc>
          <w:tcPr>
            <w:tcW w:w="300" w:type="dxa"/>
            <w:vAlign w:val="bottom"/>
            <w:tcBorders>
              <w:right w:val="single" w:sz="8" w:color="auto"/>
            </w:tcBorders>
            <w:gridSpan w:val="12"/>
          </w:tcPr>
          <w:p>
            <w:pPr>
              <w:spacing w:after="0"/>
              <w:rPr>
                <w:sz w:val="15"/>
                <w:szCs w:val="15"/>
                <w:color w:val="auto"/>
              </w:rPr>
            </w:pPr>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9840" w:type="dxa"/>
            <w:vAlign w:val="bottom"/>
            <w:tcBorders>
              <w:bottom w:val="single" w:sz="8" w:color="0000FF"/>
            </w:tcBorders>
            <w:gridSpan w:val="27"/>
          </w:tcPr>
          <w:p>
            <w:pPr>
              <w:spacing w:after="0" w:line="169" w:lineRule="exact"/>
              <w:rPr>
                <w:rFonts w:ascii="Arial" w:cs="Arial" w:eastAsia="Arial" w:hAnsi="Arial"/>
                <w:sz w:val="16"/>
                <w:szCs w:val="16"/>
                <w:color w:val="0000FF"/>
              </w:rPr>
            </w:pPr>
            <w:hyperlink r:id="rId243">
              <w:r>
                <w:rPr>
                  <w:rFonts w:ascii="Arial" w:cs="Arial" w:eastAsia="Arial" w:hAnsi="Arial"/>
                  <w:sz w:val="16"/>
                  <w:szCs w:val="16"/>
                  <w:color w:val="0000FF"/>
                </w:rPr>
                <w:t>Avis Budget Group, Inc. and certain of its subsidiaries as guarantors, and Barclays Capital Inc. for itself and on behalf of the several initial</w:t>
              </w:r>
            </w:hyperlink>
          </w:p>
        </w:tc>
        <w:tc>
          <w:tcPr>
            <w:tcW w:w="300" w:type="dxa"/>
            <w:vAlign w:val="bottom"/>
            <w:tcBorders>
              <w:right w:val="single" w:sz="8" w:color="auto"/>
            </w:tcBorders>
            <w:gridSpan w:val="12"/>
          </w:tcPr>
          <w:p>
            <w:pPr>
              <w:spacing w:after="0"/>
              <w:rPr>
                <w:sz w:val="14"/>
                <w:szCs w:val="14"/>
                <w:color w:val="auto"/>
              </w:rPr>
            </w:pPr>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140" w:type="dxa"/>
            <w:vAlign w:val="bottom"/>
            <w:tcBorders>
              <w:right w:val="single" w:sz="8" w:color="auto"/>
            </w:tcBorders>
            <w:gridSpan w:val="39"/>
          </w:tcPr>
          <w:p>
            <w:pPr>
              <w:spacing w:after="0" w:line="169" w:lineRule="exact"/>
              <w:rPr>
                <w:rFonts w:ascii="Arial" w:cs="Arial" w:eastAsia="Arial" w:hAnsi="Arial"/>
                <w:sz w:val="16"/>
                <w:szCs w:val="16"/>
                <w:color w:val="0000FF"/>
              </w:rPr>
            </w:pPr>
            <w:hyperlink r:id="rId243">
              <w:r>
                <w:rPr>
                  <w:rFonts w:ascii="Arial" w:cs="Arial" w:eastAsia="Arial" w:hAnsi="Arial"/>
                  <w:sz w:val="16"/>
                  <w:szCs w:val="16"/>
                  <w:color w:val="0000FF"/>
                </w:rPr>
                <w:t>purchasers (Incorporated by reference to Exhibit 10.1 to the Company’s Current Report on Form 8-K dated March 25, 2013).</w:t>
              </w:r>
            </w:hyperlink>
          </w:p>
        </w:tc>
      </w:tr>
      <w:tr>
        <w:trPr>
          <w:trHeight w:val="34"/>
        </w:trPr>
        <w:tc>
          <w:tcPr>
            <w:tcW w:w="1160" w:type="dxa"/>
            <w:vAlign w:val="bottom"/>
            <w:tcBorders>
              <w:left w:val="single" w:sz="8" w:color="auto"/>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20" w:type="dxa"/>
            <w:vAlign w:val="bottom"/>
            <w:tcBorders>
              <w:top w:val="single" w:sz="8" w:color="0000FF"/>
              <w:bottom w:val="single" w:sz="8" w:color="auto"/>
            </w:tcBorders>
          </w:tcPr>
          <w:p>
            <w:pPr>
              <w:spacing w:after="0"/>
              <w:rPr>
                <w:sz w:val="2"/>
                <w:szCs w:val="2"/>
                <w:color w:val="auto"/>
              </w:rPr>
            </w:pPr>
          </w:p>
        </w:tc>
        <w:tc>
          <w:tcPr>
            <w:tcW w:w="640" w:type="dxa"/>
            <w:vAlign w:val="bottom"/>
            <w:tcBorders>
              <w:top w:val="single" w:sz="8" w:color="0000FF"/>
              <w:bottom w:val="single" w:sz="8" w:color="auto"/>
            </w:tcBorders>
          </w:tcPr>
          <w:p>
            <w:pPr>
              <w:spacing w:after="0"/>
              <w:rPr>
                <w:sz w:val="2"/>
                <w:szCs w:val="2"/>
                <w:color w:val="auto"/>
              </w:rPr>
            </w:pPr>
          </w:p>
        </w:tc>
        <w:tc>
          <w:tcPr>
            <w:tcW w:w="120" w:type="dxa"/>
            <w:vAlign w:val="bottom"/>
            <w:tcBorders>
              <w:top w:val="single" w:sz="8" w:color="0000FF"/>
              <w:bottom w:val="single" w:sz="8" w:color="auto"/>
            </w:tcBorders>
          </w:tcPr>
          <w:p>
            <w:pPr>
              <w:spacing w:after="0"/>
              <w:rPr>
                <w:sz w:val="2"/>
                <w:szCs w:val="2"/>
                <w:color w:val="auto"/>
              </w:rPr>
            </w:pPr>
          </w:p>
        </w:tc>
        <w:tc>
          <w:tcPr>
            <w:tcW w:w="20" w:type="dxa"/>
            <w:vAlign w:val="bottom"/>
            <w:tcBorders>
              <w:top w:val="single" w:sz="8" w:color="0000FF"/>
              <w:bottom w:val="single" w:sz="8" w:color="auto"/>
            </w:tcBorders>
          </w:tcPr>
          <w:p>
            <w:pPr>
              <w:spacing w:after="0"/>
              <w:rPr>
                <w:sz w:val="2"/>
                <w:szCs w:val="2"/>
                <w:color w:val="auto"/>
              </w:rPr>
            </w:pPr>
          </w:p>
        </w:tc>
        <w:tc>
          <w:tcPr>
            <w:tcW w:w="240" w:type="dxa"/>
            <w:vAlign w:val="bottom"/>
            <w:tcBorders>
              <w:top w:val="single" w:sz="8" w:color="0000FF"/>
              <w:bottom w:val="single" w:sz="8" w:color="auto"/>
            </w:tcBorders>
          </w:tcPr>
          <w:p>
            <w:pPr>
              <w:spacing w:after="0"/>
              <w:rPr>
                <w:sz w:val="2"/>
                <w:szCs w:val="2"/>
                <w:color w:val="auto"/>
              </w:rPr>
            </w:pPr>
          </w:p>
        </w:tc>
        <w:tc>
          <w:tcPr>
            <w:tcW w:w="340" w:type="dxa"/>
            <w:vAlign w:val="bottom"/>
            <w:tcBorders>
              <w:top w:val="single" w:sz="8" w:color="0000FF"/>
              <w:bottom w:val="single" w:sz="8" w:color="auto"/>
            </w:tcBorders>
          </w:tcPr>
          <w:p>
            <w:pPr>
              <w:spacing w:after="0"/>
              <w:rPr>
                <w:sz w:val="2"/>
                <w:szCs w:val="2"/>
                <w:color w:val="auto"/>
              </w:rPr>
            </w:pPr>
          </w:p>
        </w:tc>
        <w:tc>
          <w:tcPr>
            <w:tcW w:w="1320" w:type="dxa"/>
            <w:vAlign w:val="bottom"/>
            <w:tcBorders>
              <w:top w:val="single" w:sz="8" w:color="0000FF"/>
              <w:bottom w:val="single" w:sz="8" w:color="auto"/>
            </w:tcBorders>
          </w:tcPr>
          <w:p>
            <w:pPr>
              <w:spacing w:after="0"/>
              <w:rPr>
                <w:sz w:val="2"/>
                <w:szCs w:val="2"/>
                <w:color w:val="auto"/>
              </w:rPr>
            </w:pPr>
          </w:p>
        </w:tc>
        <w:tc>
          <w:tcPr>
            <w:tcW w:w="60" w:type="dxa"/>
            <w:vAlign w:val="bottom"/>
            <w:tcBorders>
              <w:top w:val="single" w:sz="8" w:color="0000FF"/>
              <w:bottom w:val="single" w:sz="8" w:color="auto"/>
            </w:tcBorders>
          </w:tcPr>
          <w:p>
            <w:pPr>
              <w:spacing w:after="0"/>
              <w:rPr>
                <w:sz w:val="2"/>
                <w:szCs w:val="2"/>
                <w:color w:val="auto"/>
              </w:rPr>
            </w:pPr>
          </w:p>
        </w:tc>
        <w:tc>
          <w:tcPr>
            <w:tcW w:w="80" w:type="dxa"/>
            <w:vAlign w:val="bottom"/>
            <w:tcBorders>
              <w:top w:val="single" w:sz="8" w:color="0000FF"/>
              <w:bottom w:val="single" w:sz="8" w:color="auto"/>
            </w:tcBorders>
          </w:tcPr>
          <w:p>
            <w:pPr>
              <w:spacing w:after="0"/>
              <w:rPr>
                <w:sz w:val="2"/>
                <w:szCs w:val="2"/>
                <w:color w:val="auto"/>
              </w:rPr>
            </w:pPr>
          </w:p>
        </w:tc>
        <w:tc>
          <w:tcPr>
            <w:tcW w:w="1400" w:type="dxa"/>
            <w:vAlign w:val="bottom"/>
            <w:tcBorders>
              <w:top w:val="single" w:sz="8" w:color="0000FF"/>
              <w:bottom w:val="single" w:sz="8" w:color="auto"/>
            </w:tcBorders>
          </w:tcPr>
          <w:p>
            <w:pPr>
              <w:spacing w:after="0"/>
              <w:rPr>
                <w:sz w:val="2"/>
                <w:szCs w:val="2"/>
                <w:color w:val="auto"/>
              </w:rPr>
            </w:pPr>
          </w:p>
        </w:tc>
        <w:tc>
          <w:tcPr>
            <w:tcW w:w="140" w:type="dxa"/>
            <w:vAlign w:val="bottom"/>
            <w:tcBorders>
              <w:top w:val="single" w:sz="8" w:color="0000FF"/>
              <w:bottom w:val="single" w:sz="8" w:color="auto"/>
            </w:tcBorders>
          </w:tcPr>
          <w:p>
            <w:pPr>
              <w:spacing w:after="0"/>
              <w:rPr>
                <w:sz w:val="2"/>
                <w:szCs w:val="2"/>
                <w:color w:val="auto"/>
              </w:rPr>
            </w:pPr>
          </w:p>
        </w:tc>
        <w:tc>
          <w:tcPr>
            <w:tcW w:w="720" w:type="dxa"/>
            <w:vAlign w:val="bottom"/>
            <w:tcBorders>
              <w:top w:val="single" w:sz="8" w:color="0000FF"/>
              <w:bottom w:val="single" w:sz="8" w:color="auto"/>
            </w:tcBorders>
          </w:tcPr>
          <w:p>
            <w:pPr>
              <w:spacing w:after="0"/>
              <w:rPr>
                <w:sz w:val="2"/>
                <w:szCs w:val="2"/>
                <w:color w:val="auto"/>
              </w:rPr>
            </w:pPr>
          </w:p>
        </w:tc>
        <w:tc>
          <w:tcPr>
            <w:tcW w:w="820" w:type="dxa"/>
            <w:vAlign w:val="bottom"/>
            <w:tcBorders>
              <w:top w:val="single" w:sz="8" w:color="0000FF"/>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right w:val="single" w:sz="8" w:color="auto"/>
            </w:tcBorders>
          </w:tcPr>
          <w:p>
            <w:pPr>
              <w:spacing w:after="0"/>
              <w:rPr>
                <w:sz w:val="2"/>
                <w:szCs w:val="2"/>
                <w:color w:val="auto"/>
              </w:rPr>
            </w:pPr>
          </w:p>
        </w:tc>
      </w:tr>
      <w:tr>
        <w:trPr>
          <w:trHeight w:val="183"/>
        </w:trPr>
        <w:tc>
          <w:tcPr>
            <w:tcW w:w="1160" w:type="dxa"/>
            <w:vAlign w:val="bottom"/>
            <w:tcBorders>
              <w:left w:val="single" w:sz="8" w:color="auto"/>
              <w:right w:val="single" w:sz="8" w:color="auto"/>
            </w:tcBorders>
          </w:tcPr>
          <w:p>
            <w:pPr>
              <w:ind w:left="40"/>
              <w:spacing w:after="0" w:line="183" w:lineRule="exact"/>
              <w:rPr>
                <w:sz w:val="20"/>
                <w:szCs w:val="20"/>
                <w:color w:val="auto"/>
              </w:rPr>
            </w:pPr>
            <w:r>
              <w:rPr>
                <w:rFonts w:ascii="Arial" w:cs="Arial" w:eastAsia="Arial" w:hAnsi="Arial"/>
                <w:sz w:val="16"/>
                <w:szCs w:val="16"/>
                <w:color w:val="auto"/>
              </w:rPr>
              <w:t>10.59</w:t>
            </w:r>
          </w:p>
        </w:tc>
        <w:tc>
          <w:tcPr>
            <w:tcW w:w="12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0140" w:type="dxa"/>
            <w:vAlign w:val="bottom"/>
            <w:tcBorders>
              <w:right w:val="single" w:sz="8" w:color="auto"/>
            </w:tcBorders>
            <w:gridSpan w:val="39"/>
          </w:tcPr>
          <w:p>
            <w:pPr>
              <w:spacing w:after="0" w:line="183" w:lineRule="exact"/>
              <w:rPr>
                <w:rFonts w:ascii="Arial" w:cs="Arial" w:eastAsia="Arial" w:hAnsi="Arial"/>
                <w:sz w:val="16"/>
                <w:szCs w:val="16"/>
                <w:color w:val="0000FF"/>
              </w:rPr>
            </w:pPr>
            <w:hyperlink r:id="rId244">
              <w:r>
                <w:rPr>
                  <w:rFonts w:ascii="Arial" w:cs="Arial" w:eastAsia="Arial" w:hAnsi="Arial"/>
                  <w:sz w:val="16"/>
                  <w:szCs w:val="16"/>
                  <w:color w:val="0000FF"/>
                </w:rPr>
                <w:t>Registration Rights Agreement, dated as of April 3, 2013, among Avis Budget Car Rental, LLC and Avis Budget Finance, Inc., the guarantors</w:t>
              </w:r>
            </w:hyperlink>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9480" w:type="dxa"/>
            <w:vAlign w:val="bottom"/>
            <w:tcBorders>
              <w:top w:val="single" w:sz="8" w:color="0000FF"/>
              <w:bottom w:val="single" w:sz="8" w:color="0000FF"/>
            </w:tcBorders>
            <w:gridSpan w:val="16"/>
          </w:tcPr>
          <w:p>
            <w:pPr>
              <w:spacing w:after="0" w:line="169" w:lineRule="exact"/>
              <w:rPr>
                <w:rFonts w:ascii="Arial" w:cs="Arial" w:eastAsia="Arial" w:hAnsi="Arial"/>
                <w:sz w:val="16"/>
                <w:szCs w:val="16"/>
                <w:color w:val="0000FF"/>
              </w:rPr>
            </w:pPr>
            <w:hyperlink r:id="rId244">
              <w:r>
                <w:rPr>
                  <w:rFonts w:ascii="Arial" w:cs="Arial" w:eastAsia="Arial" w:hAnsi="Arial"/>
                  <w:sz w:val="16"/>
                  <w:szCs w:val="16"/>
                  <w:color w:val="0000FF"/>
                </w:rPr>
                <w:t>parties thereto, Barclays Capital Inc., and the other initial purchasers parties thereto (Incorporated by reference to Exhibit 10.1 to the</w:t>
              </w:r>
            </w:hyperlink>
          </w:p>
        </w:tc>
        <w:tc>
          <w:tcPr>
            <w:tcW w:w="600" w:type="dxa"/>
            <w:vAlign w:val="bottom"/>
            <w:tcBorders>
              <w:top w:val="single" w:sz="8" w:color="0000FF"/>
            </w:tcBorders>
            <w:gridSpan w:val="22"/>
          </w:tcPr>
          <w:p>
            <w:pPr>
              <w:spacing w:after="0"/>
              <w:rPr>
                <w:sz w:val="14"/>
                <w:szCs w:val="14"/>
                <w:color w:val="auto"/>
              </w:rPr>
            </w:pPr>
          </w:p>
        </w:tc>
        <w:tc>
          <w:tcPr>
            <w:tcW w:w="60" w:type="dxa"/>
            <w:vAlign w:val="bottom"/>
            <w:tcBorders>
              <w:right w:val="single" w:sz="8" w:color="auto"/>
            </w:tcBorders>
          </w:tcPr>
          <w:p>
            <w:pPr>
              <w:spacing w:after="0"/>
              <w:rPr>
                <w:sz w:val="14"/>
                <w:szCs w:val="14"/>
                <w:color w:val="auto"/>
              </w:rPr>
            </w:pPr>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140" w:type="dxa"/>
            <w:vAlign w:val="bottom"/>
            <w:tcBorders>
              <w:right w:val="single" w:sz="8" w:color="auto"/>
            </w:tcBorders>
            <w:gridSpan w:val="39"/>
          </w:tcPr>
          <w:p>
            <w:pPr>
              <w:spacing w:after="0" w:line="169" w:lineRule="exact"/>
              <w:rPr>
                <w:rFonts w:ascii="Arial" w:cs="Arial" w:eastAsia="Arial" w:hAnsi="Arial"/>
                <w:sz w:val="16"/>
                <w:szCs w:val="16"/>
                <w:color w:val="0000FF"/>
              </w:rPr>
            </w:pPr>
            <w:hyperlink r:id="rId244">
              <w:r>
                <w:rPr>
                  <w:rFonts w:ascii="Arial" w:cs="Arial" w:eastAsia="Arial" w:hAnsi="Arial"/>
                  <w:sz w:val="16"/>
                  <w:szCs w:val="16"/>
                  <w:color w:val="0000FF"/>
                </w:rPr>
                <w:t>Company’s Current Report on Form 8-K dated April 8, 2013).</w:t>
              </w:r>
            </w:hyperlink>
          </w:p>
        </w:tc>
      </w:tr>
      <w:tr>
        <w:trPr>
          <w:trHeight w:val="34"/>
        </w:trPr>
        <w:tc>
          <w:tcPr>
            <w:tcW w:w="1160" w:type="dxa"/>
            <w:vAlign w:val="bottom"/>
            <w:tcBorders>
              <w:left w:val="single" w:sz="8" w:color="auto"/>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20" w:type="dxa"/>
            <w:vAlign w:val="bottom"/>
            <w:tcBorders>
              <w:top w:val="single" w:sz="8" w:color="0000FF"/>
              <w:bottom w:val="single" w:sz="8" w:color="auto"/>
            </w:tcBorders>
          </w:tcPr>
          <w:p>
            <w:pPr>
              <w:spacing w:after="0"/>
              <w:rPr>
                <w:sz w:val="2"/>
                <w:szCs w:val="2"/>
                <w:color w:val="auto"/>
              </w:rPr>
            </w:pPr>
          </w:p>
        </w:tc>
        <w:tc>
          <w:tcPr>
            <w:tcW w:w="640" w:type="dxa"/>
            <w:vAlign w:val="bottom"/>
            <w:tcBorders>
              <w:top w:val="single" w:sz="8" w:color="0000FF"/>
              <w:bottom w:val="single" w:sz="8" w:color="auto"/>
            </w:tcBorders>
          </w:tcPr>
          <w:p>
            <w:pPr>
              <w:spacing w:after="0"/>
              <w:rPr>
                <w:sz w:val="2"/>
                <w:szCs w:val="2"/>
                <w:color w:val="auto"/>
              </w:rPr>
            </w:pPr>
          </w:p>
        </w:tc>
        <w:tc>
          <w:tcPr>
            <w:tcW w:w="120" w:type="dxa"/>
            <w:vAlign w:val="bottom"/>
            <w:tcBorders>
              <w:top w:val="single" w:sz="8" w:color="0000FF"/>
              <w:bottom w:val="single" w:sz="8" w:color="auto"/>
            </w:tcBorders>
          </w:tcPr>
          <w:p>
            <w:pPr>
              <w:spacing w:after="0"/>
              <w:rPr>
                <w:sz w:val="2"/>
                <w:szCs w:val="2"/>
                <w:color w:val="auto"/>
              </w:rPr>
            </w:pPr>
          </w:p>
        </w:tc>
        <w:tc>
          <w:tcPr>
            <w:tcW w:w="20" w:type="dxa"/>
            <w:vAlign w:val="bottom"/>
            <w:tcBorders>
              <w:top w:val="single" w:sz="8" w:color="0000FF"/>
              <w:bottom w:val="single" w:sz="8" w:color="auto"/>
            </w:tcBorders>
          </w:tcPr>
          <w:p>
            <w:pPr>
              <w:spacing w:after="0"/>
              <w:rPr>
                <w:sz w:val="2"/>
                <w:szCs w:val="2"/>
                <w:color w:val="auto"/>
              </w:rPr>
            </w:pPr>
          </w:p>
        </w:tc>
        <w:tc>
          <w:tcPr>
            <w:tcW w:w="240" w:type="dxa"/>
            <w:vAlign w:val="bottom"/>
            <w:tcBorders>
              <w:top w:val="single" w:sz="8" w:color="0000FF"/>
              <w:bottom w:val="single" w:sz="8" w:color="auto"/>
            </w:tcBorders>
          </w:tcPr>
          <w:p>
            <w:pPr>
              <w:spacing w:after="0"/>
              <w:rPr>
                <w:sz w:val="2"/>
                <w:szCs w:val="2"/>
                <w:color w:val="auto"/>
              </w:rPr>
            </w:pPr>
          </w:p>
        </w:tc>
        <w:tc>
          <w:tcPr>
            <w:tcW w:w="340" w:type="dxa"/>
            <w:vAlign w:val="bottom"/>
            <w:tcBorders>
              <w:top w:val="single" w:sz="8" w:color="0000FF"/>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right w:val="single" w:sz="8" w:color="auto"/>
            </w:tcBorders>
          </w:tcPr>
          <w:p>
            <w:pPr>
              <w:spacing w:after="0"/>
              <w:rPr>
                <w:sz w:val="2"/>
                <w:szCs w:val="2"/>
                <w:color w:val="auto"/>
              </w:rPr>
            </w:pPr>
          </w:p>
        </w:tc>
      </w:tr>
      <w:tr>
        <w:trPr>
          <w:trHeight w:val="183"/>
        </w:trPr>
        <w:tc>
          <w:tcPr>
            <w:tcW w:w="1160" w:type="dxa"/>
            <w:vAlign w:val="bottom"/>
            <w:tcBorders>
              <w:left w:val="single" w:sz="8" w:color="auto"/>
              <w:right w:val="single" w:sz="8" w:color="auto"/>
            </w:tcBorders>
          </w:tcPr>
          <w:p>
            <w:pPr>
              <w:ind w:left="40"/>
              <w:spacing w:after="0" w:line="183" w:lineRule="exact"/>
              <w:rPr>
                <w:sz w:val="20"/>
                <w:szCs w:val="20"/>
                <w:color w:val="auto"/>
              </w:rPr>
            </w:pPr>
            <w:r>
              <w:rPr>
                <w:rFonts w:ascii="Arial" w:cs="Arial" w:eastAsia="Arial" w:hAnsi="Arial"/>
                <w:sz w:val="16"/>
                <w:szCs w:val="16"/>
                <w:color w:val="auto"/>
              </w:rPr>
              <w:t>10.60</w:t>
            </w:r>
          </w:p>
        </w:tc>
        <w:tc>
          <w:tcPr>
            <w:tcW w:w="12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0140" w:type="dxa"/>
            <w:vAlign w:val="bottom"/>
            <w:tcBorders>
              <w:right w:val="single" w:sz="8" w:color="auto"/>
            </w:tcBorders>
            <w:gridSpan w:val="39"/>
          </w:tcPr>
          <w:p>
            <w:pPr>
              <w:spacing w:after="0" w:line="183" w:lineRule="exact"/>
              <w:rPr>
                <w:rFonts w:ascii="Arial" w:cs="Arial" w:eastAsia="Arial" w:hAnsi="Arial"/>
                <w:sz w:val="16"/>
                <w:szCs w:val="16"/>
                <w:color w:val="0000FF"/>
              </w:rPr>
            </w:pPr>
            <w:hyperlink r:id="rId245">
              <w:r>
                <w:rPr>
                  <w:rFonts w:ascii="Arial" w:cs="Arial" w:eastAsia="Arial" w:hAnsi="Arial"/>
                  <w:sz w:val="16"/>
                  <w:szCs w:val="16"/>
                  <w:color w:val="0000FF"/>
                </w:rPr>
                <w:t>Agreement of Resignation, Appointment And Acceptance, dated as of September 5, 2013, by and among Avis Budget Car Rental, LLC, Avis</w:t>
              </w:r>
            </w:hyperlink>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9700" w:type="dxa"/>
            <w:vAlign w:val="bottom"/>
            <w:tcBorders>
              <w:top w:val="single" w:sz="8" w:color="0000FF"/>
              <w:bottom w:val="single" w:sz="8" w:color="0000FF"/>
            </w:tcBorders>
            <w:gridSpan w:val="22"/>
          </w:tcPr>
          <w:p>
            <w:pPr>
              <w:spacing w:after="0" w:line="169" w:lineRule="exact"/>
              <w:rPr>
                <w:rFonts w:ascii="Arial" w:cs="Arial" w:eastAsia="Arial" w:hAnsi="Arial"/>
                <w:sz w:val="16"/>
                <w:szCs w:val="16"/>
                <w:color w:val="0000FF"/>
              </w:rPr>
            </w:pPr>
            <w:hyperlink r:id="rId245">
              <w:r>
                <w:rPr>
                  <w:rFonts w:ascii="Arial" w:cs="Arial" w:eastAsia="Arial" w:hAnsi="Arial"/>
                  <w:sz w:val="16"/>
                  <w:szCs w:val="16"/>
                  <w:color w:val="0000FF"/>
                </w:rPr>
                <w:t>Budget Finance, Inc., The Bank of Nova Scotia Trust Company of New York, as the retiring trustee, and Deutsche Bank Trust Company</w:t>
              </w:r>
            </w:hyperlink>
          </w:p>
        </w:tc>
        <w:tc>
          <w:tcPr>
            <w:tcW w:w="340" w:type="dxa"/>
            <w:vAlign w:val="bottom"/>
            <w:tcBorders>
              <w:top w:val="single" w:sz="8" w:color="0000FF"/>
            </w:tcBorders>
            <w:gridSpan w:val="14"/>
          </w:tcPr>
          <w:p>
            <w:pPr>
              <w:spacing w:after="0"/>
              <w:rPr>
                <w:sz w:val="14"/>
                <w:szCs w:val="14"/>
                <w:color w:val="auto"/>
              </w:rPr>
            </w:pPr>
          </w:p>
        </w:tc>
        <w:tc>
          <w:tcPr>
            <w:tcW w:w="100" w:type="dxa"/>
            <w:vAlign w:val="bottom"/>
            <w:tcBorders>
              <w:right w:val="single" w:sz="8" w:color="auto"/>
            </w:tcBorders>
            <w:gridSpan w:val="3"/>
          </w:tcPr>
          <w:p>
            <w:pPr>
              <w:spacing w:after="0"/>
              <w:rPr>
                <w:sz w:val="14"/>
                <w:szCs w:val="14"/>
                <w:color w:val="auto"/>
              </w:rPr>
            </w:pPr>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9680" w:type="dxa"/>
            <w:vAlign w:val="bottom"/>
            <w:tcBorders>
              <w:bottom w:val="single" w:sz="8" w:color="0000FF"/>
            </w:tcBorders>
            <w:gridSpan w:val="21"/>
          </w:tcPr>
          <w:p>
            <w:pPr>
              <w:spacing w:after="0" w:line="169" w:lineRule="exact"/>
              <w:rPr>
                <w:rFonts w:ascii="Arial" w:cs="Arial" w:eastAsia="Arial" w:hAnsi="Arial"/>
                <w:sz w:val="16"/>
                <w:szCs w:val="16"/>
                <w:color w:val="0000FF"/>
              </w:rPr>
            </w:pPr>
            <w:hyperlink r:id="rId245">
              <w:r>
                <w:rPr>
                  <w:rFonts w:ascii="Arial" w:cs="Arial" w:eastAsia="Arial" w:hAnsi="Arial"/>
                  <w:sz w:val="16"/>
                  <w:szCs w:val="16"/>
                  <w:color w:val="0000FF"/>
                </w:rPr>
                <w:t>Americas, as the successor trustee under the indentures described therein (Incorporated by reference to Exhibit 10.4 to the Company’s</w:t>
              </w:r>
            </w:hyperlink>
          </w:p>
        </w:tc>
        <w:tc>
          <w:tcPr>
            <w:tcW w:w="460" w:type="dxa"/>
            <w:vAlign w:val="bottom"/>
            <w:tcBorders>
              <w:right w:val="single" w:sz="8" w:color="auto"/>
            </w:tcBorders>
            <w:gridSpan w:val="18"/>
          </w:tcPr>
          <w:p>
            <w:pPr>
              <w:spacing w:after="0"/>
              <w:rPr>
                <w:sz w:val="14"/>
                <w:szCs w:val="14"/>
                <w:color w:val="auto"/>
              </w:rPr>
            </w:pPr>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140" w:type="dxa"/>
            <w:vAlign w:val="bottom"/>
            <w:tcBorders>
              <w:right w:val="single" w:sz="8" w:color="auto"/>
            </w:tcBorders>
            <w:gridSpan w:val="39"/>
          </w:tcPr>
          <w:p>
            <w:pPr>
              <w:spacing w:after="0" w:line="169" w:lineRule="exact"/>
              <w:rPr>
                <w:rFonts w:ascii="Arial" w:cs="Arial" w:eastAsia="Arial" w:hAnsi="Arial"/>
                <w:sz w:val="16"/>
                <w:szCs w:val="16"/>
                <w:color w:val="0000FF"/>
              </w:rPr>
            </w:pPr>
            <w:hyperlink r:id="rId245">
              <w:r>
                <w:rPr>
                  <w:rFonts w:ascii="Arial" w:cs="Arial" w:eastAsia="Arial" w:hAnsi="Arial"/>
                  <w:sz w:val="16"/>
                  <w:szCs w:val="16"/>
                  <w:color w:val="0000FF"/>
                </w:rPr>
                <w:t>Quarterly Report on Form 10-Q for the period ended September 30, 2013, dated November 1, 2013).</w:t>
              </w:r>
            </w:hyperlink>
          </w:p>
        </w:tc>
      </w:tr>
      <w:tr>
        <w:trPr>
          <w:trHeight w:val="34"/>
        </w:trPr>
        <w:tc>
          <w:tcPr>
            <w:tcW w:w="1160" w:type="dxa"/>
            <w:vAlign w:val="bottom"/>
            <w:tcBorders>
              <w:left w:val="single" w:sz="8" w:color="auto"/>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20" w:type="dxa"/>
            <w:vAlign w:val="bottom"/>
            <w:tcBorders>
              <w:top w:val="single" w:sz="8" w:color="0000FF"/>
              <w:bottom w:val="single" w:sz="8" w:color="auto"/>
            </w:tcBorders>
          </w:tcPr>
          <w:p>
            <w:pPr>
              <w:spacing w:after="0"/>
              <w:rPr>
                <w:sz w:val="2"/>
                <w:szCs w:val="2"/>
                <w:color w:val="auto"/>
              </w:rPr>
            </w:pPr>
          </w:p>
        </w:tc>
        <w:tc>
          <w:tcPr>
            <w:tcW w:w="640" w:type="dxa"/>
            <w:vAlign w:val="bottom"/>
            <w:tcBorders>
              <w:top w:val="single" w:sz="8" w:color="0000FF"/>
              <w:bottom w:val="single" w:sz="8" w:color="auto"/>
            </w:tcBorders>
          </w:tcPr>
          <w:p>
            <w:pPr>
              <w:spacing w:after="0"/>
              <w:rPr>
                <w:sz w:val="2"/>
                <w:szCs w:val="2"/>
                <w:color w:val="auto"/>
              </w:rPr>
            </w:pPr>
          </w:p>
        </w:tc>
        <w:tc>
          <w:tcPr>
            <w:tcW w:w="120" w:type="dxa"/>
            <w:vAlign w:val="bottom"/>
            <w:tcBorders>
              <w:top w:val="single" w:sz="8" w:color="0000FF"/>
              <w:bottom w:val="single" w:sz="8" w:color="auto"/>
            </w:tcBorders>
          </w:tcPr>
          <w:p>
            <w:pPr>
              <w:spacing w:after="0"/>
              <w:rPr>
                <w:sz w:val="2"/>
                <w:szCs w:val="2"/>
                <w:color w:val="auto"/>
              </w:rPr>
            </w:pPr>
          </w:p>
        </w:tc>
        <w:tc>
          <w:tcPr>
            <w:tcW w:w="20" w:type="dxa"/>
            <w:vAlign w:val="bottom"/>
            <w:tcBorders>
              <w:top w:val="single" w:sz="8" w:color="0000FF"/>
              <w:bottom w:val="single" w:sz="8" w:color="auto"/>
            </w:tcBorders>
          </w:tcPr>
          <w:p>
            <w:pPr>
              <w:spacing w:after="0"/>
              <w:rPr>
                <w:sz w:val="2"/>
                <w:szCs w:val="2"/>
                <w:color w:val="auto"/>
              </w:rPr>
            </w:pPr>
          </w:p>
        </w:tc>
        <w:tc>
          <w:tcPr>
            <w:tcW w:w="240" w:type="dxa"/>
            <w:vAlign w:val="bottom"/>
            <w:tcBorders>
              <w:top w:val="single" w:sz="8" w:color="0000FF"/>
              <w:bottom w:val="single" w:sz="8" w:color="auto"/>
            </w:tcBorders>
          </w:tcPr>
          <w:p>
            <w:pPr>
              <w:spacing w:after="0"/>
              <w:rPr>
                <w:sz w:val="2"/>
                <w:szCs w:val="2"/>
                <w:color w:val="auto"/>
              </w:rPr>
            </w:pPr>
          </w:p>
        </w:tc>
        <w:tc>
          <w:tcPr>
            <w:tcW w:w="340" w:type="dxa"/>
            <w:vAlign w:val="bottom"/>
            <w:tcBorders>
              <w:top w:val="single" w:sz="8" w:color="0000FF"/>
              <w:bottom w:val="single" w:sz="8" w:color="auto"/>
            </w:tcBorders>
          </w:tcPr>
          <w:p>
            <w:pPr>
              <w:spacing w:after="0"/>
              <w:rPr>
                <w:sz w:val="2"/>
                <w:szCs w:val="2"/>
                <w:color w:val="auto"/>
              </w:rPr>
            </w:pPr>
          </w:p>
        </w:tc>
        <w:tc>
          <w:tcPr>
            <w:tcW w:w="1320" w:type="dxa"/>
            <w:vAlign w:val="bottom"/>
            <w:tcBorders>
              <w:top w:val="single" w:sz="8" w:color="0000FF"/>
              <w:bottom w:val="single" w:sz="8" w:color="auto"/>
            </w:tcBorders>
          </w:tcPr>
          <w:p>
            <w:pPr>
              <w:spacing w:after="0"/>
              <w:rPr>
                <w:sz w:val="2"/>
                <w:szCs w:val="2"/>
                <w:color w:val="auto"/>
              </w:rPr>
            </w:pPr>
          </w:p>
        </w:tc>
        <w:tc>
          <w:tcPr>
            <w:tcW w:w="60" w:type="dxa"/>
            <w:vAlign w:val="bottom"/>
            <w:tcBorders>
              <w:top w:val="single" w:sz="8" w:color="0000FF"/>
              <w:bottom w:val="single" w:sz="8" w:color="auto"/>
            </w:tcBorders>
          </w:tcPr>
          <w:p>
            <w:pPr>
              <w:spacing w:after="0"/>
              <w:rPr>
                <w:sz w:val="2"/>
                <w:szCs w:val="2"/>
                <w:color w:val="auto"/>
              </w:rPr>
            </w:pPr>
          </w:p>
        </w:tc>
        <w:tc>
          <w:tcPr>
            <w:tcW w:w="80" w:type="dxa"/>
            <w:vAlign w:val="bottom"/>
            <w:tcBorders>
              <w:top w:val="single" w:sz="8" w:color="0000FF"/>
              <w:bottom w:val="single" w:sz="8" w:color="auto"/>
            </w:tcBorders>
          </w:tcPr>
          <w:p>
            <w:pPr>
              <w:spacing w:after="0"/>
              <w:rPr>
                <w:sz w:val="2"/>
                <w:szCs w:val="2"/>
                <w:color w:val="auto"/>
              </w:rPr>
            </w:pPr>
          </w:p>
        </w:tc>
        <w:tc>
          <w:tcPr>
            <w:tcW w:w="1400" w:type="dxa"/>
            <w:vAlign w:val="bottom"/>
            <w:tcBorders>
              <w:top w:val="single" w:sz="8" w:color="0000FF"/>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right w:val="single" w:sz="8" w:color="auto"/>
            </w:tcBorders>
          </w:tcPr>
          <w:p>
            <w:pPr>
              <w:spacing w:after="0"/>
              <w:rPr>
                <w:sz w:val="2"/>
                <w:szCs w:val="2"/>
                <w:color w:val="auto"/>
              </w:rPr>
            </w:pPr>
          </w:p>
        </w:tc>
      </w:tr>
      <w:tr>
        <w:trPr>
          <w:trHeight w:val="183"/>
        </w:trPr>
        <w:tc>
          <w:tcPr>
            <w:tcW w:w="1160" w:type="dxa"/>
            <w:vAlign w:val="bottom"/>
            <w:tcBorders>
              <w:left w:val="single" w:sz="8" w:color="auto"/>
              <w:right w:val="single" w:sz="8" w:color="auto"/>
            </w:tcBorders>
          </w:tcPr>
          <w:p>
            <w:pPr>
              <w:ind w:left="40"/>
              <w:spacing w:after="0" w:line="183" w:lineRule="exact"/>
              <w:rPr>
                <w:sz w:val="20"/>
                <w:szCs w:val="20"/>
                <w:color w:val="auto"/>
              </w:rPr>
            </w:pPr>
            <w:r>
              <w:rPr>
                <w:rFonts w:ascii="Arial" w:cs="Arial" w:eastAsia="Arial" w:hAnsi="Arial"/>
                <w:sz w:val="16"/>
                <w:szCs w:val="16"/>
                <w:color w:val="auto"/>
              </w:rPr>
              <w:t>10.61</w:t>
            </w:r>
          </w:p>
        </w:tc>
        <w:tc>
          <w:tcPr>
            <w:tcW w:w="12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0140" w:type="dxa"/>
            <w:vAlign w:val="bottom"/>
            <w:tcBorders>
              <w:right w:val="single" w:sz="8" w:color="auto"/>
            </w:tcBorders>
            <w:gridSpan w:val="39"/>
          </w:tcPr>
          <w:p>
            <w:pPr>
              <w:spacing w:after="0" w:line="183" w:lineRule="exact"/>
              <w:rPr>
                <w:rFonts w:ascii="Arial" w:cs="Arial" w:eastAsia="Arial" w:hAnsi="Arial"/>
                <w:sz w:val="16"/>
                <w:szCs w:val="16"/>
                <w:color w:val="0000FF"/>
              </w:rPr>
            </w:pPr>
            <w:hyperlink r:id="rId246">
              <w:r>
                <w:rPr>
                  <w:rFonts w:ascii="Arial" w:cs="Arial" w:eastAsia="Arial" w:hAnsi="Arial"/>
                  <w:sz w:val="16"/>
                  <w:szCs w:val="16"/>
                  <w:color w:val="0000FF"/>
                </w:rPr>
                <w:t>Purchase Agreement, dated as of May 13, 2014, by and among Avis Budget Car Rental, LLC and Avis Budget Finance, Inc. as issuers, Avis</w:t>
              </w:r>
            </w:hyperlink>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40" w:type="dxa"/>
            <w:vAlign w:val="bottom"/>
            <w:tcBorders>
              <w:top w:val="single" w:sz="8" w:color="0000FF"/>
            </w:tcBorders>
            <w:gridSpan w:val="36"/>
          </w:tcPr>
          <w:p>
            <w:pPr>
              <w:spacing w:after="0" w:line="169" w:lineRule="exact"/>
              <w:rPr>
                <w:rFonts w:ascii="Arial" w:cs="Arial" w:eastAsia="Arial" w:hAnsi="Arial"/>
                <w:sz w:val="16"/>
                <w:szCs w:val="16"/>
                <w:color w:val="0000FF"/>
              </w:rPr>
            </w:pPr>
            <w:hyperlink r:id="rId246">
              <w:r>
                <w:rPr>
                  <w:rFonts w:ascii="Arial" w:cs="Arial" w:eastAsia="Arial" w:hAnsi="Arial"/>
                  <w:sz w:val="16"/>
                  <w:szCs w:val="16"/>
                  <w:color w:val="0000FF"/>
                </w:rPr>
                <w:t>Budget Group, Inc. and certain of its subsidiaries as guarantors, Morgan Stanley</w:t>
              </w:r>
            </w:hyperlink>
          </w:p>
        </w:tc>
        <w:tc>
          <w:tcPr>
            <w:tcW w:w="100" w:type="dxa"/>
            <w:vAlign w:val="bottom"/>
            <w:tcBorders>
              <w:right w:val="single" w:sz="8" w:color="auto"/>
            </w:tcBorders>
            <w:gridSpan w:val="3"/>
          </w:tcPr>
          <w:p>
            <w:pPr>
              <w:spacing w:after="0"/>
              <w:rPr>
                <w:sz w:val="14"/>
                <w:szCs w:val="14"/>
                <w:color w:val="auto"/>
              </w:rPr>
            </w:pPr>
          </w:p>
        </w:tc>
      </w:tr>
      <w:tr>
        <w:trPr>
          <w:trHeight w:val="20"/>
        </w:trPr>
        <w:tc>
          <w:tcPr>
            <w:tcW w:w="1160" w:type="dxa"/>
            <w:vAlign w:val="bottom"/>
            <w:tcBorders>
              <w:left w:val="single" w:sz="8" w:color="auto"/>
              <w:right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20" w:type="dxa"/>
            <w:vAlign w:val="bottom"/>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1980" w:type="dxa"/>
            <w:vAlign w:val="bottom"/>
            <w:gridSpan w:val="5"/>
            <w:shd w:val="clear" w:color="auto" w:fill="0000FF"/>
          </w:tcPr>
          <w:p>
            <w:pPr>
              <w:spacing w:after="0" w:line="20" w:lineRule="exact"/>
              <w:rPr>
                <w:sz w:val="1"/>
                <w:szCs w:val="1"/>
                <w:color w:val="auto"/>
              </w:rPr>
            </w:pPr>
          </w:p>
        </w:tc>
        <w:tc>
          <w:tcPr>
            <w:tcW w:w="1620" w:type="dxa"/>
            <w:vAlign w:val="bottom"/>
            <w:gridSpan w:val="3"/>
          </w:tcPr>
          <w:p>
            <w:pPr>
              <w:spacing w:after="0" w:line="20" w:lineRule="exact"/>
              <w:rPr>
                <w:sz w:val="1"/>
                <w:szCs w:val="1"/>
                <w:color w:val="auto"/>
              </w:rPr>
            </w:pPr>
          </w:p>
        </w:tc>
        <w:tc>
          <w:tcPr>
            <w:tcW w:w="2000" w:type="dxa"/>
            <w:vAlign w:val="bottom"/>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0" w:type="dxa"/>
            <w:vAlign w:val="bottom"/>
            <w:gridSpan w:val="1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right w:val="single" w:sz="8" w:color="auto"/>
            </w:tcBorders>
            <w:gridSpan w:val="3"/>
          </w:tcPr>
          <w:p>
            <w:pPr>
              <w:spacing w:after="0" w:line="20" w:lineRule="exact"/>
              <w:rPr>
                <w:sz w:val="1"/>
                <w:szCs w:val="1"/>
                <w:color w:val="auto"/>
              </w:rPr>
            </w:pPr>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140" w:type="dxa"/>
            <w:vAlign w:val="bottom"/>
            <w:tcBorders>
              <w:right w:val="single" w:sz="8" w:color="auto"/>
            </w:tcBorders>
            <w:gridSpan w:val="39"/>
          </w:tcPr>
          <w:p>
            <w:pPr>
              <w:spacing w:after="0" w:line="169" w:lineRule="exact"/>
              <w:rPr>
                <w:rFonts w:ascii="Arial" w:cs="Arial" w:eastAsia="Arial" w:hAnsi="Arial"/>
                <w:sz w:val="16"/>
                <w:szCs w:val="16"/>
                <w:color w:val="0000FF"/>
              </w:rPr>
            </w:pPr>
            <w:hyperlink r:id="rId246">
              <w:r>
                <w:rPr>
                  <w:rFonts w:ascii="Arial" w:cs="Arial" w:eastAsia="Arial" w:hAnsi="Arial"/>
                  <w:sz w:val="16"/>
                  <w:szCs w:val="16"/>
                  <w:color w:val="0000FF"/>
                </w:rPr>
                <w:t>&amp; Co. LLC for itself and on behalf of the several initial purchasers (Incorporated by reference to Exhibit 10.1 to the Company’s Current</w:t>
              </w:r>
            </w:hyperlink>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9580" w:type="dxa"/>
            <w:vAlign w:val="bottom"/>
            <w:tcBorders>
              <w:top w:val="single" w:sz="8" w:color="0000FF"/>
            </w:tcBorders>
            <w:gridSpan w:val="19"/>
          </w:tcPr>
          <w:p>
            <w:pPr>
              <w:spacing w:after="0" w:line="169" w:lineRule="exact"/>
              <w:rPr>
                <w:rFonts w:ascii="Arial" w:cs="Arial" w:eastAsia="Arial" w:hAnsi="Arial"/>
                <w:sz w:val="16"/>
                <w:szCs w:val="16"/>
                <w:color w:val="0000FF"/>
              </w:rPr>
            </w:pPr>
            <w:hyperlink r:id="rId246">
              <w:r>
                <w:rPr>
                  <w:rFonts w:ascii="Arial" w:cs="Arial" w:eastAsia="Arial" w:hAnsi="Arial"/>
                  <w:sz w:val="16"/>
                  <w:szCs w:val="16"/>
                  <w:color w:val="0000FF"/>
                </w:rPr>
                <w:t>Report on Form 8-K dated May 19, 2014).</w:t>
              </w:r>
            </w:hyperlink>
          </w:p>
        </w:tc>
        <w:tc>
          <w:tcPr>
            <w:tcW w:w="560" w:type="dxa"/>
            <w:vAlign w:val="bottom"/>
            <w:tcBorders>
              <w:right w:val="single" w:sz="8" w:color="auto"/>
            </w:tcBorders>
            <w:gridSpan w:val="20"/>
          </w:tcPr>
          <w:p>
            <w:pPr>
              <w:spacing w:after="0"/>
              <w:rPr>
                <w:sz w:val="14"/>
                <w:szCs w:val="14"/>
                <w:color w:val="auto"/>
              </w:rPr>
            </w:pPr>
          </w:p>
        </w:tc>
      </w:tr>
      <w:tr>
        <w:trPr>
          <w:trHeight w:val="34"/>
        </w:trPr>
        <w:tc>
          <w:tcPr>
            <w:tcW w:w="1160" w:type="dxa"/>
            <w:vAlign w:val="bottom"/>
            <w:tcBorders>
              <w:left w:val="single" w:sz="8" w:color="auto"/>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20" w:type="dxa"/>
            <w:vAlign w:val="bottom"/>
            <w:tcBorders>
              <w:top w:val="single" w:sz="8" w:color="0000FF"/>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right w:val="single" w:sz="8" w:color="auto"/>
            </w:tcBorders>
          </w:tcPr>
          <w:p>
            <w:pPr>
              <w:spacing w:after="0"/>
              <w:rPr>
                <w:sz w:val="2"/>
                <w:szCs w:val="2"/>
                <w:color w:val="auto"/>
              </w:rPr>
            </w:pPr>
          </w:p>
        </w:tc>
      </w:tr>
      <w:tr>
        <w:trPr>
          <w:trHeight w:val="183"/>
        </w:trPr>
        <w:tc>
          <w:tcPr>
            <w:tcW w:w="1160" w:type="dxa"/>
            <w:vAlign w:val="bottom"/>
            <w:tcBorders>
              <w:left w:val="single" w:sz="8" w:color="auto"/>
              <w:right w:val="single" w:sz="8" w:color="auto"/>
            </w:tcBorders>
          </w:tcPr>
          <w:p>
            <w:pPr>
              <w:ind w:left="40"/>
              <w:spacing w:after="0" w:line="183" w:lineRule="exact"/>
              <w:rPr>
                <w:sz w:val="20"/>
                <w:szCs w:val="20"/>
                <w:color w:val="auto"/>
              </w:rPr>
            </w:pPr>
            <w:r>
              <w:rPr>
                <w:rFonts w:ascii="Arial" w:cs="Arial" w:eastAsia="Arial" w:hAnsi="Arial"/>
                <w:sz w:val="16"/>
                <w:szCs w:val="16"/>
                <w:color w:val="auto"/>
              </w:rPr>
              <w:t>10.62</w:t>
            </w:r>
          </w:p>
        </w:tc>
        <w:tc>
          <w:tcPr>
            <w:tcW w:w="12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0140" w:type="dxa"/>
            <w:vAlign w:val="bottom"/>
            <w:tcBorders>
              <w:right w:val="single" w:sz="8" w:color="auto"/>
            </w:tcBorders>
            <w:gridSpan w:val="39"/>
          </w:tcPr>
          <w:p>
            <w:pPr>
              <w:spacing w:after="0" w:line="183" w:lineRule="exact"/>
              <w:rPr>
                <w:rFonts w:ascii="Arial" w:cs="Arial" w:eastAsia="Arial" w:hAnsi="Arial"/>
                <w:sz w:val="16"/>
                <w:szCs w:val="16"/>
                <w:color w:val="0000FF"/>
              </w:rPr>
            </w:pPr>
            <w:hyperlink r:id="rId247">
              <w:r>
                <w:rPr>
                  <w:rFonts w:ascii="Arial" w:cs="Arial" w:eastAsia="Arial" w:hAnsi="Arial"/>
                  <w:sz w:val="16"/>
                  <w:szCs w:val="16"/>
                  <w:color w:val="0000FF"/>
                </w:rPr>
                <w:t>Purchase Agreement, dated as of November 6, 2014, by and among Avis Budget Car Rental, LLC and Avis Budget Finance, Inc. as issuers,</w:t>
              </w:r>
            </w:hyperlink>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00" w:type="dxa"/>
            <w:vAlign w:val="bottom"/>
            <w:tcBorders>
              <w:top w:val="single" w:sz="8" w:color="0000FF"/>
              <w:bottom w:val="single" w:sz="8" w:color="0000FF"/>
            </w:tcBorders>
            <w:gridSpan w:val="35"/>
          </w:tcPr>
          <w:p>
            <w:pPr>
              <w:spacing w:after="0" w:line="169" w:lineRule="exact"/>
              <w:rPr>
                <w:rFonts w:ascii="Arial" w:cs="Arial" w:eastAsia="Arial" w:hAnsi="Arial"/>
                <w:sz w:val="16"/>
                <w:szCs w:val="16"/>
                <w:color w:val="0000FF"/>
              </w:rPr>
            </w:pPr>
            <w:hyperlink r:id="rId247">
              <w:r>
                <w:rPr>
                  <w:rFonts w:ascii="Arial" w:cs="Arial" w:eastAsia="Arial" w:hAnsi="Arial"/>
                  <w:sz w:val="16"/>
                  <w:szCs w:val="16"/>
                  <w:color w:val="0000FF"/>
                </w:rPr>
                <w:t>Avis Budget Group, Inc. and certain of its subsidiaries as guarantors, and Credit Agricole Securities (USA) Inc. for itself and on behalf of the</w:t>
              </w:r>
            </w:hyperlink>
          </w:p>
        </w:tc>
        <w:tc>
          <w:tcPr>
            <w:tcW w:w="40" w:type="dxa"/>
            <w:vAlign w:val="bottom"/>
            <w:tcBorders>
              <w:top w:val="single" w:sz="8" w:color="0000FF"/>
            </w:tcBorders>
          </w:tcPr>
          <w:p>
            <w:pPr>
              <w:spacing w:after="0"/>
              <w:rPr>
                <w:sz w:val="14"/>
                <w:szCs w:val="14"/>
                <w:color w:val="auto"/>
              </w:rPr>
            </w:pPr>
          </w:p>
        </w:tc>
        <w:tc>
          <w:tcPr>
            <w:tcW w:w="100" w:type="dxa"/>
            <w:vAlign w:val="bottom"/>
            <w:tcBorders>
              <w:right w:val="single" w:sz="8" w:color="auto"/>
            </w:tcBorders>
            <w:gridSpan w:val="3"/>
          </w:tcPr>
          <w:p>
            <w:pPr>
              <w:spacing w:after="0"/>
              <w:rPr>
                <w:sz w:val="14"/>
                <w:szCs w:val="14"/>
                <w:color w:val="auto"/>
              </w:rPr>
            </w:pPr>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140" w:type="dxa"/>
            <w:vAlign w:val="bottom"/>
            <w:tcBorders>
              <w:right w:val="single" w:sz="8" w:color="auto"/>
            </w:tcBorders>
            <w:gridSpan w:val="39"/>
          </w:tcPr>
          <w:p>
            <w:pPr>
              <w:spacing w:after="0" w:line="169" w:lineRule="exact"/>
              <w:rPr>
                <w:rFonts w:ascii="Arial" w:cs="Arial" w:eastAsia="Arial" w:hAnsi="Arial"/>
                <w:sz w:val="16"/>
                <w:szCs w:val="16"/>
                <w:color w:val="0000FF"/>
              </w:rPr>
            </w:pPr>
            <w:hyperlink r:id="rId247">
              <w:r>
                <w:rPr>
                  <w:rFonts w:ascii="Arial" w:cs="Arial" w:eastAsia="Arial" w:hAnsi="Arial"/>
                  <w:sz w:val="16"/>
                  <w:szCs w:val="16"/>
                  <w:color w:val="0000FF"/>
                </w:rPr>
                <w:t>several initial purchasers (Incorporated by reference to Exhibit 10.73 to Avis Budget Car Rental, LLC and Avis Budget Finance, Inc.’s</w:t>
              </w:r>
            </w:hyperlink>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9500" w:type="dxa"/>
            <w:vAlign w:val="bottom"/>
            <w:tcBorders>
              <w:top w:val="single" w:sz="8" w:color="0000FF"/>
            </w:tcBorders>
            <w:gridSpan w:val="17"/>
          </w:tcPr>
          <w:p>
            <w:pPr>
              <w:spacing w:after="0" w:line="169" w:lineRule="exact"/>
              <w:rPr>
                <w:rFonts w:ascii="Arial" w:cs="Arial" w:eastAsia="Arial" w:hAnsi="Arial"/>
                <w:sz w:val="16"/>
                <w:szCs w:val="16"/>
                <w:color w:val="0000FF"/>
              </w:rPr>
            </w:pPr>
            <w:hyperlink r:id="rId247">
              <w:r>
                <w:rPr>
                  <w:rFonts w:ascii="Arial" w:cs="Arial" w:eastAsia="Arial" w:hAnsi="Arial"/>
                  <w:sz w:val="16"/>
                  <w:szCs w:val="16"/>
                  <w:color w:val="0000FF"/>
                </w:rPr>
                <w:t>Registration Statement on Form S-4, Registration Number 333-201102-19, dated December 19, 2014).</w:t>
              </w:r>
            </w:hyperlink>
          </w:p>
        </w:tc>
        <w:tc>
          <w:tcPr>
            <w:tcW w:w="640" w:type="dxa"/>
            <w:vAlign w:val="bottom"/>
            <w:tcBorders>
              <w:right w:val="single" w:sz="8" w:color="auto"/>
            </w:tcBorders>
            <w:gridSpan w:val="22"/>
          </w:tcPr>
          <w:p>
            <w:pPr>
              <w:spacing w:after="0"/>
              <w:rPr>
                <w:sz w:val="14"/>
                <w:szCs w:val="14"/>
                <w:color w:val="auto"/>
              </w:rPr>
            </w:pPr>
          </w:p>
        </w:tc>
      </w:tr>
      <w:tr>
        <w:trPr>
          <w:trHeight w:val="34"/>
        </w:trPr>
        <w:tc>
          <w:tcPr>
            <w:tcW w:w="1160" w:type="dxa"/>
            <w:vAlign w:val="bottom"/>
            <w:tcBorders>
              <w:left w:val="single" w:sz="8" w:color="auto"/>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20" w:type="dxa"/>
            <w:vAlign w:val="bottom"/>
            <w:tcBorders>
              <w:top w:val="single" w:sz="8" w:color="0000FF"/>
              <w:bottom w:val="single" w:sz="8" w:color="auto"/>
            </w:tcBorders>
          </w:tcPr>
          <w:p>
            <w:pPr>
              <w:spacing w:after="0"/>
              <w:rPr>
                <w:sz w:val="2"/>
                <w:szCs w:val="2"/>
                <w:color w:val="auto"/>
              </w:rPr>
            </w:pPr>
          </w:p>
        </w:tc>
        <w:tc>
          <w:tcPr>
            <w:tcW w:w="640" w:type="dxa"/>
            <w:vAlign w:val="bottom"/>
            <w:tcBorders>
              <w:top w:val="single" w:sz="8" w:color="0000FF"/>
              <w:bottom w:val="single" w:sz="8" w:color="auto"/>
            </w:tcBorders>
          </w:tcPr>
          <w:p>
            <w:pPr>
              <w:spacing w:after="0"/>
              <w:rPr>
                <w:sz w:val="2"/>
                <w:szCs w:val="2"/>
                <w:color w:val="auto"/>
              </w:rPr>
            </w:pPr>
          </w:p>
        </w:tc>
        <w:tc>
          <w:tcPr>
            <w:tcW w:w="120" w:type="dxa"/>
            <w:vAlign w:val="bottom"/>
            <w:tcBorders>
              <w:top w:val="single" w:sz="8" w:color="0000FF"/>
              <w:bottom w:val="single" w:sz="8" w:color="auto"/>
            </w:tcBorders>
          </w:tcPr>
          <w:p>
            <w:pPr>
              <w:spacing w:after="0"/>
              <w:rPr>
                <w:sz w:val="2"/>
                <w:szCs w:val="2"/>
                <w:color w:val="auto"/>
              </w:rPr>
            </w:pPr>
          </w:p>
        </w:tc>
        <w:tc>
          <w:tcPr>
            <w:tcW w:w="20" w:type="dxa"/>
            <w:vAlign w:val="bottom"/>
            <w:tcBorders>
              <w:top w:val="single" w:sz="8" w:color="0000FF"/>
              <w:bottom w:val="single" w:sz="8" w:color="auto"/>
            </w:tcBorders>
          </w:tcPr>
          <w:p>
            <w:pPr>
              <w:spacing w:after="0"/>
              <w:rPr>
                <w:sz w:val="2"/>
                <w:szCs w:val="2"/>
                <w:color w:val="auto"/>
              </w:rPr>
            </w:pPr>
          </w:p>
        </w:tc>
        <w:tc>
          <w:tcPr>
            <w:tcW w:w="240" w:type="dxa"/>
            <w:vAlign w:val="bottom"/>
            <w:tcBorders>
              <w:top w:val="single" w:sz="8" w:color="0000FF"/>
              <w:bottom w:val="single" w:sz="8" w:color="auto"/>
            </w:tcBorders>
          </w:tcPr>
          <w:p>
            <w:pPr>
              <w:spacing w:after="0"/>
              <w:rPr>
                <w:sz w:val="2"/>
                <w:szCs w:val="2"/>
                <w:color w:val="auto"/>
              </w:rPr>
            </w:pPr>
          </w:p>
        </w:tc>
        <w:tc>
          <w:tcPr>
            <w:tcW w:w="340" w:type="dxa"/>
            <w:vAlign w:val="bottom"/>
            <w:tcBorders>
              <w:top w:val="single" w:sz="8" w:color="0000FF"/>
              <w:bottom w:val="single" w:sz="8" w:color="auto"/>
            </w:tcBorders>
          </w:tcPr>
          <w:p>
            <w:pPr>
              <w:spacing w:after="0"/>
              <w:rPr>
                <w:sz w:val="2"/>
                <w:szCs w:val="2"/>
                <w:color w:val="auto"/>
              </w:rPr>
            </w:pPr>
          </w:p>
        </w:tc>
        <w:tc>
          <w:tcPr>
            <w:tcW w:w="1320" w:type="dxa"/>
            <w:vAlign w:val="bottom"/>
            <w:tcBorders>
              <w:top w:val="single" w:sz="8" w:color="0000FF"/>
              <w:bottom w:val="single" w:sz="8" w:color="auto"/>
            </w:tcBorders>
          </w:tcPr>
          <w:p>
            <w:pPr>
              <w:spacing w:after="0"/>
              <w:rPr>
                <w:sz w:val="2"/>
                <w:szCs w:val="2"/>
                <w:color w:val="auto"/>
              </w:rPr>
            </w:pPr>
          </w:p>
        </w:tc>
        <w:tc>
          <w:tcPr>
            <w:tcW w:w="60" w:type="dxa"/>
            <w:vAlign w:val="bottom"/>
            <w:tcBorders>
              <w:top w:val="single" w:sz="8" w:color="0000FF"/>
              <w:bottom w:val="single" w:sz="8" w:color="auto"/>
            </w:tcBorders>
          </w:tcPr>
          <w:p>
            <w:pPr>
              <w:spacing w:after="0"/>
              <w:rPr>
                <w:sz w:val="2"/>
                <w:szCs w:val="2"/>
                <w:color w:val="auto"/>
              </w:rPr>
            </w:pPr>
          </w:p>
        </w:tc>
        <w:tc>
          <w:tcPr>
            <w:tcW w:w="80" w:type="dxa"/>
            <w:vAlign w:val="bottom"/>
            <w:tcBorders>
              <w:top w:val="single" w:sz="8" w:color="0000FF"/>
              <w:bottom w:val="single" w:sz="8" w:color="auto"/>
            </w:tcBorders>
          </w:tcPr>
          <w:p>
            <w:pPr>
              <w:spacing w:after="0"/>
              <w:rPr>
                <w:sz w:val="2"/>
                <w:szCs w:val="2"/>
                <w:color w:val="auto"/>
              </w:rPr>
            </w:pPr>
          </w:p>
        </w:tc>
        <w:tc>
          <w:tcPr>
            <w:tcW w:w="1400" w:type="dxa"/>
            <w:vAlign w:val="bottom"/>
            <w:tcBorders>
              <w:top w:val="single" w:sz="8" w:color="0000FF"/>
              <w:bottom w:val="single" w:sz="8" w:color="auto"/>
            </w:tcBorders>
          </w:tcPr>
          <w:p>
            <w:pPr>
              <w:spacing w:after="0"/>
              <w:rPr>
                <w:sz w:val="2"/>
                <w:szCs w:val="2"/>
                <w:color w:val="auto"/>
              </w:rPr>
            </w:pPr>
          </w:p>
        </w:tc>
        <w:tc>
          <w:tcPr>
            <w:tcW w:w="140" w:type="dxa"/>
            <w:vAlign w:val="bottom"/>
            <w:tcBorders>
              <w:top w:val="single" w:sz="8" w:color="0000FF"/>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right w:val="single" w:sz="8" w:color="auto"/>
            </w:tcBorders>
          </w:tcPr>
          <w:p>
            <w:pPr>
              <w:spacing w:after="0"/>
              <w:rPr>
                <w:sz w:val="2"/>
                <w:szCs w:val="2"/>
                <w:color w:val="auto"/>
              </w:rPr>
            </w:pPr>
          </w:p>
        </w:tc>
      </w:tr>
      <w:tr>
        <w:trPr>
          <w:trHeight w:val="183"/>
        </w:trPr>
        <w:tc>
          <w:tcPr>
            <w:tcW w:w="1160" w:type="dxa"/>
            <w:vAlign w:val="bottom"/>
            <w:tcBorders>
              <w:left w:val="single" w:sz="8" w:color="auto"/>
              <w:right w:val="single" w:sz="8" w:color="auto"/>
            </w:tcBorders>
          </w:tcPr>
          <w:p>
            <w:pPr>
              <w:ind w:left="40"/>
              <w:spacing w:after="0" w:line="183" w:lineRule="exact"/>
              <w:rPr>
                <w:sz w:val="20"/>
                <w:szCs w:val="20"/>
                <w:color w:val="auto"/>
              </w:rPr>
            </w:pPr>
            <w:r>
              <w:rPr>
                <w:rFonts w:ascii="Arial" w:cs="Arial" w:eastAsia="Arial" w:hAnsi="Arial"/>
                <w:sz w:val="16"/>
                <w:szCs w:val="16"/>
                <w:color w:val="auto"/>
              </w:rPr>
              <w:t>10.63</w:t>
            </w:r>
          </w:p>
        </w:tc>
        <w:tc>
          <w:tcPr>
            <w:tcW w:w="12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0140" w:type="dxa"/>
            <w:vAlign w:val="bottom"/>
            <w:tcBorders>
              <w:right w:val="single" w:sz="8" w:color="auto"/>
            </w:tcBorders>
            <w:gridSpan w:val="39"/>
          </w:tcPr>
          <w:p>
            <w:pPr>
              <w:spacing w:after="0" w:line="183" w:lineRule="exact"/>
              <w:rPr>
                <w:rFonts w:ascii="Arial" w:cs="Arial" w:eastAsia="Arial" w:hAnsi="Arial"/>
                <w:sz w:val="16"/>
                <w:szCs w:val="16"/>
                <w:color w:val="0000FF"/>
              </w:rPr>
            </w:pPr>
            <w:hyperlink r:id="rId248">
              <w:r>
                <w:rPr>
                  <w:rFonts w:ascii="Arial" w:cs="Arial" w:eastAsia="Arial" w:hAnsi="Arial"/>
                  <w:sz w:val="16"/>
                  <w:szCs w:val="16"/>
                  <w:color w:val="0000FF"/>
                </w:rPr>
                <w:t>Registration Rights Agreement, dated November 14, 2014, among Avis Budget Car Rental, LLC and Avis Budget Finance, Inc., the</w:t>
              </w:r>
            </w:hyperlink>
          </w:p>
        </w:tc>
      </w:tr>
      <w:tr>
        <w:trPr>
          <w:trHeight w:val="20"/>
        </w:trPr>
        <w:tc>
          <w:tcPr>
            <w:tcW w:w="1160" w:type="dxa"/>
            <w:vAlign w:val="bottom"/>
            <w:tcBorders>
              <w:left w:val="single" w:sz="8" w:color="auto"/>
              <w:right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780" w:type="dxa"/>
            <w:vAlign w:val="bottom"/>
            <w:gridSpan w:val="3"/>
            <w:shd w:val="clear" w:color="auto" w:fill="0000FF"/>
          </w:tcPr>
          <w:p>
            <w:pPr>
              <w:spacing w:after="0" w:line="20" w:lineRule="exact"/>
              <w:rPr>
                <w:sz w:val="1"/>
                <w:szCs w:val="1"/>
                <w:color w:val="auto"/>
              </w:rPr>
            </w:pPr>
          </w:p>
        </w:tc>
        <w:tc>
          <w:tcPr>
            <w:tcW w:w="5600" w:type="dxa"/>
            <w:vAlign w:val="bottom"/>
            <w:gridSpan w:val="12"/>
            <w:shd w:val="clear" w:color="auto" w:fill="0000FF"/>
          </w:tcPr>
          <w:p>
            <w:pPr>
              <w:spacing w:after="0" w:line="20" w:lineRule="exact"/>
              <w:rPr>
                <w:sz w:val="1"/>
                <w:szCs w:val="1"/>
                <w:color w:val="auto"/>
              </w:rPr>
            </w:pPr>
          </w:p>
        </w:tc>
        <w:tc>
          <w:tcPr>
            <w:tcW w:w="600" w:type="dxa"/>
            <w:vAlign w:val="bottom"/>
            <w:gridSpan w:val="19"/>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tcBorders>
              <w:right w:val="single" w:sz="8" w:color="auto"/>
            </w:tcBorders>
            <w:gridSpan w:val="3"/>
          </w:tcPr>
          <w:p>
            <w:pPr>
              <w:spacing w:after="0" w:line="20" w:lineRule="exact"/>
              <w:rPr>
                <w:sz w:val="1"/>
                <w:szCs w:val="1"/>
                <w:color w:val="auto"/>
              </w:rPr>
            </w:pPr>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9980" w:type="dxa"/>
            <w:vAlign w:val="bottom"/>
            <w:tcBorders>
              <w:bottom w:val="single" w:sz="8" w:color="0000FF"/>
            </w:tcBorders>
            <w:gridSpan w:val="34"/>
          </w:tcPr>
          <w:p>
            <w:pPr>
              <w:spacing w:after="0" w:line="169" w:lineRule="exact"/>
              <w:rPr>
                <w:rFonts w:ascii="Arial" w:cs="Arial" w:eastAsia="Arial" w:hAnsi="Arial"/>
                <w:sz w:val="16"/>
                <w:szCs w:val="16"/>
                <w:color w:val="0000FF"/>
              </w:rPr>
            </w:pPr>
            <w:hyperlink r:id="rId248">
              <w:r>
                <w:rPr>
                  <w:rFonts w:ascii="Arial" w:cs="Arial" w:eastAsia="Arial" w:hAnsi="Arial"/>
                  <w:sz w:val="16"/>
                  <w:szCs w:val="16"/>
                  <w:color w:val="0000FF"/>
                </w:rPr>
                <w:t>guarantors parties thereto and Credit Agricole Securities (USA) Inc. for itself and on behalf of the several initial purchasers (Incorporated by</w:t>
              </w:r>
            </w:hyperlink>
          </w:p>
        </w:tc>
        <w:tc>
          <w:tcPr>
            <w:tcW w:w="160" w:type="dxa"/>
            <w:vAlign w:val="bottom"/>
            <w:tcBorders>
              <w:right w:val="single" w:sz="8" w:color="auto"/>
            </w:tcBorders>
            <w:gridSpan w:val="5"/>
          </w:tcPr>
          <w:p>
            <w:pPr>
              <w:spacing w:after="0"/>
              <w:rPr>
                <w:sz w:val="14"/>
                <w:szCs w:val="14"/>
                <w:color w:val="auto"/>
              </w:rPr>
            </w:pPr>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140" w:type="dxa"/>
            <w:vAlign w:val="bottom"/>
            <w:tcBorders>
              <w:right w:val="single" w:sz="8" w:color="auto"/>
            </w:tcBorders>
            <w:gridSpan w:val="39"/>
          </w:tcPr>
          <w:p>
            <w:pPr>
              <w:spacing w:after="0" w:line="169" w:lineRule="exact"/>
              <w:rPr>
                <w:rFonts w:ascii="Arial" w:cs="Arial" w:eastAsia="Arial" w:hAnsi="Arial"/>
                <w:sz w:val="16"/>
                <w:szCs w:val="16"/>
                <w:color w:val="0000FF"/>
              </w:rPr>
            </w:pPr>
            <w:hyperlink r:id="rId248">
              <w:r>
                <w:rPr>
                  <w:rFonts w:ascii="Arial" w:cs="Arial" w:eastAsia="Arial" w:hAnsi="Arial"/>
                  <w:sz w:val="16"/>
                  <w:szCs w:val="16"/>
                  <w:color w:val="0000FF"/>
                </w:rPr>
                <w:t>reference to Exhibit 10.74 to Avis Budget Car Rental, LLC and Avis Budget Finance, Inc.’s Registration Statement on Form S-4, Registration</w:t>
              </w:r>
            </w:hyperlink>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40" w:type="dxa"/>
            <w:vAlign w:val="bottom"/>
            <w:tcBorders>
              <w:top w:val="single" w:sz="8" w:color="0000FF"/>
            </w:tcBorders>
            <w:gridSpan w:val="36"/>
          </w:tcPr>
          <w:p>
            <w:pPr>
              <w:spacing w:after="0" w:line="169" w:lineRule="exact"/>
              <w:rPr>
                <w:rFonts w:ascii="Arial" w:cs="Arial" w:eastAsia="Arial" w:hAnsi="Arial"/>
                <w:sz w:val="16"/>
                <w:szCs w:val="16"/>
                <w:color w:val="0000FF"/>
              </w:rPr>
            </w:pPr>
            <w:hyperlink r:id="rId248">
              <w:r>
                <w:rPr>
                  <w:rFonts w:ascii="Arial" w:cs="Arial" w:eastAsia="Arial" w:hAnsi="Arial"/>
                  <w:sz w:val="16"/>
                  <w:szCs w:val="16"/>
                  <w:color w:val="0000FF"/>
                </w:rPr>
                <w:t>Number 333-201102-19, dated December 19, 2014).</w:t>
              </w:r>
            </w:hyperlink>
          </w:p>
        </w:tc>
        <w:tc>
          <w:tcPr>
            <w:tcW w:w="100" w:type="dxa"/>
            <w:vAlign w:val="bottom"/>
            <w:tcBorders>
              <w:right w:val="single" w:sz="8" w:color="auto"/>
            </w:tcBorders>
            <w:gridSpan w:val="3"/>
          </w:tcPr>
          <w:p>
            <w:pPr>
              <w:spacing w:after="0"/>
              <w:rPr>
                <w:sz w:val="14"/>
                <w:szCs w:val="14"/>
                <w:color w:val="auto"/>
              </w:rPr>
            </w:pPr>
          </w:p>
        </w:tc>
      </w:tr>
      <w:tr>
        <w:trPr>
          <w:trHeight w:val="34"/>
        </w:trPr>
        <w:tc>
          <w:tcPr>
            <w:tcW w:w="1160" w:type="dxa"/>
            <w:vAlign w:val="bottom"/>
            <w:tcBorders>
              <w:left w:val="single" w:sz="8" w:color="auto"/>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20" w:type="dxa"/>
            <w:vAlign w:val="bottom"/>
            <w:tcBorders>
              <w:top w:val="single" w:sz="8" w:color="0000FF"/>
              <w:bottom w:val="single" w:sz="8" w:color="auto"/>
            </w:tcBorders>
          </w:tcPr>
          <w:p>
            <w:pPr>
              <w:spacing w:after="0"/>
              <w:rPr>
                <w:sz w:val="2"/>
                <w:szCs w:val="2"/>
                <w:color w:val="auto"/>
              </w:rPr>
            </w:pPr>
          </w:p>
        </w:tc>
        <w:tc>
          <w:tcPr>
            <w:tcW w:w="640" w:type="dxa"/>
            <w:vAlign w:val="bottom"/>
            <w:tcBorders>
              <w:top w:val="single" w:sz="8" w:color="0000FF"/>
              <w:bottom w:val="single" w:sz="8" w:color="auto"/>
            </w:tcBorders>
          </w:tcPr>
          <w:p>
            <w:pPr>
              <w:spacing w:after="0"/>
              <w:rPr>
                <w:sz w:val="2"/>
                <w:szCs w:val="2"/>
                <w:color w:val="auto"/>
              </w:rPr>
            </w:pPr>
          </w:p>
        </w:tc>
        <w:tc>
          <w:tcPr>
            <w:tcW w:w="120" w:type="dxa"/>
            <w:vAlign w:val="bottom"/>
            <w:tcBorders>
              <w:top w:val="single" w:sz="8" w:color="0000FF"/>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right w:val="single" w:sz="8" w:color="auto"/>
            </w:tcBorders>
          </w:tcPr>
          <w:p>
            <w:pPr>
              <w:spacing w:after="0"/>
              <w:rPr>
                <w:sz w:val="2"/>
                <w:szCs w:val="2"/>
                <w:color w:val="auto"/>
              </w:rPr>
            </w:pPr>
          </w:p>
        </w:tc>
      </w:tr>
      <w:tr>
        <w:trPr>
          <w:trHeight w:val="453"/>
        </w:trPr>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100" w:type="dxa"/>
            <w:vAlign w:val="bottom"/>
            <w:gridSpan w:val="34"/>
          </w:tcPr>
          <w:p>
            <w:pPr>
              <w:ind w:left="220"/>
              <w:spacing w:after="0"/>
              <w:rPr>
                <w:sz w:val="20"/>
                <w:szCs w:val="20"/>
                <w:color w:val="auto"/>
              </w:rPr>
            </w:pPr>
            <w:r>
              <w:rPr>
                <w:rFonts w:ascii="Arial" w:cs="Arial" w:eastAsia="Arial" w:hAnsi="Arial"/>
                <w:sz w:val="18"/>
                <w:szCs w:val="18"/>
                <w:color w:val="auto"/>
              </w:rPr>
              <w:t>H-6</w:t>
            </w:r>
          </w:p>
        </w:tc>
      </w:tr>
    </w:tbl>
    <w:p>
      <w:pPr>
        <w:sectPr>
          <w:pgSz w:w="11900" w:h="16838" w:orient="portrait"/>
          <w:cols w:equalWidth="0" w:num="1">
            <w:col w:w="11440"/>
          </w:cols>
          <w:pgMar w:left="240" w:top="140" w:right="219" w:bottom="1440" w:gutter="0" w:footer="0" w:header="0"/>
        </w:sectPr>
      </w:pPr>
    </w:p>
    <w:bookmarkStart w:id="132" w:name="page133"/>
    <w:bookmarkEnd w:id="1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245745</wp:posOffset>
            </wp:positionV>
            <wp:extent cx="7254875" cy="675767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249">
                      <a:extLst>
                        <a:ext uri="{28A0092B-C50C-407E-A947-70E740481C1C}"/>
                      </a:extLst>
                    </a:blip>
                    <a:srcRect/>
                    <a:stretch>
                      <a:fillRect/>
                    </a:stretch>
                  </pic:blipFill>
                  <pic:spPr bwMode="auto">
                    <a:xfrm>
                      <a:off x="0" y="0"/>
                      <a:ext cx="7254875" cy="6757670"/>
                    </a:xfrm>
                    <a:prstGeom prst="rect">
                      <a:avLst/>
                    </a:prstGeom>
                    <a:noFill/>
                  </pic:spPr>
                </pic:pic>
              </a:graphicData>
            </a:graphic>
          </wp:anchor>
        </w:drawing>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300" w:type="dxa"/>
            <w:vAlign w:val="bottom"/>
          </w:tcPr>
          <w:p>
            <w:pPr>
              <w:ind w:left="40"/>
              <w:spacing w:after="0"/>
              <w:rPr>
                <w:sz w:val="20"/>
                <w:szCs w:val="20"/>
                <w:color w:val="auto"/>
              </w:rPr>
            </w:pPr>
            <w:r>
              <w:rPr>
                <w:rFonts w:ascii="Arial" w:cs="Arial" w:eastAsia="Arial" w:hAnsi="Arial"/>
                <w:sz w:val="16"/>
                <w:szCs w:val="16"/>
                <w:color w:val="auto"/>
              </w:rPr>
              <w:t>10.64</w:t>
            </w:r>
          </w:p>
        </w:tc>
        <w:tc>
          <w:tcPr>
            <w:tcW w:w="9760" w:type="dxa"/>
            <w:vAlign w:val="bottom"/>
            <w:tcBorders>
              <w:bottom w:val="single" w:sz="8" w:color="0000FF"/>
            </w:tcBorders>
            <w:gridSpan w:val="18"/>
          </w:tcPr>
          <w:p>
            <w:pPr>
              <w:spacing w:after="0"/>
              <w:rPr>
                <w:rFonts w:ascii="Arial" w:cs="Arial" w:eastAsia="Arial" w:hAnsi="Arial"/>
                <w:sz w:val="16"/>
                <w:szCs w:val="16"/>
                <w:color w:val="0000FF"/>
              </w:rPr>
            </w:pPr>
            <w:hyperlink r:id="rId250">
              <w:r>
                <w:rPr>
                  <w:rFonts w:ascii="Arial" w:cs="Arial" w:eastAsia="Arial" w:hAnsi="Arial"/>
                  <w:sz w:val="16"/>
                  <w:szCs w:val="16"/>
                  <w:color w:val="0000FF"/>
                </w:rPr>
                <w:t>Purchase Agreement, dated as of March 4, 2015, by and among Avis Budget Car Rental, LLC and Avis Budget Finance, Inc. as issuers,</w:t>
              </w:r>
            </w:hyperlink>
          </w:p>
        </w:tc>
        <w:tc>
          <w:tcPr>
            <w:tcW w:w="380" w:type="dxa"/>
            <w:vAlign w:val="bottom"/>
            <w:gridSpan w:val="12"/>
          </w:tcPr>
          <w:p>
            <w:pPr>
              <w:spacing w:after="0"/>
              <w:rPr>
                <w:sz w:val="16"/>
                <w:szCs w:val="16"/>
                <w:color w:val="auto"/>
              </w:rPr>
            </w:pPr>
          </w:p>
        </w:tc>
      </w:tr>
      <w:tr>
        <w:trPr>
          <w:trHeight w:val="169"/>
        </w:trPr>
        <w:tc>
          <w:tcPr>
            <w:tcW w:w="1300" w:type="dxa"/>
            <w:vAlign w:val="bottom"/>
          </w:tcPr>
          <w:p>
            <w:pPr>
              <w:spacing w:after="0"/>
              <w:rPr>
                <w:sz w:val="14"/>
                <w:szCs w:val="14"/>
                <w:color w:val="auto"/>
              </w:rPr>
            </w:pPr>
          </w:p>
        </w:tc>
        <w:tc>
          <w:tcPr>
            <w:tcW w:w="10040" w:type="dxa"/>
            <w:vAlign w:val="bottom"/>
            <w:tcBorders>
              <w:bottom w:val="single" w:sz="8" w:color="0000FF"/>
            </w:tcBorders>
            <w:gridSpan w:val="26"/>
          </w:tcPr>
          <w:p>
            <w:pPr>
              <w:spacing w:after="0" w:line="169" w:lineRule="exact"/>
              <w:rPr>
                <w:rFonts w:ascii="Arial" w:cs="Arial" w:eastAsia="Arial" w:hAnsi="Arial"/>
                <w:sz w:val="16"/>
                <w:szCs w:val="16"/>
                <w:color w:val="0000FF"/>
              </w:rPr>
            </w:pPr>
            <w:hyperlink r:id="rId250">
              <w:r>
                <w:rPr>
                  <w:rFonts w:ascii="Arial" w:cs="Arial" w:eastAsia="Arial" w:hAnsi="Arial"/>
                  <w:sz w:val="16"/>
                  <w:szCs w:val="16"/>
                  <w:color w:val="0000FF"/>
                </w:rPr>
                <w:t>Avis Budget Group, Inc. and certain of its subsidiaries as guarantors and Merrill Lynch, Pierce, Fenner &amp; Smith Incorporated for itself and on</w:t>
              </w:r>
            </w:hyperlink>
          </w:p>
        </w:tc>
        <w:tc>
          <w:tcPr>
            <w:tcW w:w="100" w:type="dxa"/>
            <w:vAlign w:val="bottom"/>
            <w:gridSpan w:val="4"/>
          </w:tcPr>
          <w:p>
            <w:pPr>
              <w:spacing w:after="0"/>
              <w:rPr>
                <w:sz w:val="14"/>
                <w:szCs w:val="14"/>
                <w:color w:val="auto"/>
              </w:rPr>
            </w:pPr>
          </w:p>
        </w:tc>
      </w:tr>
      <w:tr>
        <w:trPr>
          <w:trHeight w:val="169"/>
        </w:trPr>
        <w:tc>
          <w:tcPr>
            <w:tcW w:w="1300" w:type="dxa"/>
            <w:vAlign w:val="bottom"/>
          </w:tcPr>
          <w:p>
            <w:pPr>
              <w:spacing w:after="0"/>
              <w:rPr>
                <w:sz w:val="14"/>
                <w:szCs w:val="14"/>
                <w:color w:val="auto"/>
              </w:rPr>
            </w:pPr>
          </w:p>
        </w:tc>
        <w:tc>
          <w:tcPr>
            <w:tcW w:w="10140" w:type="dxa"/>
            <w:vAlign w:val="bottom"/>
            <w:gridSpan w:val="30"/>
          </w:tcPr>
          <w:p>
            <w:pPr>
              <w:spacing w:after="0" w:line="169" w:lineRule="exact"/>
              <w:rPr>
                <w:rFonts w:ascii="Arial" w:cs="Arial" w:eastAsia="Arial" w:hAnsi="Arial"/>
                <w:sz w:val="16"/>
                <w:szCs w:val="16"/>
                <w:color w:val="0000FF"/>
              </w:rPr>
            </w:pPr>
            <w:hyperlink r:id="rId250">
              <w:r>
                <w:rPr>
                  <w:rFonts w:ascii="Arial" w:cs="Arial" w:eastAsia="Arial" w:hAnsi="Arial"/>
                  <w:sz w:val="16"/>
                  <w:szCs w:val="16"/>
                  <w:color w:val="0000FF"/>
                </w:rPr>
                <w:t>behalf of the several initial purchasers (Incorporated by reference to Exhibit 10.1 to the Company’s Current Report on Form 8-K dated March</w:t>
              </w:r>
            </w:hyperlink>
          </w:p>
        </w:tc>
      </w:tr>
      <w:tr>
        <w:trPr>
          <w:trHeight w:val="169"/>
        </w:trPr>
        <w:tc>
          <w:tcPr>
            <w:tcW w:w="1300" w:type="dxa"/>
            <w:vAlign w:val="bottom"/>
          </w:tcPr>
          <w:p>
            <w:pPr>
              <w:spacing w:after="0"/>
              <w:rPr>
                <w:sz w:val="14"/>
                <w:szCs w:val="14"/>
                <w:color w:val="auto"/>
              </w:rPr>
            </w:pPr>
          </w:p>
        </w:tc>
        <w:tc>
          <w:tcPr>
            <w:tcW w:w="1400" w:type="dxa"/>
            <w:vAlign w:val="bottom"/>
            <w:tcBorders>
              <w:top w:val="single" w:sz="8" w:color="0000FF"/>
            </w:tcBorders>
            <w:gridSpan w:val="2"/>
          </w:tcPr>
          <w:p>
            <w:pPr>
              <w:spacing w:after="0" w:line="169" w:lineRule="exact"/>
              <w:rPr>
                <w:rFonts w:ascii="Arial" w:cs="Arial" w:eastAsia="Arial" w:hAnsi="Arial"/>
                <w:sz w:val="16"/>
                <w:szCs w:val="16"/>
                <w:color w:val="0000FF"/>
              </w:rPr>
            </w:pPr>
            <w:hyperlink r:id="rId250">
              <w:r>
                <w:rPr>
                  <w:rFonts w:ascii="Arial" w:cs="Arial" w:eastAsia="Arial" w:hAnsi="Arial"/>
                  <w:sz w:val="16"/>
                  <w:szCs w:val="16"/>
                  <w:color w:val="0000FF"/>
                </w:rPr>
                <w:t>10, 2015).</w:t>
              </w:r>
            </w:hyperlink>
          </w:p>
        </w:tc>
        <w:tc>
          <w:tcPr>
            <w:tcW w:w="500" w:type="dxa"/>
            <w:vAlign w:val="bottom"/>
            <w:tcBorders>
              <w:top w:val="single" w:sz="8" w:color="0000FF"/>
            </w:tcBorders>
          </w:tcPr>
          <w:p>
            <w:pPr>
              <w:spacing w:after="0"/>
              <w:rPr>
                <w:sz w:val="14"/>
                <w:szCs w:val="14"/>
                <w:color w:val="auto"/>
              </w:rPr>
            </w:pPr>
          </w:p>
        </w:tc>
        <w:tc>
          <w:tcPr>
            <w:tcW w:w="560" w:type="dxa"/>
            <w:vAlign w:val="bottom"/>
            <w:tcBorders>
              <w:top w:val="single" w:sz="8" w:color="0000FF"/>
            </w:tcBorders>
          </w:tcPr>
          <w:p>
            <w:pPr>
              <w:spacing w:after="0"/>
              <w:rPr>
                <w:sz w:val="14"/>
                <w:szCs w:val="14"/>
                <w:color w:val="auto"/>
              </w:rPr>
            </w:pPr>
          </w:p>
        </w:tc>
        <w:tc>
          <w:tcPr>
            <w:tcW w:w="480" w:type="dxa"/>
            <w:vAlign w:val="bottom"/>
            <w:tcBorders>
              <w:top w:val="single" w:sz="8" w:color="0000FF"/>
            </w:tcBorders>
          </w:tcPr>
          <w:p>
            <w:pPr>
              <w:spacing w:after="0"/>
              <w:rPr>
                <w:sz w:val="14"/>
                <w:szCs w:val="14"/>
                <w:color w:val="auto"/>
              </w:rPr>
            </w:pPr>
          </w:p>
        </w:tc>
        <w:tc>
          <w:tcPr>
            <w:tcW w:w="1000" w:type="dxa"/>
            <w:vAlign w:val="bottom"/>
            <w:tcBorders>
              <w:top w:val="single" w:sz="8" w:color="0000FF"/>
            </w:tcBorders>
          </w:tcPr>
          <w:p>
            <w:pPr>
              <w:spacing w:after="0"/>
              <w:rPr>
                <w:sz w:val="14"/>
                <w:szCs w:val="14"/>
                <w:color w:val="auto"/>
              </w:rPr>
            </w:pPr>
          </w:p>
        </w:tc>
        <w:tc>
          <w:tcPr>
            <w:tcW w:w="860" w:type="dxa"/>
            <w:vAlign w:val="bottom"/>
            <w:tcBorders>
              <w:top w:val="single" w:sz="8" w:color="0000FF"/>
            </w:tcBorders>
          </w:tcPr>
          <w:p>
            <w:pPr>
              <w:spacing w:after="0"/>
              <w:rPr>
                <w:sz w:val="14"/>
                <w:szCs w:val="14"/>
                <w:color w:val="auto"/>
              </w:rPr>
            </w:pPr>
          </w:p>
        </w:tc>
        <w:tc>
          <w:tcPr>
            <w:tcW w:w="330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500" w:type="dxa"/>
            <w:vAlign w:val="bottom"/>
            <w:tcBorders>
              <w:top w:val="single" w:sz="8" w:color="0000FF"/>
            </w:tcBorders>
          </w:tcPr>
          <w:p>
            <w:pPr>
              <w:spacing w:after="0"/>
              <w:rPr>
                <w:sz w:val="14"/>
                <w:szCs w:val="14"/>
                <w:color w:val="auto"/>
              </w:rPr>
            </w:pPr>
          </w:p>
        </w:tc>
        <w:tc>
          <w:tcPr>
            <w:tcW w:w="26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34"/>
        </w:trPr>
        <w:tc>
          <w:tcPr>
            <w:tcW w:w="1300" w:type="dxa"/>
            <w:vAlign w:val="bottom"/>
            <w:tcBorders>
              <w:bottom w:val="single" w:sz="8" w:color="auto"/>
            </w:tcBorders>
          </w:tcPr>
          <w:p>
            <w:pPr>
              <w:spacing w:after="0"/>
              <w:rPr>
                <w:sz w:val="2"/>
                <w:szCs w:val="2"/>
                <w:color w:val="auto"/>
              </w:rPr>
            </w:pPr>
          </w:p>
        </w:tc>
        <w:tc>
          <w:tcPr>
            <w:tcW w:w="740" w:type="dxa"/>
            <w:vAlign w:val="bottom"/>
            <w:tcBorders>
              <w:top w:val="single" w:sz="8" w:color="0000FF"/>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3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r>
      <w:tr>
        <w:trPr>
          <w:trHeight w:val="183"/>
        </w:trPr>
        <w:tc>
          <w:tcPr>
            <w:tcW w:w="1300" w:type="dxa"/>
            <w:vAlign w:val="bottom"/>
          </w:tcPr>
          <w:p>
            <w:pPr>
              <w:ind w:left="40"/>
              <w:spacing w:after="0" w:line="183" w:lineRule="exact"/>
              <w:rPr>
                <w:sz w:val="20"/>
                <w:szCs w:val="20"/>
                <w:color w:val="auto"/>
              </w:rPr>
            </w:pPr>
            <w:r>
              <w:rPr>
                <w:rFonts w:ascii="Arial" w:cs="Arial" w:eastAsia="Arial" w:hAnsi="Arial"/>
                <w:sz w:val="16"/>
                <w:szCs w:val="16"/>
                <w:color w:val="auto"/>
              </w:rPr>
              <w:t>10.65</w:t>
            </w:r>
          </w:p>
        </w:tc>
        <w:tc>
          <w:tcPr>
            <w:tcW w:w="10060" w:type="dxa"/>
            <w:vAlign w:val="bottom"/>
            <w:tcBorders>
              <w:bottom w:val="single" w:sz="8" w:color="0000FF"/>
            </w:tcBorders>
            <w:gridSpan w:val="27"/>
          </w:tcPr>
          <w:p>
            <w:pPr>
              <w:spacing w:after="0" w:line="183" w:lineRule="exact"/>
              <w:rPr>
                <w:rFonts w:ascii="Arial" w:cs="Arial" w:eastAsia="Arial" w:hAnsi="Arial"/>
                <w:sz w:val="16"/>
                <w:szCs w:val="16"/>
                <w:color w:val="0000FF"/>
              </w:rPr>
            </w:pPr>
            <w:hyperlink r:id="rId251">
              <w:r>
                <w:rPr>
                  <w:rFonts w:ascii="Arial" w:cs="Arial" w:eastAsia="Arial" w:hAnsi="Arial"/>
                  <w:sz w:val="16"/>
                  <w:szCs w:val="16"/>
                  <w:color w:val="0000FF"/>
                </w:rPr>
                <w:t>Issuer Note Facility Agreement dated March 5, 2013 among CarFin Finance International Limited, Credit Agricole Corporate And Investment</w:t>
              </w:r>
            </w:hyperlink>
          </w:p>
        </w:tc>
        <w:tc>
          <w:tcPr>
            <w:tcW w:w="80" w:type="dxa"/>
            <w:vAlign w:val="bottom"/>
            <w:gridSpan w:val="3"/>
          </w:tcPr>
          <w:p>
            <w:pPr>
              <w:spacing w:after="0"/>
              <w:rPr>
                <w:sz w:val="15"/>
                <w:szCs w:val="15"/>
                <w:color w:val="auto"/>
              </w:rPr>
            </w:pPr>
          </w:p>
        </w:tc>
      </w:tr>
      <w:tr>
        <w:trPr>
          <w:trHeight w:val="169"/>
        </w:trPr>
        <w:tc>
          <w:tcPr>
            <w:tcW w:w="1300" w:type="dxa"/>
            <w:vAlign w:val="bottom"/>
          </w:tcPr>
          <w:p>
            <w:pPr>
              <w:spacing w:after="0"/>
              <w:rPr>
                <w:sz w:val="14"/>
                <w:szCs w:val="14"/>
                <w:color w:val="auto"/>
              </w:rPr>
            </w:pPr>
          </w:p>
        </w:tc>
        <w:tc>
          <w:tcPr>
            <w:tcW w:w="10140" w:type="dxa"/>
            <w:vAlign w:val="bottom"/>
            <w:gridSpan w:val="30"/>
          </w:tcPr>
          <w:p>
            <w:pPr>
              <w:spacing w:after="0" w:line="169" w:lineRule="exact"/>
              <w:rPr>
                <w:rFonts w:ascii="Arial" w:cs="Arial" w:eastAsia="Arial" w:hAnsi="Arial"/>
                <w:sz w:val="16"/>
                <w:szCs w:val="16"/>
                <w:color w:val="0000FF"/>
              </w:rPr>
            </w:pPr>
            <w:hyperlink r:id="rId251">
              <w:r>
                <w:rPr>
                  <w:rFonts w:ascii="Arial" w:cs="Arial" w:eastAsia="Arial" w:hAnsi="Arial"/>
                  <w:sz w:val="16"/>
                  <w:szCs w:val="16"/>
                  <w:color w:val="0000FF"/>
                </w:rPr>
                <w:t>Bank, the Initial Senior Noteholders listed therein, Deutsche Trustee Company Limited, Deutsche Bank AG, London Branch and Deutsche</w:t>
              </w:r>
            </w:hyperlink>
          </w:p>
        </w:tc>
      </w:tr>
      <w:tr>
        <w:trPr>
          <w:trHeight w:val="169"/>
        </w:trPr>
        <w:tc>
          <w:tcPr>
            <w:tcW w:w="1300" w:type="dxa"/>
            <w:vAlign w:val="bottom"/>
          </w:tcPr>
          <w:p>
            <w:pPr>
              <w:spacing w:after="0"/>
              <w:rPr>
                <w:sz w:val="14"/>
                <w:szCs w:val="14"/>
                <w:color w:val="auto"/>
              </w:rPr>
            </w:pPr>
          </w:p>
        </w:tc>
        <w:tc>
          <w:tcPr>
            <w:tcW w:w="9880" w:type="dxa"/>
            <w:vAlign w:val="bottom"/>
            <w:tcBorders>
              <w:top w:val="single" w:sz="8" w:color="0000FF"/>
            </w:tcBorders>
            <w:gridSpan w:val="22"/>
          </w:tcPr>
          <w:p>
            <w:pPr>
              <w:spacing w:after="0" w:line="169" w:lineRule="exact"/>
              <w:rPr>
                <w:rFonts w:ascii="Arial" w:cs="Arial" w:eastAsia="Arial" w:hAnsi="Arial"/>
                <w:sz w:val="16"/>
                <w:szCs w:val="16"/>
                <w:color w:val="0000FF"/>
              </w:rPr>
            </w:pPr>
            <w:hyperlink r:id="rId251">
              <w:r>
                <w:rPr>
                  <w:rFonts w:ascii="Arial" w:cs="Arial" w:eastAsia="Arial" w:hAnsi="Arial"/>
                  <w:sz w:val="16"/>
                  <w:szCs w:val="16"/>
                  <w:color w:val="0000FF"/>
                </w:rPr>
                <w:t>Bank Luxembourg S.A. (Incorporated by reference to Exhibit 10.1 to the Company’s Current Report on Form 8-K dated March 11, 2013).</w:t>
              </w:r>
            </w:hyperlink>
          </w:p>
        </w:tc>
        <w:tc>
          <w:tcPr>
            <w:tcW w:w="260" w:type="dxa"/>
            <w:vAlign w:val="bottom"/>
            <w:gridSpan w:val="8"/>
          </w:tcPr>
          <w:p>
            <w:pPr>
              <w:spacing w:after="0"/>
              <w:rPr>
                <w:sz w:val="14"/>
                <w:szCs w:val="14"/>
                <w:color w:val="auto"/>
              </w:rPr>
            </w:pPr>
          </w:p>
        </w:tc>
      </w:tr>
      <w:tr>
        <w:trPr>
          <w:trHeight w:val="34"/>
        </w:trPr>
        <w:tc>
          <w:tcPr>
            <w:tcW w:w="1300" w:type="dxa"/>
            <w:vAlign w:val="bottom"/>
            <w:tcBorders>
              <w:bottom w:val="single" w:sz="8" w:color="auto"/>
            </w:tcBorders>
          </w:tcPr>
          <w:p>
            <w:pPr>
              <w:spacing w:after="0"/>
              <w:rPr>
                <w:sz w:val="2"/>
                <w:szCs w:val="2"/>
                <w:color w:val="auto"/>
              </w:rPr>
            </w:pPr>
          </w:p>
        </w:tc>
        <w:tc>
          <w:tcPr>
            <w:tcW w:w="740" w:type="dxa"/>
            <w:vAlign w:val="bottom"/>
            <w:tcBorders>
              <w:top w:val="single" w:sz="8" w:color="0000FF"/>
              <w:bottom w:val="single" w:sz="8" w:color="auto"/>
            </w:tcBorders>
          </w:tcPr>
          <w:p>
            <w:pPr>
              <w:spacing w:after="0"/>
              <w:rPr>
                <w:sz w:val="2"/>
                <w:szCs w:val="2"/>
                <w:color w:val="auto"/>
              </w:rPr>
            </w:pPr>
          </w:p>
        </w:tc>
        <w:tc>
          <w:tcPr>
            <w:tcW w:w="660" w:type="dxa"/>
            <w:vAlign w:val="bottom"/>
            <w:tcBorders>
              <w:top w:val="single" w:sz="8" w:color="0000FF"/>
              <w:bottom w:val="single" w:sz="8" w:color="auto"/>
            </w:tcBorders>
          </w:tcPr>
          <w:p>
            <w:pPr>
              <w:spacing w:after="0"/>
              <w:rPr>
                <w:sz w:val="2"/>
                <w:szCs w:val="2"/>
                <w:color w:val="auto"/>
              </w:rPr>
            </w:pPr>
          </w:p>
        </w:tc>
        <w:tc>
          <w:tcPr>
            <w:tcW w:w="500" w:type="dxa"/>
            <w:vAlign w:val="bottom"/>
            <w:tcBorders>
              <w:top w:val="single" w:sz="8" w:color="0000FF"/>
              <w:bottom w:val="single" w:sz="8" w:color="auto"/>
            </w:tcBorders>
          </w:tcPr>
          <w:p>
            <w:pPr>
              <w:spacing w:after="0"/>
              <w:rPr>
                <w:sz w:val="2"/>
                <w:szCs w:val="2"/>
                <w:color w:val="auto"/>
              </w:rPr>
            </w:pPr>
          </w:p>
        </w:tc>
        <w:tc>
          <w:tcPr>
            <w:tcW w:w="560" w:type="dxa"/>
            <w:vAlign w:val="bottom"/>
            <w:tcBorders>
              <w:top w:val="single" w:sz="8" w:color="0000FF"/>
              <w:bottom w:val="single" w:sz="8" w:color="auto"/>
            </w:tcBorders>
          </w:tcPr>
          <w:p>
            <w:pPr>
              <w:spacing w:after="0"/>
              <w:rPr>
                <w:sz w:val="2"/>
                <w:szCs w:val="2"/>
                <w:color w:val="auto"/>
              </w:rPr>
            </w:pPr>
          </w:p>
        </w:tc>
        <w:tc>
          <w:tcPr>
            <w:tcW w:w="480" w:type="dxa"/>
            <w:vAlign w:val="bottom"/>
            <w:tcBorders>
              <w:top w:val="single" w:sz="8" w:color="0000FF"/>
              <w:bottom w:val="single" w:sz="8" w:color="auto"/>
            </w:tcBorders>
          </w:tcPr>
          <w:p>
            <w:pPr>
              <w:spacing w:after="0"/>
              <w:rPr>
                <w:sz w:val="2"/>
                <w:szCs w:val="2"/>
                <w:color w:val="auto"/>
              </w:rPr>
            </w:pPr>
          </w:p>
        </w:tc>
        <w:tc>
          <w:tcPr>
            <w:tcW w:w="1000" w:type="dxa"/>
            <w:vAlign w:val="bottom"/>
            <w:tcBorders>
              <w:top w:val="single" w:sz="8" w:color="0000FF"/>
              <w:bottom w:val="single" w:sz="8" w:color="auto"/>
            </w:tcBorders>
          </w:tcPr>
          <w:p>
            <w:pPr>
              <w:spacing w:after="0"/>
              <w:rPr>
                <w:sz w:val="2"/>
                <w:szCs w:val="2"/>
                <w:color w:val="auto"/>
              </w:rPr>
            </w:pPr>
          </w:p>
        </w:tc>
        <w:tc>
          <w:tcPr>
            <w:tcW w:w="860" w:type="dxa"/>
            <w:vAlign w:val="bottom"/>
            <w:tcBorders>
              <w:top w:val="single" w:sz="8" w:color="0000FF"/>
              <w:bottom w:val="single" w:sz="8" w:color="auto"/>
            </w:tcBorders>
          </w:tcPr>
          <w:p>
            <w:pPr>
              <w:spacing w:after="0"/>
              <w:rPr>
                <w:sz w:val="2"/>
                <w:szCs w:val="2"/>
                <w:color w:val="auto"/>
              </w:rPr>
            </w:pPr>
          </w:p>
        </w:tc>
        <w:tc>
          <w:tcPr>
            <w:tcW w:w="3300" w:type="dxa"/>
            <w:vAlign w:val="bottom"/>
            <w:tcBorders>
              <w:top w:val="single" w:sz="8" w:color="0000FF"/>
              <w:bottom w:val="single" w:sz="8" w:color="auto"/>
            </w:tcBorders>
          </w:tcPr>
          <w:p>
            <w:pPr>
              <w:spacing w:after="0"/>
              <w:rPr>
                <w:sz w:val="2"/>
                <w:szCs w:val="2"/>
                <w:color w:val="auto"/>
              </w:rPr>
            </w:pPr>
          </w:p>
        </w:tc>
        <w:tc>
          <w:tcPr>
            <w:tcW w:w="20" w:type="dxa"/>
            <w:vAlign w:val="bottom"/>
            <w:tcBorders>
              <w:top w:val="single" w:sz="8" w:color="0000FF"/>
              <w:bottom w:val="single" w:sz="8" w:color="auto"/>
            </w:tcBorders>
          </w:tcPr>
          <w:p>
            <w:pPr>
              <w:spacing w:after="0"/>
              <w:rPr>
                <w:sz w:val="2"/>
                <w:szCs w:val="2"/>
                <w:color w:val="auto"/>
              </w:rPr>
            </w:pPr>
          </w:p>
        </w:tc>
        <w:tc>
          <w:tcPr>
            <w:tcW w:w="440" w:type="dxa"/>
            <w:vAlign w:val="bottom"/>
            <w:tcBorders>
              <w:top w:val="single" w:sz="8" w:color="0000FF"/>
              <w:bottom w:val="single" w:sz="8" w:color="auto"/>
            </w:tcBorders>
          </w:tcPr>
          <w:p>
            <w:pPr>
              <w:spacing w:after="0"/>
              <w:rPr>
                <w:sz w:val="2"/>
                <w:szCs w:val="2"/>
                <w:color w:val="auto"/>
              </w:rPr>
            </w:pPr>
          </w:p>
        </w:tc>
        <w:tc>
          <w:tcPr>
            <w:tcW w:w="240" w:type="dxa"/>
            <w:vAlign w:val="bottom"/>
            <w:tcBorders>
              <w:top w:val="single" w:sz="8" w:color="0000FF"/>
              <w:bottom w:val="single" w:sz="8" w:color="auto"/>
            </w:tcBorders>
          </w:tcPr>
          <w:p>
            <w:pPr>
              <w:spacing w:after="0"/>
              <w:rPr>
                <w:sz w:val="2"/>
                <w:szCs w:val="2"/>
                <w:color w:val="auto"/>
              </w:rPr>
            </w:pPr>
          </w:p>
        </w:tc>
        <w:tc>
          <w:tcPr>
            <w:tcW w:w="500" w:type="dxa"/>
            <w:vAlign w:val="bottom"/>
            <w:tcBorders>
              <w:top w:val="single" w:sz="8" w:color="0000FF"/>
              <w:bottom w:val="single" w:sz="8" w:color="auto"/>
            </w:tcBorders>
          </w:tcPr>
          <w:p>
            <w:pPr>
              <w:spacing w:after="0"/>
              <w:rPr>
                <w:sz w:val="2"/>
                <w:szCs w:val="2"/>
                <w:color w:val="auto"/>
              </w:rPr>
            </w:pPr>
          </w:p>
        </w:tc>
        <w:tc>
          <w:tcPr>
            <w:tcW w:w="260" w:type="dxa"/>
            <w:vAlign w:val="bottom"/>
            <w:tcBorders>
              <w:top w:val="single" w:sz="8" w:color="0000FF"/>
              <w:bottom w:val="single" w:sz="8" w:color="auto"/>
            </w:tcBorders>
          </w:tcPr>
          <w:p>
            <w:pPr>
              <w:spacing w:after="0"/>
              <w:rPr>
                <w:sz w:val="2"/>
                <w:szCs w:val="2"/>
                <w:color w:val="auto"/>
              </w:rPr>
            </w:pPr>
          </w:p>
        </w:tc>
        <w:tc>
          <w:tcPr>
            <w:tcW w:w="80" w:type="dxa"/>
            <w:vAlign w:val="bottom"/>
            <w:tcBorders>
              <w:top w:val="single" w:sz="8" w:color="0000FF"/>
              <w:bottom w:val="single" w:sz="8" w:color="auto"/>
            </w:tcBorders>
          </w:tcPr>
          <w:p>
            <w:pPr>
              <w:spacing w:after="0"/>
              <w:rPr>
                <w:sz w:val="2"/>
                <w:szCs w:val="2"/>
                <w:color w:val="auto"/>
              </w:rPr>
            </w:pPr>
          </w:p>
        </w:tc>
        <w:tc>
          <w:tcPr>
            <w:tcW w:w="60" w:type="dxa"/>
            <w:vAlign w:val="bottom"/>
            <w:tcBorders>
              <w:top w:val="single" w:sz="8" w:color="0000FF"/>
              <w:bottom w:val="single" w:sz="8" w:color="auto"/>
            </w:tcBorders>
          </w:tcPr>
          <w:p>
            <w:pPr>
              <w:spacing w:after="0"/>
              <w:rPr>
                <w:sz w:val="2"/>
                <w:szCs w:val="2"/>
                <w:color w:val="auto"/>
              </w:rPr>
            </w:pPr>
          </w:p>
        </w:tc>
        <w:tc>
          <w:tcPr>
            <w:tcW w:w="20" w:type="dxa"/>
            <w:vAlign w:val="bottom"/>
            <w:tcBorders>
              <w:top w:val="single" w:sz="8" w:color="0000FF"/>
              <w:bottom w:val="single" w:sz="8" w:color="auto"/>
            </w:tcBorders>
          </w:tcPr>
          <w:p>
            <w:pPr>
              <w:spacing w:after="0"/>
              <w:rPr>
                <w:sz w:val="2"/>
                <w:szCs w:val="2"/>
                <w:color w:val="auto"/>
              </w:rPr>
            </w:pPr>
          </w:p>
        </w:tc>
        <w:tc>
          <w:tcPr>
            <w:tcW w:w="20" w:type="dxa"/>
            <w:vAlign w:val="bottom"/>
            <w:tcBorders>
              <w:top w:val="single" w:sz="8" w:color="0000FF"/>
              <w:bottom w:val="single" w:sz="8" w:color="auto"/>
            </w:tcBorders>
          </w:tcPr>
          <w:p>
            <w:pPr>
              <w:spacing w:after="0"/>
              <w:rPr>
                <w:sz w:val="2"/>
                <w:szCs w:val="2"/>
                <w:color w:val="auto"/>
              </w:rPr>
            </w:pPr>
          </w:p>
        </w:tc>
        <w:tc>
          <w:tcPr>
            <w:tcW w:w="20" w:type="dxa"/>
            <w:vAlign w:val="bottom"/>
            <w:tcBorders>
              <w:top w:val="single" w:sz="8" w:color="0000FF"/>
              <w:bottom w:val="single" w:sz="8" w:color="auto"/>
            </w:tcBorders>
          </w:tcPr>
          <w:p>
            <w:pPr>
              <w:spacing w:after="0"/>
              <w:rPr>
                <w:sz w:val="2"/>
                <w:szCs w:val="2"/>
                <w:color w:val="auto"/>
              </w:rPr>
            </w:pPr>
          </w:p>
        </w:tc>
        <w:tc>
          <w:tcPr>
            <w:tcW w:w="20" w:type="dxa"/>
            <w:vAlign w:val="bottom"/>
            <w:tcBorders>
              <w:top w:val="single" w:sz="8" w:color="0000FF"/>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r>
      <w:tr>
        <w:trPr>
          <w:trHeight w:val="183"/>
        </w:trPr>
        <w:tc>
          <w:tcPr>
            <w:tcW w:w="1300" w:type="dxa"/>
            <w:vAlign w:val="bottom"/>
          </w:tcPr>
          <w:p>
            <w:pPr>
              <w:ind w:left="40"/>
              <w:spacing w:after="0" w:line="183" w:lineRule="exact"/>
              <w:rPr>
                <w:sz w:val="20"/>
                <w:szCs w:val="20"/>
                <w:color w:val="auto"/>
              </w:rPr>
            </w:pPr>
            <w:r>
              <w:rPr>
                <w:rFonts w:ascii="Arial" w:cs="Arial" w:eastAsia="Arial" w:hAnsi="Arial"/>
                <w:sz w:val="16"/>
                <w:szCs w:val="16"/>
                <w:color w:val="auto"/>
              </w:rPr>
              <w:t>10.66</w:t>
            </w:r>
          </w:p>
        </w:tc>
        <w:tc>
          <w:tcPr>
            <w:tcW w:w="10000" w:type="dxa"/>
            <w:vAlign w:val="bottom"/>
            <w:tcBorders>
              <w:bottom w:val="single" w:sz="8" w:color="0000FF"/>
            </w:tcBorders>
            <w:gridSpan w:val="25"/>
          </w:tcPr>
          <w:p>
            <w:pPr>
              <w:spacing w:after="0" w:line="183" w:lineRule="exact"/>
              <w:rPr>
                <w:rFonts w:ascii="Arial" w:cs="Arial" w:eastAsia="Arial" w:hAnsi="Arial"/>
                <w:sz w:val="16"/>
                <w:szCs w:val="16"/>
                <w:color w:val="0000FF"/>
              </w:rPr>
            </w:pPr>
            <w:hyperlink r:id="rId252">
              <w:r>
                <w:rPr>
                  <w:rFonts w:ascii="Arial" w:cs="Arial" w:eastAsia="Arial" w:hAnsi="Arial"/>
                  <w:sz w:val="16"/>
                  <w:szCs w:val="16"/>
                  <w:color w:val="0000FF"/>
                </w:rPr>
                <w:t>Amended and Restated Framework Agreement dated May 21, 2014 among CarFin Finance International Limited, Credit Agricole Corporate</w:t>
              </w:r>
            </w:hyperlink>
          </w:p>
        </w:tc>
        <w:tc>
          <w:tcPr>
            <w:tcW w:w="140" w:type="dxa"/>
            <w:vAlign w:val="bottom"/>
            <w:gridSpan w:val="5"/>
          </w:tcPr>
          <w:p>
            <w:pPr>
              <w:spacing w:after="0"/>
              <w:rPr>
                <w:sz w:val="15"/>
                <w:szCs w:val="15"/>
                <w:color w:val="auto"/>
              </w:rPr>
            </w:pPr>
          </w:p>
        </w:tc>
      </w:tr>
      <w:tr>
        <w:trPr>
          <w:trHeight w:val="169"/>
        </w:trPr>
        <w:tc>
          <w:tcPr>
            <w:tcW w:w="1300" w:type="dxa"/>
            <w:vAlign w:val="bottom"/>
          </w:tcPr>
          <w:p>
            <w:pPr>
              <w:spacing w:after="0"/>
              <w:rPr>
                <w:sz w:val="14"/>
                <w:szCs w:val="14"/>
                <w:color w:val="auto"/>
              </w:rPr>
            </w:pPr>
          </w:p>
        </w:tc>
        <w:tc>
          <w:tcPr>
            <w:tcW w:w="10140" w:type="dxa"/>
            <w:vAlign w:val="bottom"/>
            <w:gridSpan w:val="30"/>
          </w:tcPr>
          <w:p>
            <w:pPr>
              <w:spacing w:after="0" w:line="169" w:lineRule="exact"/>
              <w:rPr>
                <w:rFonts w:ascii="Arial" w:cs="Arial" w:eastAsia="Arial" w:hAnsi="Arial"/>
                <w:sz w:val="16"/>
                <w:szCs w:val="16"/>
                <w:color w:val="0000FF"/>
              </w:rPr>
            </w:pPr>
            <w:hyperlink r:id="rId252">
              <w:r>
                <w:rPr>
                  <w:rFonts w:ascii="Arial" w:cs="Arial" w:eastAsia="Arial" w:hAnsi="Arial"/>
                  <w:sz w:val="16"/>
                  <w:szCs w:val="16"/>
                  <w:color w:val="0000FF"/>
                </w:rPr>
                <w:t>And Investment Bank, Deutsche Trustee Company Limited, Avis Budget Car Rental, LLC, Avis Finance Company Limited, Avis Budget</w:t>
              </w:r>
            </w:hyperlink>
          </w:p>
        </w:tc>
      </w:tr>
      <w:tr>
        <w:trPr>
          <w:trHeight w:val="20"/>
        </w:trPr>
        <w:tc>
          <w:tcPr>
            <w:tcW w:w="1300" w:type="dxa"/>
            <w:vAlign w:val="bottom"/>
          </w:tcPr>
          <w:p>
            <w:pPr>
              <w:spacing w:after="0" w:line="20" w:lineRule="exact"/>
              <w:rPr>
                <w:sz w:val="1"/>
                <w:szCs w:val="1"/>
                <w:color w:val="auto"/>
              </w:rPr>
            </w:pPr>
          </w:p>
        </w:tc>
        <w:tc>
          <w:tcPr>
            <w:tcW w:w="1400" w:type="dxa"/>
            <w:vAlign w:val="bottom"/>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3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69"/>
        </w:trPr>
        <w:tc>
          <w:tcPr>
            <w:tcW w:w="1300" w:type="dxa"/>
            <w:vAlign w:val="bottom"/>
          </w:tcPr>
          <w:p>
            <w:pPr>
              <w:spacing w:after="0"/>
              <w:rPr>
                <w:sz w:val="14"/>
                <w:szCs w:val="14"/>
                <w:color w:val="auto"/>
              </w:rPr>
            </w:pPr>
          </w:p>
        </w:tc>
        <w:tc>
          <w:tcPr>
            <w:tcW w:w="10100" w:type="dxa"/>
            <w:vAlign w:val="bottom"/>
            <w:tcBorders>
              <w:bottom w:val="single" w:sz="8" w:color="0000FF"/>
            </w:tcBorders>
            <w:gridSpan w:val="29"/>
          </w:tcPr>
          <w:p>
            <w:pPr>
              <w:spacing w:after="0" w:line="169" w:lineRule="exact"/>
              <w:rPr>
                <w:rFonts w:ascii="Arial" w:cs="Arial" w:eastAsia="Arial" w:hAnsi="Arial"/>
                <w:sz w:val="16"/>
                <w:szCs w:val="16"/>
                <w:color w:val="0000FF"/>
              </w:rPr>
            </w:pPr>
            <w:hyperlink r:id="rId252">
              <w:r>
                <w:rPr>
                  <w:rFonts w:ascii="Arial" w:cs="Arial" w:eastAsia="Arial" w:hAnsi="Arial"/>
                  <w:sz w:val="16"/>
                  <w:szCs w:val="16"/>
                  <w:color w:val="0000FF"/>
                </w:rPr>
                <w:t>EMEA Limited, Deutsche Bank AG, London Branch, Caceis Bank France, FCT CarFin, Eurotitrisation, the Senior Noteholders named therein</w:t>
              </w:r>
            </w:hyperlink>
          </w:p>
        </w:tc>
        <w:tc>
          <w:tcPr>
            <w:tcW w:w="40" w:type="dxa"/>
            <w:vAlign w:val="bottom"/>
          </w:tcPr>
          <w:p>
            <w:pPr>
              <w:spacing w:after="0"/>
              <w:rPr>
                <w:sz w:val="14"/>
                <w:szCs w:val="14"/>
                <w:color w:val="auto"/>
              </w:rPr>
            </w:pPr>
          </w:p>
        </w:tc>
      </w:tr>
      <w:tr>
        <w:trPr>
          <w:trHeight w:val="169"/>
        </w:trPr>
        <w:tc>
          <w:tcPr>
            <w:tcW w:w="1300" w:type="dxa"/>
            <w:vAlign w:val="bottom"/>
          </w:tcPr>
          <w:p>
            <w:pPr>
              <w:spacing w:after="0"/>
              <w:rPr>
                <w:sz w:val="14"/>
                <w:szCs w:val="14"/>
                <w:color w:val="auto"/>
              </w:rPr>
            </w:pPr>
          </w:p>
        </w:tc>
        <w:tc>
          <w:tcPr>
            <w:tcW w:w="10000" w:type="dxa"/>
            <w:vAlign w:val="bottom"/>
            <w:tcBorders>
              <w:bottom w:val="single" w:sz="8" w:color="0000FF"/>
            </w:tcBorders>
            <w:gridSpan w:val="25"/>
          </w:tcPr>
          <w:p>
            <w:pPr>
              <w:spacing w:after="0" w:line="169" w:lineRule="exact"/>
              <w:rPr>
                <w:rFonts w:ascii="Arial" w:cs="Arial" w:eastAsia="Arial" w:hAnsi="Arial"/>
                <w:sz w:val="16"/>
                <w:szCs w:val="16"/>
                <w:color w:val="0000FF"/>
              </w:rPr>
            </w:pPr>
            <w:hyperlink r:id="rId252">
              <w:r>
                <w:rPr>
                  <w:rFonts w:ascii="Arial" w:cs="Arial" w:eastAsia="Arial" w:hAnsi="Arial"/>
                  <w:sz w:val="16"/>
                  <w:szCs w:val="16"/>
                  <w:color w:val="0000FF"/>
                </w:rPr>
                <w:t>and certain other entities named therein (Incorporated by reference to Exhibit 10.4 to the Company’s Quarterly Report on Form 10-Q for the</w:t>
              </w:r>
            </w:hyperlink>
          </w:p>
        </w:tc>
        <w:tc>
          <w:tcPr>
            <w:tcW w:w="140" w:type="dxa"/>
            <w:vAlign w:val="bottom"/>
            <w:gridSpan w:val="5"/>
          </w:tcPr>
          <w:p>
            <w:pPr>
              <w:spacing w:after="0"/>
              <w:rPr>
                <w:sz w:val="14"/>
                <w:szCs w:val="14"/>
                <w:color w:val="auto"/>
              </w:rPr>
            </w:pPr>
          </w:p>
        </w:tc>
      </w:tr>
      <w:tr>
        <w:trPr>
          <w:trHeight w:val="169"/>
        </w:trPr>
        <w:tc>
          <w:tcPr>
            <w:tcW w:w="1300" w:type="dxa"/>
            <w:vAlign w:val="bottom"/>
          </w:tcPr>
          <w:p>
            <w:pPr>
              <w:spacing w:after="0"/>
              <w:rPr>
                <w:sz w:val="14"/>
                <w:szCs w:val="14"/>
                <w:color w:val="auto"/>
              </w:rPr>
            </w:pPr>
          </w:p>
        </w:tc>
        <w:tc>
          <w:tcPr>
            <w:tcW w:w="10140" w:type="dxa"/>
            <w:vAlign w:val="bottom"/>
            <w:gridSpan w:val="30"/>
          </w:tcPr>
          <w:p>
            <w:pPr>
              <w:spacing w:after="0" w:line="169" w:lineRule="exact"/>
              <w:rPr>
                <w:rFonts w:ascii="Arial" w:cs="Arial" w:eastAsia="Arial" w:hAnsi="Arial"/>
                <w:sz w:val="16"/>
                <w:szCs w:val="16"/>
                <w:color w:val="0000FF"/>
              </w:rPr>
            </w:pPr>
            <w:hyperlink r:id="rId252">
              <w:r>
                <w:rPr>
                  <w:rFonts w:ascii="Arial" w:cs="Arial" w:eastAsia="Arial" w:hAnsi="Arial"/>
                  <w:sz w:val="16"/>
                  <w:szCs w:val="16"/>
                  <w:color w:val="0000FF"/>
                </w:rPr>
                <w:t>period ended June 30, 2014, dated August 5, 2014).††</w:t>
              </w:r>
            </w:hyperlink>
          </w:p>
        </w:tc>
      </w:tr>
      <w:tr>
        <w:trPr>
          <w:trHeight w:val="34"/>
        </w:trPr>
        <w:tc>
          <w:tcPr>
            <w:tcW w:w="1300" w:type="dxa"/>
            <w:vAlign w:val="bottom"/>
            <w:tcBorders>
              <w:bottom w:val="single" w:sz="8" w:color="auto"/>
            </w:tcBorders>
          </w:tcPr>
          <w:p>
            <w:pPr>
              <w:spacing w:after="0"/>
              <w:rPr>
                <w:sz w:val="2"/>
                <w:szCs w:val="2"/>
                <w:color w:val="auto"/>
              </w:rPr>
            </w:pPr>
          </w:p>
        </w:tc>
        <w:tc>
          <w:tcPr>
            <w:tcW w:w="740" w:type="dxa"/>
            <w:vAlign w:val="bottom"/>
            <w:tcBorders>
              <w:top w:val="single" w:sz="8" w:color="0000FF"/>
              <w:bottom w:val="single" w:sz="8" w:color="auto"/>
            </w:tcBorders>
          </w:tcPr>
          <w:p>
            <w:pPr>
              <w:spacing w:after="0"/>
              <w:rPr>
                <w:sz w:val="2"/>
                <w:szCs w:val="2"/>
                <w:color w:val="auto"/>
              </w:rPr>
            </w:pPr>
          </w:p>
        </w:tc>
        <w:tc>
          <w:tcPr>
            <w:tcW w:w="660" w:type="dxa"/>
            <w:vAlign w:val="bottom"/>
            <w:tcBorders>
              <w:top w:val="single" w:sz="8" w:color="0000FF"/>
              <w:bottom w:val="single" w:sz="8" w:color="auto"/>
            </w:tcBorders>
          </w:tcPr>
          <w:p>
            <w:pPr>
              <w:spacing w:after="0"/>
              <w:rPr>
                <w:sz w:val="2"/>
                <w:szCs w:val="2"/>
                <w:color w:val="auto"/>
              </w:rPr>
            </w:pPr>
          </w:p>
        </w:tc>
        <w:tc>
          <w:tcPr>
            <w:tcW w:w="500" w:type="dxa"/>
            <w:vAlign w:val="bottom"/>
            <w:tcBorders>
              <w:top w:val="single" w:sz="8" w:color="0000FF"/>
              <w:bottom w:val="single" w:sz="8" w:color="auto"/>
            </w:tcBorders>
          </w:tcPr>
          <w:p>
            <w:pPr>
              <w:spacing w:after="0"/>
              <w:rPr>
                <w:sz w:val="2"/>
                <w:szCs w:val="2"/>
                <w:color w:val="auto"/>
              </w:rPr>
            </w:pPr>
          </w:p>
        </w:tc>
        <w:tc>
          <w:tcPr>
            <w:tcW w:w="560" w:type="dxa"/>
            <w:vAlign w:val="bottom"/>
            <w:tcBorders>
              <w:top w:val="single" w:sz="8" w:color="0000FF"/>
              <w:bottom w:val="single" w:sz="8" w:color="auto"/>
            </w:tcBorders>
          </w:tcPr>
          <w:p>
            <w:pPr>
              <w:spacing w:after="0"/>
              <w:rPr>
                <w:sz w:val="2"/>
                <w:szCs w:val="2"/>
                <w:color w:val="auto"/>
              </w:rPr>
            </w:pPr>
          </w:p>
        </w:tc>
        <w:tc>
          <w:tcPr>
            <w:tcW w:w="480" w:type="dxa"/>
            <w:vAlign w:val="bottom"/>
            <w:tcBorders>
              <w:top w:val="single" w:sz="8" w:color="0000FF"/>
              <w:bottom w:val="single" w:sz="8" w:color="auto"/>
            </w:tcBorders>
          </w:tcPr>
          <w:p>
            <w:pPr>
              <w:spacing w:after="0"/>
              <w:rPr>
                <w:sz w:val="2"/>
                <w:szCs w:val="2"/>
                <w:color w:val="auto"/>
              </w:rPr>
            </w:pPr>
          </w:p>
        </w:tc>
        <w:tc>
          <w:tcPr>
            <w:tcW w:w="1000" w:type="dxa"/>
            <w:vAlign w:val="bottom"/>
            <w:tcBorders>
              <w:top w:val="single" w:sz="8" w:color="0000FF"/>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3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r>
      <w:tr>
        <w:trPr>
          <w:trHeight w:val="183"/>
        </w:trPr>
        <w:tc>
          <w:tcPr>
            <w:tcW w:w="1300" w:type="dxa"/>
            <w:vAlign w:val="bottom"/>
          </w:tcPr>
          <w:p>
            <w:pPr>
              <w:ind w:left="40"/>
              <w:spacing w:after="0" w:line="183" w:lineRule="exact"/>
              <w:rPr>
                <w:sz w:val="20"/>
                <w:szCs w:val="20"/>
                <w:color w:val="auto"/>
              </w:rPr>
            </w:pPr>
            <w:r>
              <w:rPr>
                <w:rFonts w:ascii="Arial" w:cs="Arial" w:eastAsia="Arial" w:hAnsi="Arial"/>
                <w:sz w:val="16"/>
                <w:szCs w:val="16"/>
                <w:color w:val="auto"/>
              </w:rPr>
              <w:t>10.67</w:t>
            </w:r>
          </w:p>
        </w:tc>
        <w:tc>
          <w:tcPr>
            <w:tcW w:w="10140" w:type="dxa"/>
            <w:vAlign w:val="bottom"/>
            <w:gridSpan w:val="30"/>
          </w:tcPr>
          <w:p>
            <w:pPr>
              <w:spacing w:after="0" w:line="183" w:lineRule="exact"/>
              <w:rPr>
                <w:rFonts w:ascii="Arial" w:cs="Arial" w:eastAsia="Arial" w:hAnsi="Arial"/>
                <w:sz w:val="16"/>
                <w:szCs w:val="16"/>
                <w:color w:val="0000FF"/>
              </w:rPr>
            </w:pPr>
            <w:hyperlink r:id="rId253">
              <w:r>
                <w:rPr>
                  <w:rFonts w:ascii="Arial" w:cs="Arial" w:eastAsia="Arial" w:hAnsi="Arial"/>
                  <w:sz w:val="16"/>
                  <w:szCs w:val="16"/>
                  <w:color w:val="0000FF"/>
                </w:rPr>
                <w:t>Master Definitions Agreement dated March 5, 2013, among CarFin Finance International Limited, Credit Agricole Corporate And Investment</w:t>
              </w:r>
            </w:hyperlink>
          </w:p>
        </w:tc>
      </w:tr>
      <w:tr>
        <w:trPr>
          <w:trHeight w:val="169"/>
        </w:trPr>
        <w:tc>
          <w:tcPr>
            <w:tcW w:w="1300" w:type="dxa"/>
            <w:vAlign w:val="bottom"/>
          </w:tcPr>
          <w:p>
            <w:pPr>
              <w:spacing w:after="0"/>
              <w:rPr>
                <w:sz w:val="14"/>
                <w:szCs w:val="14"/>
                <w:color w:val="auto"/>
              </w:rPr>
            </w:pPr>
          </w:p>
        </w:tc>
        <w:tc>
          <w:tcPr>
            <w:tcW w:w="10000" w:type="dxa"/>
            <w:vAlign w:val="bottom"/>
            <w:tcBorders>
              <w:top w:val="single" w:sz="8" w:color="0000FF"/>
            </w:tcBorders>
            <w:gridSpan w:val="25"/>
          </w:tcPr>
          <w:p>
            <w:pPr>
              <w:spacing w:after="0" w:line="169" w:lineRule="exact"/>
              <w:rPr>
                <w:rFonts w:ascii="Arial" w:cs="Arial" w:eastAsia="Arial" w:hAnsi="Arial"/>
                <w:sz w:val="16"/>
                <w:szCs w:val="16"/>
                <w:color w:val="0000FF"/>
              </w:rPr>
            </w:pPr>
            <w:hyperlink r:id="rId253">
              <w:r>
                <w:rPr>
                  <w:rFonts w:ascii="Arial" w:cs="Arial" w:eastAsia="Arial" w:hAnsi="Arial"/>
                  <w:sz w:val="16"/>
                  <w:szCs w:val="16"/>
                  <w:color w:val="0000FF"/>
                </w:rPr>
                <w:t>Bank, Deutsche Trustee Company Limited, Credit Agricole Corporate and Investment Bank, Avis Budget Car Rental, LLC, Avis Finance</w:t>
              </w:r>
            </w:hyperlink>
          </w:p>
        </w:tc>
        <w:tc>
          <w:tcPr>
            <w:tcW w:w="140" w:type="dxa"/>
            <w:vAlign w:val="bottom"/>
            <w:gridSpan w:val="5"/>
          </w:tcPr>
          <w:p>
            <w:pPr>
              <w:spacing w:after="0"/>
              <w:rPr>
                <w:sz w:val="14"/>
                <w:szCs w:val="14"/>
                <w:color w:val="auto"/>
              </w:rPr>
            </w:pPr>
          </w:p>
        </w:tc>
      </w:tr>
      <w:tr>
        <w:trPr>
          <w:trHeight w:val="20"/>
        </w:trPr>
        <w:tc>
          <w:tcPr>
            <w:tcW w:w="1300" w:type="dxa"/>
            <w:vAlign w:val="bottom"/>
          </w:tcPr>
          <w:p>
            <w:pPr>
              <w:spacing w:after="0" w:line="20" w:lineRule="exact"/>
              <w:rPr>
                <w:sz w:val="1"/>
                <w:szCs w:val="1"/>
                <w:color w:val="auto"/>
              </w:rPr>
            </w:pPr>
          </w:p>
        </w:tc>
        <w:tc>
          <w:tcPr>
            <w:tcW w:w="1400" w:type="dxa"/>
            <w:vAlign w:val="bottom"/>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860" w:type="dxa"/>
            <w:vAlign w:val="bottom"/>
            <w:gridSpan w:val="2"/>
            <w:shd w:val="clear" w:color="auto" w:fill="0000FF"/>
          </w:tcPr>
          <w:p>
            <w:pPr>
              <w:spacing w:after="0" w:line="20" w:lineRule="exact"/>
              <w:rPr>
                <w:sz w:val="1"/>
                <w:szCs w:val="1"/>
                <w:color w:val="auto"/>
              </w:rPr>
            </w:pPr>
          </w:p>
        </w:tc>
        <w:tc>
          <w:tcPr>
            <w:tcW w:w="3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169"/>
        </w:trPr>
        <w:tc>
          <w:tcPr>
            <w:tcW w:w="1300" w:type="dxa"/>
            <w:vAlign w:val="bottom"/>
          </w:tcPr>
          <w:p>
            <w:pPr>
              <w:spacing w:after="0"/>
              <w:rPr>
                <w:sz w:val="14"/>
                <w:szCs w:val="14"/>
                <w:color w:val="auto"/>
              </w:rPr>
            </w:pPr>
          </w:p>
        </w:tc>
        <w:tc>
          <w:tcPr>
            <w:tcW w:w="10040" w:type="dxa"/>
            <w:vAlign w:val="bottom"/>
            <w:tcBorders>
              <w:bottom w:val="single" w:sz="8" w:color="0000FF"/>
            </w:tcBorders>
            <w:gridSpan w:val="26"/>
          </w:tcPr>
          <w:p>
            <w:pPr>
              <w:spacing w:after="0" w:line="169" w:lineRule="exact"/>
              <w:rPr>
                <w:rFonts w:ascii="Arial" w:cs="Arial" w:eastAsia="Arial" w:hAnsi="Arial"/>
                <w:sz w:val="16"/>
                <w:szCs w:val="16"/>
                <w:color w:val="0000FF"/>
              </w:rPr>
            </w:pPr>
            <w:hyperlink r:id="rId253">
              <w:r>
                <w:rPr>
                  <w:rFonts w:ascii="Arial" w:cs="Arial" w:eastAsia="Arial" w:hAnsi="Arial"/>
                  <w:sz w:val="16"/>
                  <w:szCs w:val="16"/>
                  <w:color w:val="0000FF"/>
                </w:rPr>
                <w:t>Company Limited, Avis Budget EMEA Limited, Deutsche Bank AG, London Branch, the Senior Noteholders named therein and certain other</w:t>
              </w:r>
            </w:hyperlink>
          </w:p>
        </w:tc>
        <w:tc>
          <w:tcPr>
            <w:tcW w:w="100" w:type="dxa"/>
            <w:vAlign w:val="bottom"/>
            <w:gridSpan w:val="4"/>
          </w:tcPr>
          <w:p>
            <w:pPr>
              <w:spacing w:after="0"/>
              <w:rPr>
                <w:sz w:val="14"/>
                <w:szCs w:val="14"/>
                <w:color w:val="auto"/>
              </w:rPr>
            </w:pPr>
          </w:p>
        </w:tc>
      </w:tr>
      <w:tr>
        <w:trPr>
          <w:trHeight w:val="169"/>
        </w:trPr>
        <w:tc>
          <w:tcPr>
            <w:tcW w:w="1300" w:type="dxa"/>
            <w:vAlign w:val="bottom"/>
          </w:tcPr>
          <w:p>
            <w:pPr>
              <w:spacing w:after="0"/>
              <w:rPr>
                <w:sz w:val="14"/>
                <w:szCs w:val="14"/>
                <w:color w:val="auto"/>
              </w:rPr>
            </w:pPr>
          </w:p>
        </w:tc>
        <w:tc>
          <w:tcPr>
            <w:tcW w:w="10140" w:type="dxa"/>
            <w:vAlign w:val="bottom"/>
            <w:gridSpan w:val="30"/>
          </w:tcPr>
          <w:p>
            <w:pPr>
              <w:spacing w:after="0" w:line="169" w:lineRule="exact"/>
              <w:rPr>
                <w:rFonts w:ascii="Arial" w:cs="Arial" w:eastAsia="Arial" w:hAnsi="Arial"/>
                <w:sz w:val="16"/>
                <w:szCs w:val="16"/>
                <w:color w:val="0000FF"/>
              </w:rPr>
            </w:pPr>
            <w:hyperlink r:id="rId253">
              <w:r>
                <w:rPr>
                  <w:rFonts w:ascii="Arial" w:cs="Arial" w:eastAsia="Arial" w:hAnsi="Arial"/>
                  <w:sz w:val="16"/>
                  <w:szCs w:val="16"/>
                  <w:color w:val="0000FF"/>
                </w:rPr>
                <w:t>entities named therein (Incorporated by reference to Exhibit 10.5 to the Company’s Quarterly Report on Form 10-Q for the period ended</w:t>
              </w:r>
            </w:hyperlink>
          </w:p>
        </w:tc>
      </w:tr>
      <w:tr>
        <w:trPr>
          <w:trHeight w:val="169"/>
        </w:trPr>
        <w:tc>
          <w:tcPr>
            <w:tcW w:w="1300" w:type="dxa"/>
            <w:vAlign w:val="bottom"/>
          </w:tcPr>
          <w:p>
            <w:pPr>
              <w:spacing w:after="0"/>
              <w:rPr>
                <w:sz w:val="14"/>
                <w:szCs w:val="14"/>
                <w:color w:val="auto"/>
              </w:rPr>
            </w:pPr>
          </w:p>
        </w:tc>
        <w:tc>
          <w:tcPr>
            <w:tcW w:w="9720" w:type="dxa"/>
            <w:vAlign w:val="bottom"/>
            <w:tcBorders>
              <w:top w:val="single" w:sz="8" w:color="0000FF"/>
            </w:tcBorders>
            <w:gridSpan w:val="16"/>
          </w:tcPr>
          <w:p>
            <w:pPr>
              <w:spacing w:after="0" w:line="169" w:lineRule="exact"/>
              <w:rPr>
                <w:rFonts w:ascii="Arial" w:cs="Arial" w:eastAsia="Arial" w:hAnsi="Arial"/>
                <w:sz w:val="16"/>
                <w:szCs w:val="16"/>
                <w:color w:val="0000FF"/>
              </w:rPr>
            </w:pPr>
            <w:hyperlink r:id="rId253">
              <w:r>
                <w:rPr>
                  <w:rFonts w:ascii="Arial" w:cs="Arial" w:eastAsia="Arial" w:hAnsi="Arial"/>
                  <w:sz w:val="16"/>
                  <w:szCs w:val="16"/>
                  <w:color w:val="0000FF"/>
                </w:rPr>
                <w:t>June 30, 2014, dated August 5, 2014).††</w:t>
              </w:r>
            </w:hyperlink>
          </w:p>
        </w:tc>
        <w:tc>
          <w:tcPr>
            <w:tcW w:w="420" w:type="dxa"/>
            <w:vAlign w:val="bottom"/>
            <w:gridSpan w:val="14"/>
          </w:tcPr>
          <w:p>
            <w:pPr>
              <w:spacing w:after="0"/>
              <w:rPr>
                <w:sz w:val="14"/>
                <w:szCs w:val="14"/>
                <w:color w:val="auto"/>
              </w:rPr>
            </w:pPr>
          </w:p>
        </w:tc>
      </w:tr>
      <w:tr>
        <w:trPr>
          <w:trHeight w:val="34"/>
        </w:trPr>
        <w:tc>
          <w:tcPr>
            <w:tcW w:w="1300" w:type="dxa"/>
            <w:vAlign w:val="bottom"/>
            <w:tcBorders>
              <w:bottom w:val="single" w:sz="8" w:color="auto"/>
            </w:tcBorders>
          </w:tcPr>
          <w:p>
            <w:pPr>
              <w:spacing w:after="0"/>
              <w:rPr>
                <w:sz w:val="2"/>
                <w:szCs w:val="2"/>
                <w:color w:val="auto"/>
              </w:rPr>
            </w:pPr>
          </w:p>
        </w:tc>
        <w:tc>
          <w:tcPr>
            <w:tcW w:w="740" w:type="dxa"/>
            <w:vAlign w:val="bottom"/>
            <w:tcBorders>
              <w:top w:val="single" w:sz="8" w:color="0000FF"/>
              <w:bottom w:val="single" w:sz="8" w:color="auto"/>
            </w:tcBorders>
          </w:tcPr>
          <w:p>
            <w:pPr>
              <w:spacing w:after="0"/>
              <w:rPr>
                <w:sz w:val="2"/>
                <w:szCs w:val="2"/>
                <w:color w:val="auto"/>
              </w:rPr>
            </w:pPr>
          </w:p>
        </w:tc>
        <w:tc>
          <w:tcPr>
            <w:tcW w:w="660" w:type="dxa"/>
            <w:vAlign w:val="bottom"/>
            <w:tcBorders>
              <w:top w:val="single" w:sz="8" w:color="0000FF"/>
              <w:bottom w:val="single" w:sz="8" w:color="auto"/>
            </w:tcBorders>
          </w:tcPr>
          <w:p>
            <w:pPr>
              <w:spacing w:after="0"/>
              <w:rPr>
                <w:sz w:val="2"/>
                <w:szCs w:val="2"/>
                <w:color w:val="auto"/>
              </w:rPr>
            </w:pPr>
          </w:p>
        </w:tc>
        <w:tc>
          <w:tcPr>
            <w:tcW w:w="500" w:type="dxa"/>
            <w:vAlign w:val="bottom"/>
            <w:tcBorders>
              <w:top w:val="single" w:sz="8" w:color="0000FF"/>
              <w:bottom w:val="single" w:sz="8" w:color="auto"/>
            </w:tcBorders>
          </w:tcPr>
          <w:p>
            <w:pPr>
              <w:spacing w:after="0"/>
              <w:rPr>
                <w:sz w:val="2"/>
                <w:szCs w:val="2"/>
                <w:color w:val="auto"/>
              </w:rPr>
            </w:pPr>
          </w:p>
        </w:tc>
        <w:tc>
          <w:tcPr>
            <w:tcW w:w="560" w:type="dxa"/>
            <w:vAlign w:val="bottom"/>
            <w:tcBorders>
              <w:top w:val="single" w:sz="8" w:color="0000FF"/>
              <w:bottom w:val="single" w:sz="8" w:color="auto"/>
            </w:tcBorders>
          </w:tcPr>
          <w:p>
            <w:pPr>
              <w:spacing w:after="0"/>
              <w:rPr>
                <w:sz w:val="2"/>
                <w:szCs w:val="2"/>
                <w:color w:val="auto"/>
              </w:rPr>
            </w:pPr>
          </w:p>
        </w:tc>
        <w:tc>
          <w:tcPr>
            <w:tcW w:w="480" w:type="dxa"/>
            <w:vAlign w:val="bottom"/>
            <w:tcBorders>
              <w:top w:val="single" w:sz="8" w:color="0000FF"/>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3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r>
      <w:tr>
        <w:trPr>
          <w:trHeight w:val="183"/>
        </w:trPr>
        <w:tc>
          <w:tcPr>
            <w:tcW w:w="1300" w:type="dxa"/>
            <w:vAlign w:val="bottom"/>
          </w:tcPr>
          <w:p>
            <w:pPr>
              <w:ind w:left="40"/>
              <w:spacing w:after="0" w:line="183" w:lineRule="exact"/>
              <w:rPr>
                <w:sz w:val="20"/>
                <w:szCs w:val="20"/>
                <w:color w:val="auto"/>
              </w:rPr>
            </w:pPr>
            <w:r>
              <w:rPr>
                <w:rFonts w:ascii="Arial" w:cs="Arial" w:eastAsia="Arial" w:hAnsi="Arial"/>
                <w:sz w:val="16"/>
                <w:szCs w:val="16"/>
                <w:color w:val="auto"/>
              </w:rPr>
              <w:t>10.68</w:t>
            </w:r>
          </w:p>
        </w:tc>
        <w:tc>
          <w:tcPr>
            <w:tcW w:w="9700" w:type="dxa"/>
            <w:vAlign w:val="bottom"/>
            <w:tcBorders>
              <w:bottom w:val="single" w:sz="8" w:color="0000FF"/>
            </w:tcBorders>
            <w:gridSpan w:val="15"/>
          </w:tcPr>
          <w:p>
            <w:pPr>
              <w:spacing w:after="0" w:line="183" w:lineRule="exact"/>
              <w:rPr>
                <w:rFonts w:ascii="Arial" w:cs="Arial" w:eastAsia="Arial" w:hAnsi="Arial"/>
                <w:sz w:val="16"/>
                <w:szCs w:val="16"/>
                <w:color w:val="0000FF"/>
              </w:rPr>
            </w:pPr>
            <w:hyperlink r:id="rId254">
              <w:r>
                <w:rPr>
                  <w:rFonts w:ascii="Arial" w:cs="Arial" w:eastAsia="Arial" w:hAnsi="Arial"/>
                  <w:sz w:val="16"/>
                  <w:szCs w:val="16"/>
                  <w:color w:val="0000FF"/>
                </w:rPr>
                <w:t>Fourth Master Amendment and Restatement Deed, by and among CarFin Finance International Limited, Credit Agricole Corporate And</w:t>
              </w:r>
            </w:hyperlink>
          </w:p>
        </w:tc>
        <w:tc>
          <w:tcPr>
            <w:tcW w:w="440" w:type="dxa"/>
            <w:vAlign w:val="bottom"/>
            <w:gridSpan w:val="15"/>
          </w:tcPr>
          <w:p>
            <w:pPr>
              <w:spacing w:after="0"/>
              <w:rPr>
                <w:sz w:val="15"/>
                <w:szCs w:val="15"/>
                <w:color w:val="auto"/>
              </w:rPr>
            </w:pPr>
          </w:p>
        </w:tc>
      </w:tr>
      <w:tr>
        <w:trPr>
          <w:trHeight w:val="169"/>
        </w:trPr>
        <w:tc>
          <w:tcPr>
            <w:tcW w:w="1300" w:type="dxa"/>
            <w:vAlign w:val="bottom"/>
          </w:tcPr>
          <w:p>
            <w:pPr>
              <w:spacing w:after="0"/>
              <w:rPr>
                <w:sz w:val="14"/>
                <w:szCs w:val="14"/>
                <w:color w:val="auto"/>
              </w:rPr>
            </w:pPr>
          </w:p>
        </w:tc>
        <w:tc>
          <w:tcPr>
            <w:tcW w:w="10140" w:type="dxa"/>
            <w:vAlign w:val="bottom"/>
            <w:gridSpan w:val="30"/>
          </w:tcPr>
          <w:p>
            <w:pPr>
              <w:spacing w:after="0" w:line="169" w:lineRule="exact"/>
              <w:rPr>
                <w:rFonts w:ascii="Arial" w:cs="Arial" w:eastAsia="Arial" w:hAnsi="Arial"/>
                <w:sz w:val="16"/>
                <w:szCs w:val="16"/>
                <w:color w:val="0000FF"/>
              </w:rPr>
            </w:pPr>
            <w:hyperlink r:id="rId254">
              <w:r>
                <w:rPr>
                  <w:rFonts w:ascii="Arial" w:cs="Arial" w:eastAsia="Arial" w:hAnsi="Arial"/>
                  <w:sz w:val="16"/>
                  <w:szCs w:val="16"/>
                  <w:color w:val="0000FF"/>
                </w:rPr>
                <w:t>Investment Bank, Deutsche Trustee Company Limited, Credit Agricole Corporate And Investment Bank, the Opcos, Servicers, Lessees and</w:t>
              </w:r>
            </w:hyperlink>
          </w:p>
        </w:tc>
      </w:tr>
      <w:tr>
        <w:trPr>
          <w:trHeight w:val="169"/>
        </w:trPr>
        <w:tc>
          <w:tcPr>
            <w:tcW w:w="1300" w:type="dxa"/>
            <w:vAlign w:val="bottom"/>
          </w:tcPr>
          <w:p>
            <w:pPr>
              <w:spacing w:after="0"/>
              <w:rPr>
                <w:sz w:val="14"/>
                <w:szCs w:val="14"/>
                <w:color w:val="auto"/>
              </w:rPr>
            </w:pPr>
          </w:p>
        </w:tc>
        <w:tc>
          <w:tcPr>
            <w:tcW w:w="9980" w:type="dxa"/>
            <w:vAlign w:val="bottom"/>
            <w:tcBorders>
              <w:top w:val="single" w:sz="8" w:color="0000FF"/>
            </w:tcBorders>
            <w:gridSpan w:val="24"/>
          </w:tcPr>
          <w:p>
            <w:pPr>
              <w:spacing w:after="0" w:line="169" w:lineRule="exact"/>
              <w:rPr>
                <w:rFonts w:ascii="Arial" w:cs="Arial" w:eastAsia="Arial" w:hAnsi="Arial"/>
                <w:sz w:val="16"/>
                <w:szCs w:val="16"/>
                <w:color w:val="0000FF"/>
              </w:rPr>
            </w:pPr>
            <w:hyperlink r:id="rId254">
              <w:r>
                <w:rPr>
                  <w:rFonts w:ascii="Arial" w:cs="Arial" w:eastAsia="Arial" w:hAnsi="Arial"/>
                  <w:sz w:val="16"/>
                  <w:szCs w:val="16"/>
                  <w:color w:val="0000FF"/>
                </w:rPr>
                <w:t>Fleetcos listed therein, Avis Budget Car Rental, LLC, Avis Finance Company Limited, Avis Budget EMEA Limited, the Account Banks listed</w:t>
              </w:r>
            </w:hyperlink>
          </w:p>
        </w:tc>
        <w:tc>
          <w:tcPr>
            <w:tcW w:w="160" w:type="dxa"/>
            <w:vAlign w:val="bottom"/>
            <w:gridSpan w:val="6"/>
          </w:tcPr>
          <w:p>
            <w:pPr>
              <w:spacing w:after="0"/>
              <w:rPr>
                <w:sz w:val="14"/>
                <w:szCs w:val="14"/>
                <w:color w:val="auto"/>
              </w:rPr>
            </w:pPr>
          </w:p>
        </w:tc>
      </w:tr>
      <w:tr>
        <w:trPr>
          <w:trHeight w:val="20"/>
        </w:trPr>
        <w:tc>
          <w:tcPr>
            <w:tcW w:w="1300" w:type="dxa"/>
            <w:vAlign w:val="bottom"/>
          </w:tcPr>
          <w:p>
            <w:pPr>
              <w:spacing w:after="0" w:line="20" w:lineRule="exact"/>
              <w:rPr>
                <w:sz w:val="1"/>
                <w:szCs w:val="1"/>
                <w:color w:val="auto"/>
              </w:rPr>
            </w:pPr>
          </w:p>
        </w:tc>
        <w:tc>
          <w:tcPr>
            <w:tcW w:w="1400" w:type="dxa"/>
            <w:vAlign w:val="bottom"/>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340" w:type="dxa"/>
            <w:vAlign w:val="bottom"/>
            <w:gridSpan w:val="3"/>
            <w:shd w:val="clear" w:color="auto" w:fill="0000FF"/>
          </w:tcPr>
          <w:p>
            <w:pPr>
              <w:spacing w:after="0" w:line="20" w:lineRule="exact"/>
              <w:rPr>
                <w:sz w:val="1"/>
                <w:szCs w:val="1"/>
                <w:color w:val="auto"/>
              </w:rPr>
            </w:pPr>
          </w:p>
        </w:tc>
        <w:tc>
          <w:tcPr>
            <w:tcW w:w="3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60" w:type="dxa"/>
            <w:vAlign w:val="bottom"/>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169"/>
        </w:trPr>
        <w:tc>
          <w:tcPr>
            <w:tcW w:w="1300" w:type="dxa"/>
            <w:vAlign w:val="bottom"/>
          </w:tcPr>
          <w:p>
            <w:pPr>
              <w:spacing w:after="0"/>
              <w:rPr>
                <w:sz w:val="14"/>
                <w:szCs w:val="14"/>
                <w:color w:val="auto"/>
              </w:rPr>
            </w:pPr>
          </w:p>
        </w:tc>
        <w:tc>
          <w:tcPr>
            <w:tcW w:w="10080" w:type="dxa"/>
            <w:vAlign w:val="bottom"/>
            <w:tcBorders>
              <w:bottom w:val="single" w:sz="8" w:color="0000FF"/>
            </w:tcBorders>
            <w:gridSpan w:val="28"/>
          </w:tcPr>
          <w:p>
            <w:pPr>
              <w:spacing w:after="0" w:line="169" w:lineRule="exact"/>
              <w:rPr>
                <w:rFonts w:ascii="Arial" w:cs="Arial" w:eastAsia="Arial" w:hAnsi="Arial"/>
                <w:sz w:val="16"/>
                <w:szCs w:val="16"/>
                <w:color w:val="0000FF"/>
              </w:rPr>
            </w:pPr>
            <w:hyperlink r:id="rId254">
              <w:r>
                <w:rPr>
                  <w:rFonts w:ascii="Arial" w:cs="Arial" w:eastAsia="Arial" w:hAnsi="Arial"/>
                  <w:sz w:val="16"/>
                  <w:szCs w:val="16"/>
                  <w:color w:val="0000FF"/>
                </w:rPr>
                <w:t>therein, Deutsche Bank Ag, London Branch, the Senior Noteholders listed therein, Structured Finance Management (Ireland) Limited, CarFin</w:t>
              </w:r>
            </w:hyperlink>
          </w:p>
        </w:tc>
        <w:tc>
          <w:tcPr>
            <w:tcW w:w="60" w:type="dxa"/>
            <w:vAlign w:val="bottom"/>
            <w:gridSpan w:val="2"/>
          </w:tcPr>
          <w:p>
            <w:pPr>
              <w:spacing w:after="0"/>
              <w:rPr>
                <w:sz w:val="14"/>
                <w:szCs w:val="14"/>
                <w:color w:val="auto"/>
              </w:rPr>
            </w:pPr>
          </w:p>
        </w:tc>
      </w:tr>
      <w:tr>
        <w:trPr>
          <w:trHeight w:val="169"/>
        </w:trPr>
        <w:tc>
          <w:tcPr>
            <w:tcW w:w="1300" w:type="dxa"/>
            <w:vAlign w:val="bottom"/>
          </w:tcPr>
          <w:p>
            <w:pPr>
              <w:spacing w:after="0"/>
              <w:rPr>
                <w:sz w:val="14"/>
                <w:szCs w:val="14"/>
                <w:color w:val="auto"/>
              </w:rPr>
            </w:pPr>
          </w:p>
        </w:tc>
        <w:tc>
          <w:tcPr>
            <w:tcW w:w="10140" w:type="dxa"/>
            <w:vAlign w:val="bottom"/>
            <w:gridSpan w:val="30"/>
          </w:tcPr>
          <w:p>
            <w:pPr>
              <w:spacing w:after="0" w:line="169" w:lineRule="exact"/>
              <w:rPr>
                <w:rFonts w:ascii="Arial" w:cs="Arial" w:eastAsia="Arial" w:hAnsi="Arial"/>
                <w:sz w:val="16"/>
                <w:szCs w:val="16"/>
                <w:color w:val="0000FF"/>
              </w:rPr>
            </w:pPr>
            <w:hyperlink r:id="rId254">
              <w:r>
                <w:rPr>
                  <w:rFonts w:ascii="Arial" w:cs="Arial" w:eastAsia="Arial" w:hAnsi="Arial"/>
                  <w:sz w:val="16"/>
                  <w:szCs w:val="16"/>
                  <w:color w:val="0000FF"/>
                </w:rPr>
                <w:t>Finance Holdings Limited, Intertrust (Netherlands) B.V. And Vistra B.V., Credit Agricole Corporate And Investment Bank, FCT CarFin, Caceis</w:t>
              </w:r>
            </w:hyperlink>
          </w:p>
        </w:tc>
      </w:tr>
      <w:tr>
        <w:trPr>
          <w:trHeight w:val="169"/>
        </w:trPr>
        <w:tc>
          <w:tcPr>
            <w:tcW w:w="1300" w:type="dxa"/>
            <w:vAlign w:val="bottom"/>
          </w:tcPr>
          <w:p>
            <w:pPr>
              <w:spacing w:after="0"/>
              <w:rPr>
                <w:sz w:val="14"/>
                <w:szCs w:val="14"/>
                <w:color w:val="auto"/>
              </w:rPr>
            </w:pPr>
          </w:p>
        </w:tc>
        <w:tc>
          <w:tcPr>
            <w:tcW w:w="9860" w:type="dxa"/>
            <w:vAlign w:val="bottom"/>
            <w:tcBorders>
              <w:top w:val="single" w:sz="8" w:color="0000FF"/>
              <w:bottom w:val="single" w:sz="8" w:color="0000FF"/>
            </w:tcBorders>
            <w:gridSpan w:val="21"/>
          </w:tcPr>
          <w:p>
            <w:pPr>
              <w:spacing w:after="0" w:line="169" w:lineRule="exact"/>
              <w:rPr>
                <w:rFonts w:ascii="Arial" w:cs="Arial" w:eastAsia="Arial" w:hAnsi="Arial"/>
                <w:sz w:val="16"/>
                <w:szCs w:val="16"/>
                <w:color w:val="0000FF"/>
              </w:rPr>
            </w:pPr>
            <w:hyperlink r:id="rId254">
              <w:r>
                <w:rPr>
                  <w:rFonts w:ascii="Arial" w:cs="Arial" w:eastAsia="Arial" w:hAnsi="Arial"/>
                  <w:sz w:val="16"/>
                  <w:szCs w:val="16"/>
                  <w:color w:val="0000FF"/>
                </w:rPr>
                <w:t>Bank France, Caceis Corporate Trust, Deutsche Bank Luxembourg S.A. and Fiserv Automotive Solutions, Inc., dated December 15, 2014</w:t>
              </w:r>
            </w:hyperlink>
          </w:p>
        </w:tc>
        <w:tc>
          <w:tcPr>
            <w:tcW w:w="200" w:type="dxa"/>
            <w:vAlign w:val="bottom"/>
            <w:tcBorders>
              <w:top w:val="single" w:sz="8" w:color="0000FF"/>
            </w:tcBorders>
            <w:gridSpan w:val="6"/>
          </w:tcPr>
          <w:p>
            <w:pPr>
              <w:spacing w:after="0"/>
              <w:rPr>
                <w:sz w:val="14"/>
                <w:szCs w:val="14"/>
                <w:color w:val="auto"/>
              </w:rPr>
            </w:pPr>
          </w:p>
        </w:tc>
        <w:tc>
          <w:tcPr>
            <w:tcW w:w="80" w:type="dxa"/>
            <w:vAlign w:val="bottom"/>
            <w:gridSpan w:val="3"/>
          </w:tcPr>
          <w:p>
            <w:pPr>
              <w:spacing w:after="0"/>
              <w:rPr>
                <w:sz w:val="14"/>
                <w:szCs w:val="14"/>
                <w:color w:val="auto"/>
              </w:rPr>
            </w:pPr>
          </w:p>
        </w:tc>
      </w:tr>
      <w:tr>
        <w:trPr>
          <w:trHeight w:val="169"/>
        </w:trPr>
        <w:tc>
          <w:tcPr>
            <w:tcW w:w="1300" w:type="dxa"/>
            <w:vAlign w:val="bottom"/>
          </w:tcPr>
          <w:p>
            <w:pPr>
              <w:spacing w:after="0"/>
              <w:rPr>
                <w:sz w:val="14"/>
                <w:szCs w:val="14"/>
                <w:color w:val="auto"/>
              </w:rPr>
            </w:pPr>
          </w:p>
        </w:tc>
        <w:tc>
          <w:tcPr>
            <w:tcW w:w="10140" w:type="dxa"/>
            <w:vAlign w:val="bottom"/>
            <w:gridSpan w:val="30"/>
          </w:tcPr>
          <w:p>
            <w:pPr>
              <w:spacing w:after="0" w:line="169" w:lineRule="exact"/>
              <w:rPr>
                <w:rFonts w:ascii="Arial" w:cs="Arial" w:eastAsia="Arial" w:hAnsi="Arial"/>
                <w:sz w:val="16"/>
                <w:szCs w:val="16"/>
                <w:color w:val="0000FF"/>
              </w:rPr>
            </w:pPr>
            <w:hyperlink r:id="rId254">
              <w:r>
                <w:rPr>
                  <w:rFonts w:ascii="Arial" w:cs="Arial" w:eastAsia="Arial" w:hAnsi="Arial"/>
                  <w:sz w:val="16"/>
                  <w:szCs w:val="16"/>
                  <w:color w:val="0000FF"/>
                </w:rPr>
                <w:t>(Incorporated by reference to Exhibit 10.1 to the Company’s Current Report on Form 8-K dated December 19, 2014).††</w:t>
              </w:r>
            </w:hyperlink>
          </w:p>
        </w:tc>
      </w:tr>
      <w:tr>
        <w:trPr>
          <w:trHeight w:val="34"/>
        </w:trPr>
        <w:tc>
          <w:tcPr>
            <w:tcW w:w="1300" w:type="dxa"/>
            <w:vAlign w:val="bottom"/>
            <w:tcBorders>
              <w:bottom w:val="single" w:sz="8" w:color="auto"/>
            </w:tcBorders>
          </w:tcPr>
          <w:p>
            <w:pPr>
              <w:spacing w:after="0"/>
              <w:rPr>
                <w:sz w:val="2"/>
                <w:szCs w:val="2"/>
                <w:color w:val="auto"/>
              </w:rPr>
            </w:pPr>
          </w:p>
        </w:tc>
        <w:tc>
          <w:tcPr>
            <w:tcW w:w="740" w:type="dxa"/>
            <w:vAlign w:val="bottom"/>
            <w:tcBorders>
              <w:top w:val="single" w:sz="8" w:color="0000FF"/>
              <w:bottom w:val="single" w:sz="8" w:color="auto"/>
            </w:tcBorders>
          </w:tcPr>
          <w:p>
            <w:pPr>
              <w:spacing w:after="0"/>
              <w:rPr>
                <w:sz w:val="2"/>
                <w:szCs w:val="2"/>
                <w:color w:val="auto"/>
              </w:rPr>
            </w:pPr>
          </w:p>
        </w:tc>
        <w:tc>
          <w:tcPr>
            <w:tcW w:w="660" w:type="dxa"/>
            <w:vAlign w:val="bottom"/>
            <w:tcBorders>
              <w:top w:val="single" w:sz="8" w:color="0000FF"/>
              <w:bottom w:val="single" w:sz="8" w:color="auto"/>
            </w:tcBorders>
          </w:tcPr>
          <w:p>
            <w:pPr>
              <w:spacing w:after="0"/>
              <w:rPr>
                <w:sz w:val="2"/>
                <w:szCs w:val="2"/>
                <w:color w:val="auto"/>
              </w:rPr>
            </w:pPr>
          </w:p>
        </w:tc>
        <w:tc>
          <w:tcPr>
            <w:tcW w:w="500" w:type="dxa"/>
            <w:vAlign w:val="bottom"/>
            <w:tcBorders>
              <w:top w:val="single" w:sz="8" w:color="0000FF"/>
              <w:bottom w:val="single" w:sz="8" w:color="auto"/>
            </w:tcBorders>
          </w:tcPr>
          <w:p>
            <w:pPr>
              <w:spacing w:after="0"/>
              <w:rPr>
                <w:sz w:val="2"/>
                <w:szCs w:val="2"/>
                <w:color w:val="auto"/>
              </w:rPr>
            </w:pPr>
          </w:p>
        </w:tc>
        <w:tc>
          <w:tcPr>
            <w:tcW w:w="560" w:type="dxa"/>
            <w:vAlign w:val="bottom"/>
            <w:tcBorders>
              <w:top w:val="single" w:sz="8" w:color="0000FF"/>
              <w:bottom w:val="single" w:sz="8" w:color="auto"/>
            </w:tcBorders>
          </w:tcPr>
          <w:p>
            <w:pPr>
              <w:spacing w:after="0"/>
              <w:rPr>
                <w:sz w:val="2"/>
                <w:szCs w:val="2"/>
                <w:color w:val="auto"/>
              </w:rPr>
            </w:pPr>
          </w:p>
        </w:tc>
        <w:tc>
          <w:tcPr>
            <w:tcW w:w="480" w:type="dxa"/>
            <w:vAlign w:val="bottom"/>
            <w:tcBorders>
              <w:top w:val="single" w:sz="8" w:color="0000FF"/>
              <w:bottom w:val="single" w:sz="8" w:color="auto"/>
            </w:tcBorders>
          </w:tcPr>
          <w:p>
            <w:pPr>
              <w:spacing w:after="0"/>
              <w:rPr>
                <w:sz w:val="2"/>
                <w:szCs w:val="2"/>
                <w:color w:val="auto"/>
              </w:rPr>
            </w:pPr>
          </w:p>
        </w:tc>
        <w:tc>
          <w:tcPr>
            <w:tcW w:w="1000" w:type="dxa"/>
            <w:vAlign w:val="bottom"/>
            <w:tcBorders>
              <w:top w:val="single" w:sz="8" w:color="0000FF"/>
              <w:bottom w:val="single" w:sz="8" w:color="auto"/>
            </w:tcBorders>
          </w:tcPr>
          <w:p>
            <w:pPr>
              <w:spacing w:after="0"/>
              <w:rPr>
                <w:sz w:val="2"/>
                <w:szCs w:val="2"/>
                <w:color w:val="auto"/>
              </w:rPr>
            </w:pPr>
          </w:p>
        </w:tc>
        <w:tc>
          <w:tcPr>
            <w:tcW w:w="860" w:type="dxa"/>
            <w:vAlign w:val="bottom"/>
            <w:tcBorders>
              <w:top w:val="single" w:sz="8" w:color="0000FF"/>
              <w:bottom w:val="single" w:sz="8" w:color="auto"/>
            </w:tcBorders>
          </w:tcPr>
          <w:p>
            <w:pPr>
              <w:spacing w:after="0"/>
              <w:rPr>
                <w:sz w:val="2"/>
                <w:szCs w:val="2"/>
                <w:color w:val="auto"/>
              </w:rPr>
            </w:pPr>
          </w:p>
        </w:tc>
        <w:tc>
          <w:tcPr>
            <w:tcW w:w="3300" w:type="dxa"/>
            <w:vAlign w:val="bottom"/>
            <w:tcBorders>
              <w:top w:val="single" w:sz="8" w:color="0000FF"/>
              <w:bottom w:val="single" w:sz="8" w:color="auto"/>
            </w:tcBorders>
          </w:tcPr>
          <w:p>
            <w:pPr>
              <w:spacing w:after="0"/>
              <w:rPr>
                <w:sz w:val="2"/>
                <w:szCs w:val="2"/>
                <w:color w:val="auto"/>
              </w:rPr>
            </w:pPr>
          </w:p>
        </w:tc>
        <w:tc>
          <w:tcPr>
            <w:tcW w:w="20" w:type="dxa"/>
            <w:vAlign w:val="bottom"/>
            <w:tcBorders>
              <w:top w:val="single" w:sz="8" w:color="0000FF"/>
              <w:bottom w:val="single" w:sz="8" w:color="auto"/>
            </w:tcBorders>
          </w:tcPr>
          <w:p>
            <w:pPr>
              <w:spacing w:after="0"/>
              <w:rPr>
                <w:sz w:val="2"/>
                <w:szCs w:val="2"/>
                <w:color w:val="auto"/>
              </w:rPr>
            </w:pPr>
          </w:p>
        </w:tc>
        <w:tc>
          <w:tcPr>
            <w:tcW w:w="440" w:type="dxa"/>
            <w:vAlign w:val="bottom"/>
            <w:tcBorders>
              <w:top w:val="single" w:sz="8" w:color="0000FF"/>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r>
      <w:tr>
        <w:trPr>
          <w:trHeight w:val="183"/>
        </w:trPr>
        <w:tc>
          <w:tcPr>
            <w:tcW w:w="1300" w:type="dxa"/>
            <w:vAlign w:val="bottom"/>
          </w:tcPr>
          <w:p>
            <w:pPr>
              <w:ind w:left="40"/>
              <w:spacing w:after="0" w:line="183" w:lineRule="exact"/>
              <w:rPr>
                <w:sz w:val="20"/>
                <w:szCs w:val="20"/>
                <w:color w:val="auto"/>
              </w:rPr>
            </w:pPr>
            <w:r>
              <w:rPr>
                <w:rFonts w:ascii="Arial" w:cs="Arial" w:eastAsia="Arial" w:hAnsi="Arial"/>
                <w:sz w:val="16"/>
                <w:szCs w:val="16"/>
                <w:color w:val="auto"/>
              </w:rPr>
              <w:t>10.69</w:t>
            </w:r>
          </w:p>
        </w:tc>
        <w:tc>
          <w:tcPr>
            <w:tcW w:w="9800" w:type="dxa"/>
            <w:vAlign w:val="bottom"/>
            <w:tcBorders>
              <w:bottom w:val="single" w:sz="8" w:color="0000FF"/>
            </w:tcBorders>
            <w:gridSpan w:val="20"/>
          </w:tcPr>
          <w:p>
            <w:pPr>
              <w:spacing w:after="0" w:line="183" w:lineRule="exact"/>
              <w:rPr>
                <w:rFonts w:ascii="Arial" w:cs="Arial" w:eastAsia="Arial" w:hAnsi="Arial"/>
                <w:sz w:val="16"/>
                <w:szCs w:val="16"/>
                <w:color w:val="0000FF"/>
              </w:rPr>
            </w:pPr>
            <w:hyperlink r:id="rId255">
              <w:r>
                <w:rPr>
                  <w:rFonts w:ascii="Arial" w:cs="Arial" w:eastAsia="Arial" w:hAnsi="Arial"/>
                  <w:sz w:val="16"/>
                  <w:szCs w:val="16"/>
                  <w:color w:val="0000FF"/>
                </w:rPr>
                <w:t>Seventh Master Amendment and Restatement Deed, by and among CarFin Finance International Limited, Credit Agricole Corporate And</w:t>
              </w:r>
            </w:hyperlink>
          </w:p>
        </w:tc>
        <w:tc>
          <w:tcPr>
            <w:tcW w:w="340" w:type="dxa"/>
            <w:vAlign w:val="bottom"/>
            <w:gridSpan w:val="10"/>
          </w:tcPr>
          <w:p>
            <w:pPr>
              <w:spacing w:after="0"/>
              <w:rPr>
                <w:sz w:val="15"/>
                <w:szCs w:val="15"/>
                <w:color w:val="auto"/>
              </w:rPr>
            </w:pPr>
          </w:p>
        </w:tc>
      </w:tr>
      <w:tr>
        <w:trPr>
          <w:trHeight w:val="169"/>
        </w:trPr>
        <w:tc>
          <w:tcPr>
            <w:tcW w:w="1300" w:type="dxa"/>
            <w:vAlign w:val="bottom"/>
          </w:tcPr>
          <w:p>
            <w:pPr>
              <w:spacing w:after="0"/>
              <w:rPr>
                <w:sz w:val="14"/>
                <w:szCs w:val="14"/>
                <w:color w:val="auto"/>
              </w:rPr>
            </w:pPr>
          </w:p>
        </w:tc>
        <w:tc>
          <w:tcPr>
            <w:tcW w:w="10140" w:type="dxa"/>
            <w:vAlign w:val="bottom"/>
            <w:gridSpan w:val="30"/>
          </w:tcPr>
          <w:p>
            <w:pPr>
              <w:spacing w:after="0" w:line="169" w:lineRule="exact"/>
              <w:rPr>
                <w:rFonts w:ascii="Arial" w:cs="Arial" w:eastAsia="Arial" w:hAnsi="Arial"/>
                <w:sz w:val="16"/>
                <w:szCs w:val="16"/>
                <w:color w:val="0000FF"/>
              </w:rPr>
            </w:pPr>
            <w:hyperlink r:id="rId255">
              <w:r>
                <w:rPr>
                  <w:rFonts w:ascii="Arial" w:cs="Arial" w:eastAsia="Arial" w:hAnsi="Arial"/>
                  <w:sz w:val="16"/>
                  <w:szCs w:val="16"/>
                  <w:color w:val="0000FF"/>
                </w:rPr>
                <w:t>Investment Bank, Deutsche Trustee Company Limited, Credit Agricole Corporate And Investment Bank, the Opcos, Servicers, Lessees and</w:t>
              </w:r>
            </w:hyperlink>
          </w:p>
        </w:tc>
      </w:tr>
      <w:tr>
        <w:trPr>
          <w:trHeight w:val="169"/>
        </w:trPr>
        <w:tc>
          <w:tcPr>
            <w:tcW w:w="1300" w:type="dxa"/>
            <w:vAlign w:val="bottom"/>
          </w:tcPr>
          <w:p>
            <w:pPr>
              <w:spacing w:after="0"/>
              <w:rPr>
                <w:sz w:val="14"/>
                <w:szCs w:val="14"/>
                <w:color w:val="auto"/>
              </w:rPr>
            </w:pPr>
          </w:p>
        </w:tc>
        <w:tc>
          <w:tcPr>
            <w:tcW w:w="9980" w:type="dxa"/>
            <w:vAlign w:val="bottom"/>
            <w:tcBorders>
              <w:top w:val="single" w:sz="8" w:color="0000FF"/>
            </w:tcBorders>
            <w:gridSpan w:val="24"/>
          </w:tcPr>
          <w:p>
            <w:pPr>
              <w:spacing w:after="0" w:line="169" w:lineRule="exact"/>
              <w:rPr>
                <w:rFonts w:ascii="Arial" w:cs="Arial" w:eastAsia="Arial" w:hAnsi="Arial"/>
                <w:sz w:val="16"/>
                <w:szCs w:val="16"/>
                <w:color w:val="0000FF"/>
              </w:rPr>
            </w:pPr>
            <w:hyperlink r:id="rId255">
              <w:r>
                <w:rPr>
                  <w:rFonts w:ascii="Arial" w:cs="Arial" w:eastAsia="Arial" w:hAnsi="Arial"/>
                  <w:sz w:val="16"/>
                  <w:szCs w:val="16"/>
                  <w:color w:val="0000FF"/>
                </w:rPr>
                <w:t>Fleetcos listed therein, Avis Budget Car Rental, LLC, Avis Finance Company Limited, Avis Budget EMEA Limited, the Account Banks listed</w:t>
              </w:r>
            </w:hyperlink>
          </w:p>
        </w:tc>
        <w:tc>
          <w:tcPr>
            <w:tcW w:w="160" w:type="dxa"/>
            <w:vAlign w:val="bottom"/>
            <w:gridSpan w:val="6"/>
          </w:tcPr>
          <w:p>
            <w:pPr>
              <w:spacing w:after="0"/>
              <w:rPr>
                <w:sz w:val="14"/>
                <w:szCs w:val="14"/>
                <w:color w:val="auto"/>
              </w:rPr>
            </w:pPr>
          </w:p>
        </w:tc>
      </w:tr>
      <w:tr>
        <w:trPr>
          <w:trHeight w:val="169"/>
        </w:trPr>
        <w:tc>
          <w:tcPr>
            <w:tcW w:w="1300" w:type="dxa"/>
            <w:vAlign w:val="bottom"/>
          </w:tcPr>
          <w:p>
            <w:pPr>
              <w:spacing w:after="0"/>
              <w:rPr>
                <w:sz w:val="14"/>
                <w:szCs w:val="14"/>
                <w:color w:val="auto"/>
              </w:rPr>
            </w:pPr>
          </w:p>
        </w:tc>
        <w:tc>
          <w:tcPr>
            <w:tcW w:w="9940" w:type="dxa"/>
            <w:vAlign w:val="bottom"/>
            <w:tcBorders>
              <w:top w:val="single" w:sz="8" w:color="0000FF"/>
            </w:tcBorders>
            <w:gridSpan w:val="23"/>
          </w:tcPr>
          <w:p>
            <w:pPr>
              <w:spacing w:after="0" w:line="169" w:lineRule="exact"/>
              <w:rPr>
                <w:rFonts w:ascii="Arial" w:cs="Arial" w:eastAsia="Arial" w:hAnsi="Arial"/>
                <w:sz w:val="16"/>
                <w:szCs w:val="16"/>
                <w:color w:val="0000FF"/>
              </w:rPr>
            </w:pPr>
            <w:hyperlink r:id="rId255">
              <w:r>
                <w:rPr>
                  <w:rFonts w:ascii="Arial" w:cs="Arial" w:eastAsia="Arial" w:hAnsi="Arial"/>
                  <w:sz w:val="16"/>
                  <w:szCs w:val="16"/>
                  <w:color w:val="0000FF"/>
                </w:rPr>
                <w:t>therein, Deutsche Bank Ag, London Branch, the Senior Noteholders and certain other entities named therein, dated January 22, 2016</w:t>
              </w:r>
            </w:hyperlink>
          </w:p>
        </w:tc>
        <w:tc>
          <w:tcPr>
            <w:tcW w:w="200" w:type="dxa"/>
            <w:vAlign w:val="bottom"/>
            <w:gridSpan w:val="7"/>
          </w:tcPr>
          <w:p>
            <w:pPr>
              <w:spacing w:after="0"/>
              <w:rPr>
                <w:sz w:val="14"/>
                <w:szCs w:val="14"/>
                <w:color w:val="auto"/>
              </w:rPr>
            </w:pPr>
          </w:p>
        </w:tc>
      </w:tr>
      <w:tr>
        <w:trPr>
          <w:trHeight w:val="169"/>
        </w:trPr>
        <w:tc>
          <w:tcPr>
            <w:tcW w:w="1300" w:type="dxa"/>
            <w:vAlign w:val="bottom"/>
          </w:tcPr>
          <w:p>
            <w:pPr>
              <w:spacing w:after="0"/>
              <w:rPr>
                <w:sz w:val="14"/>
                <w:szCs w:val="14"/>
                <w:color w:val="auto"/>
              </w:rPr>
            </w:pPr>
          </w:p>
        </w:tc>
        <w:tc>
          <w:tcPr>
            <w:tcW w:w="9560" w:type="dxa"/>
            <w:vAlign w:val="bottom"/>
            <w:tcBorders>
              <w:top w:val="single" w:sz="8" w:color="0000FF"/>
            </w:tcBorders>
            <w:gridSpan w:val="13"/>
          </w:tcPr>
          <w:p>
            <w:pPr>
              <w:spacing w:after="0" w:line="169" w:lineRule="exact"/>
              <w:rPr>
                <w:rFonts w:ascii="Arial" w:cs="Arial" w:eastAsia="Arial" w:hAnsi="Arial"/>
                <w:sz w:val="16"/>
                <w:szCs w:val="16"/>
                <w:color w:val="0000FF"/>
              </w:rPr>
            </w:pPr>
            <w:hyperlink r:id="rId255">
              <w:r>
                <w:rPr>
                  <w:rFonts w:ascii="Arial" w:cs="Arial" w:eastAsia="Arial" w:hAnsi="Arial"/>
                  <w:sz w:val="16"/>
                  <w:szCs w:val="16"/>
                  <w:color w:val="0000FF"/>
                </w:rPr>
                <w:t>(Incorporated by reference to Exhibit 10.6 to the Company’s Current Report on Form 8-K dated April 21, 2016).††</w:t>
              </w:r>
            </w:hyperlink>
          </w:p>
        </w:tc>
        <w:tc>
          <w:tcPr>
            <w:tcW w:w="580" w:type="dxa"/>
            <w:vAlign w:val="bottom"/>
            <w:gridSpan w:val="17"/>
          </w:tcPr>
          <w:p>
            <w:pPr>
              <w:spacing w:after="0"/>
              <w:rPr>
                <w:sz w:val="14"/>
                <w:szCs w:val="14"/>
                <w:color w:val="auto"/>
              </w:rPr>
            </w:pPr>
          </w:p>
        </w:tc>
      </w:tr>
      <w:tr>
        <w:trPr>
          <w:trHeight w:val="34"/>
        </w:trPr>
        <w:tc>
          <w:tcPr>
            <w:tcW w:w="1300" w:type="dxa"/>
            <w:vAlign w:val="bottom"/>
            <w:tcBorders>
              <w:bottom w:val="single" w:sz="8" w:color="auto"/>
            </w:tcBorders>
          </w:tcPr>
          <w:p>
            <w:pPr>
              <w:spacing w:after="0"/>
              <w:rPr>
                <w:sz w:val="2"/>
                <w:szCs w:val="2"/>
                <w:color w:val="auto"/>
              </w:rPr>
            </w:pPr>
          </w:p>
        </w:tc>
        <w:tc>
          <w:tcPr>
            <w:tcW w:w="740" w:type="dxa"/>
            <w:vAlign w:val="bottom"/>
            <w:tcBorders>
              <w:top w:val="single" w:sz="8" w:color="0000FF"/>
              <w:bottom w:val="single" w:sz="8" w:color="auto"/>
            </w:tcBorders>
          </w:tcPr>
          <w:p>
            <w:pPr>
              <w:spacing w:after="0"/>
              <w:rPr>
                <w:sz w:val="2"/>
                <w:szCs w:val="2"/>
                <w:color w:val="auto"/>
              </w:rPr>
            </w:pPr>
          </w:p>
        </w:tc>
        <w:tc>
          <w:tcPr>
            <w:tcW w:w="660" w:type="dxa"/>
            <w:vAlign w:val="bottom"/>
            <w:tcBorders>
              <w:top w:val="single" w:sz="8" w:color="0000FF"/>
              <w:bottom w:val="single" w:sz="8" w:color="auto"/>
            </w:tcBorders>
          </w:tcPr>
          <w:p>
            <w:pPr>
              <w:spacing w:after="0"/>
              <w:rPr>
                <w:sz w:val="2"/>
                <w:szCs w:val="2"/>
                <w:color w:val="auto"/>
              </w:rPr>
            </w:pPr>
          </w:p>
        </w:tc>
        <w:tc>
          <w:tcPr>
            <w:tcW w:w="500" w:type="dxa"/>
            <w:vAlign w:val="bottom"/>
            <w:tcBorders>
              <w:top w:val="single" w:sz="8" w:color="0000FF"/>
              <w:bottom w:val="single" w:sz="8" w:color="auto"/>
            </w:tcBorders>
          </w:tcPr>
          <w:p>
            <w:pPr>
              <w:spacing w:after="0"/>
              <w:rPr>
                <w:sz w:val="2"/>
                <w:szCs w:val="2"/>
                <w:color w:val="auto"/>
              </w:rPr>
            </w:pPr>
          </w:p>
        </w:tc>
        <w:tc>
          <w:tcPr>
            <w:tcW w:w="560" w:type="dxa"/>
            <w:vAlign w:val="bottom"/>
            <w:tcBorders>
              <w:top w:val="single" w:sz="8" w:color="0000FF"/>
              <w:bottom w:val="single" w:sz="8" w:color="auto"/>
            </w:tcBorders>
          </w:tcPr>
          <w:p>
            <w:pPr>
              <w:spacing w:after="0"/>
              <w:rPr>
                <w:sz w:val="2"/>
                <w:szCs w:val="2"/>
                <w:color w:val="auto"/>
              </w:rPr>
            </w:pPr>
          </w:p>
        </w:tc>
        <w:tc>
          <w:tcPr>
            <w:tcW w:w="480" w:type="dxa"/>
            <w:vAlign w:val="bottom"/>
            <w:tcBorders>
              <w:top w:val="single" w:sz="8" w:color="0000FF"/>
              <w:bottom w:val="single" w:sz="8" w:color="auto"/>
            </w:tcBorders>
          </w:tcPr>
          <w:p>
            <w:pPr>
              <w:spacing w:after="0"/>
              <w:rPr>
                <w:sz w:val="2"/>
                <w:szCs w:val="2"/>
                <w:color w:val="auto"/>
              </w:rPr>
            </w:pPr>
          </w:p>
        </w:tc>
        <w:tc>
          <w:tcPr>
            <w:tcW w:w="1000" w:type="dxa"/>
            <w:vAlign w:val="bottom"/>
            <w:tcBorders>
              <w:top w:val="single" w:sz="8" w:color="0000FF"/>
              <w:bottom w:val="single" w:sz="8" w:color="auto"/>
            </w:tcBorders>
          </w:tcPr>
          <w:p>
            <w:pPr>
              <w:spacing w:after="0"/>
              <w:rPr>
                <w:sz w:val="2"/>
                <w:szCs w:val="2"/>
                <w:color w:val="auto"/>
              </w:rPr>
            </w:pPr>
          </w:p>
        </w:tc>
        <w:tc>
          <w:tcPr>
            <w:tcW w:w="860" w:type="dxa"/>
            <w:vAlign w:val="bottom"/>
            <w:tcBorders>
              <w:top w:val="single" w:sz="8" w:color="0000FF"/>
              <w:bottom w:val="single" w:sz="8" w:color="auto"/>
            </w:tcBorders>
          </w:tcPr>
          <w:p>
            <w:pPr>
              <w:spacing w:after="0"/>
              <w:rPr>
                <w:sz w:val="2"/>
                <w:szCs w:val="2"/>
                <w:color w:val="auto"/>
              </w:rPr>
            </w:pPr>
          </w:p>
        </w:tc>
        <w:tc>
          <w:tcPr>
            <w:tcW w:w="3300" w:type="dxa"/>
            <w:vAlign w:val="bottom"/>
            <w:tcBorders>
              <w:top w:val="single" w:sz="8" w:color="0000FF"/>
              <w:bottom w:val="single" w:sz="8" w:color="auto"/>
            </w:tcBorders>
          </w:tcPr>
          <w:p>
            <w:pPr>
              <w:spacing w:after="0"/>
              <w:rPr>
                <w:sz w:val="2"/>
                <w:szCs w:val="2"/>
                <w:color w:val="auto"/>
              </w:rPr>
            </w:pPr>
          </w:p>
        </w:tc>
        <w:tc>
          <w:tcPr>
            <w:tcW w:w="20" w:type="dxa"/>
            <w:vAlign w:val="bottom"/>
            <w:tcBorders>
              <w:top w:val="single" w:sz="8" w:color="0000FF"/>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r>
      <w:tr>
        <w:trPr>
          <w:trHeight w:val="183"/>
        </w:trPr>
        <w:tc>
          <w:tcPr>
            <w:tcW w:w="1300" w:type="dxa"/>
            <w:vAlign w:val="bottom"/>
          </w:tcPr>
          <w:p>
            <w:pPr>
              <w:ind w:left="40"/>
              <w:spacing w:after="0" w:line="183" w:lineRule="exact"/>
              <w:rPr>
                <w:sz w:val="20"/>
                <w:szCs w:val="20"/>
                <w:color w:val="auto"/>
              </w:rPr>
            </w:pPr>
            <w:r>
              <w:rPr>
                <w:rFonts w:ascii="Arial" w:cs="Arial" w:eastAsia="Arial" w:hAnsi="Arial"/>
                <w:sz w:val="16"/>
                <w:szCs w:val="16"/>
                <w:color w:val="auto"/>
              </w:rPr>
              <w:t>10.70</w:t>
            </w:r>
          </w:p>
        </w:tc>
        <w:tc>
          <w:tcPr>
            <w:tcW w:w="9640" w:type="dxa"/>
            <w:vAlign w:val="bottom"/>
            <w:tcBorders>
              <w:bottom w:val="single" w:sz="8" w:color="0000FF"/>
            </w:tcBorders>
            <w:gridSpan w:val="14"/>
          </w:tcPr>
          <w:p>
            <w:pPr>
              <w:spacing w:after="0" w:line="183" w:lineRule="exact"/>
              <w:rPr>
                <w:rFonts w:ascii="Arial" w:cs="Arial" w:eastAsia="Arial" w:hAnsi="Arial"/>
                <w:sz w:val="16"/>
                <w:szCs w:val="16"/>
                <w:color w:val="0000FF"/>
              </w:rPr>
            </w:pPr>
            <w:hyperlink r:id="rId256">
              <w:r>
                <w:rPr>
                  <w:rFonts w:ascii="Arial" w:cs="Arial" w:eastAsia="Arial" w:hAnsi="Arial"/>
                  <w:sz w:val="16"/>
                  <w:szCs w:val="16"/>
                  <w:color w:val="0000FF"/>
                </w:rPr>
                <w:t>Ninth Master Amendment and Restatement Deed, by and among CarFin Finance International Limited, Credit Agricole Corporate And</w:t>
              </w:r>
            </w:hyperlink>
          </w:p>
        </w:tc>
        <w:tc>
          <w:tcPr>
            <w:tcW w:w="500" w:type="dxa"/>
            <w:vAlign w:val="bottom"/>
            <w:gridSpan w:val="16"/>
          </w:tcPr>
          <w:p>
            <w:pPr>
              <w:spacing w:after="0"/>
              <w:rPr>
                <w:sz w:val="15"/>
                <w:szCs w:val="15"/>
                <w:color w:val="auto"/>
              </w:rPr>
            </w:pPr>
          </w:p>
        </w:tc>
      </w:tr>
      <w:tr>
        <w:trPr>
          <w:trHeight w:val="169"/>
        </w:trPr>
        <w:tc>
          <w:tcPr>
            <w:tcW w:w="1300" w:type="dxa"/>
            <w:vAlign w:val="bottom"/>
          </w:tcPr>
          <w:p>
            <w:pPr>
              <w:spacing w:after="0"/>
              <w:rPr>
                <w:sz w:val="14"/>
                <w:szCs w:val="14"/>
                <w:color w:val="auto"/>
              </w:rPr>
            </w:pPr>
          </w:p>
        </w:tc>
        <w:tc>
          <w:tcPr>
            <w:tcW w:w="10140" w:type="dxa"/>
            <w:vAlign w:val="bottom"/>
            <w:gridSpan w:val="30"/>
          </w:tcPr>
          <w:p>
            <w:pPr>
              <w:spacing w:after="0" w:line="169" w:lineRule="exact"/>
              <w:rPr>
                <w:rFonts w:ascii="Arial" w:cs="Arial" w:eastAsia="Arial" w:hAnsi="Arial"/>
                <w:sz w:val="16"/>
                <w:szCs w:val="16"/>
                <w:color w:val="0000FF"/>
              </w:rPr>
            </w:pPr>
            <w:hyperlink r:id="rId256">
              <w:r>
                <w:rPr>
                  <w:rFonts w:ascii="Arial" w:cs="Arial" w:eastAsia="Arial" w:hAnsi="Arial"/>
                  <w:sz w:val="16"/>
                  <w:szCs w:val="16"/>
                  <w:color w:val="0000FF"/>
                </w:rPr>
                <w:t>Investment Bank, Deutsche Trustee Company Limited, Credit Agricole Corporate And Investment Bank, the Opcos, Servicers, Lessees and</w:t>
              </w:r>
            </w:hyperlink>
          </w:p>
        </w:tc>
      </w:tr>
      <w:tr>
        <w:trPr>
          <w:trHeight w:val="169"/>
        </w:trPr>
        <w:tc>
          <w:tcPr>
            <w:tcW w:w="1300" w:type="dxa"/>
            <w:vAlign w:val="bottom"/>
          </w:tcPr>
          <w:p>
            <w:pPr>
              <w:spacing w:after="0"/>
              <w:rPr>
                <w:sz w:val="14"/>
                <w:szCs w:val="14"/>
                <w:color w:val="auto"/>
              </w:rPr>
            </w:pPr>
          </w:p>
        </w:tc>
        <w:tc>
          <w:tcPr>
            <w:tcW w:w="9980" w:type="dxa"/>
            <w:vAlign w:val="bottom"/>
            <w:tcBorders>
              <w:top w:val="single" w:sz="8" w:color="0000FF"/>
            </w:tcBorders>
            <w:gridSpan w:val="24"/>
          </w:tcPr>
          <w:p>
            <w:pPr>
              <w:spacing w:after="0" w:line="169" w:lineRule="exact"/>
              <w:rPr>
                <w:rFonts w:ascii="Arial" w:cs="Arial" w:eastAsia="Arial" w:hAnsi="Arial"/>
                <w:sz w:val="16"/>
                <w:szCs w:val="16"/>
                <w:color w:val="0000FF"/>
              </w:rPr>
            </w:pPr>
            <w:hyperlink r:id="rId256">
              <w:r>
                <w:rPr>
                  <w:rFonts w:ascii="Arial" w:cs="Arial" w:eastAsia="Arial" w:hAnsi="Arial"/>
                  <w:sz w:val="16"/>
                  <w:szCs w:val="16"/>
                  <w:color w:val="0000FF"/>
                </w:rPr>
                <w:t>Fleetcos listed therein, Avis Budget Car Rental, LLC, Avis Finance Company Limited, Avis Budget EMEA Limited, the Account Banks listed</w:t>
              </w:r>
            </w:hyperlink>
          </w:p>
        </w:tc>
        <w:tc>
          <w:tcPr>
            <w:tcW w:w="160" w:type="dxa"/>
            <w:vAlign w:val="bottom"/>
            <w:gridSpan w:val="6"/>
          </w:tcPr>
          <w:p>
            <w:pPr>
              <w:spacing w:after="0"/>
              <w:rPr>
                <w:sz w:val="14"/>
                <w:szCs w:val="14"/>
                <w:color w:val="auto"/>
              </w:rPr>
            </w:pPr>
          </w:p>
        </w:tc>
      </w:tr>
      <w:tr>
        <w:trPr>
          <w:trHeight w:val="169"/>
        </w:trPr>
        <w:tc>
          <w:tcPr>
            <w:tcW w:w="1300" w:type="dxa"/>
            <w:vAlign w:val="bottom"/>
          </w:tcPr>
          <w:p>
            <w:pPr>
              <w:spacing w:after="0"/>
              <w:rPr>
                <w:sz w:val="14"/>
                <w:szCs w:val="14"/>
                <w:color w:val="auto"/>
              </w:rPr>
            </w:pPr>
          </w:p>
        </w:tc>
        <w:tc>
          <w:tcPr>
            <w:tcW w:w="9300" w:type="dxa"/>
            <w:vAlign w:val="bottom"/>
            <w:tcBorders>
              <w:top w:val="single" w:sz="8" w:color="0000FF"/>
              <w:bottom w:val="single" w:sz="8" w:color="0000FF"/>
            </w:tcBorders>
            <w:gridSpan w:val="12"/>
          </w:tcPr>
          <w:p>
            <w:pPr>
              <w:spacing w:after="0" w:line="169" w:lineRule="exact"/>
              <w:rPr>
                <w:rFonts w:ascii="Arial" w:cs="Arial" w:eastAsia="Arial" w:hAnsi="Arial"/>
                <w:sz w:val="16"/>
                <w:szCs w:val="16"/>
                <w:color w:val="0000FF"/>
              </w:rPr>
            </w:pPr>
            <w:hyperlink r:id="rId256">
              <w:r>
                <w:rPr>
                  <w:rFonts w:ascii="Arial" w:cs="Arial" w:eastAsia="Arial" w:hAnsi="Arial"/>
                  <w:sz w:val="16"/>
                  <w:szCs w:val="16"/>
                  <w:color w:val="0000FF"/>
                </w:rPr>
                <w:t>therein, Deutsche Bank Ag, London Branch, the Senior Noteholders and certain other entities named therein, dated May 16, 2017</w:t>
              </w:r>
            </w:hyperlink>
          </w:p>
        </w:tc>
        <w:tc>
          <w:tcPr>
            <w:tcW w:w="640" w:type="dxa"/>
            <w:vAlign w:val="bottom"/>
            <w:tcBorders>
              <w:top w:val="single" w:sz="8" w:color="0000FF"/>
            </w:tcBorders>
            <w:gridSpan w:val="11"/>
          </w:tcPr>
          <w:p>
            <w:pPr>
              <w:spacing w:after="0"/>
              <w:rPr>
                <w:sz w:val="14"/>
                <w:szCs w:val="14"/>
                <w:color w:val="auto"/>
              </w:rPr>
            </w:pPr>
          </w:p>
        </w:tc>
        <w:tc>
          <w:tcPr>
            <w:tcW w:w="200" w:type="dxa"/>
            <w:vAlign w:val="bottom"/>
            <w:gridSpan w:val="7"/>
          </w:tcPr>
          <w:p>
            <w:pPr>
              <w:spacing w:after="0"/>
              <w:rPr>
                <w:sz w:val="14"/>
                <w:szCs w:val="14"/>
                <w:color w:val="auto"/>
              </w:rPr>
            </w:pPr>
          </w:p>
        </w:tc>
      </w:tr>
      <w:tr>
        <w:trPr>
          <w:trHeight w:val="169"/>
        </w:trPr>
        <w:tc>
          <w:tcPr>
            <w:tcW w:w="1300" w:type="dxa"/>
            <w:vAlign w:val="bottom"/>
          </w:tcPr>
          <w:p>
            <w:pPr>
              <w:spacing w:after="0"/>
              <w:rPr>
                <w:sz w:val="14"/>
                <w:szCs w:val="14"/>
                <w:color w:val="auto"/>
              </w:rPr>
            </w:pPr>
          </w:p>
        </w:tc>
        <w:tc>
          <w:tcPr>
            <w:tcW w:w="10140" w:type="dxa"/>
            <w:vAlign w:val="bottom"/>
            <w:gridSpan w:val="30"/>
          </w:tcPr>
          <w:p>
            <w:pPr>
              <w:spacing w:after="0" w:line="169" w:lineRule="exact"/>
              <w:rPr>
                <w:rFonts w:ascii="Arial" w:cs="Arial" w:eastAsia="Arial" w:hAnsi="Arial"/>
                <w:sz w:val="16"/>
                <w:szCs w:val="16"/>
                <w:color w:val="0000FF"/>
              </w:rPr>
            </w:pPr>
            <w:hyperlink r:id="rId256">
              <w:r>
                <w:rPr>
                  <w:rFonts w:ascii="Arial" w:cs="Arial" w:eastAsia="Arial" w:hAnsi="Arial"/>
                  <w:sz w:val="16"/>
                  <w:szCs w:val="16"/>
                  <w:color w:val="0000FF"/>
                </w:rPr>
                <w:t>(Incorporated by reference to Exhibit 10.1 to the Company’s Current Report on Form 8-K dated May 22, 2017).††</w:t>
              </w:r>
            </w:hyperlink>
          </w:p>
        </w:tc>
      </w:tr>
      <w:tr>
        <w:trPr>
          <w:trHeight w:val="34"/>
        </w:trPr>
        <w:tc>
          <w:tcPr>
            <w:tcW w:w="1300" w:type="dxa"/>
            <w:vAlign w:val="bottom"/>
            <w:tcBorders>
              <w:bottom w:val="single" w:sz="8" w:color="auto"/>
            </w:tcBorders>
          </w:tcPr>
          <w:p>
            <w:pPr>
              <w:spacing w:after="0"/>
              <w:rPr>
                <w:sz w:val="2"/>
                <w:szCs w:val="2"/>
                <w:color w:val="auto"/>
              </w:rPr>
            </w:pPr>
          </w:p>
        </w:tc>
        <w:tc>
          <w:tcPr>
            <w:tcW w:w="740" w:type="dxa"/>
            <w:vAlign w:val="bottom"/>
            <w:tcBorders>
              <w:top w:val="single" w:sz="8" w:color="0000FF"/>
              <w:bottom w:val="single" w:sz="8" w:color="auto"/>
            </w:tcBorders>
          </w:tcPr>
          <w:p>
            <w:pPr>
              <w:spacing w:after="0"/>
              <w:rPr>
                <w:sz w:val="2"/>
                <w:szCs w:val="2"/>
                <w:color w:val="auto"/>
              </w:rPr>
            </w:pPr>
          </w:p>
        </w:tc>
        <w:tc>
          <w:tcPr>
            <w:tcW w:w="660" w:type="dxa"/>
            <w:vAlign w:val="bottom"/>
            <w:tcBorders>
              <w:top w:val="single" w:sz="8" w:color="0000FF"/>
              <w:bottom w:val="single" w:sz="8" w:color="auto"/>
            </w:tcBorders>
          </w:tcPr>
          <w:p>
            <w:pPr>
              <w:spacing w:after="0"/>
              <w:rPr>
                <w:sz w:val="2"/>
                <w:szCs w:val="2"/>
                <w:color w:val="auto"/>
              </w:rPr>
            </w:pPr>
          </w:p>
        </w:tc>
        <w:tc>
          <w:tcPr>
            <w:tcW w:w="500" w:type="dxa"/>
            <w:vAlign w:val="bottom"/>
            <w:tcBorders>
              <w:top w:val="single" w:sz="8" w:color="0000FF"/>
              <w:bottom w:val="single" w:sz="8" w:color="auto"/>
            </w:tcBorders>
          </w:tcPr>
          <w:p>
            <w:pPr>
              <w:spacing w:after="0"/>
              <w:rPr>
                <w:sz w:val="2"/>
                <w:szCs w:val="2"/>
                <w:color w:val="auto"/>
              </w:rPr>
            </w:pPr>
          </w:p>
        </w:tc>
        <w:tc>
          <w:tcPr>
            <w:tcW w:w="560" w:type="dxa"/>
            <w:vAlign w:val="bottom"/>
            <w:tcBorders>
              <w:top w:val="single" w:sz="8" w:color="0000FF"/>
              <w:bottom w:val="single" w:sz="8" w:color="auto"/>
            </w:tcBorders>
          </w:tcPr>
          <w:p>
            <w:pPr>
              <w:spacing w:after="0"/>
              <w:rPr>
                <w:sz w:val="2"/>
                <w:szCs w:val="2"/>
                <w:color w:val="auto"/>
              </w:rPr>
            </w:pPr>
          </w:p>
        </w:tc>
        <w:tc>
          <w:tcPr>
            <w:tcW w:w="480" w:type="dxa"/>
            <w:vAlign w:val="bottom"/>
            <w:tcBorders>
              <w:top w:val="single" w:sz="8" w:color="0000FF"/>
              <w:bottom w:val="single" w:sz="8" w:color="auto"/>
            </w:tcBorders>
          </w:tcPr>
          <w:p>
            <w:pPr>
              <w:spacing w:after="0"/>
              <w:rPr>
                <w:sz w:val="2"/>
                <w:szCs w:val="2"/>
                <w:color w:val="auto"/>
              </w:rPr>
            </w:pPr>
          </w:p>
        </w:tc>
        <w:tc>
          <w:tcPr>
            <w:tcW w:w="1000" w:type="dxa"/>
            <w:vAlign w:val="bottom"/>
            <w:tcBorders>
              <w:top w:val="single" w:sz="8" w:color="0000FF"/>
              <w:bottom w:val="single" w:sz="8" w:color="auto"/>
            </w:tcBorders>
          </w:tcPr>
          <w:p>
            <w:pPr>
              <w:spacing w:after="0"/>
              <w:rPr>
                <w:sz w:val="2"/>
                <w:szCs w:val="2"/>
                <w:color w:val="auto"/>
              </w:rPr>
            </w:pPr>
          </w:p>
        </w:tc>
        <w:tc>
          <w:tcPr>
            <w:tcW w:w="860" w:type="dxa"/>
            <w:vAlign w:val="bottom"/>
            <w:tcBorders>
              <w:top w:val="single" w:sz="8" w:color="0000FF"/>
              <w:bottom w:val="single" w:sz="8" w:color="auto"/>
            </w:tcBorders>
          </w:tcPr>
          <w:p>
            <w:pPr>
              <w:spacing w:after="0"/>
              <w:rPr>
                <w:sz w:val="2"/>
                <w:szCs w:val="2"/>
                <w:color w:val="auto"/>
              </w:rPr>
            </w:pPr>
          </w:p>
        </w:tc>
        <w:tc>
          <w:tcPr>
            <w:tcW w:w="3300" w:type="dxa"/>
            <w:vAlign w:val="bottom"/>
            <w:tcBorders>
              <w:top w:val="single" w:sz="8" w:color="0000FF"/>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r>
      <w:tr>
        <w:trPr>
          <w:trHeight w:val="183"/>
        </w:trPr>
        <w:tc>
          <w:tcPr>
            <w:tcW w:w="1300" w:type="dxa"/>
            <w:vAlign w:val="bottom"/>
          </w:tcPr>
          <w:p>
            <w:pPr>
              <w:ind w:left="40"/>
              <w:spacing w:after="0" w:line="183" w:lineRule="exact"/>
              <w:rPr>
                <w:sz w:val="20"/>
                <w:szCs w:val="20"/>
                <w:color w:val="auto"/>
              </w:rPr>
            </w:pPr>
            <w:r>
              <w:rPr>
                <w:rFonts w:ascii="Arial" w:cs="Arial" w:eastAsia="Arial" w:hAnsi="Arial"/>
                <w:sz w:val="16"/>
                <w:szCs w:val="16"/>
                <w:color w:val="auto"/>
              </w:rPr>
              <w:t>12</w:t>
            </w:r>
          </w:p>
        </w:tc>
        <w:tc>
          <w:tcPr>
            <w:tcW w:w="10140" w:type="dxa"/>
            <w:vAlign w:val="bottom"/>
            <w:gridSpan w:val="30"/>
          </w:tcPr>
          <w:p>
            <w:pPr>
              <w:spacing w:after="0" w:line="183" w:lineRule="exact"/>
              <w:rPr>
                <w:rFonts w:ascii="Arial" w:cs="Arial" w:eastAsia="Arial" w:hAnsi="Arial"/>
                <w:sz w:val="16"/>
                <w:szCs w:val="16"/>
                <w:color w:val="0000FF"/>
              </w:rPr>
            </w:pPr>
            <w:hyperlink w:anchor="page135">
              <w:r>
                <w:rPr>
                  <w:rFonts w:ascii="Arial" w:cs="Arial" w:eastAsia="Arial" w:hAnsi="Arial"/>
                  <w:sz w:val="16"/>
                  <w:szCs w:val="16"/>
                  <w:color w:val="0000FF"/>
                </w:rPr>
                <w:t>Statement Re: Computation of Ratio of Earnings to Fixed Charges.</w:t>
              </w:r>
            </w:hyperlink>
          </w:p>
        </w:tc>
      </w:tr>
      <w:tr>
        <w:trPr>
          <w:trHeight w:val="61"/>
        </w:trPr>
        <w:tc>
          <w:tcPr>
            <w:tcW w:w="1300" w:type="dxa"/>
            <w:vAlign w:val="bottom"/>
            <w:tcBorders>
              <w:bottom w:val="single" w:sz="8" w:color="auto"/>
            </w:tcBorders>
          </w:tcPr>
          <w:p>
            <w:pPr>
              <w:spacing w:after="0"/>
              <w:rPr>
                <w:sz w:val="5"/>
                <w:szCs w:val="5"/>
                <w:color w:val="auto"/>
              </w:rPr>
            </w:pPr>
          </w:p>
        </w:tc>
        <w:tc>
          <w:tcPr>
            <w:tcW w:w="740" w:type="dxa"/>
            <w:vAlign w:val="bottom"/>
            <w:tcBorders>
              <w:top w:val="single" w:sz="8" w:color="0000FF"/>
              <w:bottom w:val="single" w:sz="8" w:color="auto"/>
            </w:tcBorders>
          </w:tcPr>
          <w:p>
            <w:pPr>
              <w:spacing w:after="0"/>
              <w:rPr>
                <w:sz w:val="5"/>
                <w:szCs w:val="5"/>
                <w:color w:val="auto"/>
              </w:rPr>
            </w:pPr>
          </w:p>
        </w:tc>
        <w:tc>
          <w:tcPr>
            <w:tcW w:w="660" w:type="dxa"/>
            <w:vAlign w:val="bottom"/>
            <w:tcBorders>
              <w:top w:val="single" w:sz="8" w:color="0000FF"/>
              <w:bottom w:val="single" w:sz="8" w:color="auto"/>
            </w:tcBorders>
          </w:tcPr>
          <w:p>
            <w:pPr>
              <w:spacing w:after="0"/>
              <w:rPr>
                <w:sz w:val="5"/>
                <w:szCs w:val="5"/>
                <w:color w:val="auto"/>
              </w:rPr>
            </w:pPr>
          </w:p>
        </w:tc>
        <w:tc>
          <w:tcPr>
            <w:tcW w:w="500" w:type="dxa"/>
            <w:vAlign w:val="bottom"/>
            <w:tcBorders>
              <w:top w:val="single" w:sz="8" w:color="0000FF"/>
              <w:bottom w:val="single" w:sz="8" w:color="auto"/>
            </w:tcBorders>
          </w:tcPr>
          <w:p>
            <w:pPr>
              <w:spacing w:after="0"/>
              <w:rPr>
                <w:sz w:val="5"/>
                <w:szCs w:val="5"/>
                <w:color w:val="auto"/>
              </w:rPr>
            </w:pPr>
          </w:p>
        </w:tc>
        <w:tc>
          <w:tcPr>
            <w:tcW w:w="560" w:type="dxa"/>
            <w:vAlign w:val="bottom"/>
            <w:tcBorders>
              <w:top w:val="single" w:sz="8" w:color="0000FF"/>
              <w:bottom w:val="single" w:sz="8" w:color="auto"/>
            </w:tcBorders>
          </w:tcPr>
          <w:p>
            <w:pPr>
              <w:spacing w:after="0"/>
              <w:rPr>
                <w:sz w:val="5"/>
                <w:szCs w:val="5"/>
                <w:color w:val="auto"/>
              </w:rPr>
            </w:pPr>
          </w:p>
        </w:tc>
        <w:tc>
          <w:tcPr>
            <w:tcW w:w="480" w:type="dxa"/>
            <w:vAlign w:val="bottom"/>
            <w:tcBorders>
              <w:top w:val="single" w:sz="8" w:color="0000FF"/>
              <w:bottom w:val="single" w:sz="8" w:color="auto"/>
            </w:tcBorders>
          </w:tcPr>
          <w:p>
            <w:pPr>
              <w:spacing w:after="0"/>
              <w:rPr>
                <w:sz w:val="5"/>
                <w:szCs w:val="5"/>
                <w:color w:val="auto"/>
              </w:rPr>
            </w:pPr>
          </w:p>
        </w:tc>
        <w:tc>
          <w:tcPr>
            <w:tcW w:w="1000" w:type="dxa"/>
            <w:vAlign w:val="bottom"/>
            <w:tcBorders>
              <w:top w:val="single" w:sz="8" w:color="0000FF"/>
              <w:bottom w:val="single" w:sz="8" w:color="auto"/>
            </w:tcBorders>
          </w:tcPr>
          <w:p>
            <w:pPr>
              <w:spacing w:after="0"/>
              <w:rPr>
                <w:sz w:val="5"/>
                <w:szCs w:val="5"/>
                <w:color w:val="auto"/>
              </w:rPr>
            </w:pPr>
          </w:p>
        </w:tc>
        <w:tc>
          <w:tcPr>
            <w:tcW w:w="860" w:type="dxa"/>
            <w:vAlign w:val="bottom"/>
            <w:tcBorders>
              <w:top w:val="single" w:sz="8" w:color="0000FF"/>
              <w:bottom w:val="single" w:sz="8" w:color="auto"/>
            </w:tcBorders>
          </w:tcPr>
          <w:p>
            <w:pPr>
              <w:spacing w:after="0"/>
              <w:rPr>
                <w:sz w:val="5"/>
                <w:szCs w:val="5"/>
                <w:color w:val="auto"/>
              </w:rPr>
            </w:pPr>
          </w:p>
        </w:tc>
        <w:tc>
          <w:tcPr>
            <w:tcW w:w="33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r>
      <w:tr>
        <w:trPr>
          <w:trHeight w:val="183"/>
        </w:trPr>
        <w:tc>
          <w:tcPr>
            <w:tcW w:w="1300" w:type="dxa"/>
            <w:vAlign w:val="bottom"/>
          </w:tcPr>
          <w:p>
            <w:pPr>
              <w:ind w:left="40"/>
              <w:spacing w:after="0" w:line="183" w:lineRule="exact"/>
              <w:rPr>
                <w:sz w:val="20"/>
                <w:szCs w:val="20"/>
                <w:color w:val="auto"/>
              </w:rPr>
            </w:pPr>
            <w:r>
              <w:rPr>
                <w:rFonts w:ascii="Arial" w:cs="Arial" w:eastAsia="Arial" w:hAnsi="Arial"/>
                <w:sz w:val="16"/>
                <w:szCs w:val="16"/>
                <w:color w:val="auto"/>
              </w:rPr>
              <w:t>21</w:t>
            </w:r>
          </w:p>
        </w:tc>
        <w:tc>
          <w:tcPr>
            <w:tcW w:w="10140" w:type="dxa"/>
            <w:vAlign w:val="bottom"/>
            <w:gridSpan w:val="30"/>
          </w:tcPr>
          <w:p>
            <w:pPr>
              <w:spacing w:after="0" w:line="183" w:lineRule="exact"/>
              <w:rPr>
                <w:rFonts w:ascii="Arial" w:cs="Arial" w:eastAsia="Arial" w:hAnsi="Arial"/>
                <w:sz w:val="16"/>
                <w:szCs w:val="16"/>
                <w:color w:val="0000FF"/>
              </w:rPr>
            </w:pPr>
            <w:hyperlink w:anchor="page136">
              <w:r>
                <w:rPr>
                  <w:rFonts w:ascii="Arial" w:cs="Arial" w:eastAsia="Arial" w:hAnsi="Arial"/>
                  <w:sz w:val="16"/>
                  <w:szCs w:val="16"/>
                  <w:color w:val="0000FF"/>
                </w:rPr>
                <w:t>Subsidiaries of Registrant.</w:t>
              </w:r>
            </w:hyperlink>
          </w:p>
        </w:tc>
      </w:tr>
      <w:tr>
        <w:trPr>
          <w:trHeight w:val="61"/>
        </w:trPr>
        <w:tc>
          <w:tcPr>
            <w:tcW w:w="1300" w:type="dxa"/>
            <w:vAlign w:val="bottom"/>
            <w:tcBorders>
              <w:bottom w:val="single" w:sz="8" w:color="auto"/>
            </w:tcBorders>
          </w:tcPr>
          <w:p>
            <w:pPr>
              <w:spacing w:after="0"/>
              <w:rPr>
                <w:sz w:val="5"/>
                <w:szCs w:val="5"/>
                <w:color w:val="auto"/>
              </w:rPr>
            </w:pPr>
          </w:p>
        </w:tc>
        <w:tc>
          <w:tcPr>
            <w:tcW w:w="740" w:type="dxa"/>
            <w:vAlign w:val="bottom"/>
            <w:tcBorders>
              <w:top w:val="single" w:sz="8" w:color="0000FF"/>
              <w:bottom w:val="single" w:sz="8" w:color="auto"/>
            </w:tcBorders>
          </w:tcPr>
          <w:p>
            <w:pPr>
              <w:spacing w:after="0"/>
              <w:rPr>
                <w:sz w:val="5"/>
                <w:szCs w:val="5"/>
                <w:color w:val="auto"/>
              </w:rPr>
            </w:pPr>
          </w:p>
        </w:tc>
        <w:tc>
          <w:tcPr>
            <w:tcW w:w="660" w:type="dxa"/>
            <w:vAlign w:val="bottom"/>
            <w:tcBorders>
              <w:top w:val="single" w:sz="8" w:color="0000FF"/>
              <w:bottom w:val="single" w:sz="8" w:color="auto"/>
            </w:tcBorders>
          </w:tcPr>
          <w:p>
            <w:pPr>
              <w:spacing w:after="0"/>
              <w:rPr>
                <w:sz w:val="5"/>
                <w:szCs w:val="5"/>
                <w:color w:val="auto"/>
              </w:rPr>
            </w:pPr>
          </w:p>
        </w:tc>
        <w:tc>
          <w:tcPr>
            <w:tcW w:w="500" w:type="dxa"/>
            <w:vAlign w:val="bottom"/>
            <w:tcBorders>
              <w:top w:val="single" w:sz="8" w:color="0000FF"/>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33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r>
      <w:tr>
        <w:trPr>
          <w:trHeight w:val="183"/>
        </w:trPr>
        <w:tc>
          <w:tcPr>
            <w:tcW w:w="1300" w:type="dxa"/>
            <w:vAlign w:val="bottom"/>
          </w:tcPr>
          <w:p>
            <w:pPr>
              <w:ind w:left="40"/>
              <w:spacing w:after="0" w:line="183" w:lineRule="exact"/>
              <w:rPr>
                <w:sz w:val="20"/>
                <w:szCs w:val="20"/>
                <w:color w:val="auto"/>
              </w:rPr>
            </w:pPr>
            <w:r>
              <w:rPr>
                <w:rFonts w:ascii="Arial" w:cs="Arial" w:eastAsia="Arial" w:hAnsi="Arial"/>
                <w:sz w:val="16"/>
                <w:szCs w:val="16"/>
                <w:color w:val="auto"/>
              </w:rPr>
              <w:t>23.1</w:t>
            </w:r>
          </w:p>
        </w:tc>
        <w:tc>
          <w:tcPr>
            <w:tcW w:w="10140" w:type="dxa"/>
            <w:vAlign w:val="bottom"/>
            <w:gridSpan w:val="30"/>
          </w:tcPr>
          <w:p>
            <w:pPr>
              <w:spacing w:after="0" w:line="183" w:lineRule="exact"/>
              <w:rPr>
                <w:rFonts w:ascii="Arial" w:cs="Arial" w:eastAsia="Arial" w:hAnsi="Arial"/>
                <w:sz w:val="16"/>
                <w:szCs w:val="16"/>
                <w:color w:val="0000FF"/>
              </w:rPr>
            </w:pPr>
            <w:hyperlink w:anchor="page141">
              <w:r>
                <w:rPr>
                  <w:rFonts w:ascii="Arial" w:cs="Arial" w:eastAsia="Arial" w:hAnsi="Arial"/>
                  <w:sz w:val="16"/>
                  <w:szCs w:val="16"/>
                  <w:color w:val="0000FF"/>
                </w:rPr>
                <w:t>Consent of Deloitte &amp; Touche LLP.</w:t>
              </w:r>
            </w:hyperlink>
          </w:p>
        </w:tc>
      </w:tr>
      <w:tr>
        <w:trPr>
          <w:trHeight w:val="61"/>
        </w:trPr>
        <w:tc>
          <w:tcPr>
            <w:tcW w:w="1300" w:type="dxa"/>
            <w:vAlign w:val="bottom"/>
            <w:tcBorders>
              <w:bottom w:val="single" w:sz="8" w:color="auto"/>
            </w:tcBorders>
          </w:tcPr>
          <w:p>
            <w:pPr>
              <w:spacing w:after="0"/>
              <w:rPr>
                <w:sz w:val="5"/>
                <w:szCs w:val="5"/>
                <w:color w:val="auto"/>
              </w:rPr>
            </w:pPr>
          </w:p>
        </w:tc>
        <w:tc>
          <w:tcPr>
            <w:tcW w:w="740" w:type="dxa"/>
            <w:vAlign w:val="bottom"/>
            <w:tcBorders>
              <w:top w:val="single" w:sz="8" w:color="0000FF"/>
              <w:bottom w:val="single" w:sz="8" w:color="auto"/>
            </w:tcBorders>
          </w:tcPr>
          <w:p>
            <w:pPr>
              <w:spacing w:after="0"/>
              <w:rPr>
                <w:sz w:val="5"/>
                <w:szCs w:val="5"/>
                <w:color w:val="auto"/>
              </w:rPr>
            </w:pPr>
          </w:p>
        </w:tc>
        <w:tc>
          <w:tcPr>
            <w:tcW w:w="660" w:type="dxa"/>
            <w:vAlign w:val="bottom"/>
            <w:tcBorders>
              <w:top w:val="single" w:sz="8" w:color="0000FF"/>
              <w:bottom w:val="single" w:sz="8" w:color="auto"/>
            </w:tcBorders>
          </w:tcPr>
          <w:p>
            <w:pPr>
              <w:spacing w:after="0"/>
              <w:rPr>
                <w:sz w:val="5"/>
                <w:szCs w:val="5"/>
                <w:color w:val="auto"/>
              </w:rPr>
            </w:pPr>
          </w:p>
        </w:tc>
        <w:tc>
          <w:tcPr>
            <w:tcW w:w="500" w:type="dxa"/>
            <w:vAlign w:val="bottom"/>
            <w:tcBorders>
              <w:top w:val="single" w:sz="8" w:color="0000FF"/>
              <w:bottom w:val="single" w:sz="8" w:color="auto"/>
            </w:tcBorders>
          </w:tcPr>
          <w:p>
            <w:pPr>
              <w:spacing w:after="0"/>
              <w:rPr>
                <w:sz w:val="5"/>
                <w:szCs w:val="5"/>
                <w:color w:val="auto"/>
              </w:rPr>
            </w:pPr>
          </w:p>
        </w:tc>
        <w:tc>
          <w:tcPr>
            <w:tcW w:w="560" w:type="dxa"/>
            <w:vAlign w:val="bottom"/>
            <w:tcBorders>
              <w:top w:val="single" w:sz="8" w:color="0000FF"/>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33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r>
      <w:tr>
        <w:trPr>
          <w:trHeight w:val="183"/>
        </w:trPr>
        <w:tc>
          <w:tcPr>
            <w:tcW w:w="1300" w:type="dxa"/>
            <w:vAlign w:val="bottom"/>
          </w:tcPr>
          <w:p>
            <w:pPr>
              <w:ind w:left="40"/>
              <w:spacing w:after="0" w:line="183" w:lineRule="exact"/>
              <w:rPr>
                <w:sz w:val="20"/>
                <w:szCs w:val="20"/>
                <w:color w:val="auto"/>
              </w:rPr>
            </w:pPr>
            <w:r>
              <w:rPr>
                <w:rFonts w:ascii="Arial" w:cs="Arial" w:eastAsia="Arial" w:hAnsi="Arial"/>
                <w:sz w:val="16"/>
                <w:szCs w:val="16"/>
                <w:color w:val="auto"/>
              </w:rPr>
              <w:t>31.1</w:t>
            </w:r>
          </w:p>
        </w:tc>
        <w:tc>
          <w:tcPr>
            <w:tcW w:w="9740" w:type="dxa"/>
            <w:vAlign w:val="bottom"/>
            <w:tcBorders>
              <w:bottom w:val="single" w:sz="8" w:color="0000FF"/>
            </w:tcBorders>
            <w:gridSpan w:val="17"/>
          </w:tcPr>
          <w:p>
            <w:pPr>
              <w:spacing w:after="0" w:line="183" w:lineRule="exact"/>
              <w:rPr>
                <w:rFonts w:ascii="Arial" w:cs="Arial" w:eastAsia="Arial" w:hAnsi="Arial"/>
                <w:sz w:val="16"/>
                <w:szCs w:val="16"/>
                <w:color w:val="0000FF"/>
              </w:rPr>
            </w:pPr>
            <w:hyperlink w:anchor="page142">
              <w:r>
                <w:rPr>
                  <w:rFonts w:ascii="Arial" w:cs="Arial" w:eastAsia="Arial" w:hAnsi="Arial"/>
                  <w:sz w:val="16"/>
                  <w:szCs w:val="16"/>
                  <w:color w:val="0000FF"/>
                </w:rPr>
                <w:t>Certification of Chief Executive Officer pursuant to Rules 13(a)-14(a) and 15(d)-14(a) promulgated under the Securities Exchange Act of</w:t>
              </w:r>
            </w:hyperlink>
          </w:p>
        </w:tc>
        <w:tc>
          <w:tcPr>
            <w:tcW w:w="400" w:type="dxa"/>
            <w:vAlign w:val="bottom"/>
            <w:gridSpan w:val="13"/>
          </w:tcPr>
          <w:p>
            <w:pPr>
              <w:spacing w:after="0"/>
              <w:rPr>
                <w:sz w:val="15"/>
                <w:szCs w:val="15"/>
                <w:color w:val="auto"/>
              </w:rPr>
            </w:pPr>
          </w:p>
        </w:tc>
      </w:tr>
      <w:tr>
        <w:trPr>
          <w:trHeight w:val="169"/>
        </w:trPr>
        <w:tc>
          <w:tcPr>
            <w:tcW w:w="1300" w:type="dxa"/>
            <w:vAlign w:val="bottom"/>
          </w:tcPr>
          <w:p>
            <w:pPr>
              <w:spacing w:after="0"/>
              <w:rPr>
                <w:sz w:val="14"/>
                <w:szCs w:val="14"/>
                <w:color w:val="auto"/>
              </w:rPr>
            </w:pPr>
          </w:p>
        </w:tc>
        <w:tc>
          <w:tcPr>
            <w:tcW w:w="10140" w:type="dxa"/>
            <w:vAlign w:val="bottom"/>
            <w:gridSpan w:val="30"/>
          </w:tcPr>
          <w:p>
            <w:pPr>
              <w:spacing w:after="0" w:line="169" w:lineRule="exact"/>
              <w:rPr>
                <w:rFonts w:ascii="Arial" w:cs="Arial" w:eastAsia="Arial" w:hAnsi="Arial"/>
                <w:sz w:val="16"/>
                <w:szCs w:val="16"/>
                <w:color w:val="0000FF"/>
              </w:rPr>
            </w:pPr>
            <w:hyperlink w:anchor="page142">
              <w:r>
                <w:rPr>
                  <w:rFonts w:ascii="Arial" w:cs="Arial" w:eastAsia="Arial" w:hAnsi="Arial"/>
                  <w:sz w:val="16"/>
                  <w:szCs w:val="16"/>
                  <w:color w:val="0000FF"/>
                </w:rPr>
                <w:t>1934, as amended.</w:t>
              </w:r>
            </w:hyperlink>
          </w:p>
        </w:tc>
      </w:tr>
      <w:tr>
        <w:trPr>
          <w:trHeight w:val="34"/>
        </w:trPr>
        <w:tc>
          <w:tcPr>
            <w:tcW w:w="1300" w:type="dxa"/>
            <w:vAlign w:val="bottom"/>
            <w:tcBorders>
              <w:bottom w:val="single" w:sz="8" w:color="auto"/>
            </w:tcBorders>
          </w:tcPr>
          <w:p>
            <w:pPr>
              <w:spacing w:after="0"/>
              <w:rPr>
                <w:sz w:val="2"/>
                <w:szCs w:val="2"/>
                <w:color w:val="auto"/>
              </w:rPr>
            </w:pPr>
          </w:p>
        </w:tc>
        <w:tc>
          <w:tcPr>
            <w:tcW w:w="740" w:type="dxa"/>
            <w:vAlign w:val="bottom"/>
            <w:tcBorders>
              <w:top w:val="single" w:sz="8" w:color="0000FF"/>
              <w:bottom w:val="single" w:sz="8" w:color="auto"/>
            </w:tcBorders>
          </w:tcPr>
          <w:p>
            <w:pPr>
              <w:spacing w:after="0"/>
              <w:rPr>
                <w:sz w:val="2"/>
                <w:szCs w:val="2"/>
                <w:color w:val="auto"/>
              </w:rPr>
            </w:pPr>
          </w:p>
        </w:tc>
        <w:tc>
          <w:tcPr>
            <w:tcW w:w="660" w:type="dxa"/>
            <w:vAlign w:val="bottom"/>
            <w:tcBorders>
              <w:top w:val="single" w:sz="8" w:color="0000FF"/>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3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r>
      <w:tr>
        <w:trPr>
          <w:trHeight w:val="183"/>
        </w:trPr>
        <w:tc>
          <w:tcPr>
            <w:tcW w:w="1300" w:type="dxa"/>
            <w:vAlign w:val="bottom"/>
          </w:tcPr>
          <w:p>
            <w:pPr>
              <w:ind w:left="40"/>
              <w:spacing w:after="0" w:line="183" w:lineRule="exact"/>
              <w:rPr>
                <w:sz w:val="20"/>
                <w:szCs w:val="20"/>
                <w:color w:val="auto"/>
              </w:rPr>
            </w:pPr>
            <w:r>
              <w:rPr>
                <w:rFonts w:ascii="Arial" w:cs="Arial" w:eastAsia="Arial" w:hAnsi="Arial"/>
                <w:sz w:val="16"/>
                <w:szCs w:val="16"/>
                <w:color w:val="auto"/>
              </w:rPr>
              <w:t>31.2</w:t>
            </w:r>
          </w:p>
        </w:tc>
        <w:tc>
          <w:tcPr>
            <w:tcW w:w="9700" w:type="dxa"/>
            <w:vAlign w:val="bottom"/>
            <w:tcBorders>
              <w:bottom w:val="single" w:sz="8" w:color="0000FF"/>
            </w:tcBorders>
            <w:gridSpan w:val="15"/>
          </w:tcPr>
          <w:p>
            <w:pPr>
              <w:spacing w:after="0" w:line="183" w:lineRule="exact"/>
              <w:rPr>
                <w:rFonts w:ascii="Arial" w:cs="Arial" w:eastAsia="Arial" w:hAnsi="Arial"/>
                <w:sz w:val="16"/>
                <w:szCs w:val="16"/>
                <w:color w:val="0000FF"/>
              </w:rPr>
            </w:pPr>
            <w:hyperlink w:anchor="page143">
              <w:r>
                <w:rPr>
                  <w:rFonts w:ascii="Arial" w:cs="Arial" w:eastAsia="Arial" w:hAnsi="Arial"/>
                  <w:sz w:val="16"/>
                  <w:szCs w:val="16"/>
                  <w:color w:val="0000FF"/>
                </w:rPr>
                <w:t>Certification of Chief Financial Officer pursuant to Rules 13(a)-14(a) and 15(d)-14(a) promulgated under the Securities Exchange Act of</w:t>
              </w:r>
            </w:hyperlink>
          </w:p>
        </w:tc>
        <w:tc>
          <w:tcPr>
            <w:tcW w:w="440" w:type="dxa"/>
            <w:vAlign w:val="bottom"/>
            <w:gridSpan w:val="15"/>
          </w:tcPr>
          <w:p>
            <w:pPr>
              <w:spacing w:after="0"/>
              <w:rPr>
                <w:sz w:val="15"/>
                <w:szCs w:val="15"/>
                <w:color w:val="auto"/>
              </w:rPr>
            </w:pPr>
          </w:p>
        </w:tc>
      </w:tr>
      <w:tr>
        <w:trPr>
          <w:trHeight w:val="169"/>
        </w:trPr>
        <w:tc>
          <w:tcPr>
            <w:tcW w:w="1300" w:type="dxa"/>
            <w:vAlign w:val="bottom"/>
          </w:tcPr>
          <w:p>
            <w:pPr>
              <w:spacing w:after="0"/>
              <w:rPr>
                <w:sz w:val="14"/>
                <w:szCs w:val="14"/>
                <w:color w:val="auto"/>
              </w:rPr>
            </w:pPr>
          </w:p>
        </w:tc>
        <w:tc>
          <w:tcPr>
            <w:tcW w:w="10140" w:type="dxa"/>
            <w:vAlign w:val="bottom"/>
            <w:gridSpan w:val="30"/>
          </w:tcPr>
          <w:p>
            <w:pPr>
              <w:spacing w:after="0" w:line="169" w:lineRule="exact"/>
              <w:rPr>
                <w:rFonts w:ascii="Arial" w:cs="Arial" w:eastAsia="Arial" w:hAnsi="Arial"/>
                <w:sz w:val="16"/>
                <w:szCs w:val="16"/>
                <w:color w:val="0000FF"/>
              </w:rPr>
            </w:pPr>
            <w:hyperlink w:anchor="page143">
              <w:r>
                <w:rPr>
                  <w:rFonts w:ascii="Arial" w:cs="Arial" w:eastAsia="Arial" w:hAnsi="Arial"/>
                  <w:sz w:val="16"/>
                  <w:szCs w:val="16"/>
                  <w:color w:val="0000FF"/>
                </w:rPr>
                <w:t>1934, as amended.</w:t>
              </w:r>
            </w:hyperlink>
          </w:p>
        </w:tc>
      </w:tr>
      <w:tr>
        <w:trPr>
          <w:trHeight w:val="34"/>
        </w:trPr>
        <w:tc>
          <w:tcPr>
            <w:tcW w:w="1300" w:type="dxa"/>
            <w:vAlign w:val="bottom"/>
            <w:tcBorders>
              <w:bottom w:val="single" w:sz="8" w:color="auto"/>
            </w:tcBorders>
          </w:tcPr>
          <w:p>
            <w:pPr>
              <w:spacing w:after="0"/>
              <w:rPr>
                <w:sz w:val="2"/>
                <w:szCs w:val="2"/>
                <w:color w:val="auto"/>
              </w:rPr>
            </w:pPr>
          </w:p>
        </w:tc>
        <w:tc>
          <w:tcPr>
            <w:tcW w:w="740" w:type="dxa"/>
            <w:vAlign w:val="bottom"/>
            <w:tcBorders>
              <w:top w:val="single" w:sz="8" w:color="0000FF"/>
              <w:bottom w:val="single" w:sz="8" w:color="auto"/>
            </w:tcBorders>
          </w:tcPr>
          <w:p>
            <w:pPr>
              <w:spacing w:after="0"/>
              <w:rPr>
                <w:sz w:val="2"/>
                <w:szCs w:val="2"/>
                <w:color w:val="auto"/>
              </w:rPr>
            </w:pPr>
          </w:p>
        </w:tc>
        <w:tc>
          <w:tcPr>
            <w:tcW w:w="660" w:type="dxa"/>
            <w:vAlign w:val="bottom"/>
            <w:tcBorders>
              <w:top w:val="single" w:sz="8" w:color="0000FF"/>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3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r>
      <w:tr>
        <w:trPr>
          <w:trHeight w:val="183"/>
        </w:trPr>
        <w:tc>
          <w:tcPr>
            <w:tcW w:w="1300" w:type="dxa"/>
            <w:vAlign w:val="bottom"/>
          </w:tcPr>
          <w:p>
            <w:pPr>
              <w:ind w:left="40"/>
              <w:spacing w:after="0" w:line="183" w:lineRule="exact"/>
              <w:rPr>
                <w:sz w:val="20"/>
                <w:szCs w:val="20"/>
                <w:color w:val="auto"/>
              </w:rPr>
            </w:pPr>
            <w:r>
              <w:rPr>
                <w:rFonts w:ascii="Arial" w:cs="Arial" w:eastAsia="Arial" w:hAnsi="Arial"/>
                <w:sz w:val="16"/>
                <w:szCs w:val="16"/>
                <w:color w:val="auto"/>
              </w:rPr>
              <w:t>32</w:t>
            </w:r>
          </w:p>
        </w:tc>
        <w:tc>
          <w:tcPr>
            <w:tcW w:w="10140" w:type="dxa"/>
            <w:vAlign w:val="bottom"/>
            <w:gridSpan w:val="30"/>
          </w:tcPr>
          <w:p>
            <w:pPr>
              <w:spacing w:after="0" w:line="183" w:lineRule="exact"/>
              <w:rPr>
                <w:rFonts w:ascii="Arial" w:cs="Arial" w:eastAsia="Arial" w:hAnsi="Arial"/>
                <w:sz w:val="16"/>
                <w:szCs w:val="16"/>
                <w:color w:val="0000FF"/>
              </w:rPr>
            </w:pPr>
            <w:hyperlink w:anchor="page144">
              <w:r>
                <w:rPr>
                  <w:rFonts w:ascii="Arial" w:cs="Arial" w:eastAsia="Arial" w:hAnsi="Arial"/>
                  <w:sz w:val="16"/>
                  <w:szCs w:val="16"/>
                  <w:color w:val="0000FF"/>
                </w:rPr>
                <w:t>Certifications Pursuant to 18 U.S.C. Section 1350, as Adopted Pursuant to Section 906 of the Sarbanes-Oxley Act of 2002.</w:t>
              </w:r>
            </w:hyperlink>
          </w:p>
        </w:tc>
      </w:tr>
      <w:tr>
        <w:trPr>
          <w:trHeight w:val="61"/>
        </w:trPr>
        <w:tc>
          <w:tcPr>
            <w:tcW w:w="1300" w:type="dxa"/>
            <w:vAlign w:val="bottom"/>
            <w:tcBorders>
              <w:bottom w:val="single" w:sz="8" w:color="auto"/>
            </w:tcBorders>
          </w:tcPr>
          <w:p>
            <w:pPr>
              <w:spacing w:after="0"/>
              <w:rPr>
                <w:sz w:val="5"/>
                <w:szCs w:val="5"/>
                <w:color w:val="auto"/>
              </w:rPr>
            </w:pPr>
          </w:p>
        </w:tc>
        <w:tc>
          <w:tcPr>
            <w:tcW w:w="740" w:type="dxa"/>
            <w:vAlign w:val="bottom"/>
            <w:tcBorders>
              <w:top w:val="single" w:sz="8" w:color="0000FF"/>
              <w:bottom w:val="single" w:sz="8" w:color="auto"/>
            </w:tcBorders>
          </w:tcPr>
          <w:p>
            <w:pPr>
              <w:spacing w:after="0"/>
              <w:rPr>
                <w:sz w:val="5"/>
                <w:szCs w:val="5"/>
                <w:color w:val="auto"/>
              </w:rPr>
            </w:pPr>
          </w:p>
        </w:tc>
        <w:tc>
          <w:tcPr>
            <w:tcW w:w="660" w:type="dxa"/>
            <w:vAlign w:val="bottom"/>
            <w:tcBorders>
              <w:top w:val="single" w:sz="8" w:color="0000FF"/>
              <w:bottom w:val="single" w:sz="8" w:color="auto"/>
            </w:tcBorders>
          </w:tcPr>
          <w:p>
            <w:pPr>
              <w:spacing w:after="0"/>
              <w:rPr>
                <w:sz w:val="5"/>
                <w:szCs w:val="5"/>
                <w:color w:val="auto"/>
              </w:rPr>
            </w:pPr>
          </w:p>
        </w:tc>
        <w:tc>
          <w:tcPr>
            <w:tcW w:w="500" w:type="dxa"/>
            <w:vAlign w:val="bottom"/>
            <w:tcBorders>
              <w:top w:val="single" w:sz="8" w:color="0000FF"/>
              <w:bottom w:val="single" w:sz="8" w:color="auto"/>
            </w:tcBorders>
          </w:tcPr>
          <w:p>
            <w:pPr>
              <w:spacing w:after="0"/>
              <w:rPr>
                <w:sz w:val="5"/>
                <w:szCs w:val="5"/>
                <w:color w:val="auto"/>
              </w:rPr>
            </w:pPr>
          </w:p>
        </w:tc>
        <w:tc>
          <w:tcPr>
            <w:tcW w:w="560" w:type="dxa"/>
            <w:vAlign w:val="bottom"/>
            <w:tcBorders>
              <w:top w:val="single" w:sz="8" w:color="0000FF"/>
              <w:bottom w:val="single" w:sz="8" w:color="auto"/>
            </w:tcBorders>
          </w:tcPr>
          <w:p>
            <w:pPr>
              <w:spacing w:after="0"/>
              <w:rPr>
                <w:sz w:val="5"/>
                <w:szCs w:val="5"/>
                <w:color w:val="auto"/>
              </w:rPr>
            </w:pPr>
          </w:p>
        </w:tc>
        <w:tc>
          <w:tcPr>
            <w:tcW w:w="480" w:type="dxa"/>
            <w:vAlign w:val="bottom"/>
            <w:tcBorders>
              <w:top w:val="single" w:sz="8" w:color="0000FF"/>
              <w:bottom w:val="single" w:sz="8" w:color="auto"/>
            </w:tcBorders>
          </w:tcPr>
          <w:p>
            <w:pPr>
              <w:spacing w:after="0"/>
              <w:rPr>
                <w:sz w:val="5"/>
                <w:szCs w:val="5"/>
                <w:color w:val="auto"/>
              </w:rPr>
            </w:pPr>
          </w:p>
        </w:tc>
        <w:tc>
          <w:tcPr>
            <w:tcW w:w="1000" w:type="dxa"/>
            <w:vAlign w:val="bottom"/>
            <w:tcBorders>
              <w:top w:val="single" w:sz="8" w:color="0000FF"/>
              <w:bottom w:val="single" w:sz="8" w:color="auto"/>
            </w:tcBorders>
          </w:tcPr>
          <w:p>
            <w:pPr>
              <w:spacing w:after="0"/>
              <w:rPr>
                <w:sz w:val="5"/>
                <w:szCs w:val="5"/>
                <w:color w:val="auto"/>
              </w:rPr>
            </w:pPr>
          </w:p>
        </w:tc>
        <w:tc>
          <w:tcPr>
            <w:tcW w:w="860" w:type="dxa"/>
            <w:vAlign w:val="bottom"/>
            <w:tcBorders>
              <w:top w:val="single" w:sz="8" w:color="0000FF"/>
              <w:bottom w:val="single" w:sz="8" w:color="auto"/>
            </w:tcBorders>
          </w:tcPr>
          <w:p>
            <w:pPr>
              <w:spacing w:after="0"/>
              <w:rPr>
                <w:sz w:val="5"/>
                <w:szCs w:val="5"/>
                <w:color w:val="auto"/>
              </w:rPr>
            </w:pPr>
          </w:p>
        </w:tc>
        <w:tc>
          <w:tcPr>
            <w:tcW w:w="3300" w:type="dxa"/>
            <w:vAlign w:val="bottom"/>
            <w:tcBorders>
              <w:top w:val="single" w:sz="8" w:color="0000FF"/>
              <w:bottom w:val="single" w:sz="8" w:color="auto"/>
            </w:tcBorders>
          </w:tcPr>
          <w:p>
            <w:pPr>
              <w:spacing w:after="0"/>
              <w:rPr>
                <w:sz w:val="5"/>
                <w:szCs w:val="5"/>
                <w:color w:val="auto"/>
              </w:rPr>
            </w:pPr>
          </w:p>
        </w:tc>
        <w:tc>
          <w:tcPr>
            <w:tcW w:w="20" w:type="dxa"/>
            <w:vAlign w:val="bottom"/>
            <w:tcBorders>
              <w:top w:val="single" w:sz="8" w:color="0000FF"/>
              <w:bottom w:val="single" w:sz="8" w:color="auto"/>
            </w:tcBorders>
          </w:tcPr>
          <w:p>
            <w:pPr>
              <w:spacing w:after="0"/>
              <w:rPr>
                <w:sz w:val="5"/>
                <w:szCs w:val="5"/>
                <w:color w:val="auto"/>
              </w:rPr>
            </w:pPr>
          </w:p>
        </w:tc>
        <w:tc>
          <w:tcPr>
            <w:tcW w:w="440" w:type="dxa"/>
            <w:vAlign w:val="bottom"/>
            <w:tcBorders>
              <w:top w:val="single" w:sz="8" w:color="0000FF"/>
              <w:bottom w:val="single" w:sz="8" w:color="auto"/>
            </w:tcBorders>
          </w:tcPr>
          <w:p>
            <w:pPr>
              <w:spacing w:after="0"/>
              <w:rPr>
                <w:sz w:val="5"/>
                <w:szCs w:val="5"/>
                <w:color w:val="auto"/>
              </w:rPr>
            </w:pPr>
          </w:p>
        </w:tc>
        <w:tc>
          <w:tcPr>
            <w:tcW w:w="240" w:type="dxa"/>
            <w:vAlign w:val="bottom"/>
            <w:tcBorders>
              <w:top w:val="single" w:sz="8" w:color="0000FF"/>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r>
      <w:tr>
        <w:trPr>
          <w:trHeight w:val="217"/>
        </w:trPr>
        <w:tc>
          <w:tcPr>
            <w:tcW w:w="1300" w:type="dxa"/>
            <w:vAlign w:val="bottom"/>
          </w:tcPr>
          <w:p>
            <w:pPr>
              <w:ind w:left="40"/>
              <w:spacing w:after="0"/>
              <w:rPr>
                <w:sz w:val="20"/>
                <w:szCs w:val="20"/>
                <w:color w:val="auto"/>
              </w:rPr>
            </w:pPr>
            <w:r>
              <w:rPr>
                <w:rFonts w:ascii="Arial" w:cs="Arial" w:eastAsia="Arial" w:hAnsi="Arial"/>
                <w:sz w:val="16"/>
                <w:szCs w:val="16"/>
                <w:color w:val="auto"/>
              </w:rPr>
              <w:t>101.INS</w:t>
            </w:r>
          </w:p>
        </w:tc>
        <w:tc>
          <w:tcPr>
            <w:tcW w:w="10140" w:type="dxa"/>
            <w:vAlign w:val="bottom"/>
            <w:gridSpan w:val="30"/>
          </w:tcPr>
          <w:p>
            <w:pPr>
              <w:spacing w:after="0"/>
              <w:rPr>
                <w:sz w:val="20"/>
                <w:szCs w:val="20"/>
                <w:color w:val="auto"/>
              </w:rPr>
            </w:pPr>
            <w:r>
              <w:rPr>
                <w:rFonts w:ascii="Arial" w:cs="Arial" w:eastAsia="Arial" w:hAnsi="Arial"/>
                <w:sz w:val="16"/>
                <w:szCs w:val="16"/>
                <w:color w:val="auto"/>
              </w:rPr>
              <w:t>XBRL Instance Document.</w:t>
            </w:r>
          </w:p>
        </w:tc>
      </w:tr>
      <w:tr>
        <w:trPr>
          <w:trHeight w:val="47"/>
        </w:trPr>
        <w:tc>
          <w:tcPr>
            <w:tcW w:w="130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33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r>
      <w:tr>
        <w:trPr>
          <w:trHeight w:val="217"/>
        </w:trPr>
        <w:tc>
          <w:tcPr>
            <w:tcW w:w="1300" w:type="dxa"/>
            <w:vAlign w:val="bottom"/>
          </w:tcPr>
          <w:p>
            <w:pPr>
              <w:ind w:left="40"/>
              <w:spacing w:after="0"/>
              <w:rPr>
                <w:sz w:val="20"/>
                <w:szCs w:val="20"/>
                <w:color w:val="auto"/>
              </w:rPr>
            </w:pPr>
            <w:r>
              <w:rPr>
                <w:rFonts w:ascii="Arial" w:cs="Arial" w:eastAsia="Arial" w:hAnsi="Arial"/>
                <w:sz w:val="16"/>
                <w:szCs w:val="16"/>
                <w:color w:val="auto"/>
              </w:rPr>
              <w:t>101.SCH</w:t>
            </w:r>
          </w:p>
        </w:tc>
        <w:tc>
          <w:tcPr>
            <w:tcW w:w="10140" w:type="dxa"/>
            <w:vAlign w:val="bottom"/>
            <w:gridSpan w:val="30"/>
          </w:tcPr>
          <w:p>
            <w:pPr>
              <w:spacing w:after="0"/>
              <w:rPr>
                <w:sz w:val="20"/>
                <w:szCs w:val="20"/>
                <w:color w:val="auto"/>
              </w:rPr>
            </w:pPr>
            <w:r>
              <w:rPr>
                <w:rFonts w:ascii="Arial" w:cs="Arial" w:eastAsia="Arial" w:hAnsi="Arial"/>
                <w:sz w:val="16"/>
                <w:szCs w:val="16"/>
                <w:color w:val="auto"/>
              </w:rPr>
              <w:t>XBRL Taxonomy Extension Schema.</w:t>
            </w:r>
          </w:p>
        </w:tc>
      </w:tr>
      <w:tr>
        <w:trPr>
          <w:trHeight w:val="47"/>
        </w:trPr>
        <w:tc>
          <w:tcPr>
            <w:tcW w:w="130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33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r>
      <w:tr>
        <w:trPr>
          <w:trHeight w:val="217"/>
        </w:trPr>
        <w:tc>
          <w:tcPr>
            <w:tcW w:w="1300" w:type="dxa"/>
            <w:vAlign w:val="bottom"/>
          </w:tcPr>
          <w:p>
            <w:pPr>
              <w:ind w:left="40"/>
              <w:spacing w:after="0"/>
              <w:rPr>
                <w:sz w:val="20"/>
                <w:szCs w:val="20"/>
                <w:color w:val="auto"/>
              </w:rPr>
            </w:pPr>
            <w:r>
              <w:rPr>
                <w:rFonts w:ascii="Arial" w:cs="Arial" w:eastAsia="Arial" w:hAnsi="Arial"/>
                <w:sz w:val="16"/>
                <w:szCs w:val="16"/>
                <w:color w:val="auto"/>
              </w:rPr>
              <w:t>101.CAL</w:t>
            </w:r>
          </w:p>
        </w:tc>
        <w:tc>
          <w:tcPr>
            <w:tcW w:w="10140" w:type="dxa"/>
            <w:vAlign w:val="bottom"/>
            <w:gridSpan w:val="30"/>
          </w:tcPr>
          <w:p>
            <w:pPr>
              <w:spacing w:after="0"/>
              <w:rPr>
                <w:sz w:val="20"/>
                <w:szCs w:val="20"/>
                <w:color w:val="auto"/>
              </w:rPr>
            </w:pPr>
            <w:r>
              <w:rPr>
                <w:rFonts w:ascii="Arial" w:cs="Arial" w:eastAsia="Arial" w:hAnsi="Arial"/>
                <w:sz w:val="16"/>
                <w:szCs w:val="16"/>
                <w:color w:val="auto"/>
              </w:rPr>
              <w:t>XBRL Taxonomy Extension Calculation Linkbase.</w:t>
            </w:r>
          </w:p>
        </w:tc>
      </w:tr>
      <w:tr>
        <w:trPr>
          <w:trHeight w:val="47"/>
        </w:trPr>
        <w:tc>
          <w:tcPr>
            <w:tcW w:w="130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33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r>
      <w:tr>
        <w:trPr>
          <w:trHeight w:val="217"/>
        </w:trPr>
        <w:tc>
          <w:tcPr>
            <w:tcW w:w="1300" w:type="dxa"/>
            <w:vAlign w:val="bottom"/>
          </w:tcPr>
          <w:p>
            <w:pPr>
              <w:ind w:left="40"/>
              <w:spacing w:after="0"/>
              <w:rPr>
                <w:sz w:val="20"/>
                <w:szCs w:val="20"/>
                <w:color w:val="auto"/>
              </w:rPr>
            </w:pPr>
            <w:r>
              <w:rPr>
                <w:rFonts w:ascii="Arial" w:cs="Arial" w:eastAsia="Arial" w:hAnsi="Arial"/>
                <w:sz w:val="16"/>
                <w:szCs w:val="16"/>
                <w:color w:val="auto"/>
              </w:rPr>
              <w:t>101.DEF</w:t>
            </w:r>
          </w:p>
        </w:tc>
        <w:tc>
          <w:tcPr>
            <w:tcW w:w="10140" w:type="dxa"/>
            <w:vAlign w:val="bottom"/>
            <w:gridSpan w:val="30"/>
          </w:tcPr>
          <w:p>
            <w:pPr>
              <w:spacing w:after="0"/>
              <w:rPr>
                <w:sz w:val="20"/>
                <w:szCs w:val="20"/>
                <w:color w:val="auto"/>
              </w:rPr>
            </w:pPr>
            <w:r>
              <w:rPr>
                <w:rFonts w:ascii="Arial" w:cs="Arial" w:eastAsia="Arial" w:hAnsi="Arial"/>
                <w:sz w:val="16"/>
                <w:szCs w:val="16"/>
                <w:color w:val="auto"/>
              </w:rPr>
              <w:t>XBRL Taxonomy Extension Definition Linkbase.</w:t>
            </w:r>
          </w:p>
        </w:tc>
      </w:tr>
      <w:tr>
        <w:trPr>
          <w:trHeight w:val="47"/>
        </w:trPr>
        <w:tc>
          <w:tcPr>
            <w:tcW w:w="130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33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r>
      <w:tr>
        <w:trPr>
          <w:trHeight w:val="217"/>
        </w:trPr>
        <w:tc>
          <w:tcPr>
            <w:tcW w:w="1300" w:type="dxa"/>
            <w:vAlign w:val="bottom"/>
          </w:tcPr>
          <w:p>
            <w:pPr>
              <w:ind w:left="40"/>
              <w:spacing w:after="0"/>
              <w:rPr>
                <w:sz w:val="20"/>
                <w:szCs w:val="20"/>
                <w:color w:val="auto"/>
              </w:rPr>
            </w:pPr>
            <w:r>
              <w:rPr>
                <w:rFonts w:ascii="Arial" w:cs="Arial" w:eastAsia="Arial" w:hAnsi="Arial"/>
                <w:sz w:val="16"/>
                <w:szCs w:val="16"/>
                <w:color w:val="auto"/>
              </w:rPr>
              <w:t>101.LAB</w:t>
            </w:r>
          </w:p>
        </w:tc>
        <w:tc>
          <w:tcPr>
            <w:tcW w:w="10140" w:type="dxa"/>
            <w:vAlign w:val="bottom"/>
            <w:gridSpan w:val="30"/>
          </w:tcPr>
          <w:p>
            <w:pPr>
              <w:spacing w:after="0"/>
              <w:rPr>
                <w:sz w:val="20"/>
                <w:szCs w:val="20"/>
                <w:color w:val="auto"/>
              </w:rPr>
            </w:pPr>
            <w:r>
              <w:rPr>
                <w:rFonts w:ascii="Arial" w:cs="Arial" w:eastAsia="Arial" w:hAnsi="Arial"/>
                <w:sz w:val="16"/>
                <w:szCs w:val="16"/>
                <w:color w:val="auto"/>
              </w:rPr>
              <w:t>XBRL Taxonomy Extension Label Linkbase.</w:t>
            </w:r>
          </w:p>
        </w:tc>
      </w:tr>
      <w:tr>
        <w:trPr>
          <w:trHeight w:val="47"/>
        </w:trPr>
        <w:tc>
          <w:tcPr>
            <w:tcW w:w="130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33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r>
      <w:tr>
        <w:trPr>
          <w:trHeight w:val="217"/>
        </w:trPr>
        <w:tc>
          <w:tcPr>
            <w:tcW w:w="1300" w:type="dxa"/>
            <w:vAlign w:val="bottom"/>
          </w:tcPr>
          <w:p>
            <w:pPr>
              <w:ind w:left="40"/>
              <w:spacing w:after="0"/>
              <w:rPr>
                <w:sz w:val="20"/>
                <w:szCs w:val="20"/>
                <w:color w:val="auto"/>
              </w:rPr>
            </w:pPr>
            <w:r>
              <w:rPr>
                <w:rFonts w:ascii="Arial" w:cs="Arial" w:eastAsia="Arial" w:hAnsi="Arial"/>
                <w:sz w:val="16"/>
                <w:szCs w:val="16"/>
                <w:color w:val="auto"/>
              </w:rPr>
              <w:t>101.PRE</w:t>
            </w:r>
          </w:p>
        </w:tc>
        <w:tc>
          <w:tcPr>
            <w:tcW w:w="10140" w:type="dxa"/>
            <w:vAlign w:val="bottom"/>
            <w:gridSpan w:val="30"/>
          </w:tcPr>
          <w:p>
            <w:pPr>
              <w:spacing w:after="0"/>
              <w:rPr>
                <w:sz w:val="20"/>
                <w:szCs w:val="20"/>
                <w:color w:val="auto"/>
              </w:rPr>
            </w:pPr>
            <w:r>
              <w:rPr>
                <w:rFonts w:ascii="Arial" w:cs="Arial" w:eastAsia="Arial" w:hAnsi="Arial"/>
                <w:sz w:val="16"/>
                <w:szCs w:val="16"/>
                <w:color w:val="auto"/>
              </w:rPr>
              <w:t>XBRL Taxonomy Extension Presentation Linkbase.</w:t>
            </w:r>
          </w:p>
        </w:tc>
      </w:tr>
    </w:tbl>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25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H-7</w:t>
      </w:r>
    </w:p>
    <w:p>
      <w:pPr>
        <w:sectPr>
          <w:pgSz w:w="11900" w:h="16838" w:orient="portrait"/>
          <w:cols w:equalWidth="0" w:num="1">
            <w:col w:w="11440"/>
          </w:cols>
          <w:pgMar w:left="240" w:top="140" w:right="219" w:bottom="1440" w:gutter="0" w:footer="0" w:header="0"/>
        </w:sectPr>
      </w:pPr>
    </w:p>
    <w:bookmarkStart w:id="133" w:name="page134"/>
    <w:bookmarkEnd w:id="1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6" w:lineRule="exact"/>
        <w:rPr>
          <w:sz w:val="20"/>
          <w:szCs w:val="20"/>
          <w:color w:val="auto"/>
        </w:rPr>
      </w:pPr>
    </w:p>
    <w:p>
      <w:pPr>
        <w:ind w:left="1080" w:hanging="1045"/>
        <w:spacing w:after="0"/>
        <w:tabs>
          <w:tab w:leader="none" w:pos="1080" w:val="left"/>
        </w:tabs>
        <w:numPr>
          <w:ilvl w:val="0"/>
          <w:numId w:val="111"/>
        </w:numPr>
        <w:rPr>
          <w:rFonts w:ascii="Arial" w:cs="Arial" w:eastAsia="Arial" w:hAnsi="Arial"/>
          <w:sz w:val="16"/>
          <w:szCs w:val="16"/>
          <w:color w:val="auto"/>
        </w:rPr>
      </w:pPr>
      <w:r>
        <w:rPr>
          <w:rFonts w:ascii="Arial" w:cs="Arial" w:eastAsia="Arial" w:hAnsi="Arial"/>
          <w:sz w:val="16"/>
          <w:szCs w:val="16"/>
          <w:color w:val="auto"/>
        </w:rPr>
        <w:t>Cendant Corporation is now known as Avis Budget Group, Inc.</w:t>
      </w:r>
    </w:p>
    <w:p>
      <w:pPr>
        <w:spacing w:after="0" w:line="59" w:lineRule="exact"/>
        <w:rPr>
          <w:sz w:val="20"/>
          <w:szCs w:val="20"/>
          <w:color w:val="auto"/>
        </w:rPr>
      </w:pPr>
    </w:p>
    <w:p>
      <w:pPr>
        <w:ind w:left="1080" w:hanging="1045"/>
        <w:spacing w:after="0"/>
        <w:tabs>
          <w:tab w:leader="none" w:pos="1080" w:val="left"/>
        </w:tabs>
        <w:numPr>
          <w:ilvl w:val="0"/>
          <w:numId w:val="112"/>
        </w:numPr>
        <w:rPr>
          <w:rFonts w:ascii="Arial" w:cs="Arial" w:eastAsia="Arial" w:hAnsi="Arial"/>
          <w:sz w:val="16"/>
          <w:szCs w:val="16"/>
          <w:color w:val="auto"/>
        </w:rPr>
      </w:pPr>
      <w:r>
        <w:rPr>
          <w:rFonts w:ascii="Arial" w:cs="Arial" w:eastAsia="Arial" w:hAnsi="Arial"/>
          <w:sz w:val="16"/>
          <w:szCs w:val="16"/>
          <w:color w:val="auto"/>
        </w:rPr>
        <w:t>Cendant Car Rental Group, LLC (formerly known as Cendant Car Rental Group, Inc.) is now known as Avis Budget Car Rental, LLC.</w:t>
      </w:r>
    </w:p>
    <w:p>
      <w:pPr>
        <w:spacing w:after="0" w:line="59" w:lineRule="exact"/>
        <w:rPr>
          <w:rFonts w:ascii="Arial" w:cs="Arial" w:eastAsia="Arial" w:hAnsi="Arial"/>
          <w:sz w:val="16"/>
          <w:szCs w:val="16"/>
          <w:color w:val="auto"/>
        </w:rPr>
      </w:pPr>
    </w:p>
    <w:p>
      <w:pPr>
        <w:ind w:left="1080" w:right="280" w:hanging="1045"/>
        <w:spacing w:after="0" w:line="260" w:lineRule="auto"/>
        <w:tabs>
          <w:tab w:leader="none" w:pos="1080" w:val="left"/>
        </w:tabs>
        <w:numPr>
          <w:ilvl w:val="0"/>
          <w:numId w:val="113"/>
        </w:numPr>
        <w:rPr>
          <w:rFonts w:ascii="Arial" w:cs="Arial" w:eastAsia="Arial" w:hAnsi="Arial"/>
          <w:sz w:val="16"/>
          <w:szCs w:val="16"/>
          <w:color w:val="auto"/>
        </w:rPr>
      </w:pPr>
      <w:r>
        <w:rPr>
          <w:rFonts w:ascii="Arial" w:cs="Arial" w:eastAsia="Arial" w:hAnsi="Arial"/>
          <w:sz w:val="16"/>
          <w:szCs w:val="16"/>
          <w:color w:val="auto"/>
        </w:rPr>
        <w:t>Cendant Rental Car Funding (AESOP) LLC, formerly known as AESOP Funding II L.L.C, is now known as Avis Budget Rental Car Funding (AESOP) LLC.</w:t>
      </w:r>
    </w:p>
    <w:p>
      <w:pPr>
        <w:spacing w:after="0" w:line="33" w:lineRule="exact"/>
        <w:rPr>
          <w:rFonts w:ascii="Arial" w:cs="Arial" w:eastAsia="Arial" w:hAnsi="Arial"/>
          <w:sz w:val="16"/>
          <w:szCs w:val="16"/>
          <w:color w:val="auto"/>
        </w:rPr>
      </w:pPr>
    </w:p>
    <w:p>
      <w:pPr>
        <w:ind w:left="1080" w:hanging="1045"/>
        <w:spacing w:after="0"/>
        <w:tabs>
          <w:tab w:leader="none" w:pos="1080" w:val="left"/>
        </w:tabs>
        <w:numPr>
          <w:ilvl w:val="0"/>
          <w:numId w:val="114"/>
        </w:numPr>
        <w:rPr>
          <w:rFonts w:ascii="Arial" w:cs="Arial" w:eastAsia="Arial" w:hAnsi="Arial"/>
          <w:sz w:val="16"/>
          <w:szCs w:val="16"/>
          <w:color w:val="auto"/>
        </w:rPr>
      </w:pPr>
      <w:r>
        <w:rPr>
          <w:rFonts w:ascii="Arial" w:cs="Arial" w:eastAsia="Arial" w:hAnsi="Arial"/>
          <w:sz w:val="16"/>
          <w:szCs w:val="16"/>
          <w:color w:val="auto"/>
        </w:rPr>
        <w:t>Avis Rent A Car System, Inc. is now known as Avis Rent A Car System, LLC.</w:t>
      </w:r>
    </w:p>
    <w:p>
      <w:pPr>
        <w:spacing w:after="0" w:line="59" w:lineRule="exact"/>
        <w:rPr>
          <w:rFonts w:ascii="Arial" w:cs="Arial" w:eastAsia="Arial" w:hAnsi="Arial"/>
          <w:sz w:val="16"/>
          <w:szCs w:val="16"/>
          <w:color w:val="auto"/>
        </w:rPr>
      </w:pPr>
    </w:p>
    <w:p>
      <w:pPr>
        <w:ind w:left="1080" w:hanging="1045"/>
        <w:spacing w:after="0"/>
        <w:tabs>
          <w:tab w:leader="none" w:pos="1080" w:val="left"/>
        </w:tabs>
        <w:numPr>
          <w:ilvl w:val="0"/>
          <w:numId w:val="115"/>
        </w:numPr>
        <w:rPr>
          <w:rFonts w:ascii="Arial" w:cs="Arial" w:eastAsia="Arial" w:hAnsi="Arial"/>
          <w:sz w:val="16"/>
          <w:szCs w:val="16"/>
          <w:color w:val="auto"/>
        </w:rPr>
      </w:pPr>
      <w:r>
        <w:rPr>
          <w:rFonts w:ascii="Arial" w:cs="Arial" w:eastAsia="Arial" w:hAnsi="Arial"/>
          <w:sz w:val="16"/>
          <w:szCs w:val="16"/>
          <w:color w:val="auto"/>
        </w:rPr>
        <w:t>Avis Group Holdings, Inc. is now known as Avis Group Holdings, LLC.</w:t>
      </w:r>
    </w:p>
    <w:p>
      <w:pPr>
        <w:spacing w:after="0" w:line="59" w:lineRule="exact"/>
        <w:rPr>
          <w:sz w:val="20"/>
          <w:szCs w:val="20"/>
          <w:color w:val="auto"/>
        </w:rPr>
      </w:pPr>
    </w:p>
    <w:p>
      <w:pPr>
        <w:ind w:left="1080" w:hanging="1045"/>
        <w:spacing w:after="0"/>
        <w:tabs>
          <w:tab w:leader="none" w:pos="1080" w:val="left"/>
        </w:tabs>
        <w:numPr>
          <w:ilvl w:val="0"/>
          <w:numId w:val="116"/>
        </w:numPr>
        <w:rPr>
          <w:rFonts w:ascii="Arial" w:cs="Arial" w:eastAsia="Arial" w:hAnsi="Arial"/>
          <w:sz w:val="16"/>
          <w:szCs w:val="16"/>
          <w:color w:val="auto"/>
        </w:rPr>
      </w:pPr>
      <w:r>
        <w:rPr>
          <w:rFonts w:ascii="Arial" w:cs="Arial" w:eastAsia="Arial" w:hAnsi="Arial"/>
          <w:sz w:val="16"/>
          <w:szCs w:val="16"/>
          <w:color w:val="auto"/>
        </w:rPr>
        <w:t>Denotes management contract or compensatory plan.</w:t>
      </w:r>
    </w:p>
    <w:p>
      <w:pPr>
        <w:spacing w:after="0" w:line="59" w:lineRule="exact"/>
        <w:rPr>
          <w:sz w:val="20"/>
          <w:szCs w:val="20"/>
          <w:color w:val="auto"/>
        </w:rPr>
      </w:pPr>
    </w:p>
    <w:p>
      <w:pPr>
        <w:ind w:left="1080" w:hanging="1045"/>
        <w:spacing w:after="0" w:line="260" w:lineRule="auto"/>
        <w:tabs>
          <w:tab w:leader="none" w:pos="1080" w:val="left"/>
        </w:tabs>
        <w:numPr>
          <w:ilvl w:val="0"/>
          <w:numId w:val="117"/>
        </w:numPr>
        <w:rPr>
          <w:rFonts w:ascii="Arial" w:cs="Arial" w:eastAsia="Arial" w:hAnsi="Arial"/>
          <w:sz w:val="16"/>
          <w:szCs w:val="16"/>
          <w:color w:val="auto"/>
        </w:rPr>
      </w:pPr>
      <w:r>
        <w:rPr>
          <w:rFonts w:ascii="Arial" w:cs="Arial" w:eastAsia="Arial" w:hAnsi="Arial"/>
          <w:sz w:val="16"/>
          <w:szCs w:val="16"/>
          <w:color w:val="auto"/>
        </w:rPr>
        <w:t>Confidential treatment has been requested for certain portions of this Exhibit pursuant to Rule 24b-2 of the Securities Exchange Act of 1934, as amended, which portions have been omitted and filed separately with the Securities and Exchange Commission.</w:t>
      </w:r>
    </w:p>
    <w:p>
      <w:pPr>
        <w:spacing w:after="0" w:line="200" w:lineRule="exact"/>
        <w:rPr>
          <w:sz w:val="20"/>
          <w:szCs w:val="20"/>
          <w:color w:val="auto"/>
        </w:rPr>
      </w:pPr>
    </w:p>
    <w:p>
      <w:pPr>
        <w:spacing w:after="0" w:line="26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H-8</w:t>
      </w:r>
    </w:p>
    <w:p>
      <w:pPr>
        <w:sectPr>
          <w:pgSz w:w="11900" w:h="16838" w:orient="portrait"/>
          <w:cols w:equalWidth="0" w:num="1">
            <w:col w:w="11320"/>
          </w:cols>
          <w:pgMar w:left="240" w:top="140" w:right="339" w:bottom="1440" w:gutter="0" w:footer="0" w:header="0"/>
        </w:sectPr>
      </w:pPr>
    </w:p>
    <w:bookmarkStart w:id="134" w:name="page135"/>
    <w:bookmarkEnd w:id="134"/>
    <w:p>
      <w:pPr>
        <w:ind w:left="10405"/>
        <w:spacing w:after="0"/>
        <w:rPr>
          <w:sz w:val="20"/>
          <w:szCs w:val="20"/>
          <w:color w:val="auto"/>
        </w:rPr>
      </w:pPr>
      <w:r>
        <w:rPr>
          <w:rFonts w:ascii="Arial" w:cs="Arial" w:eastAsia="Arial" w:hAnsi="Arial"/>
          <w:sz w:val="18"/>
          <w:szCs w:val="18"/>
          <w:b w:val="1"/>
          <w:bCs w:val="1"/>
          <w:color w:val="auto"/>
        </w:rPr>
        <w:t>Exhibit 12</w:t>
      </w:r>
    </w:p>
    <w:p>
      <w:pPr>
        <w:spacing w:after="0" w:line="50" w:lineRule="exact"/>
        <w:rPr>
          <w:sz w:val="20"/>
          <w:szCs w:val="20"/>
          <w:color w:val="auto"/>
        </w:rPr>
      </w:pPr>
    </w:p>
    <w:p>
      <w:pPr>
        <w:jc w:val="center"/>
        <w:ind w:right="15"/>
        <w:spacing w:after="0"/>
        <w:rPr>
          <w:sz w:val="20"/>
          <w:szCs w:val="20"/>
          <w:color w:val="auto"/>
        </w:rPr>
      </w:pPr>
      <w:r>
        <w:rPr>
          <w:rFonts w:ascii="Arial" w:cs="Arial" w:eastAsia="Arial" w:hAnsi="Arial"/>
          <w:sz w:val="18"/>
          <w:szCs w:val="18"/>
          <w:b w:val="1"/>
          <w:bCs w:val="1"/>
          <w:color w:val="auto"/>
        </w:rPr>
        <w:t>Avis Budget Group, Inc.</w:t>
      </w:r>
    </w:p>
    <w:p>
      <w:pPr>
        <w:spacing w:after="0" w:line="50" w:lineRule="exact"/>
        <w:rPr>
          <w:sz w:val="20"/>
          <w:szCs w:val="20"/>
          <w:color w:val="auto"/>
        </w:rPr>
      </w:pPr>
    </w:p>
    <w:p>
      <w:pPr>
        <w:jc w:val="center"/>
        <w:ind w:right="15"/>
        <w:spacing w:after="0"/>
        <w:rPr>
          <w:sz w:val="20"/>
          <w:szCs w:val="20"/>
          <w:color w:val="auto"/>
        </w:rPr>
      </w:pPr>
      <w:r>
        <w:rPr>
          <w:rFonts w:ascii="Arial" w:cs="Arial" w:eastAsia="Arial" w:hAnsi="Arial"/>
          <w:sz w:val="18"/>
          <w:szCs w:val="18"/>
          <w:b w:val="1"/>
          <w:bCs w:val="1"/>
          <w:color w:val="auto"/>
        </w:rPr>
        <w:t>COMPUTATION OF RATIO OF EARNINGS TO FIXED CHARGES</w:t>
      </w:r>
    </w:p>
    <w:p>
      <w:pPr>
        <w:spacing w:after="0" w:line="50" w:lineRule="exact"/>
        <w:rPr>
          <w:sz w:val="20"/>
          <w:szCs w:val="20"/>
          <w:color w:val="auto"/>
        </w:rPr>
      </w:pPr>
    </w:p>
    <w:p>
      <w:pPr>
        <w:jc w:val="center"/>
        <w:ind w:right="15"/>
        <w:spacing w:after="0"/>
        <w:rPr>
          <w:sz w:val="20"/>
          <w:szCs w:val="20"/>
          <w:color w:val="auto"/>
        </w:rPr>
      </w:pPr>
      <w:r>
        <w:rPr>
          <w:rFonts w:ascii="Arial" w:cs="Arial" w:eastAsia="Arial" w:hAnsi="Arial"/>
          <w:sz w:val="18"/>
          <w:szCs w:val="18"/>
          <w:b w:val="1"/>
          <w:bCs w:val="1"/>
          <w:color w:val="auto"/>
        </w:rPr>
        <w:t>(Dollars in millions)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tbl>
      <w:tblPr>
        <w:tblLayout w:type="fixed"/>
        <w:tblInd w:w="5" w:type="dxa"/>
        <w:tblCellMar>
          <w:top w:w="0" w:type="dxa"/>
          <w:left w:w="0" w:type="dxa"/>
          <w:bottom w:w="0" w:type="dxa"/>
          <w:right w:w="0" w:type="dxa"/>
        </w:tblCellMar>
      </w:tblPr>
      <w:tr>
        <w:trPr>
          <w:trHeight w:val="246"/>
        </w:trPr>
        <w:tc>
          <w:tcPr>
            <w:tcW w:w="62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2920" w:type="dxa"/>
            <w:vAlign w:val="bottom"/>
            <w:tcBorders>
              <w:bottom w:val="single" w:sz="8" w:color="auto"/>
            </w:tcBorders>
            <w:gridSpan w:val="8"/>
          </w:tcPr>
          <w:p>
            <w:pPr>
              <w:ind w:left="220"/>
              <w:spacing w:after="0"/>
              <w:rPr>
                <w:sz w:val="20"/>
                <w:szCs w:val="20"/>
                <w:color w:val="auto"/>
              </w:rPr>
            </w:pPr>
            <w:r>
              <w:rPr>
                <w:rFonts w:ascii="Arial" w:cs="Arial" w:eastAsia="Arial" w:hAnsi="Arial"/>
                <w:sz w:val="18"/>
                <w:szCs w:val="18"/>
                <w:b w:val="1"/>
                <w:bCs w:val="1"/>
                <w:color w:val="auto"/>
              </w:rPr>
              <w:t>Year Ended December 31,</w:t>
            </w:r>
          </w:p>
        </w:tc>
        <w:tc>
          <w:tcPr>
            <w:tcW w:w="20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628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2013</w:t>
            </w:r>
          </w:p>
        </w:tc>
        <w:tc>
          <w:tcPr>
            <w:tcW w:w="0" w:type="dxa"/>
            <w:vAlign w:val="bottom"/>
          </w:tcPr>
          <w:p>
            <w:pPr>
              <w:spacing w:after="0"/>
              <w:rPr>
                <w:sz w:val="1"/>
                <w:szCs w:val="1"/>
                <w:color w:val="auto"/>
              </w:rPr>
            </w:pPr>
          </w:p>
        </w:tc>
      </w:tr>
      <w:tr>
        <w:trPr>
          <w:trHeight w:val="257"/>
        </w:trPr>
        <w:tc>
          <w:tcPr>
            <w:tcW w:w="6280" w:type="dxa"/>
            <w:vAlign w:val="bottom"/>
          </w:tcPr>
          <w:p>
            <w:pPr>
              <w:spacing w:after="0"/>
              <w:rPr>
                <w:sz w:val="20"/>
                <w:szCs w:val="20"/>
                <w:color w:val="auto"/>
              </w:rPr>
            </w:pPr>
            <w:r>
              <w:rPr>
                <w:rFonts w:ascii="Arial" w:cs="Arial" w:eastAsia="Arial" w:hAnsi="Arial"/>
                <w:sz w:val="18"/>
                <w:szCs w:val="18"/>
                <w:b w:val="1"/>
                <w:bCs w:val="1"/>
                <w:color w:val="auto"/>
              </w:rPr>
              <w:t>Earnings available to cover fixed charges:</w:t>
            </w: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6280" w:type="dxa"/>
            <w:vAlign w:val="bottom"/>
          </w:tcPr>
          <w:p>
            <w:pPr>
              <w:spacing w:after="0"/>
              <w:rPr>
                <w:sz w:val="20"/>
                <w:szCs w:val="20"/>
                <w:color w:val="auto"/>
              </w:rPr>
            </w:pPr>
            <w:r>
              <w:rPr>
                <w:rFonts w:ascii="Arial" w:cs="Arial" w:eastAsia="Arial" w:hAnsi="Arial"/>
                <w:sz w:val="18"/>
                <w:szCs w:val="18"/>
                <w:color w:val="auto"/>
              </w:rPr>
              <w:t>Income from continuing operations before income taxes</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center"/>
              <w:ind w:left="110"/>
              <w:spacing w:after="0"/>
              <w:rPr>
                <w:sz w:val="20"/>
                <w:szCs w:val="20"/>
                <w:color w:val="auto"/>
              </w:rPr>
            </w:pPr>
            <w:r>
              <w:rPr>
                <w:rFonts w:ascii="Arial" w:cs="Arial" w:eastAsia="Arial" w:hAnsi="Arial"/>
                <w:sz w:val="18"/>
                <w:szCs w:val="18"/>
                <w:color w:val="auto"/>
                <w:w w:val="99"/>
              </w:rPr>
              <w:t>211</w:t>
            </w:r>
          </w:p>
        </w:tc>
        <w:tc>
          <w:tcPr>
            <w:tcW w:w="10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center"/>
              <w:ind w:left="110"/>
              <w:spacing w:after="0"/>
              <w:rPr>
                <w:sz w:val="20"/>
                <w:szCs w:val="20"/>
                <w:color w:val="auto"/>
              </w:rPr>
            </w:pPr>
            <w:r>
              <w:rPr>
                <w:rFonts w:ascii="Arial" w:cs="Arial" w:eastAsia="Arial" w:hAnsi="Arial"/>
                <w:sz w:val="18"/>
                <w:szCs w:val="18"/>
                <w:color w:val="auto"/>
                <w:w w:val="99"/>
              </w:rPr>
              <w:t>279</w:t>
            </w:r>
          </w:p>
        </w:tc>
        <w:tc>
          <w:tcPr>
            <w:tcW w:w="10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382</w:t>
            </w:r>
          </w:p>
        </w:tc>
        <w:tc>
          <w:tcPr>
            <w:tcW w:w="10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392</w:t>
            </w:r>
          </w:p>
        </w:tc>
        <w:tc>
          <w:tcPr>
            <w:tcW w:w="10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77"/>
        </w:trPr>
        <w:tc>
          <w:tcPr>
            <w:tcW w:w="6280" w:type="dxa"/>
            <w:vAlign w:val="bottom"/>
          </w:tcPr>
          <w:p>
            <w:pPr>
              <w:spacing w:after="0"/>
              <w:rPr>
                <w:sz w:val="20"/>
                <w:szCs w:val="20"/>
                <w:color w:val="auto"/>
              </w:rPr>
            </w:pPr>
            <w:r>
              <w:rPr>
                <w:rFonts w:ascii="Arial" w:cs="Arial" w:eastAsia="Arial" w:hAnsi="Arial"/>
                <w:sz w:val="18"/>
                <w:szCs w:val="18"/>
                <w:color w:val="auto"/>
              </w:rPr>
              <w:t>Plus: Fixed charges</w:t>
            </w:r>
          </w:p>
        </w:tc>
        <w:tc>
          <w:tcPr>
            <w:tcW w:w="2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center"/>
              <w:ind w:left="110"/>
              <w:spacing w:after="0"/>
              <w:rPr>
                <w:sz w:val="20"/>
                <w:szCs w:val="20"/>
                <w:color w:val="auto"/>
              </w:rPr>
            </w:pPr>
            <w:r>
              <w:rPr>
                <w:rFonts w:ascii="Arial" w:cs="Arial" w:eastAsia="Arial" w:hAnsi="Arial"/>
                <w:sz w:val="18"/>
                <w:szCs w:val="18"/>
                <w:color w:val="auto"/>
                <w:w w:val="99"/>
              </w:rPr>
              <w:t>611</w:t>
            </w: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center"/>
              <w:ind w:left="110"/>
              <w:spacing w:after="0"/>
              <w:rPr>
                <w:sz w:val="20"/>
                <w:szCs w:val="20"/>
                <w:color w:val="auto"/>
              </w:rPr>
            </w:pPr>
            <w:r>
              <w:rPr>
                <w:rFonts w:ascii="Arial" w:cs="Arial" w:eastAsia="Arial" w:hAnsi="Arial"/>
                <w:sz w:val="18"/>
                <w:szCs w:val="18"/>
                <w:color w:val="auto"/>
                <w:w w:val="99"/>
              </w:rPr>
              <w:t>645</w:t>
            </w: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622</w:t>
            </w: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648</w:t>
            </w: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741</w:t>
            </w:r>
          </w:p>
        </w:tc>
        <w:tc>
          <w:tcPr>
            <w:tcW w:w="0" w:type="dxa"/>
            <w:vAlign w:val="bottom"/>
          </w:tcPr>
          <w:p>
            <w:pPr>
              <w:spacing w:after="0"/>
              <w:rPr>
                <w:sz w:val="1"/>
                <w:szCs w:val="1"/>
                <w:color w:val="auto"/>
              </w:rPr>
            </w:pPr>
          </w:p>
        </w:tc>
      </w:tr>
      <w:tr>
        <w:trPr>
          <w:trHeight w:val="257"/>
        </w:trPr>
        <w:tc>
          <w:tcPr>
            <w:tcW w:w="6280" w:type="dxa"/>
            <w:vAlign w:val="bottom"/>
          </w:tcPr>
          <w:p>
            <w:pPr>
              <w:spacing w:after="0"/>
              <w:rPr>
                <w:sz w:val="20"/>
                <w:szCs w:val="20"/>
                <w:color w:val="auto"/>
              </w:rPr>
            </w:pPr>
            <w:r>
              <w:rPr>
                <w:rFonts w:ascii="Arial" w:cs="Arial" w:eastAsia="Arial" w:hAnsi="Arial"/>
                <w:sz w:val="18"/>
                <w:szCs w:val="18"/>
                <w:color w:val="auto"/>
              </w:rPr>
              <w:t>Earnings available to cover fixed charges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center"/>
              <w:ind w:left="110"/>
              <w:spacing w:after="0"/>
              <w:rPr>
                <w:sz w:val="20"/>
                <w:szCs w:val="20"/>
                <w:color w:val="auto"/>
              </w:rPr>
            </w:pPr>
            <w:r>
              <w:rPr>
                <w:rFonts w:ascii="Arial" w:cs="Arial" w:eastAsia="Arial" w:hAnsi="Arial"/>
                <w:sz w:val="18"/>
                <w:szCs w:val="18"/>
                <w:color w:val="auto"/>
                <w:w w:val="99"/>
              </w:rPr>
              <w:t>822</w:t>
            </w:r>
          </w:p>
        </w:tc>
        <w:tc>
          <w:tcPr>
            <w:tcW w:w="10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center"/>
              <w:ind w:left="110"/>
              <w:spacing w:after="0"/>
              <w:rPr>
                <w:sz w:val="20"/>
                <w:szCs w:val="20"/>
                <w:color w:val="auto"/>
              </w:rPr>
            </w:pPr>
            <w:r>
              <w:rPr>
                <w:rFonts w:ascii="Arial" w:cs="Arial" w:eastAsia="Arial" w:hAnsi="Arial"/>
                <w:sz w:val="18"/>
                <w:szCs w:val="18"/>
                <w:color w:val="auto"/>
                <w:w w:val="99"/>
              </w:rPr>
              <w:t>924</w:t>
            </w:r>
          </w:p>
        </w:tc>
        <w:tc>
          <w:tcPr>
            <w:tcW w:w="10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1,004</w:t>
            </w:r>
          </w:p>
        </w:tc>
        <w:tc>
          <w:tcPr>
            <w:tcW w:w="10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1,040</w:t>
            </w:r>
          </w:p>
        </w:tc>
        <w:tc>
          <w:tcPr>
            <w:tcW w:w="10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838</w:t>
            </w:r>
          </w:p>
        </w:tc>
        <w:tc>
          <w:tcPr>
            <w:tcW w:w="0" w:type="dxa"/>
            <w:vAlign w:val="bottom"/>
          </w:tcPr>
          <w:p>
            <w:pPr>
              <w:spacing w:after="0"/>
              <w:rPr>
                <w:sz w:val="1"/>
                <w:szCs w:val="1"/>
                <w:color w:val="auto"/>
              </w:rPr>
            </w:pPr>
          </w:p>
        </w:tc>
      </w:tr>
      <w:tr>
        <w:trPr>
          <w:trHeight w:val="20"/>
        </w:trPr>
        <w:tc>
          <w:tcPr>
            <w:tcW w:w="6280" w:type="dxa"/>
            <w:vAlign w:val="bottom"/>
            <w:vMerge w:val="restart"/>
          </w:tcPr>
          <w:p>
            <w:pPr>
              <w:spacing w:after="0"/>
              <w:rPr>
                <w:sz w:val="20"/>
                <w:szCs w:val="20"/>
                <w:color w:val="auto"/>
              </w:rPr>
            </w:pPr>
            <w:r>
              <w:rPr>
                <w:rFonts w:ascii="Arial" w:cs="Arial" w:eastAsia="Arial" w:hAnsi="Arial"/>
                <w:sz w:val="18"/>
                <w:szCs w:val="18"/>
                <w:b w:val="1"/>
                <w:bCs w:val="1"/>
                <w:color w:val="auto"/>
              </w:rPr>
              <w:t>Fixed charges</w:t>
            </w:r>
            <w:r>
              <w:rPr>
                <w:rFonts w:ascii="Arial" w:cs="Arial" w:eastAsia="Arial" w:hAnsi="Arial"/>
                <w:sz w:val="21"/>
                <w:szCs w:val="21"/>
                <w:color w:val="auto"/>
                <w:vertAlign w:val="superscript"/>
              </w:rPr>
              <w:t>(a)</w:t>
            </w:r>
            <w:r>
              <w:rPr>
                <w:rFonts w:ascii="Arial" w:cs="Arial" w:eastAsia="Arial" w:hAnsi="Arial"/>
                <w:sz w:val="18"/>
                <w:szCs w:val="18"/>
                <w:b w:val="1"/>
                <w:bCs w:val="1"/>
                <w:color w:val="auto"/>
              </w:rPr>
              <w:t xml:space="preserve"> :</w:t>
            </w: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4"/>
        </w:trPr>
        <w:tc>
          <w:tcPr>
            <w:tcW w:w="62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6280" w:type="dxa"/>
            <w:vAlign w:val="bottom"/>
          </w:tcPr>
          <w:p>
            <w:pPr>
              <w:spacing w:after="0"/>
              <w:rPr>
                <w:sz w:val="20"/>
                <w:szCs w:val="20"/>
                <w:color w:val="auto"/>
              </w:rPr>
            </w:pPr>
            <w:r>
              <w:rPr>
                <w:rFonts w:ascii="Arial" w:cs="Arial" w:eastAsia="Arial" w:hAnsi="Arial"/>
                <w:sz w:val="18"/>
                <w:szCs w:val="18"/>
                <w:color w:val="auto"/>
              </w:rPr>
              <w:t>Interest, including amortization of deferred financing costs</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center"/>
              <w:ind w:left="110"/>
              <w:spacing w:after="0"/>
              <w:rPr>
                <w:sz w:val="20"/>
                <w:szCs w:val="20"/>
                <w:color w:val="auto"/>
              </w:rPr>
            </w:pPr>
            <w:r>
              <w:rPr>
                <w:rFonts w:ascii="Arial" w:cs="Arial" w:eastAsia="Arial" w:hAnsi="Arial"/>
                <w:sz w:val="18"/>
                <w:szCs w:val="18"/>
                <w:color w:val="auto"/>
                <w:w w:val="99"/>
              </w:rPr>
              <w:t>491</w:t>
            </w:r>
          </w:p>
        </w:tc>
        <w:tc>
          <w:tcPr>
            <w:tcW w:w="1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center"/>
              <w:ind w:left="110"/>
              <w:spacing w:after="0"/>
              <w:rPr>
                <w:sz w:val="20"/>
                <w:szCs w:val="20"/>
                <w:color w:val="auto"/>
              </w:rPr>
            </w:pPr>
            <w:r>
              <w:rPr>
                <w:rFonts w:ascii="Arial" w:cs="Arial" w:eastAsia="Arial" w:hAnsi="Arial"/>
                <w:sz w:val="18"/>
                <w:szCs w:val="18"/>
                <w:color w:val="auto"/>
                <w:w w:val="99"/>
              </w:rPr>
              <w:t>528</w:t>
            </w:r>
          </w:p>
        </w:tc>
        <w:tc>
          <w:tcPr>
            <w:tcW w:w="1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510</w:t>
            </w:r>
          </w:p>
        </w:tc>
        <w:tc>
          <w:tcPr>
            <w:tcW w:w="1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547</w:t>
            </w:r>
          </w:p>
        </w:tc>
        <w:tc>
          <w:tcPr>
            <w:tcW w:w="1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643</w:t>
            </w:r>
          </w:p>
        </w:tc>
        <w:tc>
          <w:tcPr>
            <w:tcW w:w="0" w:type="dxa"/>
            <w:vAlign w:val="bottom"/>
          </w:tcPr>
          <w:p>
            <w:pPr>
              <w:spacing w:after="0"/>
              <w:rPr>
                <w:sz w:val="1"/>
                <w:szCs w:val="1"/>
                <w:color w:val="auto"/>
              </w:rPr>
            </w:pPr>
          </w:p>
        </w:tc>
      </w:tr>
      <w:tr>
        <w:trPr>
          <w:trHeight w:val="277"/>
        </w:trPr>
        <w:tc>
          <w:tcPr>
            <w:tcW w:w="6280" w:type="dxa"/>
            <w:vAlign w:val="bottom"/>
          </w:tcPr>
          <w:p>
            <w:pPr>
              <w:spacing w:after="0"/>
              <w:rPr>
                <w:sz w:val="20"/>
                <w:szCs w:val="20"/>
                <w:color w:val="auto"/>
              </w:rPr>
            </w:pPr>
            <w:r>
              <w:rPr>
                <w:rFonts w:ascii="Arial" w:cs="Arial" w:eastAsia="Arial" w:hAnsi="Arial"/>
                <w:sz w:val="18"/>
                <w:szCs w:val="18"/>
                <w:color w:val="auto"/>
              </w:rPr>
              <w:t>Interest portion of rental payment</w:t>
            </w:r>
          </w:p>
        </w:tc>
        <w:tc>
          <w:tcPr>
            <w:tcW w:w="2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center"/>
              <w:ind w:left="110"/>
              <w:spacing w:after="0"/>
              <w:rPr>
                <w:sz w:val="20"/>
                <w:szCs w:val="20"/>
                <w:color w:val="auto"/>
              </w:rPr>
            </w:pPr>
            <w:r>
              <w:rPr>
                <w:rFonts w:ascii="Arial" w:cs="Arial" w:eastAsia="Arial" w:hAnsi="Arial"/>
                <w:sz w:val="18"/>
                <w:szCs w:val="18"/>
                <w:color w:val="auto"/>
                <w:w w:val="99"/>
              </w:rPr>
              <w:t>120</w:t>
            </w: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center"/>
              <w:ind w:left="110"/>
              <w:spacing w:after="0"/>
              <w:rPr>
                <w:sz w:val="20"/>
                <w:szCs w:val="20"/>
                <w:color w:val="auto"/>
              </w:rPr>
            </w:pPr>
            <w:r>
              <w:rPr>
                <w:rFonts w:ascii="Arial" w:cs="Arial" w:eastAsia="Arial" w:hAnsi="Arial"/>
                <w:sz w:val="18"/>
                <w:szCs w:val="18"/>
                <w:color w:val="auto"/>
                <w:w w:val="99"/>
              </w:rPr>
              <w:t>117</w:t>
            </w: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57"/>
        </w:trPr>
        <w:tc>
          <w:tcPr>
            <w:tcW w:w="6280" w:type="dxa"/>
            <w:vAlign w:val="bottom"/>
          </w:tcPr>
          <w:p>
            <w:pPr>
              <w:spacing w:after="0"/>
              <w:rPr>
                <w:sz w:val="20"/>
                <w:szCs w:val="20"/>
                <w:color w:val="auto"/>
              </w:rPr>
            </w:pPr>
            <w:r>
              <w:rPr>
                <w:rFonts w:ascii="Arial" w:cs="Arial" w:eastAsia="Arial" w:hAnsi="Arial"/>
                <w:sz w:val="18"/>
                <w:szCs w:val="18"/>
                <w:color w:val="auto"/>
              </w:rPr>
              <w:t>Total fixed charges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center"/>
              <w:ind w:left="110"/>
              <w:spacing w:after="0"/>
              <w:rPr>
                <w:sz w:val="20"/>
                <w:szCs w:val="20"/>
                <w:color w:val="auto"/>
              </w:rPr>
            </w:pPr>
            <w:r>
              <w:rPr>
                <w:rFonts w:ascii="Arial" w:cs="Arial" w:eastAsia="Arial" w:hAnsi="Arial"/>
                <w:sz w:val="18"/>
                <w:szCs w:val="18"/>
                <w:color w:val="auto"/>
                <w:w w:val="99"/>
              </w:rPr>
              <w:t>611</w:t>
            </w:r>
          </w:p>
        </w:tc>
        <w:tc>
          <w:tcPr>
            <w:tcW w:w="10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center"/>
              <w:ind w:left="110"/>
              <w:spacing w:after="0"/>
              <w:rPr>
                <w:sz w:val="20"/>
                <w:szCs w:val="20"/>
                <w:color w:val="auto"/>
              </w:rPr>
            </w:pPr>
            <w:r>
              <w:rPr>
                <w:rFonts w:ascii="Arial" w:cs="Arial" w:eastAsia="Arial" w:hAnsi="Arial"/>
                <w:sz w:val="18"/>
                <w:szCs w:val="18"/>
                <w:color w:val="auto"/>
                <w:w w:val="99"/>
              </w:rPr>
              <w:t>645</w:t>
            </w:r>
          </w:p>
        </w:tc>
        <w:tc>
          <w:tcPr>
            <w:tcW w:w="10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622</w:t>
            </w:r>
          </w:p>
        </w:tc>
        <w:tc>
          <w:tcPr>
            <w:tcW w:w="10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648</w:t>
            </w:r>
          </w:p>
        </w:tc>
        <w:tc>
          <w:tcPr>
            <w:tcW w:w="10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741</w:t>
            </w:r>
          </w:p>
        </w:tc>
        <w:tc>
          <w:tcPr>
            <w:tcW w:w="0" w:type="dxa"/>
            <w:vAlign w:val="bottom"/>
          </w:tcPr>
          <w:p>
            <w:pPr>
              <w:spacing w:after="0"/>
              <w:rPr>
                <w:sz w:val="1"/>
                <w:szCs w:val="1"/>
                <w:color w:val="auto"/>
              </w:rPr>
            </w:pPr>
          </w:p>
        </w:tc>
      </w:tr>
      <w:tr>
        <w:trPr>
          <w:trHeight w:val="20"/>
        </w:trPr>
        <w:tc>
          <w:tcPr>
            <w:tcW w:w="6280" w:type="dxa"/>
            <w:vAlign w:val="bottom"/>
            <w:vMerge w:val="restart"/>
          </w:tcPr>
          <w:p>
            <w:pPr>
              <w:spacing w:after="0"/>
              <w:rPr>
                <w:sz w:val="20"/>
                <w:szCs w:val="20"/>
                <w:color w:val="auto"/>
              </w:rPr>
            </w:pPr>
            <w:r>
              <w:rPr>
                <w:rFonts w:ascii="Arial" w:cs="Arial" w:eastAsia="Arial" w:hAnsi="Arial"/>
                <w:sz w:val="18"/>
                <w:szCs w:val="18"/>
                <w:b w:val="1"/>
                <w:bCs w:val="1"/>
                <w:color w:val="auto"/>
              </w:rPr>
              <w:t>Ratio of earnings to fixed charges</w:t>
            </w: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1"/>
        </w:trPr>
        <w:tc>
          <w:tcPr>
            <w:tcW w:w="62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gridSpan w:val="2"/>
          </w:tcPr>
          <w:p>
            <w:pPr>
              <w:jc w:val="center"/>
              <w:ind w:left="30"/>
              <w:spacing w:after="0"/>
              <w:rPr>
                <w:sz w:val="20"/>
                <w:szCs w:val="20"/>
                <w:color w:val="auto"/>
              </w:rPr>
            </w:pPr>
            <w:r>
              <w:rPr>
                <w:rFonts w:ascii="Arial" w:cs="Arial" w:eastAsia="Arial" w:hAnsi="Arial"/>
                <w:sz w:val="18"/>
                <w:szCs w:val="18"/>
                <w:color w:val="auto"/>
                <w:w w:val="99"/>
              </w:rPr>
              <w:t>1.35x</w:t>
            </w:r>
          </w:p>
        </w:tc>
        <w:tc>
          <w:tcPr>
            <w:tcW w:w="200" w:type="dxa"/>
            <w:vAlign w:val="bottom"/>
          </w:tcPr>
          <w:p>
            <w:pPr>
              <w:spacing w:after="0"/>
              <w:rPr>
                <w:sz w:val="24"/>
                <w:szCs w:val="24"/>
                <w:color w:val="auto"/>
              </w:rPr>
            </w:pPr>
          </w:p>
        </w:tc>
        <w:tc>
          <w:tcPr>
            <w:tcW w:w="840" w:type="dxa"/>
            <w:vAlign w:val="bottom"/>
            <w:gridSpan w:val="2"/>
          </w:tcPr>
          <w:p>
            <w:pPr>
              <w:jc w:val="center"/>
              <w:ind w:left="30"/>
              <w:spacing w:after="0"/>
              <w:rPr>
                <w:sz w:val="20"/>
                <w:szCs w:val="20"/>
                <w:color w:val="auto"/>
              </w:rPr>
            </w:pPr>
            <w:r>
              <w:rPr>
                <w:rFonts w:ascii="Arial" w:cs="Arial" w:eastAsia="Arial" w:hAnsi="Arial"/>
                <w:sz w:val="18"/>
                <w:szCs w:val="18"/>
                <w:color w:val="auto"/>
                <w:w w:val="99"/>
              </w:rPr>
              <w:t>1.43x</w:t>
            </w:r>
          </w:p>
        </w:tc>
        <w:tc>
          <w:tcPr>
            <w:tcW w:w="200" w:type="dxa"/>
            <w:vAlign w:val="bottom"/>
          </w:tcPr>
          <w:p>
            <w:pPr>
              <w:spacing w:after="0"/>
              <w:rPr>
                <w:sz w:val="24"/>
                <w:szCs w:val="24"/>
                <w:color w:val="auto"/>
              </w:rPr>
            </w:pPr>
          </w:p>
        </w:tc>
        <w:tc>
          <w:tcPr>
            <w:tcW w:w="840" w:type="dxa"/>
            <w:vAlign w:val="bottom"/>
            <w:gridSpan w:val="2"/>
          </w:tcPr>
          <w:p>
            <w:pPr>
              <w:ind w:left="260"/>
              <w:spacing w:after="0"/>
              <w:rPr>
                <w:sz w:val="20"/>
                <w:szCs w:val="20"/>
                <w:color w:val="auto"/>
              </w:rPr>
            </w:pPr>
            <w:r>
              <w:rPr>
                <w:rFonts w:ascii="Arial" w:cs="Arial" w:eastAsia="Arial" w:hAnsi="Arial"/>
                <w:sz w:val="18"/>
                <w:szCs w:val="18"/>
                <w:color w:val="auto"/>
              </w:rPr>
              <w:t>1.61x</w:t>
            </w:r>
          </w:p>
        </w:tc>
        <w:tc>
          <w:tcPr>
            <w:tcW w:w="200" w:type="dxa"/>
            <w:vAlign w:val="bottom"/>
          </w:tcPr>
          <w:p>
            <w:pPr>
              <w:spacing w:after="0"/>
              <w:rPr>
                <w:sz w:val="24"/>
                <w:szCs w:val="24"/>
                <w:color w:val="auto"/>
              </w:rPr>
            </w:pPr>
          </w:p>
        </w:tc>
        <w:tc>
          <w:tcPr>
            <w:tcW w:w="840" w:type="dxa"/>
            <w:vAlign w:val="bottom"/>
            <w:gridSpan w:val="2"/>
          </w:tcPr>
          <w:p>
            <w:pPr>
              <w:ind w:left="260"/>
              <w:spacing w:after="0"/>
              <w:rPr>
                <w:sz w:val="20"/>
                <w:szCs w:val="20"/>
                <w:color w:val="auto"/>
              </w:rPr>
            </w:pPr>
            <w:r>
              <w:rPr>
                <w:rFonts w:ascii="Arial" w:cs="Arial" w:eastAsia="Arial" w:hAnsi="Arial"/>
                <w:sz w:val="18"/>
                <w:szCs w:val="18"/>
                <w:color w:val="auto"/>
              </w:rPr>
              <w:t>1.60x</w:t>
            </w: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1.13x</w:t>
            </w:r>
          </w:p>
        </w:tc>
        <w:tc>
          <w:tcPr>
            <w:tcW w:w="0" w:type="dxa"/>
            <w:vAlign w:val="bottom"/>
          </w:tcPr>
          <w:p>
            <w:pPr>
              <w:spacing w:after="0"/>
              <w:rPr>
                <w:sz w:val="1"/>
                <w:szCs w:val="1"/>
                <w:color w:val="auto"/>
              </w:rPr>
            </w:pPr>
          </w:p>
        </w:tc>
      </w:tr>
      <w:tr>
        <w:trPr>
          <w:trHeight w:val="20"/>
        </w:trPr>
        <w:tc>
          <w:tcPr>
            <w:tcW w:w="6280" w:type="dxa"/>
            <w:vAlign w:val="bottom"/>
            <w:vMerge w:val="restart"/>
          </w:tcPr>
          <w:p>
            <w:pPr>
              <w:spacing w:after="0"/>
              <w:rPr>
                <w:sz w:val="20"/>
                <w:szCs w:val="20"/>
                <w:color w:val="auto"/>
              </w:rPr>
            </w:pPr>
            <w:r>
              <w:rPr>
                <w:rFonts w:ascii="Arial" w:cs="Arial" w:eastAsia="Arial" w:hAnsi="Arial"/>
                <w:sz w:val="18"/>
                <w:szCs w:val="18"/>
                <w:color w:val="auto"/>
              </w:rPr>
              <w:t>___________</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28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5" w:lineRule="exact"/>
        <w:rPr>
          <w:sz w:val="20"/>
          <w:szCs w:val="20"/>
          <w:color w:val="auto"/>
        </w:rPr>
      </w:pPr>
    </w:p>
    <w:p>
      <w:pPr>
        <w:ind w:left="165" w:right="200" w:hanging="165"/>
        <w:spacing w:after="0" w:line="241" w:lineRule="auto"/>
        <w:tabs>
          <w:tab w:leader="none" w:pos="138" w:val="left"/>
        </w:tabs>
        <w:numPr>
          <w:ilvl w:val="0"/>
          <w:numId w:val="118"/>
        </w:numPr>
        <w:rPr>
          <w:rFonts w:ascii="Arial" w:cs="Arial" w:eastAsia="Arial" w:hAnsi="Arial"/>
          <w:sz w:val="16"/>
          <w:szCs w:val="16"/>
          <w:color w:val="auto"/>
          <w:vertAlign w:val="superscript"/>
        </w:rPr>
      </w:pPr>
      <w:r>
        <w:rPr>
          <w:rFonts w:ascii="Arial" w:cs="Arial" w:eastAsia="Arial" w:hAnsi="Arial"/>
          <w:sz w:val="13"/>
          <w:szCs w:val="13"/>
          <w:color w:val="auto"/>
        </w:rPr>
        <w:t>Consists of interest expense on all indebtedness (including amortization of deferred financing costs) and the portion of operating lease rental expense that is representative of the interest factor. Interest expense on all indebtedness is detailed as follows:</w:t>
      </w:r>
    </w:p>
    <w:p>
      <w:pPr>
        <w:spacing w:after="0" w:line="79" w:lineRule="exact"/>
        <w:rPr>
          <w:sz w:val="20"/>
          <w:szCs w:val="20"/>
          <w:color w:val="auto"/>
        </w:rPr>
      </w:pPr>
    </w:p>
    <w:tbl>
      <w:tblPr>
        <w:tblLayout w:type="fixed"/>
        <w:tblInd w:w="325" w:type="dxa"/>
        <w:tblCellMar>
          <w:top w:w="0" w:type="dxa"/>
          <w:left w:w="0" w:type="dxa"/>
          <w:bottom w:w="0" w:type="dxa"/>
          <w:right w:w="0" w:type="dxa"/>
        </w:tblCellMar>
      </w:tblPr>
      <w:tr>
        <w:trPr>
          <w:trHeight w:val="196"/>
        </w:trPr>
        <w:tc>
          <w:tcPr>
            <w:tcW w:w="59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900" w:type="dxa"/>
            <w:vAlign w:val="bottom"/>
            <w:tcBorders>
              <w:bottom w:val="single" w:sz="8" w:color="auto"/>
            </w:tcBorders>
            <w:gridSpan w:val="8"/>
          </w:tcPr>
          <w:p>
            <w:pPr>
              <w:ind w:left="420"/>
              <w:spacing w:after="0"/>
              <w:rPr>
                <w:sz w:val="20"/>
                <w:szCs w:val="20"/>
                <w:color w:val="auto"/>
              </w:rPr>
            </w:pPr>
            <w:r>
              <w:rPr>
                <w:rFonts w:ascii="Arial" w:cs="Arial" w:eastAsia="Arial" w:hAnsi="Arial"/>
                <w:sz w:val="14"/>
                <w:szCs w:val="14"/>
                <w:b w:val="1"/>
                <w:bCs w:val="1"/>
                <w:color w:val="auto"/>
              </w:rPr>
              <w:t>Year Ended December 31,</w:t>
            </w:r>
          </w:p>
        </w:tc>
        <w:tc>
          <w:tcPr>
            <w:tcW w:w="2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r>
      <w:tr>
        <w:trPr>
          <w:trHeight w:val="264"/>
        </w:trPr>
        <w:tc>
          <w:tcPr>
            <w:tcW w:w="59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2013</w:t>
            </w:r>
          </w:p>
        </w:tc>
      </w:tr>
      <w:tr>
        <w:trPr>
          <w:trHeight w:val="244"/>
        </w:trPr>
        <w:tc>
          <w:tcPr>
            <w:tcW w:w="5960" w:type="dxa"/>
            <w:vAlign w:val="bottom"/>
          </w:tcPr>
          <w:p>
            <w:pPr>
              <w:spacing w:after="0"/>
              <w:rPr>
                <w:sz w:val="20"/>
                <w:szCs w:val="20"/>
                <w:color w:val="auto"/>
              </w:rPr>
            </w:pPr>
            <w:r>
              <w:rPr>
                <w:rFonts w:ascii="Arial" w:cs="Arial" w:eastAsia="Arial" w:hAnsi="Arial"/>
                <w:sz w:val="14"/>
                <w:szCs w:val="14"/>
                <w:color w:val="auto"/>
              </w:rPr>
              <w:t>Related to debt under vehicle programs</w:t>
            </w:r>
          </w:p>
        </w:tc>
        <w:tc>
          <w:tcPr>
            <w:tcW w:w="2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294</w:t>
            </w:r>
          </w:p>
        </w:tc>
        <w:tc>
          <w:tcPr>
            <w:tcW w:w="100" w:type="dxa"/>
            <w:vAlign w:val="bottom"/>
          </w:tcPr>
          <w:p>
            <w:pPr>
              <w:spacing w:after="0"/>
              <w:rPr>
                <w:sz w:val="21"/>
                <w:szCs w:val="21"/>
                <w:color w:val="auto"/>
              </w:rPr>
            </w:pPr>
          </w:p>
        </w:tc>
        <w:tc>
          <w:tcPr>
            <w:tcW w:w="2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302</w:t>
            </w:r>
          </w:p>
        </w:tc>
        <w:tc>
          <w:tcPr>
            <w:tcW w:w="100" w:type="dxa"/>
            <w:vAlign w:val="bottom"/>
          </w:tcPr>
          <w:p>
            <w:pPr>
              <w:spacing w:after="0"/>
              <w:rPr>
                <w:sz w:val="21"/>
                <w:szCs w:val="21"/>
                <w:color w:val="auto"/>
              </w:rPr>
            </w:pPr>
          </w:p>
        </w:tc>
        <w:tc>
          <w:tcPr>
            <w:tcW w:w="2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302</w:t>
            </w:r>
          </w:p>
        </w:tc>
        <w:tc>
          <w:tcPr>
            <w:tcW w:w="100" w:type="dxa"/>
            <w:vAlign w:val="bottom"/>
          </w:tcPr>
          <w:p>
            <w:pPr>
              <w:spacing w:after="0"/>
              <w:rPr>
                <w:sz w:val="21"/>
                <w:szCs w:val="21"/>
                <w:color w:val="auto"/>
              </w:rPr>
            </w:pPr>
          </w:p>
        </w:tc>
        <w:tc>
          <w:tcPr>
            <w:tcW w:w="2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290</w:t>
            </w:r>
          </w:p>
        </w:tc>
        <w:tc>
          <w:tcPr>
            <w:tcW w:w="100" w:type="dxa"/>
            <w:vAlign w:val="bottom"/>
          </w:tcPr>
          <w:p>
            <w:pPr>
              <w:spacing w:after="0"/>
              <w:rPr>
                <w:sz w:val="21"/>
                <w:szCs w:val="21"/>
                <w:color w:val="auto"/>
              </w:rPr>
            </w:pPr>
          </w:p>
        </w:tc>
        <w:tc>
          <w:tcPr>
            <w:tcW w:w="2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271</w:t>
            </w:r>
          </w:p>
        </w:tc>
      </w:tr>
      <w:tr>
        <w:trPr>
          <w:trHeight w:val="276"/>
        </w:trPr>
        <w:tc>
          <w:tcPr>
            <w:tcW w:w="5960" w:type="dxa"/>
            <w:vAlign w:val="bottom"/>
          </w:tcPr>
          <w:p>
            <w:pPr>
              <w:spacing w:after="0"/>
              <w:rPr>
                <w:sz w:val="20"/>
                <w:szCs w:val="20"/>
                <w:color w:val="auto"/>
              </w:rPr>
            </w:pPr>
            <w:r>
              <w:rPr>
                <w:rFonts w:ascii="Arial" w:cs="Arial" w:eastAsia="Arial" w:hAnsi="Arial"/>
                <w:sz w:val="14"/>
                <w:szCs w:val="14"/>
                <w:color w:val="auto"/>
              </w:rPr>
              <w:t>All other</w:t>
            </w:r>
          </w:p>
        </w:tc>
        <w:tc>
          <w:tcPr>
            <w:tcW w:w="2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197</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226</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208</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257</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372</w:t>
            </w:r>
          </w:p>
        </w:tc>
      </w:tr>
      <w:tr>
        <w:trPr>
          <w:trHeight w:val="237"/>
        </w:trPr>
        <w:tc>
          <w:tcPr>
            <w:tcW w:w="5960" w:type="dxa"/>
            <w:vAlign w:val="bottom"/>
          </w:tcPr>
          <w:p>
            <w:pPr>
              <w:spacing w:after="0"/>
              <w:rPr>
                <w:sz w:val="20"/>
                <w:szCs w:val="20"/>
                <w:color w:val="auto"/>
              </w:rPr>
            </w:pPr>
          </w:p>
        </w:tc>
        <w:tc>
          <w:tcPr>
            <w:tcW w:w="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491</w:t>
            </w:r>
          </w:p>
        </w:tc>
        <w:tc>
          <w:tcPr>
            <w:tcW w:w="100" w:type="dxa"/>
            <w:vAlign w:val="bottom"/>
          </w:tcPr>
          <w:p>
            <w:pPr>
              <w:spacing w:after="0"/>
              <w:rPr>
                <w:sz w:val="20"/>
                <w:szCs w:val="20"/>
                <w:color w:val="auto"/>
              </w:rPr>
            </w:pPr>
          </w:p>
        </w:tc>
        <w:tc>
          <w:tcPr>
            <w:tcW w:w="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528</w:t>
            </w:r>
          </w:p>
        </w:tc>
        <w:tc>
          <w:tcPr>
            <w:tcW w:w="100" w:type="dxa"/>
            <w:vAlign w:val="bottom"/>
          </w:tcPr>
          <w:p>
            <w:pPr>
              <w:spacing w:after="0"/>
              <w:rPr>
                <w:sz w:val="20"/>
                <w:szCs w:val="20"/>
                <w:color w:val="auto"/>
              </w:rPr>
            </w:pPr>
          </w:p>
        </w:tc>
        <w:tc>
          <w:tcPr>
            <w:tcW w:w="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510</w:t>
            </w:r>
          </w:p>
        </w:tc>
        <w:tc>
          <w:tcPr>
            <w:tcW w:w="100" w:type="dxa"/>
            <w:vAlign w:val="bottom"/>
          </w:tcPr>
          <w:p>
            <w:pPr>
              <w:spacing w:after="0"/>
              <w:rPr>
                <w:sz w:val="20"/>
                <w:szCs w:val="20"/>
                <w:color w:val="auto"/>
              </w:rPr>
            </w:pPr>
          </w:p>
        </w:tc>
        <w:tc>
          <w:tcPr>
            <w:tcW w:w="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547</w:t>
            </w:r>
          </w:p>
        </w:tc>
        <w:tc>
          <w:tcPr>
            <w:tcW w:w="100" w:type="dxa"/>
            <w:vAlign w:val="bottom"/>
          </w:tcPr>
          <w:p>
            <w:pPr>
              <w:spacing w:after="0"/>
              <w:rPr>
                <w:sz w:val="20"/>
                <w:szCs w:val="20"/>
                <w:color w:val="auto"/>
              </w:rPr>
            </w:pPr>
          </w:p>
        </w:tc>
        <w:tc>
          <w:tcPr>
            <w:tcW w:w="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643</w:t>
            </w:r>
          </w:p>
        </w:tc>
      </w:tr>
      <w:tr>
        <w:trPr>
          <w:trHeight w:val="20"/>
        </w:trPr>
        <w:tc>
          <w:tcPr>
            <w:tcW w:w="59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5"/>
        <w:spacing w:after="0"/>
        <w:rPr>
          <w:sz w:val="20"/>
          <w:szCs w:val="20"/>
          <w:color w:val="auto"/>
        </w:rPr>
      </w:pPr>
      <w:r>
        <w:rPr>
          <w:rFonts w:ascii="Arial" w:cs="Arial" w:eastAsia="Arial" w:hAnsi="Arial"/>
          <w:sz w:val="18"/>
          <w:szCs w:val="18"/>
          <w:color w:val="auto"/>
        </w:rPr>
        <w:t>* * *</w:t>
      </w:r>
    </w:p>
    <w:p>
      <w:pPr>
        <w:sectPr>
          <w:pgSz w:w="11900" w:h="16838" w:orient="portrait"/>
          <w:cols w:equalWidth="0" w:num="1">
            <w:col w:w="11385"/>
          </w:cols>
          <w:pgMar w:left="275" w:top="535" w:right="239" w:bottom="1440" w:gutter="0" w:footer="0" w:header="0"/>
        </w:sectPr>
      </w:pPr>
    </w:p>
    <w:bookmarkStart w:id="135" w:name="page136"/>
    <w:bookmarkEnd w:id="135"/>
    <w:p>
      <w:pPr>
        <w:jc w:val="right"/>
        <w:spacing w:after="0"/>
        <w:rPr>
          <w:sz w:val="20"/>
          <w:szCs w:val="20"/>
          <w:color w:val="auto"/>
        </w:rPr>
      </w:pPr>
      <w:r>
        <w:rPr>
          <w:rFonts w:ascii="Arial" w:cs="Arial" w:eastAsia="Arial" w:hAnsi="Arial"/>
          <w:sz w:val="22"/>
          <w:szCs w:val="22"/>
          <w:b w:val="1"/>
          <w:bCs w:val="1"/>
          <w:u w:val="single" w:color="auto"/>
          <w:color w:val="auto"/>
        </w:rPr>
        <w:t>EXHIBIT 21</w:t>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60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Subsidiary</w:t>
            </w:r>
          </w:p>
        </w:tc>
        <w:tc>
          <w:tcPr>
            <w:tcW w:w="320" w:type="dxa"/>
            <w:vAlign w:val="bottom"/>
            <w:tcBorders>
              <w:bottom w:val="single" w:sz="8" w:color="CCEEFF"/>
            </w:tcBorders>
            <w:shd w:val="clear" w:color="auto" w:fill="CCEEFF"/>
          </w:tcPr>
          <w:p>
            <w:pPr>
              <w:spacing w:after="0"/>
              <w:rPr>
                <w:sz w:val="22"/>
                <w:szCs w:val="22"/>
                <w:color w:val="auto"/>
              </w:rPr>
            </w:pPr>
          </w:p>
        </w:tc>
        <w:tc>
          <w:tcPr>
            <w:tcW w:w="4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Jurisdiction of Incorporation</w:t>
            </w:r>
          </w:p>
        </w:tc>
      </w:tr>
      <w:tr>
        <w:trPr>
          <w:trHeight w:val="237"/>
        </w:trPr>
        <w:tc>
          <w:tcPr>
            <w:tcW w:w="6340" w:type="dxa"/>
            <w:vAlign w:val="bottom"/>
            <w:gridSpan w:val="2"/>
          </w:tcPr>
          <w:p>
            <w:pPr>
              <w:ind w:left="20"/>
              <w:spacing w:after="0"/>
              <w:rPr>
                <w:sz w:val="20"/>
                <w:szCs w:val="20"/>
                <w:color w:val="auto"/>
              </w:rPr>
            </w:pPr>
            <w:r>
              <w:rPr>
                <w:rFonts w:ascii="Arial" w:cs="Arial" w:eastAsia="Arial" w:hAnsi="Arial"/>
                <w:sz w:val="16"/>
                <w:szCs w:val="16"/>
                <w:color w:val="auto"/>
              </w:rPr>
              <w:t>2233516 Ontario, Inc.</w:t>
            </w:r>
          </w:p>
        </w:tc>
        <w:tc>
          <w:tcPr>
            <w:tcW w:w="4200" w:type="dxa"/>
            <w:vAlign w:val="bottom"/>
          </w:tcPr>
          <w:p>
            <w:pPr>
              <w:ind w:left="20"/>
              <w:spacing w:after="0"/>
              <w:rPr>
                <w:sz w:val="20"/>
                <w:szCs w:val="20"/>
                <w:color w:val="auto"/>
              </w:rPr>
            </w:pPr>
            <w:r>
              <w:rPr>
                <w:rFonts w:ascii="Arial" w:cs="Arial" w:eastAsia="Arial" w:hAnsi="Arial"/>
                <w:sz w:val="16"/>
                <w:szCs w:val="16"/>
                <w:color w:val="auto"/>
              </w:rPr>
              <w:t>Canada</w:t>
            </w:r>
          </w:p>
        </w:tc>
      </w:tr>
      <w:tr>
        <w:trPr>
          <w:trHeight w:val="270"/>
        </w:trPr>
        <w:tc>
          <w:tcPr>
            <w:tcW w:w="6340" w:type="dxa"/>
            <w:vAlign w:val="bottom"/>
            <w:gridSpan w:val="2"/>
          </w:tcPr>
          <w:p>
            <w:pPr>
              <w:ind w:left="20"/>
              <w:spacing w:after="0"/>
              <w:rPr>
                <w:sz w:val="20"/>
                <w:szCs w:val="20"/>
                <w:color w:val="auto"/>
              </w:rPr>
            </w:pPr>
            <w:r>
              <w:rPr>
                <w:rFonts w:ascii="Arial" w:cs="Arial" w:eastAsia="Arial" w:hAnsi="Arial"/>
                <w:sz w:val="16"/>
                <w:szCs w:val="16"/>
                <w:color w:val="auto"/>
              </w:rPr>
              <w:t>AAA France Cars SAS</w:t>
            </w:r>
          </w:p>
        </w:tc>
        <w:tc>
          <w:tcPr>
            <w:tcW w:w="4200" w:type="dxa"/>
            <w:vAlign w:val="bottom"/>
          </w:tcPr>
          <w:p>
            <w:pPr>
              <w:ind w:left="20"/>
              <w:spacing w:after="0"/>
              <w:rPr>
                <w:sz w:val="20"/>
                <w:szCs w:val="20"/>
                <w:color w:val="auto"/>
              </w:rPr>
            </w:pPr>
            <w:r>
              <w:rPr>
                <w:rFonts w:ascii="Arial" w:cs="Arial" w:eastAsia="Arial" w:hAnsi="Arial"/>
                <w:sz w:val="16"/>
                <w:szCs w:val="16"/>
                <w:color w:val="auto"/>
              </w:rPr>
              <w:t>France</w:t>
            </w:r>
          </w:p>
        </w:tc>
      </w:tr>
      <w:tr>
        <w:trPr>
          <w:trHeight w:val="270"/>
        </w:trPr>
        <w:tc>
          <w:tcPr>
            <w:tcW w:w="6340" w:type="dxa"/>
            <w:vAlign w:val="bottom"/>
            <w:gridSpan w:val="2"/>
          </w:tcPr>
          <w:p>
            <w:pPr>
              <w:ind w:left="20"/>
              <w:spacing w:after="0"/>
              <w:rPr>
                <w:sz w:val="20"/>
                <w:szCs w:val="20"/>
                <w:color w:val="auto"/>
              </w:rPr>
            </w:pPr>
            <w:r>
              <w:rPr>
                <w:rFonts w:ascii="Arial" w:cs="Arial" w:eastAsia="Arial" w:hAnsi="Arial"/>
                <w:sz w:val="16"/>
                <w:szCs w:val="16"/>
                <w:color w:val="auto"/>
              </w:rPr>
              <w:t>AB Canada Holdings I Limited Partnership</w:t>
            </w:r>
          </w:p>
        </w:tc>
        <w:tc>
          <w:tcPr>
            <w:tcW w:w="4200" w:type="dxa"/>
            <w:vAlign w:val="bottom"/>
          </w:tcPr>
          <w:p>
            <w:pPr>
              <w:ind w:left="20"/>
              <w:spacing w:after="0"/>
              <w:rPr>
                <w:sz w:val="20"/>
                <w:szCs w:val="20"/>
                <w:color w:val="auto"/>
              </w:rPr>
            </w:pPr>
            <w:r>
              <w:rPr>
                <w:rFonts w:ascii="Arial" w:cs="Arial" w:eastAsia="Arial" w:hAnsi="Arial"/>
                <w:sz w:val="16"/>
                <w:szCs w:val="16"/>
                <w:color w:val="auto"/>
              </w:rPr>
              <w:t>Canada</w:t>
            </w:r>
          </w:p>
        </w:tc>
      </w:tr>
      <w:tr>
        <w:trPr>
          <w:trHeight w:val="270"/>
        </w:trPr>
        <w:tc>
          <w:tcPr>
            <w:tcW w:w="6340" w:type="dxa"/>
            <w:vAlign w:val="bottom"/>
            <w:gridSpan w:val="2"/>
          </w:tcPr>
          <w:p>
            <w:pPr>
              <w:ind w:left="20"/>
              <w:spacing w:after="0"/>
              <w:rPr>
                <w:sz w:val="20"/>
                <w:szCs w:val="20"/>
                <w:color w:val="auto"/>
              </w:rPr>
            </w:pPr>
            <w:r>
              <w:rPr>
                <w:rFonts w:ascii="Arial" w:cs="Arial" w:eastAsia="Arial" w:hAnsi="Arial"/>
                <w:sz w:val="16"/>
                <w:szCs w:val="16"/>
                <w:color w:val="auto"/>
              </w:rPr>
              <w:t>AB Canada Holdings II Partnership</w:t>
            </w:r>
          </w:p>
        </w:tc>
        <w:tc>
          <w:tcPr>
            <w:tcW w:w="4200" w:type="dxa"/>
            <w:vAlign w:val="bottom"/>
          </w:tcPr>
          <w:p>
            <w:pPr>
              <w:ind w:left="20"/>
              <w:spacing w:after="0"/>
              <w:rPr>
                <w:sz w:val="20"/>
                <w:szCs w:val="20"/>
                <w:color w:val="auto"/>
              </w:rPr>
            </w:pPr>
            <w:r>
              <w:rPr>
                <w:rFonts w:ascii="Arial" w:cs="Arial" w:eastAsia="Arial" w:hAnsi="Arial"/>
                <w:sz w:val="16"/>
                <w:szCs w:val="16"/>
                <w:color w:val="auto"/>
              </w:rPr>
              <w:t>Canada</w:t>
            </w:r>
          </w:p>
        </w:tc>
      </w:tr>
      <w:tr>
        <w:trPr>
          <w:trHeight w:val="270"/>
        </w:trPr>
        <w:tc>
          <w:tcPr>
            <w:tcW w:w="6340" w:type="dxa"/>
            <w:vAlign w:val="bottom"/>
            <w:gridSpan w:val="2"/>
          </w:tcPr>
          <w:p>
            <w:pPr>
              <w:ind w:left="20"/>
              <w:spacing w:after="0"/>
              <w:rPr>
                <w:sz w:val="20"/>
                <w:szCs w:val="20"/>
                <w:color w:val="auto"/>
              </w:rPr>
            </w:pPr>
            <w:r>
              <w:rPr>
                <w:rFonts w:ascii="Arial" w:cs="Arial" w:eastAsia="Arial" w:hAnsi="Arial"/>
                <w:sz w:val="16"/>
                <w:szCs w:val="16"/>
                <w:color w:val="auto"/>
              </w:rPr>
              <w:t>AB Canada Holdings III Limited Partnership</w:t>
            </w:r>
          </w:p>
        </w:tc>
        <w:tc>
          <w:tcPr>
            <w:tcW w:w="4200" w:type="dxa"/>
            <w:vAlign w:val="bottom"/>
          </w:tcPr>
          <w:p>
            <w:pPr>
              <w:ind w:left="20"/>
              <w:spacing w:after="0"/>
              <w:rPr>
                <w:sz w:val="20"/>
                <w:szCs w:val="20"/>
                <w:color w:val="auto"/>
              </w:rPr>
            </w:pPr>
            <w:r>
              <w:rPr>
                <w:rFonts w:ascii="Arial" w:cs="Arial" w:eastAsia="Arial" w:hAnsi="Arial"/>
                <w:sz w:val="16"/>
                <w:szCs w:val="16"/>
                <w:color w:val="auto"/>
              </w:rPr>
              <w:t>Canada</w:t>
            </w:r>
          </w:p>
        </w:tc>
      </w:tr>
      <w:tr>
        <w:trPr>
          <w:trHeight w:val="270"/>
        </w:trPr>
        <w:tc>
          <w:tcPr>
            <w:tcW w:w="6340" w:type="dxa"/>
            <w:vAlign w:val="bottom"/>
            <w:gridSpan w:val="2"/>
          </w:tcPr>
          <w:p>
            <w:pPr>
              <w:ind w:left="20"/>
              <w:spacing w:after="0"/>
              <w:rPr>
                <w:sz w:val="20"/>
                <w:szCs w:val="20"/>
                <w:color w:val="auto"/>
              </w:rPr>
            </w:pPr>
            <w:r>
              <w:rPr>
                <w:rFonts w:ascii="Arial" w:cs="Arial" w:eastAsia="Arial" w:hAnsi="Arial"/>
                <w:sz w:val="16"/>
                <w:szCs w:val="16"/>
                <w:color w:val="auto"/>
              </w:rPr>
              <w:t>AB Car Rental Services Inc.</w:t>
            </w:r>
          </w:p>
        </w:tc>
        <w:tc>
          <w:tcPr>
            <w:tcW w:w="420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270"/>
        </w:trPr>
        <w:tc>
          <w:tcPr>
            <w:tcW w:w="6340" w:type="dxa"/>
            <w:vAlign w:val="bottom"/>
            <w:gridSpan w:val="2"/>
          </w:tcPr>
          <w:p>
            <w:pPr>
              <w:ind w:left="20"/>
              <w:spacing w:after="0"/>
              <w:rPr>
                <w:sz w:val="20"/>
                <w:szCs w:val="20"/>
                <w:color w:val="auto"/>
              </w:rPr>
            </w:pPr>
            <w:r>
              <w:rPr>
                <w:rFonts w:ascii="Arial" w:cs="Arial" w:eastAsia="Arial" w:hAnsi="Arial"/>
                <w:sz w:val="16"/>
                <w:szCs w:val="16"/>
                <w:color w:val="auto"/>
              </w:rPr>
              <w:t>AB FleetCo SAS</w:t>
            </w:r>
          </w:p>
        </w:tc>
        <w:tc>
          <w:tcPr>
            <w:tcW w:w="4200" w:type="dxa"/>
            <w:vAlign w:val="bottom"/>
          </w:tcPr>
          <w:p>
            <w:pPr>
              <w:ind w:left="20"/>
              <w:spacing w:after="0"/>
              <w:rPr>
                <w:sz w:val="20"/>
                <w:szCs w:val="20"/>
                <w:color w:val="auto"/>
              </w:rPr>
            </w:pPr>
            <w:r>
              <w:rPr>
                <w:rFonts w:ascii="Arial" w:cs="Arial" w:eastAsia="Arial" w:hAnsi="Arial"/>
                <w:sz w:val="16"/>
                <w:szCs w:val="16"/>
                <w:color w:val="auto"/>
              </w:rPr>
              <w:t>France</w:t>
            </w:r>
          </w:p>
        </w:tc>
      </w:tr>
      <w:tr>
        <w:trPr>
          <w:trHeight w:val="270"/>
        </w:trPr>
        <w:tc>
          <w:tcPr>
            <w:tcW w:w="6340" w:type="dxa"/>
            <w:vAlign w:val="bottom"/>
            <w:gridSpan w:val="2"/>
          </w:tcPr>
          <w:p>
            <w:pPr>
              <w:ind w:left="20"/>
              <w:spacing w:after="0"/>
              <w:rPr>
                <w:sz w:val="20"/>
                <w:szCs w:val="20"/>
                <w:color w:val="auto"/>
              </w:rPr>
            </w:pPr>
            <w:r>
              <w:rPr>
                <w:rFonts w:ascii="Arial" w:cs="Arial" w:eastAsia="Arial" w:hAnsi="Arial"/>
                <w:sz w:val="16"/>
                <w:szCs w:val="16"/>
                <w:color w:val="auto"/>
              </w:rPr>
              <w:t>AB Funding Pty Ltd.</w:t>
            </w:r>
          </w:p>
        </w:tc>
        <w:tc>
          <w:tcPr>
            <w:tcW w:w="4200" w:type="dxa"/>
            <w:vAlign w:val="bottom"/>
          </w:tcPr>
          <w:p>
            <w:pPr>
              <w:ind w:left="20"/>
              <w:spacing w:after="0"/>
              <w:rPr>
                <w:sz w:val="20"/>
                <w:szCs w:val="20"/>
                <w:color w:val="auto"/>
              </w:rPr>
            </w:pPr>
            <w:r>
              <w:rPr>
                <w:rFonts w:ascii="Arial" w:cs="Arial" w:eastAsia="Arial" w:hAnsi="Arial"/>
                <w:sz w:val="16"/>
                <w:szCs w:val="16"/>
                <w:color w:val="auto"/>
              </w:rPr>
              <w:t>Australia</w:t>
            </w:r>
          </w:p>
        </w:tc>
      </w:tr>
      <w:tr>
        <w:trPr>
          <w:trHeight w:val="270"/>
        </w:trPr>
        <w:tc>
          <w:tcPr>
            <w:tcW w:w="6340" w:type="dxa"/>
            <w:vAlign w:val="bottom"/>
            <w:gridSpan w:val="2"/>
          </w:tcPr>
          <w:p>
            <w:pPr>
              <w:ind w:left="20"/>
              <w:spacing w:after="0"/>
              <w:rPr>
                <w:sz w:val="20"/>
                <w:szCs w:val="20"/>
                <w:color w:val="auto"/>
              </w:rPr>
            </w:pPr>
            <w:r>
              <w:rPr>
                <w:rFonts w:ascii="Arial" w:cs="Arial" w:eastAsia="Arial" w:hAnsi="Arial"/>
                <w:sz w:val="16"/>
                <w:szCs w:val="16"/>
                <w:color w:val="auto"/>
              </w:rPr>
              <w:t>AB Group Financial Services Limited</w:t>
            </w:r>
          </w:p>
        </w:tc>
        <w:tc>
          <w:tcPr>
            <w:tcW w:w="4200" w:type="dxa"/>
            <w:vAlign w:val="bottom"/>
          </w:tcPr>
          <w:p>
            <w:pPr>
              <w:ind w:left="20"/>
              <w:spacing w:after="0"/>
              <w:rPr>
                <w:sz w:val="20"/>
                <w:szCs w:val="20"/>
                <w:color w:val="auto"/>
              </w:rPr>
            </w:pPr>
            <w:r>
              <w:rPr>
                <w:rFonts w:ascii="Arial" w:cs="Arial" w:eastAsia="Arial" w:hAnsi="Arial"/>
                <w:sz w:val="16"/>
                <w:szCs w:val="16"/>
                <w:color w:val="auto"/>
              </w:rPr>
              <w:t>England and Wales</w:t>
            </w:r>
          </w:p>
        </w:tc>
      </w:tr>
      <w:tr>
        <w:trPr>
          <w:trHeight w:val="270"/>
        </w:trPr>
        <w:tc>
          <w:tcPr>
            <w:tcW w:w="6340" w:type="dxa"/>
            <w:vAlign w:val="bottom"/>
            <w:gridSpan w:val="2"/>
          </w:tcPr>
          <w:p>
            <w:pPr>
              <w:ind w:left="20"/>
              <w:spacing w:after="0"/>
              <w:rPr>
                <w:sz w:val="20"/>
                <w:szCs w:val="20"/>
                <w:color w:val="auto"/>
              </w:rPr>
            </w:pPr>
            <w:r>
              <w:rPr>
                <w:rFonts w:ascii="Arial" w:cs="Arial" w:eastAsia="Arial" w:hAnsi="Arial"/>
                <w:sz w:val="16"/>
                <w:szCs w:val="16"/>
                <w:color w:val="auto"/>
              </w:rPr>
              <w:t>AB Luxembourg Holdings S.á r.l.</w:t>
            </w:r>
          </w:p>
        </w:tc>
        <w:tc>
          <w:tcPr>
            <w:tcW w:w="4200" w:type="dxa"/>
            <w:vAlign w:val="bottom"/>
          </w:tcPr>
          <w:p>
            <w:pPr>
              <w:ind w:left="20"/>
              <w:spacing w:after="0"/>
              <w:rPr>
                <w:sz w:val="20"/>
                <w:szCs w:val="20"/>
                <w:color w:val="auto"/>
              </w:rPr>
            </w:pPr>
            <w:r>
              <w:rPr>
                <w:rFonts w:ascii="Arial" w:cs="Arial" w:eastAsia="Arial" w:hAnsi="Arial"/>
                <w:sz w:val="16"/>
                <w:szCs w:val="16"/>
                <w:color w:val="auto"/>
              </w:rPr>
              <w:t>Luxembourg</w:t>
            </w:r>
          </w:p>
        </w:tc>
      </w:tr>
      <w:tr>
        <w:trPr>
          <w:trHeight w:val="270"/>
        </w:trPr>
        <w:tc>
          <w:tcPr>
            <w:tcW w:w="6340" w:type="dxa"/>
            <w:vAlign w:val="bottom"/>
            <w:gridSpan w:val="2"/>
          </w:tcPr>
          <w:p>
            <w:pPr>
              <w:ind w:left="20"/>
              <w:spacing w:after="0"/>
              <w:rPr>
                <w:sz w:val="20"/>
                <w:szCs w:val="20"/>
                <w:color w:val="auto"/>
              </w:rPr>
            </w:pPr>
            <w:r>
              <w:rPr>
                <w:rFonts w:ascii="Arial" w:cs="Arial" w:eastAsia="Arial" w:hAnsi="Arial"/>
                <w:sz w:val="16"/>
                <w:szCs w:val="16"/>
                <w:color w:val="auto"/>
              </w:rPr>
              <w:t>AB Scotland Finance I, LP</w:t>
            </w:r>
          </w:p>
        </w:tc>
        <w:tc>
          <w:tcPr>
            <w:tcW w:w="4200" w:type="dxa"/>
            <w:vAlign w:val="bottom"/>
          </w:tcPr>
          <w:p>
            <w:pPr>
              <w:ind w:left="20"/>
              <w:spacing w:after="0"/>
              <w:rPr>
                <w:sz w:val="20"/>
                <w:szCs w:val="20"/>
                <w:color w:val="auto"/>
              </w:rPr>
            </w:pPr>
            <w:r>
              <w:rPr>
                <w:rFonts w:ascii="Arial" w:cs="Arial" w:eastAsia="Arial" w:hAnsi="Arial"/>
                <w:sz w:val="16"/>
                <w:szCs w:val="16"/>
                <w:color w:val="auto"/>
              </w:rPr>
              <w:t>Scotland</w:t>
            </w:r>
          </w:p>
        </w:tc>
      </w:tr>
      <w:tr>
        <w:trPr>
          <w:trHeight w:val="270"/>
        </w:trPr>
        <w:tc>
          <w:tcPr>
            <w:tcW w:w="6340" w:type="dxa"/>
            <w:vAlign w:val="bottom"/>
            <w:gridSpan w:val="2"/>
          </w:tcPr>
          <w:p>
            <w:pPr>
              <w:ind w:left="20"/>
              <w:spacing w:after="0"/>
              <w:rPr>
                <w:sz w:val="20"/>
                <w:szCs w:val="20"/>
                <w:color w:val="auto"/>
              </w:rPr>
            </w:pPr>
            <w:r>
              <w:rPr>
                <w:rFonts w:ascii="Arial" w:cs="Arial" w:eastAsia="Arial" w:hAnsi="Arial"/>
                <w:sz w:val="16"/>
                <w:szCs w:val="16"/>
                <w:color w:val="auto"/>
              </w:rPr>
              <w:t>AB Scotland Finance II, LP</w:t>
            </w:r>
          </w:p>
        </w:tc>
        <w:tc>
          <w:tcPr>
            <w:tcW w:w="4200" w:type="dxa"/>
            <w:vAlign w:val="bottom"/>
          </w:tcPr>
          <w:p>
            <w:pPr>
              <w:ind w:left="20"/>
              <w:spacing w:after="0"/>
              <w:rPr>
                <w:sz w:val="20"/>
                <w:szCs w:val="20"/>
                <w:color w:val="auto"/>
              </w:rPr>
            </w:pPr>
            <w:r>
              <w:rPr>
                <w:rFonts w:ascii="Arial" w:cs="Arial" w:eastAsia="Arial" w:hAnsi="Arial"/>
                <w:sz w:val="16"/>
                <w:szCs w:val="16"/>
                <w:color w:val="auto"/>
              </w:rPr>
              <w:t>Scotland</w:t>
            </w:r>
          </w:p>
        </w:tc>
      </w:tr>
      <w:tr>
        <w:trPr>
          <w:trHeight w:val="270"/>
        </w:trPr>
        <w:tc>
          <w:tcPr>
            <w:tcW w:w="6340" w:type="dxa"/>
            <w:vAlign w:val="bottom"/>
            <w:gridSpan w:val="2"/>
          </w:tcPr>
          <w:p>
            <w:pPr>
              <w:ind w:left="20"/>
              <w:spacing w:after="0"/>
              <w:rPr>
                <w:sz w:val="20"/>
                <w:szCs w:val="20"/>
                <w:color w:val="auto"/>
              </w:rPr>
            </w:pPr>
            <w:r>
              <w:rPr>
                <w:rFonts w:ascii="Arial" w:cs="Arial" w:eastAsia="Arial" w:hAnsi="Arial"/>
                <w:sz w:val="16"/>
                <w:szCs w:val="16"/>
                <w:color w:val="auto"/>
              </w:rPr>
              <w:t>ABG Car Services Holdings, LLC</w:t>
            </w:r>
          </w:p>
        </w:tc>
        <w:tc>
          <w:tcPr>
            <w:tcW w:w="420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270"/>
        </w:trPr>
        <w:tc>
          <w:tcPr>
            <w:tcW w:w="6340" w:type="dxa"/>
            <w:vAlign w:val="bottom"/>
            <w:gridSpan w:val="2"/>
          </w:tcPr>
          <w:p>
            <w:pPr>
              <w:ind w:left="20"/>
              <w:spacing w:after="0"/>
              <w:rPr>
                <w:sz w:val="20"/>
                <w:szCs w:val="20"/>
                <w:color w:val="auto"/>
              </w:rPr>
            </w:pPr>
            <w:r>
              <w:rPr>
                <w:rFonts w:ascii="Arial" w:cs="Arial" w:eastAsia="Arial" w:hAnsi="Arial"/>
                <w:sz w:val="16"/>
                <w:szCs w:val="16"/>
                <w:color w:val="auto"/>
              </w:rPr>
              <w:t>ABG Commerce Consultancy (Shanghai) Co., Ltd.</w:t>
            </w:r>
          </w:p>
        </w:tc>
        <w:tc>
          <w:tcPr>
            <w:tcW w:w="4200" w:type="dxa"/>
            <w:vAlign w:val="bottom"/>
          </w:tcPr>
          <w:p>
            <w:pPr>
              <w:ind w:left="20"/>
              <w:spacing w:after="0"/>
              <w:rPr>
                <w:sz w:val="20"/>
                <w:szCs w:val="20"/>
                <w:color w:val="auto"/>
              </w:rPr>
            </w:pPr>
            <w:r>
              <w:rPr>
                <w:rFonts w:ascii="Arial" w:cs="Arial" w:eastAsia="Arial" w:hAnsi="Arial"/>
                <w:sz w:val="16"/>
                <w:szCs w:val="16"/>
                <w:color w:val="auto"/>
              </w:rPr>
              <w:t>China</w:t>
            </w:r>
          </w:p>
        </w:tc>
      </w:tr>
      <w:tr>
        <w:trPr>
          <w:trHeight w:val="270"/>
        </w:trPr>
        <w:tc>
          <w:tcPr>
            <w:tcW w:w="6340" w:type="dxa"/>
            <w:vAlign w:val="bottom"/>
            <w:gridSpan w:val="2"/>
          </w:tcPr>
          <w:p>
            <w:pPr>
              <w:ind w:left="20"/>
              <w:spacing w:after="0"/>
              <w:rPr>
                <w:sz w:val="20"/>
                <w:szCs w:val="20"/>
                <w:color w:val="auto"/>
              </w:rPr>
            </w:pPr>
            <w:r>
              <w:rPr>
                <w:rFonts w:ascii="Arial" w:cs="Arial" w:eastAsia="Arial" w:hAnsi="Arial"/>
                <w:sz w:val="16"/>
                <w:szCs w:val="16"/>
                <w:color w:val="auto"/>
              </w:rPr>
              <w:t>ABG Contact Centre EMEA S.A.</w:t>
            </w:r>
          </w:p>
        </w:tc>
        <w:tc>
          <w:tcPr>
            <w:tcW w:w="4200" w:type="dxa"/>
            <w:vAlign w:val="bottom"/>
          </w:tcPr>
          <w:p>
            <w:pPr>
              <w:ind w:left="20"/>
              <w:spacing w:after="0"/>
              <w:rPr>
                <w:sz w:val="20"/>
                <w:szCs w:val="20"/>
                <w:color w:val="auto"/>
              </w:rPr>
            </w:pPr>
            <w:r>
              <w:rPr>
                <w:rFonts w:ascii="Arial" w:cs="Arial" w:eastAsia="Arial" w:hAnsi="Arial"/>
                <w:sz w:val="16"/>
                <w:szCs w:val="16"/>
                <w:color w:val="auto"/>
              </w:rPr>
              <w:t>Spain</w:t>
            </w:r>
          </w:p>
        </w:tc>
      </w:tr>
      <w:tr>
        <w:trPr>
          <w:trHeight w:val="270"/>
        </w:trPr>
        <w:tc>
          <w:tcPr>
            <w:tcW w:w="6340" w:type="dxa"/>
            <w:vAlign w:val="bottom"/>
            <w:gridSpan w:val="2"/>
          </w:tcPr>
          <w:p>
            <w:pPr>
              <w:ind w:left="20"/>
              <w:spacing w:after="0"/>
              <w:rPr>
                <w:sz w:val="20"/>
                <w:szCs w:val="20"/>
                <w:color w:val="auto"/>
              </w:rPr>
            </w:pPr>
            <w:r>
              <w:rPr>
                <w:rFonts w:ascii="Arial" w:cs="Arial" w:eastAsia="Arial" w:hAnsi="Arial"/>
                <w:sz w:val="16"/>
                <w:szCs w:val="16"/>
                <w:color w:val="auto"/>
              </w:rPr>
              <w:t>ABG Scandinavia Holdings AS</w:t>
            </w:r>
          </w:p>
        </w:tc>
        <w:tc>
          <w:tcPr>
            <w:tcW w:w="4200" w:type="dxa"/>
            <w:vAlign w:val="bottom"/>
          </w:tcPr>
          <w:p>
            <w:pPr>
              <w:ind w:left="20"/>
              <w:spacing w:after="0"/>
              <w:rPr>
                <w:sz w:val="20"/>
                <w:szCs w:val="20"/>
                <w:color w:val="auto"/>
              </w:rPr>
            </w:pPr>
            <w:r>
              <w:rPr>
                <w:rFonts w:ascii="Arial" w:cs="Arial" w:eastAsia="Arial" w:hAnsi="Arial"/>
                <w:sz w:val="16"/>
                <w:szCs w:val="16"/>
                <w:color w:val="auto"/>
              </w:rPr>
              <w:t>Norway</w:t>
            </w:r>
          </w:p>
        </w:tc>
      </w:tr>
      <w:tr>
        <w:trPr>
          <w:trHeight w:val="270"/>
        </w:trPr>
        <w:tc>
          <w:tcPr>
            <w:tcW w:w="6340" w:type="dxa"/>
            <w:vAlign w:val="bottom"/>
            <w:gridSpan w:val="2"/>
          </w:tcPr>
          <w:p>
            <w:pPr>
              <w:ind w:left="20"/>
              <w:spacing w:after="0"/>
              <w:rPr>
                <w:sz w:val="20"/>
                <w:szCs w:val="20"/>
                <w:color w:val="auto"/>
              </w:rPr>
            </w:pPr>
            <w:r>
              <w:rPr>
                <w:rFonts w:ascii="Arial" w:cs="Arial" w:eastAsia="Arial" w:hAnsi="Arial"/>
                <w:sz w:val="16"/>
                <w:szCs w:val="16"/>
                <w:color w:val="auto"/>
              </w:rPr>
              <w:t>ACE Administracao e Participacao Ltda.</w:t>
            </w:r>
          </w:p>
        </w:tc>
        <w:tc>
          <w:tcPr>
            <w:tcW w:w="4200" w:type="dxa"/>
            <w:vAlign w:val="bottom"/>
          </w:tcPr>
          <w:p>
            <w:pPr>
              <w:ind w:left="20"/>
              <w:spacing w:after="0"/>
              <w:rPr>
                <w:sz w:val="20"/>
                <w:szCs w:val="20"/>
                <w:color w:val="auto"/>
              </w:rPr>
            </w:pPr>
            <w:r>
              <w:rPr>
                <w:rFonts w:ascii="Arial" w:cs="Arial" w:eastAsia="Arial" w:hAnsi="Arial"/>
                <w:sz w:val="16"/>
                <w:szCs w:val="16"/>
                <w:color w:val="auto"/>
              </w:rPr>
              <w:t>Brazil</w:t>
            </w:r>
          </w:p>
        </w:tc>
      </w:tr>
      <w:tr>
        <w:trPr>
          <w:trHeight w:val="270"/>
        </w:trPr>
        <w:tc>
          <w:tcPr>
            <w:tcW w:w="6340" w:type="dxa"/>
            <w:vAlign w:val="bottom"/>
            <w:gridSpan w:val="2"/>
          </w:tcPr>
          <w:p>
            <w:pPr>
              <w:ind w:left="20"/>
              <w:spacing w:after="0"/>
              <w:rPr>
                <w:sz w:val="20"/>
                <w:szCs w:val="20"/>
                <w:color w:val="auto"/>
              </w:rPr>
            </w:pPr>
            <w:r>
              <w:rPr>
                <w:rFonts w:ascii="Arial" w:cs="Arial" w:eastAsia="Arial" w:hAnsi="Arial"/>
                <w:sz w:val="16"/>
                <w:szCs w:val="16"/>
                <w:color w:val="auto"/>
              </w:rPr>
              <w:t>ACL Hire Ltd.</w:t>
            </w:r>
          </w:p>
        </w:tc>
        <w:tc>
          <w:tcPr>
            <w:tcW w:w="4200" w:type="dxa"/>
            <w:vAlign w:val="bottom"/>
          </w:tcPr>
          <w:p>
            <w:pPr>
              <w:ind w:left="20"/>
              <w:spacing w:after="0"/>
              <w:rPr>
                <w:sz w:val="20"/>
                <w:szCs w:val="20"/>
                <w:color w:val="auto"/>
              </w:rPr>
            </w:pPr>
            <w:r>
              <w:rPr>
                <w:rFonts w:ascii="Arial" w:cs="Arial" w:eastAsia="Arial" w:hAnsi="Arial"/>
                <w:sz w:val="16"/>
                <w:szCs w:val="16"/>
                <w:color w:val="auto"/>
              </w:rPr>
              <w:t>Scotland</w:t>
            </w:r>
          </w:p>
        </w:tc>
      </w:tr>
      <w:tr>
        <w:trPr>
          <w:trHeight w:val="270"/>
        </w:trPr>
        <w:tc>
          <w:tcPr>
            <w:tcW w:w="6340" w:type="dxa"/>
            <w:vAlign w:val="bottom"/>
            <w:gridSpan w:val="2"/>
          </w:tcPr>
          <w:p>
            <w:pPr>
              <w:ind w:left="20"/>
              <w:spacing w:after="0"/>
              <w:rPr>
                <w:sz w:val="20"/>
                <w:szCs w:val="20"/>
                <w:color w:val="auto"/>
              </w:rPr>
            </w:pPr>
            <w:r>
              <w:rPr>
                <w:rFonts w:ascii="Arial" w:cs="Arial" w:eastAsia="Arial" w:hAnsi="Arial"/>
                <w:sz w:val="16"/>
                <w:szCs w:val="16"/>
                <w:color w:val="auto"/>
              </w:rPr>
              <w:t>Advance Ross Corporation</w:t>
            </w:r>
          </w:p>
        </w:tc>
        <w:tc>
          <w:tcPr>
            <w:tcW w:w="420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270"/>
        </w:trPr>
        <w:tc>
          <w:tcPr>
            <w:tcW w:w="6340" w:type="dxa"/>
            <w:vAlign w:val="bottom"/>
            <w:gridSpan w:val="2"/>
          </w:tcPr>
          <w:p>
            <w:pPr>
              <w:ind w:left="20"/>
              <w:spacing w:after="0"/>
              <w:rPr>
                <w:sz w:val="20"/>
                <w:szCs w:val="20"/>
                <w:color w:val="auto"/>
              </w:rPr>
            </w:pPr>
            <w:r>
              <w:rPr>
                <w:rFonts w:ascii="Arial" w:cs="Arial" w:eastAsia="Arial" w:hAnsi="Arial"/>
                <w:sz w:val="16"/>
                <w:szCs w:val="16"/>
                <w:color w:val="auto"/>
              </w:rPr>
              <w:t>Advance Ross Intermediate Corporation</w:t>
            </w:r>
          </w:p>
        </w:tc>
        <w:tc>
          <w:tcPr>
            <w:tcW w:w="420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270"/>
        </w:trPr>
        <w:tc>
          <w:tcPr>
            <w:tcW w:w="6340" w:type="dxa"/>
            <w:vAlign w:val="bottom"/>
            <w:gridSpan w:val="2"/>
          </w:tcPr>
          <w:p>
            <w:pPr>
              <w:ind w:left="20"/>
              <w:spacing w:after="0"/>
              <w:rPr>
                <w:sz w:val="20"/>
                <w:szCs w:val="20"/>
                <w:color w:val="auto"/>
              </w:rPr>
            </w:pPr>
            <w:r>
              <w:rPr>
                <w:rFonts w:ascii="Arial" w:cs="Arial" w:eastAsia="Arial" w:hAnsi="Arial"/>
                <w:sz w:val="16"/>
                <w:szCs w:val="16"/>
                <w:color w:val="auto"/>
              </w:rPr>
              <w:t>Advance Ross Sub Company</w:t>
            </w:r>
          </w:p>
        </w:tc>
        <w:tc>
          <w:tcPr>
            <w:tcW w:w="420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270"/>
        </w:trPr>
        <w:tc>
          <w:tcPr>
            <w:tcW w:w="6340" w:type="dxa"/>
            <w:vAlign w:val="bottom"/>
            <w:gridSpan w:val="2"/>
          </w:tcPr>
          <w:p>
            <w:pPr>
              <w:ind w:left="20"/>
              <w:spacing w:after="0"/>
              <w:rPr>
                <w:sz w:val="20"/>
                <w:szCs w:val="20"/>
                <w:color w:val="auto"/>
              </w:rPr>
            </w:pPr>
            <w:r>
              <w:rPr>
                <w:rFonts w:ascii="Arial" w:cs="Arial" w:eastAsia="Arial" w:hAnsi="Arial"/>
                <w:sz w:val="16"/>
                <w:szCs w:val="16"/>
                <w:color w:val="auto"/>
              </w:rPr>
              <w:t>AE Consolidation Limited</w:t>
            </w:r>
          </w:p>
        </w:tc>
        <w:tc>
          <w:tcPr>
            <w:tcW w:w="4200" w:type="dxa"/>
            <w:vAlign w:val="bottom"/>
          </w:tcPr>
          <w:p>
            <w:pPr>
              <w:ind w:left="20"/>
              <w:spacing w:after="0"/>
              <w:rPr>
                <w:sz w:val="20"/>
                <w:szCs w:val="20"/>
                <w:color w:val="auto"/>
              </w:rPr>
            </w:pPr>
            <w:r>
              <w:rPr>
                <w:rFonts w:ascii="Arial" w:cs="Arial" w:eastAsia="Arial" w:hAnsi="Arial"/>
                <w:sz w:val="16"/>
                <w:szCs w:val="16"/>
                <w:color w:val="auto"/>
              </w:rPr>
              <w:t>England and Wales</w:t>
            </w:r>
          </w:p>
        </w:tc>
      </w:tr>
      <w:tr>
        <w:trPr>
          <w:trHeight w:val="270"/>
        </w:trPr>
        <w:tc>
          <w:tcPr>
            <w:tcW w:w="6340" w:type="dxa"/>
            <w:vAlign w:val="bottom"/>
            <w:gridSpan w:val="2"/>
          </w:tcPr>
          <w:p>
            <w:pPr>
              <w:ind w:left="20"/>
              <w:spacing w:after="0"/>
              <w:rPr>
                <w:sz w:val="20"/>
                <w:szCs w:val="20"/>
                <w:color w:val="auto"/>
              </w:rPr>
            </w:pPr>
            <w:r>
              <w:rPr>
                <w:rFonts w:ascii="Arial" w:cs="Arial" w:eastAsia="Arial" w:hAnsi="Arial"/>
                <w:sz w:val="16"/>
                <w:szCs w:val="16"/>
                <w:color w:val="auto"/>
              </w:rPr>
              <w:t>AE Holdco Limited</w:t>
            </w:r>
          </w:p>
        </w:tc>
        <w:tc>
          <w:tcPr>
            <w:tcW w:w="4200" w:type="dxa"/>
            <w:vAlign w:val="bottom"/>
          </w:tcPr>
          <w:p>
            <w:pPr>
              <w:ind w:left="20"/>
              <w:spacing w:after="0"/>
              <w:rPr>
                <w:sz w:val="20"/>
                <w:szCs w:val="20"/>
                <w:color w:val="auto"/>
              </w:rPr>
            </w:pPr>
            <w:r>
              <w:rPr>
                <w:rFonts w:ascii="Arial" w:cs="Arial" w:eastAsia="Arial" w:hAnsi="Arial"/>
                <w:sz w:val="16"/>
                <w:szCs w:val="16"/>
                <w:color w:val="auto"/>
              </w:rPr>
              <w:t>England and Wales</w:t>
            </w:r>
          </w:p>
        </w:tc>
      </w:tr>
      <w:tr>
        <w:trPr>
          <w:trHeight w:val="270"/>
        </w:trPr>
        <w:tc>
          <w:tcPr>
            <w:tcW w:w="6340" w:type="dxa"/>
            <w:vAlign w:val="bottom"/>
            <w:gridSpan w:val="2"/>
          </w:tcPr>
          <w:p>
            <w:pPr>
              <w:ind w:left="20"/>
              <w:spacing w:after="0"/>
              <w:rPr>
                <w:sz w:val="20"/>
                <w:szCs w:val="20"/>
                <w:color w:val="auto"/>
              </w:rPr>
            </w:pPr>
            <w:r>
              <w:rPr>
                <w:rFonts w:ascii="Arial" w:cs="Arial" w:eastAsia="Arial" w:hAnsi="Arial"/>
                <w:sz w:val="16"/>
                <w:szCs w:val="16"/>
                <w:color w:val="auto"/>
              </w:rPr>
              <w:t>Aegis Motor Insurance Limited</w:t>
            </w:r>
          </w:p>
        </w:tc>
        <w:tc>
          <w:tcPr>
            <w:tcW w:w="4200" w:type="dxa"/>
            <w:vAlign w:val="bottom"/>
          </w:tcPr>
          <w:p>
            <w:pPr>
              <w:ind w:left="20"/>
              <w:spacing w:after="0"/>
              <w:rPr>
                <w:sz w:val="20"/>
                <w:szCs w:val="20"/>
                <w:color w:val="auto"/>
              </w:rPr>
            </w:pPr>
            <w:r>
              <w:rPr>
                <w:rFonts w:ascii="Arial" w:cs="Arial" w:eastAsia="Arial" w:hAnsi="Arial"/>
                <w:sz w:val="16"/>
                <w:szCs w:val="16"/>
                <w:color w:val="auto"/>
              </w:rPr>
              <w:t>Isle of Man</w:t>
            </w:r>
          </w:p>
        </w:tc>
      </w:tr>
      <w:tr>
        <w:trPr>
          <w:trHeight w:val="270"/>
        </w:trPr>
        <w:tc>
          <w:tcPr>
            <w:tcW w:w="6340" w:type="dxa"/>
            <w:vAlign w:val="bottom"/>
            <w:gridSpan w:val="2"/>
          </w:tcPr>
          <w:p>
            <w:pPr>
              <w:ind w:left="20"/>
              <w:spacing w:after="0"/>
              <w:rPr>
                <w:sz w:val="20"/>
                <w:szCs w:val="20"/>
                <w:color w:val="auto"/>
              </w:rPr>
            </w:pPr>
            <w:r>
              <w:rPr>
                <w:rFonts w:ascii="Arial" w:cs="Arial" w:eastAsia="Arial" w:hAnsi="Arial"/>
                <w:sz w:val="16"/>
                <w:szCs w:val="16"/>
                <w:color w:val="auto"/>
              </w:rPr>
              <w:t>AESOP Funding Corp.</w:t>
            </w:r>
          </w:p>
        </w:tc>
        <w:tc>
          <w:tcPr>
            <w:tcW w:w="420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270"/>
        </w:trPr>
        <w:tc>
          <w:tcPr>
            <w:tcW w:w="6340" w:type="dxa"/>
            <w:vAlign w:val="bottom"/>
            <w:gridSpan w:val="2"/>
          </w:tcPr>
          <w:p>
            <w:pPr>
              <w:ind w:left="20"/>
              <w:spacing w:after="0"/>
              <w:rPr>
                <w:sz w:val="20"/>
                <w:szCs w:val="20"/>
                <w:color w:val="auto"/>
              </w:rPr>
            </w:pPr>
            <w:r>
              <w:rPr>
                <w:rFonts w:ascii="Arial" w:cs="Arial" w:eastAsia="Arial" w:hAnsi="Arial"/>
                <w:sz w:val="16"/>
                <w:szCs w:val="16"/>
                <w:color w:val="auto"/>
              </w:rPr>
              <w:t>AESOP Leasing Corp.</w:t>
            </w:r>
          </w:p>
        </w:tc>
        <w:tc>
          <w:tcPr>
            <w:tcW w:w="420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270"/>
        </w:trPr>
        <w:tc>
          <w:tcPr>
            <w:tcW w:w="6340" w:type="dxa"/>
            <w:vAlign w:val="bottom"/>
            <w:gridSpan w:val="2"/>
          </w:tcPr>
          <w:p>
            <w:pPr>
              <w:ind w:left="20"/>
              <w:spacing w:after="0"/>
              <w:rPr>
                <w:sz w:val="20"/>
                <w:szCs w:val="20"/>
                <w:color w:val="auto"/>
              </w:rPr>
            </w:pPr>
            <w:r>
              <w:rPr>
                <w:rFonts w:ascii="Arial" w:cs="Arial" w:eastAsia="Arial" w:hAnsi="Arial"/>
                <w:sz w:val="16"/>
                <w:szCs w:val="16"/>
                <w:color w:val="auto"/>
              </w:rPr>
              <w:t>AESOP Leasing L.P.</w:t>
            </w:r>
          </w:p>
        </w:tc>
        <w:tc>
          <w:tcPr>
            <w:tcW w:w="420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270"/>
        </w:trPr>
        <w:tc>
          <w:tcPr>
            <w:tcW w:w="6340" w:type="dxa"/>
            <w:vAlign w:val="bottom"/>
            <w:gridSpan w:val="2"/>
          </w:tcPr>
          <w:p>
            <w:pPr>
              <w:ind w:left="20"/>
              <w:spacing w:after="0"/>
              <w:rPr>
                <w:sz w:val="20"/>
                <w:szCs w:val="20"/>
                <w:color w:val="auto"/>
              </w:rPr>
            </w:pPr>
            <w:r>
              <w:rPr>
                <w:rFonts w:ascii="Arial" w:cs="Arial" w:eastAsia="Arial" w:hAnsi="Arial"/>
                <w:sz w:val="16"/>
                <w:szCs w:val="16"/>
                <w:color w:val="auto"/>
              </w:rPr>
              <w:t>Anji Car Rental &amp; Leasing Company Limited</w:t>
            </w:r>
          </w:p>
        </w:tc>
        <w:tc>
          <w:tcPr>
            <w:tcW w:w="4200" w:type="dxa"/>
            <w:vAlign w:val="bottom"/>
          </w:tcPr>
          <w:p>
            <w:pPr>
              <w:ind w:left="20"/>
              <w:spacing w:after="0"/>
              <w:rPr>
                <w:sz w:val="20"/>
                <w:szCs w:val="20"/>
                <w:color w:val="auto"/>
              </w:rPr>
            </w:pPr>
            <w:r>
              <w:rPr>
                <w:rFonts w:ascii="Arial" w:cs="Arial" w:eastAsia="Arial" w:hAnsi="Arial"/>
                <w:sz w:val="16"/>
                <w:szCs w:val="16"/>
                <w:color w:val="auto"/>
              </w:rPr>
              <w:t>China</w:t>
            </w:r>
          </w:p>
        </w:tc>
      </w:tr>
      <w:tr>
        <w:trPr>
          <w:trHeight w:val="270"/>
        </w:trPr>
        <w:tc>
          <w:tcPr>
            <w:tcW w:w="6340" w:type="dxa"/>
            <w:vAlign w:val="bottom"/>
            <w:gridSpan w:val="2"/>
          </w:tcPr>
          <w:p>
            <w:pPr>
              <w:ind w:left="20"/>
              <w:spacing w:after="0"/>
              <w:rPr>
                <w:sz w:val="20"/>
                <w:szCs w:val="20"/>
                <w:color w:val="auto"/>
              </w:rPr>
            </w:pPr>
            <w:r>
              <w:rPr>
                <w:rFonts w:ascii="Arial" w:cs="Arial" w:eastAsia="Arial" w:hAnsi="Arial"/>
                <w:sz w:val="16"/>
                <w:szCs w:val="16"/>
                <w:color w:val="auto"/>
              </w:rPr>
              <w:t>Apex Car Rentals</w:t>
            </w:r>
          </w:p>
        </w:tc>
        <w:tc>
          <w:tcPr>
            <w:tcW w:w="4200" w:type="dxa"/>
            <w:vAlign w:val="bottom"/>
          </w:tcPr>
          <w:p>
            <w:pPr>
              <w:ind w:left="20"/>
              <w:spacing w:after="0"/>
              <w:rPr>
                <w:sz w:val="20"/>
                <w:szCs w:val="20"/>
                <w:color w:val="auto"/>
              </w:rPr>
            </w:pPr>
            <w:r>
              <w:rPr>
                <w:rFonts w:ascii="Arial" w:cs="Arial" w:eastAsia="Arial" w:hAnsi="Arial"/>
                <w:sz w:val="16"/>
                <w:szCs w:val="16"/>
                <w:color w:val="auto"/>
              </w:rPr>
              <w:t>New Zealand</w:t>
            </w:r>
          </w:p>
        </w:tc>
      </w:tr>
      <w:tr>
        <w:trPr>
          <w:trHeight w:val="270"/>
        </w:trPr>
        <w:tc>
          <w:tcPr>
            <w:tcW w:w="6340" w:type="dxa"/>
            <w:vAlign w:val="bottom"/>
            <w:gridSpan w:val="2"/>
          </w:tcPr>
          <w:p>
            <w:pPr>
              <w:ind w:left="20"/>
              <w:spacing w:after="0"/>
              <w:rPr>
                <w:sz w:val="20"/>
                <w:szCs w:val="20"/>
                <w:color w:val="auto"/>
              </w:rPr>
            </w:pPr>
            <w:r>
              <w:rPr>
                <w:rFonts w:ascii="Arial" w:cs="Arial" w:eastAsia="Arial" w:hAnsi="Arial"/>
                <w:sz w:val="16"/>
                <w:szCs w:val="16"/>
                <w:color w:val="auto"/>
              </w:rPr>
              <w:t>Apex Car Rentals Pty Ltd.</w:t>
            </w:r>
          </w:p>
        </w:tc>
        <w:tc>
          <w:tcPr>
            <w:tcW w:w="4200" w:type="dxa"/>
            <w:vAlign w:val="bottom"/>
          </w:tcPr>
          <w:p>
            <w:pPr>
              <w:ind w:left="20"/>
              <w:spacing w:after="0"/>
              <w:rPr>
                <w:sz w:val="20"/>
                <w:szCs w:val="20"/>
                <w:color w:val="auto"/>
              </w:rPr>
            </w:pPr>
            <w:r>
              <w:rPr>
                <w:rFonts w:ascii="Arial" w:cs="Arial" w:eastAsia="Arial" w:hAnsi="Arial"/>
                <w:sz w:val="16"/>
                <w:szCs w:val="16"/>
                <w:color w:val="auto"/>
              </w:rPr>
              <w:t>Australia</w:t>
            </w:r>
          </w:p>
        </w:tc>
      </w:tr>
      <w:tr>
        <w:trPr>
          <w:trHeight w:val="270"/>
        </w:trPr>
        <w:tc>
          <w:tcPr>
            <w:tcW w:w="6340" w:type="dxa"/>
            <w:vAlign w:val="bottom"/>
            <w:gridSpan w:val="2"/>
          </w:tcPr>
          <w:p>
            <w:pPr>
              <w:ind w:left="20"/>
              <w:spacing w:after="0"/>
              <w:rPr>
                <w:sz w:val="20"/>
                <w:szCs w:val="20"/>
                <w:color w:val="auto"/>
              </w:rPr>
            </w:pPr>
            <w:r>
              <w:rPr>
                <w:rFonts w:ascii="Arial" w:cs="Arial" w:eastAsia="Arial" w:hAnsi="Arial"/>
                <w:sz w:val="16"/>
                <w:szCs w:val="16"/>
                <w:color w:val="auto"/>
              </w:rPr>
              <w:t>Arbitra S.A.</w:t>
            </w:r>
          </w:p>
        </w:tc>
        <w:tc>
          <w:tcPr>
            <w:tcW w:w="4200" w:type="dxa"/>
            <w:vAlign w:val="bottom"/>
          </w:tcPr>
          <w:p>
            <w:pPr>
              <w:ind w:left="20"/>
              <w:spacing w:after="0"/>
              <w:rPr>
                <w:sz w:val="20"/>
                <w:szCs w:val="20"/>
                <w:color w:val="auto"/>
              </w:rPr>
            </w:pPr>
            <w:r>
              <w:rPr>
                <w:rFonts w:ascii="Arial" w:cs="Arial" w:eastAsia="Arial" w:hAnsi="Arial"/>
                <w:sz w:val="16"/>
                <w:szCs w:val="16"/>
                <w:color w:val="auto"/>
              </w:rPr>
              <w:t>Argentina</w:t>
            </w:r>
          </w:p>
        </w:tc>
      </w:tr>
      <w:tr>
        <w:trPr>
          <w:trHeight w:val="270"/>
        </w:trPr>
        <w:tc>
          <w:tcPr>
            <w:tcW w:w="6340" w:type="dxa"/>
            <w:vAlign w:val="bottom"/>
            <w:gridSpan w:val="2"/>
          </w:tcPr>
          <w:p>
            <w:pPr>
              <w:ind w:left="20"/>
              <w:spacing w:after="0"/>
              <w:rPr>
                <w:sz w:val="20"/>
                <w:szCs w:val="20"/>
                <w:color w:val="auto"/>
              </w:rPr>
            </w:pPr>
            <w:r>
              <w:rPr>
                <w:rFonts w:ascii="Arial" w:cs="Arial" w:eastAsia="Arial" w:hAnsi="Arial"/>
                <w:sz w:val="16"/>
                <w:szCs w:val="16"/>
                <w:color w:val="auto"/>
              </w:rPr>
              <w:t>Armadale Commercial Ltd.</w:t>
            </w:r>
          </w:p>
        </w:tc>
        <w:tc>
          <w:tcPr>
            <w:tcW w:w="4200" w:type="dxa"/>
            <w:vAlign w:val="bottom"/>
          </w:tcPr>
          <w:p>
            <w:pPr>
              <w:ind w:left="20"/>
              <w:spacing w:after="0"/>
              <w:rPr>
                <w:sz w:val="20"/>
                <w:szCs w:val="20"/>
                <w:color w:val="auto"/>
              </w:rPr>
            </w:pPr>
            <w:r>
              <w:rPr>
                <w:rFonts w:ascii="Arial" w:cs="Arial" w:eastAsia="Arial" w:hAnsi="Arial"/>
                <w:sz w:val="16"/>
                <w:szCs w:val="16"/>
                <w:color w:val="auto"/>
              </w:rPr>
              <w:t>Scotland</w:t>
            </w:r>
          </w:p>
        </w:tc>
      </w:tr>
      <w:tr>
        <w:trPr>
          <w:trHeight w:val="270"/>
        </w:trPr>
        <w:tc>
          <w:tcPr>
            <w:tcW w:w="6340" w:type="dxa"/>
            <w:vAlign w:val="bottom"/>
            <w:gridSpan w:val="2"/>
          </w:tcPr>
          <w:p>
            <w:pPr>
              <w:ind w:left="20"/>
              <w:spacing w:after="0"/>
              <w:rPr>
                <w:sz w:val="20"/>
                <w:szCs w:val="20"/>
                <w:color w:val="auto"/>
              </w:rPr>
            </w:pPr>
            <w:r>
              <w:rPr>
                <w:rFonts w:ascii="Arial" w:cs="Arial" w:eastAsia="Arial" w:hAnsi="Arial"/>
                <w:sz w:val="16"/>
                <w:szCs w:val="16"/>
                <w:color w:val="auto"/>
              </w:rPr>
              <w:t>AU Holdco Pty Ltd.</w:t>
            </w:r>
          </w:p>
        </w:tc>
        <w:tc>
          <w:tcPr>
            <w:tcW w:w="4200" w:type="dxa"/>
            <w:vAlign w:val="bottom"/>
          </w:tcPr>
          <w:p>
            <w:pPr>
              <w:ind w:left="20"/>
              <w:spacing w:after="0"/>
              <w:rPr>
                <w:sz w:val="20"/>
                <w:szCs w:val="20"/>
                <w:color w:val="auto"/>
              </w:rPr>
            </w:pPr>
            <w:r>
              <w:rPr>
                <w:rFonts w:ascii="Arial" w:cs="Arial" w:eastAsia="Arial" w:hAnsi="Arial"/>
                <w:sz w:val="16"/>
                <w:szCs w:val="16"/>
                <w:color w:val="auto"/>
              </w:rPr>
              <w:t>Australia</w:t>
            </w:r>
          </w:p>
        </w:tc>
      </w:tr>
      <w:tr>
        <w:trPr>
          <w:trHeight w:val="270"/>
        </w:trPr>
        <w:tc>
          <w:tcPr>
            <w:tcW w:w="6340" w:type="dxa"/>
            <w:vAlign w:val="bottom"/>
            <w:gridSpan w:val="2"/>
          </w:tcPr>
          <w:p>
            <w:pPr>
              <w:ind w:left="20"/>
              <w:spacing w:after="0"/>
              <w:rPr>
                <w:sz w:val="20"/>
                <w:szCs w:val="20"/>
                <w:color w:val="auto"/>
              </w:rPr>
            </w:pPr>
            <w:r>
              <w:rPr>
                <w:rFonts w:ascii="Arial" w:cs="Arial" w:eastAsia="Arial" w:hAnsi="Arial"/>
                <w:sz w:val="16"/>
                <w:szCs w:val="16"/>
                <w:color w:val="auto"/>
              </w:rPr>
              <w:t>Auto Accident Consultants Pty. Limited</w:t>
            </w:r>
          </w:p>
        </w:tc>
        <w:tc>
          <w:tcPr>
            <w:tcW w:w="4200" w:type="dxa"/>
            <w:vAlign w:val="bottom"/>
          </w:tcPr>
          <w:p>
            <w:pPr>
              <w:ind w:left="20"/>
              <w:spacing w:after="0"/>
              <w:rPr>
                <w:sz w:val="20"/>
                <w:szCs w:val="20"/>
                <w:color w:val="auto"/>
              </w:rPr>
            </w:pPr>
            <w:r>
              <w:rPr>
                <w:rFonts w:ascii="Arial" w:cs="Arial" w:eastAsia="Arial" w:hAnsi="Arial"/>
                <w:sz w:val="16"/>
                <w:szCs w:val="16"/>
                <w:color w:val="auto"/>
              </w:rPr>
              <w:t>Australia</w:t>
            </w:r>
          </w:p>
        </w:tc>
      </w:tr>
      <w:tr>
        <w:trPr>
          <w:trHeight w:val="270"/>
        </w:trPr>
        <w:tc>
          <w:tcPr>
            <w:tcW w:w="6340" w:type="dxa"/>
            <w:vAlign w:val="bottom"/>
            <w:gridSpan w:val="2"/>
          </w:tcPr>
          <w:p>
            <w:pPr>
              <w:ind w:left="20"/>
              <w:spacing w:after="0"/>
              <w:rPr>
                <w:sz w:val="20"/>
                <w:szCs w:val="20"/>
                <w:color w:val="auto"/>
              </w:rPr>
            </w:pPr>
            <w:r>
              <w:rPr>
                <w:rFonts w:ascii="Arial" w:cs="Arial" w:eastAsia="Arial" w:hAnsi="Arial"/>
                <w:sz w:val="16"/>
                <w:szCs w:val="16"/>
                <w:color w:val="auto"/>
              </w:rPr>
              <w:t>Auto-Hall S.A.</w:t>
            </w:r>
          </w:p>
        </w:tc>
        <w:tc>
          <w:tcPr>
            <w:tcW w:w="4200" w:type="dxa"/>
            <w:vAlign w:val="bottom"/>
          </w:tcPr>
          <w:p>
            <w:pPr>
              <w:ind w:left="20"/>
              <w:spacing w:after="0"/>
              <w:rPr>
                <w:sz w:val="20"/>
                <w:szCs w:val="20"/>
                <w:color w:val="auto"/>
              </w:rPr>
            </w:pPr>
            <w:r>
              <w:rPr>
                <w:rFonts w:ascii="Arial" w:cs="Arial" w:eastAsia="Arial" w:hAnsi="Arial"/>
                <w:sz w:val="16"/>
                <w:szCs w:val="16"/>
                <w:color w:val="auto"/>
              </w:rPr>
              <w:t>Monaco</w:t>
            </w:r>
          </w:p>
        </w:tc>
      </w:tr>
      <w:tr>
        <w:trPr>
          <w:trHeight w:val="270"/>
        </w:trPr>
        <w:tc>
          <w:tcPr>
            <w:tcW w:w="6340" w:type="dxa"/>
            <w:vAlign w:val="bottom"/>
            <w:gridSpan w:val="2"/>
          </w:tcPr>
          <w:p>
            <w:pPr>
              <w:ind w:left="20"/>
              <w:spacing w:after="0"/>
              <w:rPr>
                <w:sz w:val="20"/>
                <w:szCs w:val="20"/>
                <w:color w:val="auto"/>
              </w:rPr>
            </w:pPr>
            <w:r>
              <w:rPr>
                <w:rFonts w:ascii="Arial" w:cs="Arial" w:eastAsia="Arial" w:hAnsi="Arial"/>
                <w:sz w:val="16"/>
                <w:szCs w:val="16"/>
                <w:color w:val="auto"/>
              </w:rPr>
              <w:t>Avis (US) Holdings BV</w:t>
            </w:r>
          </w:p>
        </w:tc>
        <w:tc>
          <w:tcPr>
            <w:tcW w:w="4200" w:type="dxa"/>
            <w:vAlign w:val="bottom"/>
          </w:tcPr>
          <w:p>
            <w:pPr>
              <w:ind w:left="20"/>
              <w:spacing w:after="0"/>
              <w:rPr>
                <w:sz w:val="20"/>
                <w:szCs w:val="20"/>
                <w:color w:val="auto"/>
              </w:rPr>
            </w:pPr>
            <w:r>
              <w:rPr>
                <w:rFonts w:ascii="Arial" w:cs="Arial" w:eastAsia="Arial" w:hAnsi="Arial"/>
                <w:sz w:val="16"/>
                <w:szCs w:val="16"/>
                <w:color w:val="auto"/>
              </w:rPr>
              <w:t>The Netherlands</w:t>
            </w:r>
          </w:p>
        </w:tc>
      </w:tr>
      <w:tr>
        <w:trPr>
          <w:trHeight w:val="270"/>
        </w:trPr>
        <w:tc>
          <w:tcPr>
            <w:tcW w:w="6340" w:type="dxa"/>
            <w:vAlign w:val="bottom"/>
            <w:gridSpan w:val="2"/>
          </w:tcPr>
          <w:p>
            <w:pPr>
              <w:ind w:left="20"/>
              <w:spacing w:after="0"/>
              <w:rPr>
                <w:sz w:val="20"/>
                <w:szCs w:val="20"/>
                <w:color w:val="auto"/>
              </w:rPr>
            </w:pPr>
            <w:r>
              <w:rPr>
                <w:rFonts w:ascii="Arial" w:cs="Arial" w:eastAsia="Arial" w:hAnsi="Arial"/>
                <w:sz w:val="16"/>
                <w:szCs w:val="16"/>
                <w:color w:val="auto"/>
              </w:rPr>
              <w:t>Avis Africa Limited</w:t>
            </w:r>
          </w:p>
        </w:tc>
        <w:tc>
          <w:tcPr>
            <w:tcW w:w="4200" w:type="dxa"/>
            <w:vAlign w:val="bottom"/>
          </w:tcPr>
          <w:p>
            <w:pPr>
              <w:ind w:left="20"/>
              <w:spacing w:after="0"/>
              <w:rPr>
                <w:sz w:val="20"/>
                <w:szCs w:val="20"/>
                <w:color w:val="auto"/>
              </w:rPr>
            </w:pPr>
            <w:r>
              <w:rPr>
                <w:rFonts w:ascii="Arial" w:cs="Arial" w:eastAsia="Arial" w:hAnsi="Arial"/>
                <w:sz w:val="16"/>
                <w:szCs w:val="16"/>
                <w:color w:val="auto"/>
              </w:rPr>
              <w:t>England and Wales</w:t>
            </w:r>
          </w:p>
        </w:tc>
      </w:tr>
      <w:tr>
        <w:trPr>
          <w:trHeight w:val="270"/>
        </w:trPr>
        <w:tc>
          <w:tcPr>
            <w:tcW w:w="6340" w:type="dxa"/>
            <w:vAlign w:val="bottom"/>
            <w:gridSpan w:val="2"/>
          </w:tcPr>
          <w:p>
            <w:pPr>
              <w:ind w:left="20"/>
              <w:spacing w:after="0"/>
              <w:rPr>
                <w:sz w:val="20"/>
                <w:szCs w:val="20"/>
                <w:color w:val="auto"/>
              </w:rPr>
            </w:pPr>
            <w:r>
              <w:rPr>
                <w:rFonts w:ascii="Arial" w:cs="Arial" w:eastAsia="Arial" w:hAnsi="Arial"/>
                <w:sz w:val="16"/>
                <w:szCs w:val="16"/>
                <w:color w:val="auto"/>
              </w:rPr>
              <w:t>Avis Alquile un Coche S.A.</w:t>
            </w:r>
          </w:p>
        </w:tc>
        <w:tc>
          <w:tcPr>
            <w:tcW w:w="4200" w:type="dxa"/>
            <w:vAlign w:val="bottom"/>
          </w:tcPr>
          <w:p>
            <w:pPr>
              <w:ind w:left="20"/>
              <w:spacing w:after="0"/>
              <w:rPr>
                <w:sz w:val="20"/>
                <w:szCs w:val="20"/>
                <w:color w:val="auto"/>
              </w:rPr>
            </w:pPr>
            <w:r>
              <w:rPr>
                <w:rFonts w:ascii="Arial" w:cs="Arial" w:eastAsia="Arial" w:hAnsi="Arial"/>
                <w:sz w:val="16"/>
                <w:szCs w:val="16"/>
                <w:color w:val="auto"/>
              </w:rPr>
              <w:t>Spain</w:t>
            </w:r>
          </w:p>
        </w:tc>
      </w:tr>
    </w:tbl>
    <w:p>
      <w:pPr>
        <w:sectPr>
          <w:pgSz w:w="11900" w:h="16838" w:orient="portrait"/>
          <w:cols w:equalWidth="0" w:num="1">
            <w:col w:w="10980"/>
          </w:cols>
          <w:pgMar w:left="680" w:top="580" w:right="239" w:bottom="1440" w:gutter="0" w:footer="0" w:header="0"/>
        </w:sectPr>
      </w:pPr>
    </w:p>
    <w:bookmarkStart w:id="136" w:name="page137"/>
    <w:bookmarkEnd w:id="136"/>
    <w:p>
      <w:pPr>
        <w:spacing w:after="0"/>
        <w:rPr>
          <w:sz w:val="20"/>
          <w:szCs w:val="20"/>
          <w:color w:val="auto"/>
        </w:rPr>
      </w:pPr>
      <w:r>
        <w:rPr>
          <w:rFonts w:ascii="Arial" w:cs="Arial" w:eastAsia="Arial" w:hAnsi="Arial"/>
          <w:sz w:val="16"/>
          <w:szCs w:val="16"/>
          <w:color w:val="auto"/>
        </w:rPr>
        <w:t>Avis Asia Limited</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Avis Assistance Limited</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Avis Autovermietung Beteiligungsgesellschaft mbH</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Avis Autovermietung Gesellschaft m.b.H.</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Avis Belgium SA</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Avis Budget Auto Service GmbH</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Avis Budget Autoverhuur BV</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Avis Budget Autovermietung AG</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Avis Budget Autovermietung GmbH &amp; Co KG</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Avis Budget Autovermietung Verwaltungsgesellschaft mbH</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Avis Budget Brasil S.A.</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Avis Budget Car Rental Canada ULC</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Avis Budget Car Rental LLC</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Avis Budget Contact Centers Inc.</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Avis Budget de Puerto Rico, Inc.</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Avis Budget Denmark A/S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Avis Budget EMEA Limited</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Avis Budget Europe International Reinsurance Limited</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Avis Budget Finance, Inc.</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Avis Budget Finance plc</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Avis Budget Group Business Support Centre Szolgaltato Kft</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AvisBudget Group Limited</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Avis Budget Group Pty Limited</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Avis Budget Holdings, LLC</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Avis Budget International Capital (Singapore) Pte. Ltd.</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Avis Budget International Financing S.á r.l.</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Avis Budget Italia S.p.A.</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Avis Budget Italia SpA Fleet Co S.A.P.A.</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Avis Budget Rental Car Funding (AESOP) LLC</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Avis Budget Services Limited</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Avis Budget UK Limited</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Avis Car Rental Group, LLC</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Avis Car Sales, LLC</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Avis Caribbean, Limited</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Avis Commercial Holdings Limited</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Avis Europe Group Holdings BV</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Avis Europe Holdings Limited</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Avis Europe Investment Holdings Limited</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Avis Europe Investments Limited</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Avis Europe and Middle East Limited</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Avis Europe Overseas Limited</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Avis Europe Risk Management Limited</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Avis Finance Company (No. 2) Limited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England and Wales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England and Wales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Germany</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Austria</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Belgium</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Germany</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The Netherlands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Switzerland</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Germany</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Germany</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Brazil</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Canada</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Canada</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Puerto Rico</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Denmark</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England and Wales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Isle of Man</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Jersey Channel Islands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Hungary</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New Zealand</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Australia</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Singapore</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Luxembourg</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Italy</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Italy</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England and Wales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England and Wales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England and Wales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The Netherlands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England and Wales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England and Wales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England and Wales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England and Wales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England and Wales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England and Wales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England and Wales</w:t>
      </w:r>
    </w:p>
    <w:p>
      <w:pPr>
        <w:sectPr>
          <w:pgSz w:w="11900" w:h="16838" w:orient="portrait"/>
          <w:cols w:equalWidth="0" w:num="2">
            <w:col w:w="5620" w:space="720"/>
            <w:col w:w="3419"/>
          </w:cols>
          <w:pgMar w:left="700" w:top="574" w:right="1440" w:bottom="1440" w:gutter="0" w:footer="0" w:header="0"/>
        </w:sectPr>
      </w:pPr>
    </w:p>
    <w:bookmarkStart w:id="137" w:name="page138"/>
    <w:bookmarkEnd w:id="137"/>
    <w:p>
      <w:pPr>
        <w:spacing w:after="0"/>
        <w:rPr>
          <w:sz w:val="20"/>
          <w:szCs w:val="20"/>
          <w:color w:val="auto"/>
        </w:rPr>
      </w:pPr>
      <w:r>
        <w:rPr>
          <w:rFonts w:ascii="Arial" w:cs="Arial" w:eastAsia="Arial" w:hAnsi="Arial"/>
          <w:sz w:val="16"/>
          <w:szCs w:val="16"/>
          <w:color w:val="auto"/>
        </w:rPr>
        <w:t>Avis Finance Company (No. 3) Limited</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Avis Finance Company Limited</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Avis Financement Vehicules SAS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Avis Group Holdings, LLC</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Avis India Investments Private Limited</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Avis International Holdings, LLC</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Avis International, Ltd.</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Avis Investment Services (No. 2)</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Avis Investment Services Limited</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Avis Leisure Services Limited</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Avis Licence Holdings Limited</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Avis Location de Voitures S.à r.l</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Avis Location de Voitures SAS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Avis Lube Inc.</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Avis Management Pty. Limited</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Avis Management Services Limited</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Avis New York General Partnership</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Avis Pension Trustees Limited</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Avis Portugal S.G.P.S., LDA</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Avis Rent A Car (Isle Of Man) Limited</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Avis Rent A Car Limited</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Avis Rent A Car Sdn. Bhd.</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Avis Rent A Car System, LLC</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Aviscar Inc.</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Bell’Aria S.p.A</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BGI Leasing Inc.</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BRC Automoveis de Aluguel Ltda.</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Budget Funding Corporation</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Budget International, Inc.</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Budget Rent A Car Australia Pty. Ltd.</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Budget Rent A Car Licensor, LLC</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Budget Rent A Car Limited</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Budget Rent a Car Operations Pty. Ltd.</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Budget Rent A Car System, Inc.</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Budget Truck Rental LLC</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Budgetcar Inc.</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Business Rent A Car GmbH</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Camfox Pty. Ltd.</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CCRG Servicios De Automoveis Ltda</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CD Intellectual Property Holdings, LLC</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Cendant Finance Holding Company LLC</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Centre Point Funding, LLC</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Centrus Limited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Jersey Channel Islands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England and Wales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France</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India</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England and Wales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England and Wales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Jersey Channel Islands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England and Wales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Luxembourg</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France</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Australia</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Sweden</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New York</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England and Wales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Portugal</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Isle of Man</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New Zealand</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Malaysia</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Canada</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Italy</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Brazil</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Australia</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New Zealand</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Australia</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Canada</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Austria</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Australia</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Brazil</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England and Wales</w:t>
      </w:r>
    </w:p>
    <w:p>
      <w:pPr>
        <w:sectPr>
          <w:pgSz w:w="11900" w:h="16838" w:orient="portrait"/>
          <w:cols w:equalWidth="0" w:num="2">
            <w:col w:w="5620" w:space="720"/>
            <w:col w:w="3419"/>
          </w:cols>
          <w:pgMar w:left="700" w:top="573" w:right="1440" w:bottom="1440" w:gutter="0" w:footer="0" w:header="0"/>
        </w:sectPr>
      </w:pPr>
    </w:p>
    <w:bookmarkStart w:id="138" w:name="page139"/>
    <w:bookmarkEnd w:id="138"/>
    <w:p>
      <w:pPr>
        <w:spacing w:after="0"/>
        <w:rPr>
          <w:sz w:val="20"/>
          <w:szCs w:val="20"/>
          <w:color w:val="auto"/>
        </w:rPr>
      </w:pPr>
      <w:r>
        <w:rPr>
          <w:rFonts w:ascii="Arial" w:cs="Arial" w:eastAsia="Arial" w:hAnsi="Arial"/>
          <w:sz w:val="16"/>
          <w:szCs w:val="16"/>
          <w:color w:val="auto"/>
        </w:rPr>
        <w:t>Chaconne Pty. Limited</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Cilva Holdings Limited</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Constellation Reinsurance Company Limited</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Dallas Automoveis e Acessorios Ltda.</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Dallas Rent A Car Ltda.</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DRC Automoveis de Aluguel Ltda.</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Europe Leisure Holdings NV</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Garage St Martin sas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Garep AG</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J&amp;W Harris Holdings Ltd.</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Jupol-Car Sp. z.o.o.</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Maggiore Asset Management S.r.l.</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Manor National Limited</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Mercury Car Rentals Private Limited</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Milton Location de Voitures SAS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Mobility, Inc.</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Motorent, Inc.</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National Car Rentals (Private) Limited</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Payhot Limited</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Payless Car Rental Canada Inc.</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Payless Car Rental, Inc.</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Payless Car Rental System, Inc.</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Payless Car Sales, Inc.</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Payless Parking, LLC</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PF Claims Management Ltd.</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PR Holdco, Inc.</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Prolita Limited</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PV Holding Corp.</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PVI Kraftfahrzeug Leasing GmbH</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Quartx Fleet Management Inc.</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RAC Norway AS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REZLink International, Inc.</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Runabout, LLC</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SCA sas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Servicios Avis S.A.</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Show Group Enterprises (NZ) Limited</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Show Group Enterprises Pty Limited</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Sovial Sociedade de Viaturas de Aluguer LDA</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Sovialma Sociedade de Viaturas de Aluguer da Madeira LDA</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Strongdraw Limited</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Sweden Rent A Car AB</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Upperextra Limited</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Virgin Islands Enterprises,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Australia</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England and Wales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Barbados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Brazil</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Brazil</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Brazil</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The Netherlands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France</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Switzerland</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Scotland</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Poland</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Italy</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England and Wales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India</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France</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Washington</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Tennessee</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Singapore</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England and Wales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Canada</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Nevada</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Florida</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Florida</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Florida</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England and Wales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Germany</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Norway</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Florida</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France</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Mexico</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New Zealand</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Australia</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Portugal</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Portugal</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England and Wales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Sweden</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England and Wales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Virgin Islands</w:t>
      </w:r>
    </w:p>
    <w:p>
      <w:pPr>
        <w:sectPr>
          <w:pgSz w:w="11900" w:h="16838" w:orient="portrait"/>
          <w:cols w:equalWidth="0" w:num="2">
            <w:col w:w="5620" w:space="720"/>
            <w:col w:w="3419"/>
          </w:cols>
          <w:pgMar w:left="700" w:top="573" w:right="1440" w:bottom="1440" w:gutter="0" w:footer="0" w:header="0"/>
        </w:sectPr>
      </w:pPr>
    </w:p>
    <w:bookmarkStart w:id="139" w:name="page140"/>
    <w:bookmarkEnd w:id="139"/>
    <w:p>
      <w:pPr>
        <w:spacing w:after="0"/>
        <w:rPr>
          <w:sz w:val="20"/>
          <w:szCs w:val="20"/>
          <w:color w:val="auto"/>
        </w:rPr>
      </w:pPr>
      <w:r>
        <w:rPr>
          <w:rFonts w:ascii="Arial" w:cs="Arial" w:eastAsia="Arial" w:hAnsi="Arial"/>
          <w:sz w:val="16"/>
          <w:szCs w:val="16"/>
          <w:color w:val="auto"/>
        </w:rPr>
        <w:t>W.T.H. Fleet Leasing Pty. Limited</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W.T.H. PTY. Limited</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We Try Harder Pty. Limited</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Wizard Co., Inc.</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Wizard Services, Inc.</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WTH Canada, Inc.</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WTH Car Rental, ULC</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WTH Funding Limited Partnership</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Yourway Rent A Car Pty Limited</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Zipcar Australia Pty Ltd</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Zipcar, Inc.</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Zipcar (UK) Limited</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Zipcar Austria GmbH</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Zipcar Belgium SPRL</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Zipcar Canada Inc.</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Zipcar Carsharing S.A.</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Zipcar France S.A.S.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Zipcar International Finance Company Limited</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Zipcar International Holdings Limited</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Zipcar Securities Corporation</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Zipcar Vehicle Financing, LLC</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Zodiac Autovermietung AG</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Zodiac Europe Finance Company Limited</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Zodiac Europe Investments Limited</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Zodiac Europe Limited</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Zodiac Italia S.p.A.</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Zodiac Rent A Car Limited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Australia</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Australia</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Australia</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Canada</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Canada</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Canada</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Australia</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Australia</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England and Wales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Austria</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Belgium</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Canada</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Spain</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France</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England and Wales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England and Wales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Massachusetts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Switzerland</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England and Wales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England and Wales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England and Wales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Italy</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England and Wales</w:t>
      </w:r>
    </w:p>
    <w:p>
      <w:pPr>
        <w:sectPr>
          <w:pgSz w:w="11900" w:h="16838" w:orient="portrait"/>
          <w:cols w:equalWidth="0" w:num="2">
            <w:col w:w="5620" w:space="720"/>
            <w:col w:w="3419"/>
          </w:cols>
          <w:pgMar w:left="700" w:top="574" w:right="1440" w:bottom="1440" w:gutter="0" w:footer="0" w:header="0"/>
        </w:sectPr>
      </w:pPr>
    </w:p>
    <w:bookmarkStart w:id="140" w:name="page141"/>
    <w:bookmarkEnd w:id="140"/>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63"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We consent to the incorporation by reference in Registration Statement Nos. 333-78475, 333-38638, 333-58670, 333-98933, 333-114744, 333-124925, 333-144143, 333-161418, 333-197770 and 333-212706 on Form S-8 of our reports dated February 22, 2018, relating to the consolidated financial statements and financial statement schedule of Avis Budget Group, Inc. and subsidiaries, and the effectiveness of Avis Budget Group, Inc. and subsidiaries’ internal control over financial reporting, appearing in this Annual Report on Form 10-K of Avis Budget Group, Inc. for the year ended December 31, 2017.</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22, 2018</w:t>
      </w:r>
    </w:p>
    <w:p>
      <w:pPr>
        <w:sectPr>
          <w:pgSz w:w="11900" w:h="16838" w:orient="portrait"/>
          <w:cols w:equalWidth="0" w:num="1">
            <w:col w:w="11420"/>
          </w:cols>
          <w:pgMar w:left="240" w:top="576" w:right="239" w:bottom="1440" w:gutter="0" w:footer="0" w:header="0"/>
        </w:sectPr>
      </w:pPr>
    </w:p>
    <w:bookmarkStart w:id="141" w:name="page142"/>
    <w:bookmarkEnd w:id="141"/>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CERTIFICATION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I, Larry D. De Shon, certify that:</w:t>
      </w:r>
    </w:p>
    <w:p>
      <w:pPr>
        <w:spacing w:after="0" w:line="171" w:lineRule="exact"/>
        <w:rPr>
          <w:sz w:val="20"/>
          <w:szCs w:val="20"/>
          <w:color w:val="auto"/>
        </w:rPr>
      </w:pPr>
    </w:p>
    <w:p>
      <w:pPr>
        <w:ind w:left="660" w:hanging="328"/>
        <w:spacing w:after="0"/>
        <w:tabs>
          <w:tab w:leader="none" w:pos="6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Avis Budget Group, Inc.;</w:t>
      </w:r>
    </w:p>
    <w:p>
      <w:pPr>
        <w:spacing w:after="0" w:line="171" w:lineRule="exact"/>
        <w:rPr>
          <w:rFonts w:ascii="Arial" w:cs="Arial" w:eastAsia="Arial" w:hAnsi="Arial"/>
          <w:sz w:val="18"/>
          <w:szCs w:val="18"/>
          <w:color w:val="auto"/>
        </w:rPr>
      </w:pPr>
    </w:p>
    <w:p>
      <w:pPr>
        <w:ind w:left="660" w:right="120" w:hanging="328"/>
        <w:spacing w:after="0" w:line="256" w:lineRule="auto"/>
        <w:tabs>
          <w:tab w:leader="none" w:pos="6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7" w:lineRule="exact"/>
        <w:rPr>
          <w:rFonts w:ascii="Arial" w:cs="Arial" w:eastAsia="Arial" w:hAnsi="Arial"/>
          <w:sz w:val="18"/>
          <w:szCs w:val="18"/>
          <w:color w:val="auto"/>
        </w:rPr>
      </w:pPr>
    </w:p>
    <w:p>
      <w:pPr>
        <w:ind w:left="660" w:right="20" w:hanging="328"/>
        <w:spacing w:after="0" w:line="291" w:lineRule="auto"/>
        <w:tabs>
          <w:tab w:leader="none" w:pos="660" w:val="left"/>
        </w:tabs>
        <w:numPr>
          <w:ilvl w:val="0"/>
          <w:numId w:val="11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0" w:lineRule="exact"/>
        <w:rPr>
          <w:rFonts w:ascii="Arial" w:cs="Arial" w:eastAsia="Arial" w:hAnsi="Arial"/>
          <w:sz w:val="17"/>
          <w:szCs w:val="17"/>
          <w:color w:val="auto"/>
        </w:rPr>
      </w:pPr>
    </w:p>
    <w:p>
      <w:pPr>
        <w:ind w:left="660" w:right="100" w:hanging="328"/>
        <w:spacing w:after="0" w:line="256" w:lineRule="auto"/>
        <w:tabs>
          <w:tab w:leader="none" w:pos="6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7" w:lineRule="exact"/>
        <w:rPr>
          <w:rFonts w:ascii="Arial" w:cs="Arial" w:eastAsia="Arial" w:hAnsi="Arial"/>
          <w:sz w:val="18"/>
          <w:szCs w:val="18"/>
          <w:color w:val="auto"/>
        </w:rPr>
      </w:pPr>
    </w:p>
    <w:p>
      <w:pPr>
        <w:ind w:left="1300" w:right="180" w:hanging="320"/>
        <w:spacing w:after="0" w:line="256" w:lineRule="auto"/>
        <w:tabs>
          <w:tab w:leader="none" w:pos="1300" w:val="left"/>
        </w:tabs>
        <w:numPr>
          <w:ilvl w:val="1"/>
          <w:numId w:val="1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7" w:lineRule="exact"/>
        <w:rPr>
          <w:rFonts w:ascii="Arial" w:cs="Arial" w:eastAsia="Arial" w:hAnsi="Arial"/>
          <w:sz w:val="18"/>
          <w:szCs w:val="18"/>
          <w:color w:val="auto"/>
        </w:rPr>
      </w:pPr>
    </w:p>
    <w:p>
      <w:pPr>
        <w:ind w:left="1300" w:right="160" w:hanging="320"/>
        <w:spacing w:after="0" w:line="256" w:lineRule="auto"/>
        <w:tabs>
          <w:tab w:leader="none" w:pos="1300" w:val="left"/>
        </w:tabs>
        <w:numPr>
          <w:ilvl w:val="1"/>
          <w:numId w:val="1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7" w:lineRule="exact"/>
        <w:rPr>
          <w:rFonts w:ascii="Arial" w:cs="Arial" w:eastAsia="Arial" w:hAnsi="Arial"/>
          <w:sz w:val="18"/>
          <w:szCs w:val="18"/>
          <w:color w:val="auto"/>
        </w:rPr>
      </w:pPr>
    </w:p>
    <w:p>
      <w:pPr>
        <w:jc w:val="both"/>
        <w:ind w:left="1300" w:right="100" w:hanging="320"/>
        <w:spacing w:after="0" w:line="256" w:lineRule="auto"/>
        <w:tabs>
          <w:tab w:leader="none" w:pos="1300" w:val="left"/>
        </w:tabs>
        <w:numPr>
          <w:ilvl w:val="1"/>
          <w:numId w:val="11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7" w:lineRule="exact"/>
        <w:rPr>
          <w:rFonts w:ascii="Arial" w:cs="Arial" w:eastAsia="Arial" w:hAnsi="Arial"/>
          <w:sz w:val="18"/>
          <w:szCs w:val="18"/>
          <w:color w:val="auto"/>
        </w:rPr>
      </w:pPr>
    </w:p>
    <w:p>
      <w:pPr>
        <w:ind w:left="1300" w:right="240" w:hanging="320"/>
        <w:spacing w:after="0" w:line="256" w:lineRule="auto"/>
        <w:tabs>
          <w:tab w:leader="none" w:pos="1300" w:val="left"/>
        </w:tabs>
        <w:numPr>
          <w:ilvl w:val="1"/>
          <w:numId w:val="1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7" w:lineRule="exact"/>
        <w:rPr>
          <w:rFonts w:ascii="Arial" w:cs="Arial" w:eastAsia="Arial" w:hAnsi="Arial"/>
          <w:sz w:val="18"/>
          <w:szCs w:val="18"/>
          <w:color w:val="auto"/>
        </w:rPr>
      </w:pPr>
    </w:p>
    <w:p>
      <w:pPr>
        <w:ind w:left="660" w:right="300" w:hanging="328"/>
        <w:spacing w:after="0" w:line="256" w:lineRule="auto"/>
        <w:tabs>
          <w:tab w:leader="none" w:pos="6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rFonts w:ascii="Arial" w:cs="Arial" w:eastAsia="Arial" w:hAnsi="Arial"/>
          <w:sz w:val="18"/>
          <w:szCs w:val="18"/>
          <w:color w:val="auto"/>
        </w:rPr>
      </w:pPr>
    </w:p>
    <w:p>
      <w:pPr>
        <w:ind w:left="1300" w:right="100" w:hanging="320"/>
        <w:spacing w:after="0" w:line="256" w:lineRule="auto"/>
        <w:tabs>
          <w:tab w:leader="none" w:pos="1300" w:val="left"/>
        </w:tabs>
        <w:numPr>
          <w:ilvl w:val="1"/>
          <w:numId w:val="11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7" w:lineRule="exact"/>
        <w:rPr>
          <w:rFonts w:ascii="Arial" w:cs="Arial" w:eastAsia="Arial" w:hAnsi="Arial"/>
          <w:sz w:val="18"/>
          <w:szCs w:val="18"/>
          <w:color w:val="auto"/>
        </w:rPr>
      </w:pPr>
    </w:p>
    <w:p>
      <w:pPr>
        <w:ind w:left="1300" w:right="20" w:hanging="320"/>
        <w:spacing w:after="0" w:line="262" w:lineRule="auto"/>
        <w:tabs>
          <w:tab w:leader="none" w:pos="1300" w:val="left"/>
        </w:tabs>
        <w:numPr>
          <w:ilvl w:val="1"/>
          <w:numId w:val="1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22, 2018</w:t>
      </w:r>
    </w:p>
    <w:p>
      <w:pPr>
        <w:spacing w:after="0" w:line="387"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/s/ Larry D. De Shon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2818130</wp:posOffset>
            </wp:positionH>
            <wp:positionV relativeFrom="paragraph">
              <wp:posOffset>23495</wp:posOffset>
            </wp:positionV>
            <wp:extent cx="159512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257">
                      <a:extLst>
                        <a:ext uri="{28A0092B-C50C-407E-A947-70E740481C1C}"/>
                      </a:extLst>
                    </a:blip>
                    <a:srcRect/>
                    <a:stretch>
                      <a:fillRect/>
                    </a:stretch>
                  </pic:blipFill>
                  <pic:spPr bwMode="auto">
                    <a:xfrm>
                      <a:off x="0" y="0"/>
                      <a:ext cx="1595120" cy="8890"/>
                    </a:xfrm>
                    <a:prstGeom prst="rect">
                      <a:avLst/>
                    </a:prstGeom>
                    <a:noFill/>
                  </pic:spPr>
                </pic:pic>
              </a:graphicData>
            </a:graphic>
          </wp:anchor>
        </w:drawing>
      </w:r>
    </w:p>
    <w:p>
      <w:pPr>
        <w:spacing w:after="0" w:line="52"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President and Chief Executive</w:t>
      </w:r>
    </w:p>
    <w:p>
      <w:pPr>
        <w:jc w:val="center"/>
        <w:ind w:right="40"/>
        <w:spacing w:after="0"/>
        <w:rPr>
          <w:sz w:val="20"/>
          <w:szCs w:val="20"/>
          <w:color w:val="auto"/>
        </w:rPr>
      </w:pPr>
      <w:r>
        <w:rPr>
          <w:rFonts w:ascii="Arial" w:cs="Arial" w:eastAsia="Arial" w:hAnsi="Arial"/>
          <w:sz w:val="18"/>
          <w:szCs w:val="18"/>
          <w:color w:val="auto"/>
        </w:rPr>
        <w:t>Officer</w:t>
      </w:r>
    </w:p>
    <w:p>
      <w:pPr>
        <w:sectPr>
          <w:pgSz w:w="11900" w:h="16838" w:orient="portrait"/>
          <w:cols w:equalWidth="0" w:num="1">
            <w:col w:w="11420"/>
          </w:cols>
          <w:pgMar w:left="240" w:top="576" w:right="239" w:bottom="1440" w:gutter="0" w:footer="0" w:header="0"/>
        </w:sectPr>
      </w:pPr>
    </w:p>
    <w:bookmarkStart w:id="142" w:name="page143"/>
    <w:bookmarkEnd w:id="142"/>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CERTIFICATION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I, Martyn Smith, certify that:</w:t>
      </w:r>
    </w:p>
    <w:p>
      <w:pPr>
        <w:spacing w:after="0" w:line="171" w:lineRule="exact"/>
        <w:rPr>
          <w:sz w:val="20"/>
          <w:szCs w:val="20"/>
          <w:color w:val="auto"/>
        </w:rPr>
      </w:pPr>
    </w:p>
    <w:p>
      <w:pPr>
        <w:ind w:left="660" w:hanging="328"/>
        <w:spacing w:after="0"/>
        <w:tabs>
          <w:tab w:leader="none" w:pos="66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Avis Budget Group, Inc.;</w:t>
      </w:r>
    </w:p>
    <w:p>
      <w:pPr>
        <w:spacing w:after="0" w:line="171" w:lineRule="exact"/>
        <w:rPr>
          <w:rFonts w:ascii="Arial" w:cs="Arial" w:eastAsia="Arial" w:hAnsi="Arial"/>
          <w:sz w:val="18"/>
          <w:szCs w:val="18"/>
          <w:color w:val="auto"/>
        </w:rPr>
      </w:pPr>
    </w:p>
    <w:p>
      <w:pPr>
        <w:ind w:left="660" w:right="120" w:hanging="328"/>
        <w:spacing w:after="0" w:line="256" w:lineRule="auto"/>
        <w:tabs>
          <w:tab w:leader="none" w:pos="66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7" w:lineRule="exact"/>
        <w:rPr>
          <w:rFonts w:ascii="Arial" w:cs="Arial" w:eastAsia="Arial" w:hAnsi="Arial"/>
          <w:sz w:val="18"/>
          <w:szCs w:val="18"/>
          <w:color w:val="auto"/>
        </w:rPr>
      </w:pPr>
    </w:p>
    <w:p>
      <w:pPr>
        <w:ind w:left="660" w:right="20" w:hanging="328"/>
        <w:spacing w:after="0" w:line="291" w:lineRule="auto"/>
        <w:tabs>
          <w:tab w:leader="none" w:pos="660" w:val="left"/>
        </w:tabs>
        <w:numPr>
          <w:ilvl w:val="0"/>
          <w:numId w:val="12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0" w:lineRule="exact"/>
        <w:rPr>
          <w:rFonts w:ascii="Arial" w:cs="Arial" w:eastAsia="Arial" w:hAnsi="Arial"/>
          <w:sz w:val="17"/>
          <w:szCs w:val="17"/>
          <w:color w:val="auto"/>
        </w:rPr>
      </w:pPr>
    </w:p>
    <w:p>
      <w:pPr>
        <w:ind w:left="660" w:right="100" w:hanging="328"/>
        <w:spacing w:after="0" w:line="256" w:lineRule="auto"/>
        <w:tabs>
          <w:tab w:leader="none" w:pos="66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7" w:lineRule="exact"/>
        <w:rPr>
          <w:rFonts w:ascii="Arial" w:cs="Arial" w:eastAsia="Arial" w:hAnsi="Arial"/>
          <w:sz w:val="18"/>
          <w:szCs w:val="18"/>
          <w:color w:val="auto"/>
        </w:rPr>
      </w:pPr>
    </w:p>
    <w:p>
      <w:pPr>
        <w:ind w:left="1300" w:right="180" w:hanging="320"/>
        <w:spacing w:after="0" w:line="256" w:lineRule="auto"/>
        <w:tabs>
          <w:tab w:leader="none" w:pos="1300" w:val="left"/>
        </w:tabs>
        <w:numPr>
          <w:ilvl w:val="1"/>
          <w:numId w:val="1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1" w:lineRule="exact"/>
        <w:rPr>
          <w:rFonts w:ascii="Arial" w:cs="Arial" w:eastAsia="Arial" w:hAnsi="Arial"/>
          <w:sz w:val="18"/>
          <w:szCs w:val="18"/>
          <w:color w:val="auto"/>
        </w:rPr>
      </w:pPr>
    </w:p>
    <w:p>
      <w:pPr>
        <w:ind w:left="1300" w:right="160" w:hanging="320"/>
        <w:spacing w:after="0" w:line="256" w:lineRule="auto"/>
        <w:tabs>
          <w:tab w:leader="none" w:pos="1300" w:val="left"/>
        </w:tabs>
        <w:numPr>
          <w:ilvl w:val="1"/>
          <w:numId w:val="1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1" w:lineRule="exact"/>
        <w:rPr>
          <w:rFonts w:ascii="Arial" w:cs="Arial" w:eastAsia="Arial" w:hAnsi="Arial"/>
          <w:sz w:val="18"/>
          <w:szCs w:val="18"/>
          <w:color w:val="auto"/>
        </w:rPr>
      </w:pPr>
    </w:p>
    <w:p>
      <w:pPr>
        <w:jc w:val="both"/>
        <w:ind w:left="1300" w:right="100" w:hanging="320"/>
        <w:spacing w:after="0" w:line="256" w:lineRule="auto"/>
        <w:tabs>
          <w:tab w:leader="none" w:pos="1300" w:val="left"/>
        </w:tabs>
        <w:numPr>
          <w:ilvl w:val="1"/>
          <w:numId w:val="12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1" w:lineRule="exact"/>
        <w:rPr>
          <w:rFonts w:ascii="Arial" w:cs="Arial" w:eastAsia="Arial" w:hAnsi="Arial"/>
          <w:sz w:val="18"/>
          <w:szCs w:val="18"/>
          <w:color w:val="auto"/>
        </w:rPr>
      </w:pPr>
    </w:p>
    <w:p>
      <w:pPr>
        <w:ind w:left="1300" w:right="240" w:hanging="320"/>
        <w:spacing w:after="0" w:line="256" w:lineRule="auto"/>
        <w:tabs>
          <w:tab w:leader="none" w:pos="1300" w:val="left"/>
        </w:tabs>
        <w:numPr>
          <w:ilvl w:val="1"/>
          <w:numId w:val="1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1" w:lineRule="exact"/>
        <w:rPr>
          <w:rFonts w:ascii="Arial" w:cs="Arial" w:eastAsia="Arial" w:hAnsi="Arial"/>
          <w:sz w:val="18"/>
          <w:szCs w:val="18"/>
          <w:color w:val="auto"/>
        </w:rPr>
      </w:pPr>
    </w:p>
    <w:p>
      <w:pPr>
        <w:ind w:left="660" w:right="300" w:hanging="328"/>
        <w:spacing w:after="0" w:line="256" w:lineRule="auto"/>
        <w:tabs>
          <w:tab w:leader="none" w:pos="66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1" w:lineRule="exact"/>
        <w:rPr>
          <w:rFonts w:ascii="Arial" w:cs="Arial" w:eastAsia="Arial" w:hAnsi="Arial"/>
          <w:sz w:val="18"/>
          <w:szCs w:val="18"/>
          <w:color w:val="auto"/>
        </w:rPr>
      </w:pPr>
    </w:p>
    <w:p>
      <w:pPr>
        <w:ind w:left="1300" w:right="100" w:hanging="320"/>
        <w:spacing w:after="0" w:line="256" w:lineRule="auto"/>
        <w:tabs>
          <w:tab w:leader="none" w:pos="1300" w:val="left"/>
        </w:tabs>
        <w:numPr>
          <w:ilvl w:val="1"/>
          <w:numId w:val="12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1" w:lineRule="exact"/>
        <w:rPr>
          <w:rFonts w:ascii="Arial" w:cs="Arial" w:eastAsia="Arial" w:hAnsi="Arial"/>
          <w:sz w:val="18"/>
          <w:szCs w:val="18"/>
          <w:color w:val="auto"/>
        </w:rPr>
      </w:pPr>
    </w:p>
    <w:p>
      <w:pPr>
        <w:ind w:left="1300" w:right="20" w:hanging="320"/>
        <w:spacing w:after="0" w:line="262" w:lineRule="auto"/>
        <w:tabs>
          <w:tab w:leader="none" w:pos="1300" w:val="left"/>
        </w:tabs>
        <w:numPr>
          <w:ilvl w:val="1"/>
          <w:numId w:val="1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22, 2018</w:t>
      </w:r>
    </w:p>
    <w:p>
      <w:pPr>
        <w:spacing w:after="0" w:line="387"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/s/ Martyn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2312035</wp:posOffset>
            </wp:positionH>
            <wp:positionV relativeFrom="paragraph">
              <wp:posOffset>23495</wp:posOffset>
            </wp:positionV>
            <wp:extent cx="251269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258">
                      <a:extLst>
                        <a:ext uri="{28A0092B-C50C-407E-A947-70E740481C1C}"/>
                      </a:extLst>
                    </a:blip>
                    <a:srcRect/>
                    <a:stretch>
                      <a:fillRect/>
                    </a:stretch>
                  </pic:blipFill>
                  <pic:spPr bwMode="auto">
                    <a:xfrm>
                      <a:off x="0" y="0"/>
                      <a:ext cx="2512695" cy="8890"/>
                    </a:xfrm>
                    <a:prstGeom prst="rect">
                      <a:avLst/>
                    </a:prstGeom>
                    <a:noFill/>
                  </pic:spPr>
                </pic:pic>
              </a:graphicData>
            </a:graphic>
          </wp:anchor>
        </w:drawing>
      </w:r>
    </w:p>
    <w:p>
      <w:pPr>
        <w:spacing w:after="0" w:line="57"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Interim Chief Financial Officer</w:t>
      </w:r>
    </w:p>
    <w:p>
      <w:pPr>
        <w:sectPr>
          <w:pgSz w:w="11900" w:h="16838" w:orient="portrait"/>
          <w:cols w:equalWidth="0" w:num="1">
            <w:col w:w="11420"/>
          </w:cols>
          <w:pgMar w:left="240" w:top="576" w:right="239" w:bottom="1440" w:gutter="0" w:footer="0" w:header="0"/>
        </w:sectPr>
      </w:pPr>
    </w:p>
    <w:bookmarkStart w:id="143" w:name="page144"/>
    <w:bookmarkEnd w:id="143"/>
    <w:p>
      <w:pPr>
        <w:jc w:val="right"/>
        <w:spacing w:after="0"/>
        <w:rPr>
          <w:sz w:val="20"/>
          <w:szCs w:val="20"/>
          <w:color w:val="auto"/>
        </w:rPr>
      </w:pPr>
      <w:r>
        <w:rPr>
          <w:rFonts w:ascii="Arial" w:cs="Arial" w:eastAsia="Arial" w:hAnsi="Arial"/>
          <w:sz w:val="18"/>
          <w:szCs w:val="18"/>
          <w:b w:val="1"/>
          <w:bCs w:val="1"/>
          <w:color w:val="auto"/>
        </w:rPr>
        <w:t>Exhibit 32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71"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In connection with the Annual Report of Avis Budget Group, Inc. (the “Company”) on Form 10-K for the period ended December 31, 2017, as filed with the Securities and Exchange Commission on the date hereof (the “Report”), Larry D. De Shon, as Chief Executive Officer of the Company, and Martyn Smith, as Interim Chief Financial Officer of the Company, each hereby certifies, pursuant to 18 U.S.C. Section 1350, as adopted pursuant to Section 906 of the Sarbanes-Oxley Act of 2002, that, to the best of his knowledge:</w:t>
      </w:r>
    </w:p>
    <w:p>
      <w:pPr>
        <w:spacing w:after="0" w:line="204" w:lineRule="exact"/>
        <w:rPr>
          <w:sz w:val="20"/>
          <w:szCs w:val="20"/>
          <w:color w:val="auto"/>
        </w:rPr>
      </w:pPr>
    </w:p>
    <w:p>
      <w:pPr>
        <w:ind w:left="640" w:hanging="321"/>
        <w:spacing w:after="0"/>
        <w:tabs>
          <w:tab w:leader="none" w:pos="64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 w:lineRule="exact"/>
        <w:rPr>
          <w:rFonts w:ascii="Arial" w:cs="Arial" w:eastAsia="Arial" w:hAnsi="Arial"/>
          <w:sz w:val="18"/>
          <w:szCs w:val="18"/>
          <w:color w:val="auto"/>
        </w:rPr>
      </w:pPr>
    </w:p>
    <w:p>
      <w:pPr>
        <w:ind w:left="640" w:right="200" w:hanging="321"/>
        <w:spacing w:after="0" w:line="262" w:lineRule="auto"/>
        <w:tabs>
          <w:tab w:leader="none" w:pos="64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42" w:lineRule="exact"/>
        <w:rPr>
          <w:sz w:val="20"/>
          <w:szCs w:val="20"/>
          <w:color w:val="auto"/>
        </w:rPr>
      </w:pPr>
    </w:p>
    <w:p>
      <w:pPr>
        <w:ind w:right="320"/>
        <w:spacing w:after="0" w:line="256" w:lineRule="auto"/>
        <w:rPr>
          <w:sz w:val="20"/>
          <w:szCs w:val="20"/>
          <w:color w:val="auto"/>
        </w:rPr>
      </w:pPr>
      <w:r>
        <w:rPr>
          <w:rFonts w:ascii="Arial" w:cs="Arial" w:eastAsia="Arial" w:hAnsi="Arial"/>
          <w:sz w:val="18"/>
          <w:szCs w:val="18"/>
          <w:color w:val="auto"/>
        </w:rPr>
        <w:t>This certification accompanies the Report pursuant to Section 906 of the Sarbanes-Oxley Act of 2002 and shall not, except to the extent required by the Sarbanes-Oxley Act of 2002, be deemed filed by the Company for purposes of Section 18 of the Securities Exchange Act of 1934, as amended.</w:t>
      </w:r>
    </w:p>
    <w:p>
      <w:pPr>
        <w:spacing w:after="0" w:line="364"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LARRY D. DE SHON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47015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259">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Larry D. De Shon</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President and Chief Executive Officer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February 22, 2018</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MARTYN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47015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260">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Martyn Smith</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Interim Chief Financial Officer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February 22, 2018</w:t>
      </w:r>
    </w:p>
    <w:sectPr>
      <w:pgSz w:w="11900" w:h="16838" w:orient="portrait"/>
      <w:cols w:equalWidth="0" w:num="1">
        <w:col w:w="11420"/>
      </w:cols>
      <w:pgMar w:left="240" w:top="57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233C99"/>
    <w:multiLevelType w:val="hybridMultilevel"/>
    <w:lvl w:ilvl="0">
      <w:lvlJc w:val="left"/>
      <w:lvlText w:val="%1"/>
      <w:numFmt w:val="decimal"/>
      <w:start w:val="12"/>
    </w:lvl>
  </w:abstractNum>
  <w:abstractNum w:abstractNumId="1">
    <w:nsid w:val="3F6AB60F"/>
    <w:multiLevelType w:val="hybridMultilevel"/>
    <w:lvl w:ilvl="0">
      <w:lvlJc w:val="left"/>
      <w:lvlText w:val="•"/>
      <w:numFmt w:val="bullet"/>
      <w:start w:val="1"/>
    </w:lvl>
  </w:abstractNum>
  <w:abstractNum w:abstractNumId="2">
    <w:nsid w:val="61574095"/>
    <w:multiLevelType w:val="hybridMultilevel"/>
    <w:lvl w:ilvl="0">
      <w:lvlJc w:val="left"/>
      <w:lvlText w:val="•"/>
      <w:numFmt w:val="bullet"/>
      <w:start w:val="1"/>
    </w:lvl>
  </w:abstractNum>
  <w:abstractNum w:abstractNumId="3">
    <w:nsid w:val="7E0C57B1"/>
    <w:multiLevelType w:val="hybridMultilevel"/>
    <w:lvl w:ilvl="0">
      <w:lvlJc w:val="left"/>
      <w:lvlText w:val="•"/>
      <w:numFmt w:val="bullet"/>
      <w:start w:val="1"/>
    </w:lvl>
  </w:abstractNum>
  <w:abstractNum w:abstractNumId="4">
    <w:nsid w:val="77AE35EB"/>
    <w:multiLevelType w:val="hybridMultilevel"/>
    <w:lvl w:ilvl="0">
      <w:lvlJc w:val="left"/>
      <w:lvlText w:val="•"/>
      <w:numFmt w:val="bullet"/>
      <w:start w:val="1"/>
    </w:lvl>
  </w:abstractNum>
  <w:abstractNum w:abstractNumId="5">
    <w:nsid w:val="579BE4F1"/>
    <w:multiLevelType w:val="hybridMultilevel"/>
    <w:lvl w:ilvl="0">
      <w:lvlJc w:val="left"/>
      <w:lvlText w:val="•"/>
      <w:numFmt w:val="bullet"/>
      <w:start w:val="1"/>
    </w:lvl>
  </w:abstractNum>
  <w:abstractNum w:abstractNumId="6">
    <w:nsid w:val="310C50B3"/>
    <w:multiLevelType w:val="hybridMultilevel"/>
    <w:lvl w:ilvl="0">
      <w:lvlJc w:val="left"/>
      <w:lvlText w:val="•"/>
      <w:numFmt w:val="bullet"/>
      <w:start w:val="1"/>
    </w:lvl>
  </w:abstractNum>
  <w:abstractNum w:abstractNumId="7">
    <w:nsid w:val="5FF87E05"/>
    <w:multiLevelType w:val="hybridMultilevel"/>
    <w:lvl w:ilvl="0">
      <w:lvlJc w:val="left"/>
      <w:lvlText w:val="◦"/>
      <w:numFmt w:val="bullet"/>
      <w:start w:val="1"/>
    </w:lvl>
  </w:abstractNum>
  <w:abstractNum w:abstractNumId="8">
    <w:nsid w:val="2F305DEF"/>
    <w:multiLevelType w:val="hybridMultilevel"/>
    <w:lvl w:ilvl="0">
      <w:lvlJc w:val="left"/>
      <w:lvlText w:val="•"/>
      <w:numFmt w:val="bullet"/>
      <w:start w:val="1"/>
    </w:lvl>
  </w:abstractNum>
  <w:abstractNum w:abstractNumId="9">
    <w:nsid w:val="25A70BF7"/>
    <w:multiLevelType w:val="hybridMultilevel"/>
    <w:lvl w:ilvl="0">
      <w:lvlJc w:val="left"/>
      <w:lvlText w:val="•"/>
      <w:numFmt w:val="bullet"/>
      <w:start w:val="1"/>
    </w:lvl>
  </w:abstractNum>
  <w:abstractNum w:abstractNumId="10">
    <w:nsid w:val="1DBABF00"/>
    <w:multiLevelType w:val="hybridMultilevel"/>
    <w:lvl w:ilvl="0">
      <w:lvlJc w:val="left"/>
      <w:lvlText w:val="•"/>
      <w:numFmt w:val="bullet"/>
      <w:start w:val="1"/>
    </w:lvl>
  </w:abstractNum>
  <w:abstractNum w:abstractNumId="11">
    <w:nsid w:val="4AD084E9"/>
    <w:multiLevelType w:val="hybridMultilevel"/>
    <w:lvl w:ilvl="0">
      <w:lvlJc w:val="left"/>
      <w:lvlText w:val="•"/>
      <w:numFmt w:val="bullet"/>
      <w:start w:val="1"/>
    </w:lvl>
  </w:abstractNum>
  <w:abstractNum w:abstractNumId="12">
    <w:nsid w:val="1F48EAA1"/>
    <w:multiLevelType w:val="hybridMultilevel"/>
    <w:lvl w:ilvl="0">
      <w:lvlJc w:val="left"/>
      <w:lvlText w:val="•"/>
      <w:numFmt w:val="bullet"/>
      <w:start w:val="1"/>
    </w:lvl>
  </w:abstractNum>
  <w:abstractNum w:abstractNumId="13">
    <w:nsid w:val="1381823A"/>
    <w:multiLevelType w:val="hybridMultilevel"/>
    <w:lvl w:ilvl="0">
      <w:lvlJc w:val="left"/>
      <w:lvlText w:val="•"/>
      <w:numFmt w:val="bullet"/>
      <w:start w:val="1"/>
    </w:lvl>
  </w:abstractNum>
  <w:abstractNum w:abstractNumId="14">
    <w:nsid w:val="5DB70AE5"/>
    <w:multiLevelType w:val="hybridMultilevel"/>
    <w:lvl w:ilvl="0">
      <w:lvlJc w:val="left"/>
      <w:lvlText w:val="•"/>
      <w:numFmt w:val="bullet"/>
      <w:start w:val="1"/>
    </w:lvl>
  </w:abstractNum>
  <w:abstractNum w:abstractNumId="15">
    <w:nsid w:val="100F8FCA"/>
    <w:multiLevelType w:val="hybridMultilevel"/>
    <w:lvl w:ilvl="0">
      <w:lvlJc w:val="left"/>
      <w:lvlText w:val="•"/>
      <w:numFmt w:val="bullet"/>
      <w:start w:val="1"/>
    </w:lvl>
  </w:abstractNum>
  <w:abstractNum w:abstractNumId="16">
    <w:nsid w:val="6590700B"/>
    <w:multiLevelType w:val="hybridMultilevel"/>
    <w:lvl w:ilvl="0">
      <w:lvlJc w:val="left"/>
      <w:lvlText w:val="•"/>
      <w:numFmt w:val="bullet"/>
      <w:start w:val="1"/>
    </w:lvl>
  </w:abstractNum>
  <w:abstractNum w:abstractNumId="17">
    <w:nsid w:val="15014ACB"/>
    <w:multiLevelType w:val="hybridMultilevel"/>
    <w:lvl w:ilvl="0">
      <w:lvlJc w:val="left"/>
      <w:lvlText w:val="•"/>
      <w:numFmt w:val="bullet"/>
      <w:start w:val="1"/>
    </w:lvl>
  </w:abstractNum>
  <w:abstractNum w:abstractNumId="18">
    <w:nsid w:val="5F5E7FD0"/>
    <w:multiLevelType w:val="hybridMultilevel"/>
    <w:lvl w:ilvl="0">
      <w:lvlJc w:val="left"/>
      <w:lvlText w:val="•"/>
      <w:numFmt w:val="bullet"/>
      <w:start w:val="1"/>
    </w:lvl>
  </w:abstractNum>
  <w:abstractNum w:abstractNumId="19">
    <w:nsid w:val="98A3148"/>
    <w:multiLevelType w:val="hybridMultilevel"/>
    <w:lvl w:ilvl="0">
      <w:lvlJc w:val="left"/>
      <w:lvlText w:val="•"/>
      <w:numFmt w:val="bullet"/>
      <w:start w:val="1"/>
    </w:lvl>
  </w:abstractNum>
  <w:abstractNum w:abstractNumId="20">
    <w:nsid w:val="799D0247"/>
    <w:multiLevelType w:val="hybridMultilevel"/>
    <w:lvl w:ilvl="0">
      <w:lvlJc w:val="left"/>
      <w:lvlText w:val="•"/>
      <w:numFmt w:val="bullet"/>
      <w:start w:val="1"/>
    </w:lvl>
  </w:abstractNum>
  <w:abstractNum w:abstractNumId="21">
    <w:nsid w:val="6B94764"/>
    <w:multiLevelType w:val="hybridMultilevel"/>
    <w:lvl w:ilvl="0">
      <w:lvlJc w:val="left"/>
      <w:lvlText w:val="•"/>
      <w:numFmt w:val="bullet"/>
      <w:start w:val="1"/>
    </w:lvl>
  </w:abstractNum>
  <w:abstractNum w:abstractNumId="22">
    <w:nsid w:val="42C296BD"/>
    <w:multiLevelType w:val="hybridMultilevel"/>
    <w:lvl w:ilvl="0">
      <w:lvlJc w:val="left"/>
      <w:lvlText w:val="•"/>
      <w:numFmt w:val="bullet"/>
      <w:start w:val="1"/>
    </w:lvl>
  </w:abstractNum>
  <w:abstractNum w:abstractNumId="23">
    <w:nsid w:val="168E121F"/>
    <w:multiLevelType w:val="hybridMultilevel"/>
    <w:lvl w:ilvl="0">
      <w:lvlJc w:val="left"/>
      <w:lvlText w:val="•"/>
      <w:numFmt w:val="bullet"/>
      <w:start w:val="1"/>
    </w:lvl>
  </w:abstractNum>
  <w:abstractNum w:abstractNumId="24">
    <w:nsid w:val="1EBA5D23"/>
    <w:multiLevelType w:val="hybridMultilevel"/>
    <w:lvl w:ilvl="0">
      <w:lvlJc w:val="left"/>
      <w:lvlText w:val="•"/>
      <w:numFmt w:val="bullet"/>
      <w:start w:val="1"/>
    </w:lvl>
  </w:abstractNum>
  <w:abstractNum w:abstractNumId="25">
    <w:nsid w:val="661E3F1E"/>
    <w:multiLevelType w:val="hybridMultilevel"/>
    <w:lvl w:ilvl="0">
      <w:lvlJc w:val="left"/>
      <w:lvlText w:val="•"/>
      <w:numFmt w:val="bullet"/>
      <w:start w:val="1"/>
    </w:lvl>
  </w:abstractNum>
  <w:abstractNum w:abstractNumId="26">
    <w:nsid w:val="5DC79EA8"/>
    <w:multiLevelType w:val="hybridMultilevel"/>
    <w:lvl w:ilvl="0">
      <w:lvlJc w:val="left"/>
      <w:lvlText w:val="•"/>
      <w:numFmt w:val="bullet"/>
      <w:start w:val="1"/>
    </w:lvl>
  </w:abstractNum>
  <w:abstractNum w:abstractNumId="27">
    <w:nsid w:val="540A471C"/>
    <w:multiLevelType w:val="hybridMultilevel"/>
    <w:lvl w:ilvl="0">
      <w:lvlJc w:val="left"/>
      <w:lvlText w:val="•"/>
      <w:numFmt w:val="bullet"/>
      <w:start w:val="1"/>
    </w:lvl>
  </w:abstractNum>
  <w:abstractNum w:abstractNumId="28">
    <w:nsid w:val="7BD3EE7B"/>
    <w:multiLevelType w:val="hybridMultilevel"/>
    <w:lvl w:ilvl="0">
      <w:lvlJc w:val="left"/>
      <w:lvlText w:val="•"/>
      <w:numFmt w:val="bullet"/>
      <w:start w:val="1"/>
    </w:lvl>
  </w:abstractNum>
  <w:abstractNum w:abstractNumId="29">
    <w:nsid w:val="51D9C564"/>
    <w:multiLevelType w:val="hybridMultilevel"/>
    <w:lvl w:ilvl="0">
      <w:lvlJc w:val="left"/>
      <w:lvlText w:val="(%1)"/>
      <w:numFmt w:val="lowerLetter"/>
      <w:start w:val="1"/>
    </w:lvl>
  </w:abstractNum>
  <w:abstractNum w:abstractNumId="30">
    <w:nsid w:val="613EFDC5"/>
    <w:multiLevelType w:val="hybridMultilevel"/>
    <w:lvl w:ilvl="0">
      <w:lvlJc w:val="left"/>
      <w:lvlText w:val="(%1)"/>
      <w:numFmt w:val="lowerLetter"/>
      <w:start w:val="2"/>
    </w:lvl>
  </w:abstractNum>
  <w:abstractNum w:abstractNumId="31">
    <w:nsid w:val="BF72B14"/>
    <w:multiLevelType w:val="hybridMultilevel"/>
    <w:lvl w:ilvl="0">
      <w:lvlJc w:val="left"/>
      <w:lvlText w:val="(%1)"/>
      <w:numFmt w:val="lowerLetter"/>
      <w:start w:val="1"/>
    </w:lvl>
  </w:abstractNum>
  <w:abstractNum w:abstractNumId="32">
    <w:nsid w:val="11447B73"/>
    <w:multiLevelType w:val="hybridMultilevel"/>
    <w:lvl w:ilvl="0">
      <w:lvlJc w:val="left"/>
      <w:lvlText w:val="(%1)"/>
      <w:numFmt w:val="lowerLetter"/>
      <w:start w:val="1"/>
    </w:lvl>
  </w:abstractNum>
  <w:abstractNum w:abstractNumId="33">
    <w:nsid w:val="42963E5A"/>
    <w:multiLevelType w:val="hybridMultilevel"/>
    <w:lvl w:ilvl="0">
      <w:lvlJc w:val="left"/>
      <w:lvlText w:val="(%1)"/>
      <w:numFmt w:val="lowerLetter"/>
      <w:start w:val="2"/>
    </w:lvl>
  </w:abstractNum>
  <w:abstractNum w:abstractNumId="34">
    <w:nsid w:val="A0382C5"/>
    <w:multiLevelType w:val="hybridMultilevel"/>
    <w:lvl w:ilvl="0">
      <w:lvlJc w:val="left"/>
      <w:lvlText w:val="•"/>
      <w:numFmt w:val="bullet"/>
      <w:start w:val="1"/>
    </w:lvl>
  </w:abstractNum>
  <w:abstractNum w:abstractNumId="35">
    <w:nsid w:val="8F2B15E"/>
    <w:multiLevelType w:val="hybridMultilevel"/>
    <w:lvl w:ilvl="0">
      <w:lvlJc w:val="left"/>
      <w:lvlText w:val="•"/>
      <w:numFmt w:val="bullet"/>
      <w:start w:val="1"/>
    </w:lvl>
  </w:abstractNum>
  <w:abstractNum w:abstractNumId="36">
    <w:nsid w:val="1A32234B"/>
    <w:multiLevelType w:val="hybridMultilevel"/>
    <w:lvl w:ilvl="0">
      <w:lvlJc w:val="left"/>
      <w:lvlText w:val="*"/>
      <w:numFmt w:val="bullet"/>
      <w:start w:val="1"/>
    </w:lvl>
  </w:abstractNum>
  <w:abstractNum w:abstractNumId="37">
    <w:nsid w:val="3B0FD379"/>
    <w:multiLevelType w:val="hybridMultilevel"/>
    <w:lvl w:ilvl="0">
      <w:lvlJc w:val="left"/>
      <w:lvlText w:val="•"/>
      <w:numFmt w:val="bullet"/>
      <w:start w:val="1"/>
    </w:lvl>
  </w:abstractNum>
  <w:abstractNum w:abstractNumId="38">
    <w:nsid w:val="68EB2F63"/>
    <w:multiLevelType w:val="hybridMultilevel"/>
    <w:lvl w:ilvl="0">
      <w:lvlJc w:val="left"/>
      <w:lvlText w:val="(%1)"/>
      <w:numFmt w:val="lowerLetter"/>
      <w:start w:val="1"/>
    </w:lvl>
  </w:abstractNum>
  <w:abstractNum w:abstractNumId="39">
    <w:nsid w:val="4962813B"/>
    <w:multiLevelType w:val="hybridMultilevel"/>
    <w:lvl w:ilvl="0">
      <w:lvlJc w:val="left"/>
      <w:lvlText w:val="(%1)"/>
      <w:numFmt w:val="lowerLetter"/>
      <w:start w:val="2"/>
    </w:lvl>
  </w:abstractNum>
  <w:abstractNum w:abstractNumId="40">
    <w:nsid w:val="60B6DF70"/>
    <w:multiLevelType w:val="hybridMultilevel"/>
    <w:lvl w:ilvl="0">
      <w:lvlJc w:val="left"/>
      <w:lvlText w:val="•"/>
      <w:numFmt w:val="bullet"/>
      <w:start w:val="1"/>
    </w:lvl>
  </w:abstractNum>
  <w:abstractNum w:abstractNumId="41">
    <w:nsid w:val="6A5EE64"/>
    <w:multiLevelType w:val="hybridMultilevel"/>
    <w:lvl w:ilvl="0">
      <w:lvlJc w:val="left"/>
      <w:lvlText w:val="•"/>
      <w:numFmt w:val="bullet"/>
      <w:start w:val="1"/>
    </w:lvl>
  </w:abstractNum>
  <w:abstractNum w:abstractNumId="42">
    <w:nsid w:val="14330624"/>
    <w:multiLevelType w:val="hybridMultilevel"/>
    <w:lvl w:ilvl="0">
      <w:lvlJc w:val="left"/>
      <w:lvlText w:val="•"/>
      <w:numFmt w:val="bullet"/>
      <w:start w:val="1"/>
    </w:lvl>
  </w:abstractNum>
  <w:abstractNum w:abstractNumId="43">
    <w:nsid w:val="7FFFCA11"/>
    <w:multiLevelType w:val="hybridMultilevel"/>
    <w:lvl w:ilvl="0">
      <w:lvlJc w:val="left"/>
      <w:lvlText w:val="(%1)"/>
      <w:numFmt w:val="lowerLetter"/>
      <w:start w:val="1"/>
    </w:lvl>
  </w:abstractNum>
  <w:abstractNum w:abstractNumId="44">
    <w:nsid w:val="1A27709E"/>
    <w:multiLevelType w:val="hybridMultilevel"/>
    <w:lvl w:ilvl="0">
      <w:lvlJc w:val="left"/>
      <w:lvlText w:val="•"/>
      <w:numFmt w:val="bullet"/>
      <w:start w:val="1"/>
    </w:lvl>
  </w:abstractNum>
  <w:abstractNum w:abstractNumId="45">
    <w:nsid w:val="71EA1109"/>
    <w:multiLevelType w:val="hybridMultilevel"/>
    <w:lvl w:ilvl="0">
      <w:lvlJc w:val="left"/>
      <w:lvlText w:val="•"/>
      <w:numFmt w:val="bullet"/>
      <w:start w:val="1"/>
    </w:lvl>
  </w:abstractNum>
  <w:abstractNum w:abstractNumId="46">
    <w:nsid w:val="100F59DC"/>
    <w:multiLevelType w:val="hybridMultilevel"/>
    <w:lvl w:ilvl="0">
      <w:lvlJc w:val="left"/>
      <w:lvlText w:val="(%1)"/>
      <w:numFmt w:val="lowerLetter"/>
      <w:start w:val="1"/>
    </w:lvl>
  </w:abstractNum>
  <w:abstractNum w:abstractNumId="47">
    <w:nsid w:val="7FB7E0AA"/>
    <w:multiLevelType w:val="hybridMultilevel"/>
    <w:lvl w:ilvl="0">
      <w:lvlJc w:val="left"/>
      <w:lvlText w:val="(%1)"/>
      <w:numFmt w:val="lowerLetter"/>
      <w:start w:val="1"/>
    </w:lvl>
  </w:abstractNum>
  <w:abstractNum w:abstractNumId="48">
    <w:nsid w:val="6EB5BD4"/>
    <w:multiLevelType w:val="hybridMultilevel"/>
    <w:lvl w:ilvl="0">
      <w:lvlJc w:val="left"/>
      <w:lvlText w:val="(%1)"/>
      <w:numFmt w:val="lowerRoman"/>
      <w:start w:val="1"/>
    </w:lvl>
  </w:abstractNum>
  <w:abstractNum w:abstractNumId="49">
    <w:nsid w:val="6F6DD9AC"/>
    <w:multiLevelType w:val="hybridMultilevel"/>
    <w:lvl w:ilvl="0">
      <w:lvlJc w:val="left"/>
      <w:lvlText w:val="(%1)"/>
      <w:numFmt w:val="lowerLetter"/>
      <w:start w:val="1"/>
    </w:lvl>
  </w:abstractNum>
  <w:abstractNum w:abstractNumId="50">
    <w:nsid w:val="94211F2"/>
    <w:multiLevelType w:val="hybridMultilevel"/>
    <w:lvl w:ilvl="0">
      <w:lvlJc w:val="left"/>
      <w:lvlText w:val="(%1)"/>
      <w:numFmt w:val="lowerLetter"/>
      <w:start w:val="1"/>
    </w:lvl>
  </w:abstractNum>
  <w:abstractNum w:abstractNumId="51">
    <w:nsid w:val="885E1B"/>
    <w:multiLevelType w:val="hybridMultilevel"/>
    <w:lvl w:ilvl="0">
      <w:lvlJc w:val="left"/>
      <w:lvlText w:val="%1"/>
      <w:numFmt w:val="decimal"/>
      <w:start w:val="26"/>
    </w:lvl>
  </w:abstractNum>
  <w:abstractNum w:abstractNumId="52">
    <w:nsid w:val="76272110"/>
    <w:multiLevelType w:val="hybridMultilevel"/>
    <w:lvl w:ilvl="0">
      <w:lvlJc w:val="left"/>
      <w:lvlText w:val="%1"/>
      <w:numFmt w:val="decimal"/>
      <w:start w:val="717"/>
    </w:lvl>
  </w:abstractNum>
  <w:abstractNum w:abstractNumId="53">
    <w:nsid w:val="4C04A8AF"/>
    <w:multiLevelType w:val="hybridMultilevel"/>
    <w:lvl w:ilvl="0">
      <w:lvlJc w:val="left"/>
      <w:lvlText w:val="%1"/>
      <w:numFmt w:val="decimal"/>
      <w:start w:val="376"/>
    </w:lvl>
  </w:abstractNum>
  <w:abstractNum w:abstractNumId="54">
    <w:nsid w:val="1716703B"/>
    <w:multiLevelType w:val="hybridMultilevel"/>
    <w:lvl w:ilvl="0">
      <w:lvlJc w:val="left"/>
      <w:lvlText w:val="(%1)"/>
      <w:numFmt w:val="decimal"/>
      <w:start w:val="24"/>
    </w:lvl>
  </w:abstractNum>
  <w:abstractNum w:abstractNumId="55">
    <w:nsid w:val="14E17E33"/>
    <w:multiLevelType w:val="hybridMultilevel"/>
    <w:lvl w:ilvl="0">
      <w:lvlJc w:val="left"/>
      <w:lvlText w:val="%1"/>
      <w:numFmt w:val="decimal"/>
      <w:start w:val="573"/>
    </w:lvl>
  </w:abstractNum>
  <w:abstractNum w:abstractNumId="56">
    <w:nsid w:val="3222E7CD"/>
    <w:multiLevelType w:val="hybridMultilevel"/>
    <w:lvl w:ilvl="0">
      <w:lvlJc w:val="left"/>
      <w:lvlText w:val="%1."/>
      <w:numFmt w:val="decimal"/>
      <w:start w:val="1"/>
    </w:lvl>
    <w:lvl w:ilvl="1">
      <w:lvlJc w:val="left"/>
      <w:lvlText w:val="•"/>
      <w:numFmt w:val="bullet"/>
      <w:start w:val="1"/>
    </w:lvl>
  </w:abstractNum>
  <w:abstractNum w:abstractNumId="57">
    <w:nsid w:val="74DE0EE3"/>
    <w:multiLevelType w:val="hybridMultilevel"/>
    <w:lvl w:ilvl="0">
      <w:lvlJc w:val="left"/>
      <w:lvlText w:val="%1."/>
      <w:numFmt w:val="decimal"/>
      <w:start w:val="2"/>
    </w:lvl>
  </w:abstractNum>
  <w:abstractNum w:abstractNumId="58">
    <w:nsid w:val="68EBC550"/>
    <w:multiLevelType w:val="hybridMultilevel"/>
    <w:lvl w:ilvl="0">
      <w:lvlJc w:val="left"/>
      <w:lvlText w:val="(%1)"/>
      <w:numFmt w:val="lowerLetter"/>
      <w:start w:val="1"/>
    </w:lvl>
  </w:abstractNum>
  <w:abstractNum w:abstractNumId="59">
    <w:nsid w:val="2DF6D648"/>
    <w:multiLevelType w:val="hybridMultilevel"/>
    <w:lvl w:ilvl="0">
      <w:lvlJc w:val="left"/>
      <w:lvlText w:val="%1."/>
      <w:numFmt w:val="decimal"/>
      <w:start w:val="3"/>
    </w:lvl>
  </w:abstractNum>
  <w:abstractNum w:abstractNumId="60">
    <w:nsid w:val="46B7D447"/>
    <w:multiLevelType w:val="hybridMultilevel"/>
    <w:lvl w:ilvl="0">
      <w:lvlJc w:val="left"/>
      <w:lvlText w:val="%1"/>
      <w:numFmt w:val="decimal"/>
      <w:start w:val="1"/>
    </w:lvl>
    <w:lvl w:ilvl="1">
      <w:lvlJc w:val="left"/>
      <w:lvlText w:val="(%2)"/>
      <w:numFmt w:val="lowerLetter"/>
      <w:start w:val="1"/>
    </w:lvl>
  </w:abstractNum>
  <w:abstractNum w:abstractNumId="61">
    <w:nsid w:val="4A2AC315"/>
    <w:multiLevelType w:val="hybridMultilevel"/>
    <w:lvl w:ilvl="0">
      <w:lvlJc w:val="left"/>
      <w:lvlText w:val="%1."/>
      <w:numFmt w:val="decimal"/>
      <w:start w:val="4"/>
    </w:lvl>
    <w:lvl w:ilvl="1">
      <w:lvlJc w:val="left"/>
      <w:lvlText w:val="%2"/>
      <w:numFmt w:val="lowerLetter"/>
      <w:start w:val="1"/>
    </w:lvl>
  </w:abstractNum>
  <w:abstractNum w:abstractNumId="62">
    <w:nsid w:val="39EE015C"/>
    <w:multiLevelType w:val="hybridMultilevel"/>
    <w:lvl w:ilvl="0">
      <w:lvlJc w:val="left"/>
      <w:lvlText w:val="(%1)"/>
      <w:numFmt w:val="lowerLetter"/>
      <w:start w:val="1"/>
    </w:lvl>
  </w:abstractNum>
  <w:abstractNum w:abstractNumId="63">
    <w:nsid w:val="57FC4FBB"/>
    <w:multiLevelType w:val="hybridMultilevel"/>
    <w:lvl w:ilvl="0">
      <w:lvlJc w:val="left"/>
      <w:lvlText w:val="%1."/>
      <w:numFmt w:val="decimal"/>
      <w:start w:val="5"/>
    </w:lvl>
  </w:abstractNum>
  <w:abstractNum w:abstractNumId="64">
    <w:nsid w:val="CC1016F"/>
    <w:multiLevelType w:val="hybridMultilevel"/>
    <w:lvl w:ilvl="0">
      <w:lvlJc w:val="left"/>
      <w:lvlText w:val="%1."/>
      <w:numFmt w:val="decimal"/>
      <w:start w:val="6"/>
    </w:lvl>
  </w:abstractNum>
  <w:abstractNum w:abstractNumId="65">
    <w:nsid w:val="43F18422"/>
    <w:multiLevelType w:val="hybridMultilevel"/>
    <w:lvl w:ilvl="0">
      <w:lvlJc w:val="left"/>
      <w:lvlText w:val="(%1)"/>
      <w:numFmt w:val="lowerLetter"/>
      <w:start w:val="1"/>
    </w:lvl>
  </w:abstractNum>
  <w:abstractNum w:abstractNumId="66">
    <w:nsid w:val="60EF0119"/>
    <w:multiLevelType w:val="hybridMultilevel"/>
    <w:lvl w:ilvl="0">
      <w:lvlJc w:val="left"/>
      <w:lvlText w:val="%1."/>
      <w:numFmt w:val="decimal"/>
      <w:start w:val="7"/>
    </w:lvl>
  </w:abstractNum>
  <w:abstractNum w:abstractNumId="67">
    <w:nsid w:val="26F324BA"/>
    <w:multiLevelType w:val="hybridMultilevel"/>
    <w:lvl w:ilvl="0">
      <w:lvlJc w:val="left"/>
      <w:lvlText w:val="%1."/>
      <w:numFmt w:val="decimal"/>
      <w:start w:val="8"/>
    </w:lvl>
  </w:abstractNum>
  <w:abstractNum w:abstractNumId="68">
    <w:nsid w:val="7F01579B"/>
    <w:multiLevelType w:val="hybridMultilevel"/>
    <w:lvl w:ilvl="0">
      <w:lvlJc w:val="left"/>
      <w:lvlText w:val="(%1)"/>
      <w:numFmt w:val="lowerLetter"/>
      <w:start w:val="1"/>
    </w:lvl>
  </w:abstractNum>
  <w:abstractNum w:abstractNumId="69">
    <w:nsid w:val="49DA307D"/>
    <w:multiLevelType w:val="hybridMultilevel"/>
    <w:lvl w:ilvl="0">
      <w:lvlJc w:val="left"/>
      <w:lvlText w:val="(%1)"/>
      <w:numFmt w:val="lowerLetter"/>
      <w:start w:val="1"/>
    </w:lvl>
  </w:abstractNum>
  <w:abstractNum w:abstractNumId="70">
    <w:nsid w:val="7055A5F5"/>
    <w:multiLevelType w:val="hybridMultilevel"/>
    <w:lvl w:ilvl="0">
      <w:lvlJc w:val="left"/>
      <w:lvlText w:val="%1)"/>
      <w:numFmt w:val="lowerLetter"/>
      <w:start w:val="1"/>
    </w:lvl>
  </w:abstractNum>
  <w:abstractNum w:abstractNumId="71">
    <w:nsid w:val="5FB8370B"/>
    <w:multiLevelType w:val="hybridMultilevel"/>
    <w:lvl w:ilvl="0">
      <w:lvlJc w:val="left"/>
      <w:lvlText w:val="(%1)"/>
      <w:numFmt w:val="lowerLetter"/>
      <w:start w:val="1"/>
    </w:lvl>
  </w:abstractNum>
  <w:abstractNum w:abstractNumId="72">
    <w:nsid w:val="50801EE1"/>
    <w:multiLevelType w:val="hybridMultilevel"/>
    <w:lvl w:ilvl="0">
      <w:lvlJc w:val="left"/>
      <w:lvlText w:val="%1."/>
      <w:numFmt w:val="decimal"/>
      <w:start w:val="9"/>
    </w:lvl>
  </w:abstractNum>
  <w:abstractNum w:abstractNumId="73">
    <w:nsid w:val="488AC1A"/>
    <w:multiLevelType w:val="hybridMultilevel"/>
    <w:lvl w:ilvl="0">
      <w:lvlJc w:val="left"/>
      <w:lvlText w:val="%1."/>
      <w:numFmt w:val="decimal"/>
      <w:start w:val="10"/>
    </w:lvl>
  </w:abstractNum>
  <w:abstractNum w:abstractNumId="74">
    <w:nsid w:val="5FB8011C"/>
    <w:multiLevelType w:val="hybridMultilevel"/>
    <w:lvl w:ilvl="0">
      <w:lvlJc w:val="left"/>
      <w:lvlText w:val="%1"/>
      <w:numFmt w:val="decimal"/>
      <w:start w:val="93"/>
    </w:lvl>
  </w:abstractNum>
  <w:abstractNum w:abstractNumId="75">
    <w:nsid w:val="6AA78F7F"/>
    <w:multiLevelType w:val="hybridMultilevel"/>
    <w:lvl w:ilvl="0">
      <w:lvlJc w:val="left"/>
      <w:lvlText w:val="(%1)"/>
      <w:numFmt w:val="lowerLetter"/>
      <w:start w:val="1"/>
    </w:lvl>
  </w:abstractNum>
  <w:abstractNum w:abstractNumId="76">
    <w:nsid w:val="7672BD23"/>
    <w:multiLevelType w:val="hybridMultilevel"/>
    <w:lvl w:ilvl="0">
      <w:lvlJc w:val="left"/>
      <w:lvlText w:val="(%1)"/>
      <w:numFmt w:val="lowerLetter"/>
      <w:start w:val="2"/>
    </w:lvl>
  </w:abstractNum>
  <w:abstractNum w:abstractNumId="77">
    <w:nsid w:val="6FC75AF8"/>
    <w:multiLevelType w:val="hybridMultilevel"/>
    <w:lvl w:ilvl="0">
      <w:lvlJc w:val="left"/>
      <w:lvlText w:val="(%1)"/>
      <w:numFmt w:val="lowerLetter"/>
      <w:start w:val="1"/>
    </w:lvl>
  </w:abstractNum>
  <w:abstractNum w:abstractNumId="78">
    <w:nsid w:val="6A5F7029"/>
    <w:multiLevelType w:val="hybridMultilevel"/>
    <w:lvl w:ilvl="0">
      <w:lvlJc w:val="left"/>
      <w:lvlText w:val="%1."/>
      <w:numFmt w:val="decimal"/>
      <w:start w:val="13"/>
    </w:lvl>
  </w:abstractNum>
  <w:abstractNum w:abstractNumId="79">
    <w:nsid w:val="7D5E18F8"/>
    <w:multiLevelType w:val="hybridMultilevel"/>
    <w:lvl w:ilvl="0">
      <w:lvlJc w:val="left"/>
      <w:lvlText w:val="(%1)"/>
      <w:numFmt w:val="lowerLetter"/>
      <w:start w:val="1"/>
    </w:lvl>
  </w:abstractNum>
  <w:abstractNum w:abstractNumId="80">
    <w:nsid w:val="5F3534A4"/>
    <w:multiLevelType w:val="hybridMultilevel"/>
    <w:lvl w:ilvl="0">
      <w:lvlJc w:val="left"/>
      <w:lvlText w:val="(%1)"/>
      <w:numFmt w:val="lowerLetter"/>
      <w:start w:val="1"/>
    </w:lvl>
  </w:abstractNum>
  <w:abstractNum w:abstractNumId="81">
    <w:nsid w:val="73A1821B"/>
    <w:multiLevelType w:val="hybridMultilevel"/>
    <w:lvl w:ilvl="0">
      <w:lvlJc w:val="left"/>
      <w:lvlText w:val="(%1)"/>
      <w:numFmt w:val="lowerLetter"/>
      <w:start w:val="1"/>
    </w:lvl>
  </w:abstractNum>
  <w:abstractNum w:abstractNumId="82">
    <w:nsid w:val="7DE67713"/>
    <w:multiLevelType w:val="hybridMultilevel"/>
    <w:lvl w:ilvl="0">
      <w:lvlJc w:val="left"/>
      <w:lvlText w:val="%1."/>
      <w:numFmt w:val="decimal"/>
      <w:start w:val="14"/>
    </w:lvl>
  </w:abstractNum>
  <w:abstractNum w:abstractNumId="83">
    <w:nsid w:val="555C55B5"/>
    <w:multiLevelType w:val="hybridMultilevel"/>
    <w:lvl w:ilvl="0">
      <w:lvlJc w:val="left"/>
      <w:lvlText w:val="%1."/>
      <w:numFmt w:val="decimal"/>
      <w:start w:val="15"/>
    </w:lvl>
  </w:abstractNum>
  <w:abstractNum w:abstractNumId="84">
    <w:nsid w:val="3FA62ACA"/>
    <w:multiLevelType w:val="hybridMultilevel"/>
    <w:lvl w:ilvl="0">
      <w:lvlJc w:val="left"/>
      <w:lvlText w:val="%1"/>
      <w:numFmt w:val="decimal"/>
      <w:start w:val="1"/>
    </w:lvl>
    <w:lvl w:ilvl="1">
      <w:lvlJc w:val="left"/>
      <w:lvlText w:val="(%2)"/>
      <w:numFmt w:val="lowerLetter"/>
      <w:start w:val="1"/>
    </w:lvl>
  </w:abstractNum>
  <w:abstractNum w:abstractNumId="85">
    <w:nsid w:val="14FCE74E"/>
    <w:multiLevelType w:val="hybridMultilevel"/>
    <w:lvl w:ilvl="0">
      <w:lvlJc w:val="left"/>
      <w:lvlText w:val="%1."/>
      <w:numFmt w:val="decimal"/>
      <w:start w:val="16"/>
    </w:lvl>
    <w:lvl w:ilvl="1">
      <w:lvlJc w:val="left"/>
      <w:lvlText w:val="%2"/>
      <w:numFmt w:val="lowerLetter"/>
      <w:start w:val="1"/>
    </w:lvl>
  </w:abstractNum>
  <w:abstractNum w:abstractNumId="86">
    <w:nsid w:val="6A3DD3E8"/>
    <w:multiLevelType w:val="hybridMultilevel"/>
    <w:lvl w:ilvl="0">
      <w:lvlJc w:val="left"/>
      <w:lvlText w:val="(%1)"/>
      <w:numFmt w:val="decimal"/>
      <w:start w:val="470"/>
    </w:lvl>
  </w:abstractNum>
  <w:abstractNum w:abstractNumId="87">
    <w:nsid w:val="71C91298"/>
    <w:multiLevelType w:val="hybridMultilevel"/>
    <w:lvl w:ilvl="0">
      <w:lvlJc w:val="left"/>
      <w:lvlText w:val="(%1)"/>
      <w:numFmt w:val="decimal"/>
      <w:start w:val="162"/>
    </w:lvl>
  </w:abstractNum>
  <w:abstractNum w:abstractNumId="88">
    <w:nsid w:val="9DAF632"/>
    <w:multiLevelType w:val="hybridMultilevel"/>
    <w:lvl w:ilvl="0">
      <w:lvlJc w:val="left"/>
      <w:lvlText w:val="(%1)"/>
      <w:numFmt w:val="lowerLetter"/>
      <w:start w:val="1"/>
    </w:lvl>
  </w:abstractNum>
  <w:abstractNum w:abstractNumId="89">
    <w:nsid w:val="53299938"/>
    <w:multiLevelType w:val="hybridMultilevel"/>
    <w:lvl w:ilvl="0">
      <w:lvlJc w:val="left"/>
      <w:lvlText w:val="(%1)"/>
      <w:numFmt w:val="lowerLetter"/>
      <w:start w:val="1"/>
    </w:lvl>
  </w:abstractNum>
  <w:abstractNum w:abstractNumId="90">
    <w:nsid w:val="1FBFE8E0"/>
    <w:multiLevelType w:val="hybridMultilevel"/>
    <w:lvl w:ilvl="0">
      <w:lvlJc w:val="left"/>
      <w:lvlText w:val="%1."/>
      <w:numFmt w:val="decimal"/>
      <w:start w:val="17"/>
    </w:lvl>
  </w:abstractNum>
  <w:abstractNum w:abstractNumId="91">
    <w:nsid w:val="5092CA79"/>
    <w:multiLevelType w:val="hybridMultilevel"/>
    <w:lvl w:ilvl="0">
      <w:lvlJc w:val="left"/>
      <w:lvlText w:val="(%1)"/>
      <w:numFmt w:val="lowerLetter"/>
      <w:start w:val="1"/>
    </w:lvl>
  </w:abstractNum>
  <w:abstractNum w:abstractNumId="92">
    <w:nsid w:val="1D545C4D"/>
    <w:multiLevelType w:val="hybridMultilevel"/>
    <w:lvl w:ilvl="0">
      <w:lvlJc w:val="left"/>
      <w:lvlText w:val="(%1)"/>
      <w:numFmt w:val="decimal"/>
      <w:start w:val="3"/>
    </w:lvl>
  </w:abstractNum>
  <w:abstractNum w:abstractNumId="93">
    <w:nsid w:val="59ADEA3D"/>
    <w:multiLevelType w:val="hybridMultilevel"/>
    <w:lvl w:ilvl="0">
      <w:lvlJc w:val="left"/>
      <w:lvlText w:val="(%1)"/>
      <w:numFmt w:val="decimal"/>
      <w:start w:val="186"/>
    </w:lvl>
  </w:abstractNum>
  <w:abstractNum w:abstractNumId="94">
    <w:nsid w:val="288F1A34"/>
    <w:multiLevelType w:val="hybridMultilevel"/>
    <w:lvl w:ilvl="0">
      <w:lvlJc w:val="left"/>
      <w:lvlText w:val="%1."/>
      <w:numFmt w:val="decimal"/>
      <w:start w:val="18"/>
    </w:lvl>
  </w:abstractNum>
  <w:abstractNum w:abstractNumId="95">
    <w:nsid w:val="2A155DBC"/>
    <w:multiLevelType w:val="hybridMultilevel"/>
    <w:lvl w:ilvl="0">
      <w:lvlJc w:val="left"/>
      <w:lvlText w:val="(%1)"/>
      <w:numFmt w:val="lowerLetter"/>
      <w:start w:val="1"/>
    </w:lvl>
  </w:abstractNum>
  <w:abstractNum w:abstractNumId="96">
    <w:nsid w:val="1D9F6E5F"/>
    <w:multiLevelType w:val="hybridMultilevel"/>
    <w:lvl w:ilvl="0">
      <w:lvlJc w:val="left"/>
      <w:lvlText w:val="(%1)"/>
      <w:numFmt w:val="lowerLetter"/>
      <w:start w:val="1"/>
    </w:lvl>
  </w:abstractNum>
  <w:abstractNum w:abstractNumId="97">
    <w:nsid w:val="97E1B4E"/>
    <w:multiLevelType w:val="hybridMultilevel"/>
    <w:lvl w:ilvl="0">
      <w:lvlJc w:val="left"/>
      <w:lvlText w:val="(%1)"/>
      <w:numFmt w:val="lowerLetter"/>
      <w:start w:val="1"/>
    </w:lvl>
  </w:abstractNum>
  <w:abstractNum w:abstractNumId="98">
    <w:nsid w:val="51088277"/>
    <w:multiLevelType w:val="hybridMultilevel"/>
    <w:lvl w:ilvl="0">
      <w:lvlJc w:val="left"/>
      <w:lvlText w:val="%1"/>
      <w:numFmt w:val="decimal"/>
      <w:start w:val="1"/>
    </w:lvl>
    <w:lvl w:ilvl="1">
      <w:lvlJc w:val="left"/>
      <w:lvlText w:val="(%2)"/>
      <w:numFmt w:val="lowerLetter"/>
      <w:start w:val="1"/>
    </w:lvl>
  </w:abstractNum>
  <w:abstractNum w:abstractNumId="99">
    <w:nsid w:val="1CA0C5FA"/>
    <w:multiLevelType w:val="hybridMultilevel"/>
    <w:lvl w:ilvl="0">
      <w:lvlJc w:val="left"/>
      <w:lvlText w:val="%1."/>
      <w:numFmt w:val="decimal"/>
      <w:start w:val="19"/>
    </w:lvl>
    <w:lvl w:ilvl="1">
      <w:lvlJc w:val="left"/>
      <w:lvlText w:val="%2"/>
      <w:numFmt w:val="lowerLetter"/>
      <w:start w:val="1"/>
    </w:lvl>
  </w:abstractNum>
  <w:abstractNum w:abstractNumId="100">
    <w:nsid w:val="53584BCB"/>
    <w:multiLevelType w:val="hybridMultilevel"/>
    <w:lvl w:ilvl="0">
      <w:lvlJc w:val="left"/>
      <w:lvlText w:val="(%1)"/>
      <w:numFmt w:val="lowerLetter"/>
      <w:start w:val="1"/>
    </w:lvl>
  </w:abstractNum>
  <w:abstractNum w:abstractNumId="101">
    <w:nsid w:val="415E286C"/>
    <w:multiLevelType w:val="hybridMultilevel"/>
    <w:lvl w:ilvl="0">
      <w:lvlJc w:val="left"/>
      <w:lvlText w:val="(%1)"/>
      <w:numFmt w:val="lowerLetter"/>
      <w:start w:val="1"/>
    </w:lvl>
  </w:abstractNum>
  <w:abstractNum w:abstractNumId="102">
    <w:nsid w:val="7C58FD05"/>
    <w:multiLevelType w:val="hybridMultilevel"/>
    <w:lvl w:ilvl="0">
      <w:lvlJc w:val="left"/>
      <w:lvlText w:val="(%1)"/>
      <w:numFmt w:val="lowerLetter"/>
      <w:start w:val="1"/>
    </w:lvl>
  </w:abstractNum>
  <w:abstractNum w:abstractNumId="103">
    <w:nsid w:val="23D86AAC"/>
    <w:multiLevelType w:val="hybridMultilevel"/>
    <w:lvl w:ilvl="0">
      <w:lvlJc w:val="left"/>
      <w:lvlText w:val="(%1)"/>
      <w:numFmt w:val="lowerLetter"/>
      <w:start w:val="1"/>
    </w:lvl>
  </w:abstractNum>
  <w:abstractNum w:abstractNumId="104">
    <w:nsid w:val="45E6D486"/>
    <w:multiLevelType w:val="hybridMultilevel"/>
    <w:lvl w:ilvl="0">
      <w:lvlJc w:val="left"/>
      <w:lvlText w:val="%1."/>
      <w:numFmt w:val="decimal"/>
      <w:start w:val="20"/>
    </w:lvl>
  </w:abstractNum>
  <w:abstractNum w:abstractNumId="105">
    <w:nsid w:val="5C10FE21"/>
    <w:multiLevelType w:val="hybridMultilevel"/>
    <w:lvl w:ilvl="0">
      <w:lvlJc w:val="left"/>
      <w:lvlText w:val="(%1)"/>
      <w:numFmt w:val="lowerLetter"/>
      <w:start w:val="1"/>
    </w:lvl>
  </w:abstractNum>
  <w:abstractNum w:abstractNumId="106">
    <w:nsid w:val="E7FFA2B"/>
    <w:multiLevelType w:val="hybridMultilevel"/>
    <w:lvl w:ilvl="0">
      <w:lvlJc w:val="left"/>
      <w:lvlText w:val="%1."/>
      <w:numFmt w:val="decimal"/>
      <w:start w:val="21"/>
    </w:lvl>
  </w:abstractNum>
  <w:abstractNum w:abstractNumId="107">
    <w:nsid w:val="3C5991AA"/>
    <w:multiLevelType w:val="hybridMultilevel"/>
    <w:lvl w:ilvl="0">
      <w:lvlJc w:val="left"/>
      <w:lvlText w:val="%1"/>
      <w:numFmt w:val="decimal"/>
      <w:start w:val="1"/>
    </w:lvl>
    <w:lvl w:ilvl="1">
      <w:lvlJc w:val="left"/>
      <w:lvlText w:val="(%2)"/>
      <w:numFmt w:val="lowerLetter"/>
      <w:start w:val="1"/>
    </w:lvl>
  </w:abstractNum>
  <w:abstractNum w:abstractNumId="108">
    <w:nsid w:val="4BD8591A"/>
    <w:multiLevelType w:val="hybridMultilevel"/>
    <w:lvl w:ilvl="0">
      <w:lvlJc w:val="left"/>
      <w:lvlText w:val="%1."/>
      <w:numFmt w:val="decimal"/>
      <w:start w:val="22"/>
    </w:lvl>
    <w:lvl w:ilvl="1">
      <w:lvlJc w:val="left"/>
      <w:lvlText w:val="%2"/>
      <w:numFmt w:val="lowerLetter"/>
      <w:start w:val="1"/>
    </w:lvl>
  </w:abstractNum>
  <w:abstractNum w:abstractNumId="109">
    <w:nsid w:val="78DF6A55"/>
    <w:multiLevelType w:val="hybridMultilevel"/>
    <w:lvl w:ilvl="0">
      <w:lvlJc w:val="left"/>
      <w:lvlText w:val="(%1)"/>
      <w:numFmt w:val="lowerLetter"/>
      <w:start w:val="1"/>
    </w:lvl>
  </w:abstractNum>
  <w:abstractNum w:abstractNumId="110">
    <w:nsid w:val="39B7AAA2"/>
    <w:multiLevelType w:val="hybridMultilevel"/>
    <w:lvl w:ilvl="0">
      <w:lvlJc w:val="left"/>
      <w:lvlText w:val="*"/>
      <w:numFmt w:val="bullet"/>
      <w:start w:val="1"/>
    </w:lvl>
  </w:abstractNum>
  <w:abstractNum w:abstractNumId="111">
    <w:nsid w:val="2B0D8DBE"/>
    <w:multiLevelType w:val="hybridMultilevel"/>
    <w:lvl w:ilvl="0">
      <w:lvlJc w:val="left"/>
      <w:lvlText w:val="**"/>
      <w:numFmt w:val="bullet"/>
      <w:start w:val="1"/>
    </w:lvl>
  </w:abstractNum>
  <w:abstractNum w:abstractNumId="112">
    <w:nsid w:val="6C80EC70"/>
    <w:multiLevelType w:val="hybridMultilevel"/>
    <w:lvl w:ilvl="0">
      <w:lvlJc w:val="left"/>
      <w:lvlText w:val="***"/>
      <w:numFmt w:val="bullet"/>
      <w:start w:val="1"/>
    </w:lvl>
  </w:abstractNum>
  <w:abstractNum w:abstractNumId="113">
    <w:nsid w:val="379E21B5"/>
    <w:multiLevelType w:val="hybridMultilevel"/>
    <w:lvl w:ilvl="0">
      <w:lvlJc w:val="left"/>
      <w:lvlText w:val="****"/>
      <w:numFmt w:val="bullet"/>
      <w:start w:val="1"/>
    </w:lvl>
  </w:abstractNum>
  <w:abstractNum w:abstractNumId="114">
    <w:nsid w:val="69E373"/>
    <w:multiLevelType w:val="hybridMultilevel"/>
    <w:lvl w:ilvl="0">
      <w:lvlJc w:val="left"/>
      <w:lvlText w:val="*****"/>
      <w:numFmt w:val="bullet"/>
      <w:start w:val="1"/>
    </w:lvl>
  </w:abstractNum>
  <w:abstractNum w:abstractNumId="115">
    <w:nsid w:val="2C27173B"/>
    <w:multiLevelType w:val="hybridMultilevel"/>
    <w:lvl w:ilvl="0">
      <w:lvlJc w:val="left"/>
      <w:lvlText w:val="†"/>
      <w:numFmt w:val="bullet"/>
      <w:start w:val="1"/>
    </w:lvl>
  </w:abstractNum>
  <w:abstractNum w:abstractNumId="116">
    <w:nsid w:val="4C9B0904"/>
    <w:multiLevelType w:val="hybridMultilevel"/>
    <w:lvl w:ilvl="0">
      <w:lvlJc w:val="left"/>
      <w:lvlText w:val="††"/>
      <w:numFmt w:val="bullet"/>
      <w:start w:val="1"/>
    </w:lvl>
  </w:abstractNum>
  <w:abstractNum w:abstractNumId="117">
    <w:nsid w:val="6AA7B75C"/>
    <w:multiLevelType w:val="hybridMultilevel"/>
    <w:lvl w:ilvl="0">
      <w:lvlJc w:val="left"/>
      <w:lvlText w:val="(%1)"/>
      <w:numFmt w:val="lowerLetter"/>
      <w:start w:val="1"/>
    </w:lvl>
  </w:abstractNum>
  <w:abstractNum w:abstractNumId="118">
    <w:nsid w:val="1DF029D3"/>
    <w:multiLevelType w:val="hybridMultilevel"/>
    <w:lvl w:ilvl="0">
      <w:lvlJc w:val="left"/>
      <w:lvlText w:val="%1."/>
      <w:numFmt w:val="decimal"/>
      <w:start w:val="1"/>
    </w:lvl>
    <w:lvl w:ilvl="1">
      <w:lvlJc w:val="left"/>
      <w:lvlText w:val="%2)"/>
      <w:numFmt w:val="lowerLetter"/>
      <w:start w:val="1"/>
    </w:lvl>
  </w:abstractNum>
  <w:abstractNum w:abstractNumId="119">
    <w:nsid w:val="5675FF36"/>
    <w:multiLevelType w:val="hybridMultilevel"/>
    <w:lvl w:ilvl="0">
      <w:lvlJc w:val="left"/>
      <w:lvlText w:val="%1."/>
      <w:numFmt w:val="decimal"/>
      <w:start w:val="1"/>
    </w:lvl>
    <w:lvl w:ilvl="1">
      <w:lvlJc w:val="left"/>
      <w:lvlText w:val="%2)"/>
      <w:numFmt w:val="lowerLetter"/>
      <w:start w:val="1"/>
    </w:lvl>
  </w:abstractNum>
  <w:abstractNum w:abstractNumId="120">
    <w:nsid w:val="3DD1509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249" Type="http://schemas.openxmlformats.org/officeDocument/2006/relationships/image" Target="media/image134.png"/><Relationship Id="rId257" Type="http://schemas.openxmlformats.org/officeDocument/2006/relationships/image" Target="media/image135.png"/><Relationship Id="rId258" Type="http://schemas.openxmlformats.org/officeDocument/2006/relationships/image" Target="media/image136.png"/><Relationship Id="rId259" Type="http://schemas.openxmlformats.org/officeDocument/2006/relationships/image" Target="media/image137.png"/><Relationship Id="rId260" Type="http://schemas.openxmlformats.org/officeDocument/2006/relationships/image" Target="media/image138.png"/><Relationship Id="rId141" Type="http://schemas.openxmlformats.org/officeDocument/2006/relationships/hyperlink" Target="http://www.sec.gov/Archives/edgar/data/723612/000119312506158308/dex21.htm" TargetMode="External"/><Relationship Id="rId142" Type="http://schemas.openxmlformats.org/officeDocument/2006/relationships/hyperlink" Target="http://www.sec.gov/Archives/edgar/data/723612/000119312507175647/dex22.htm" TargetMode="External"/><Relationship Id="rId143" Type="http://schemas.openxmlformats.org/officeDocument/2006/relationships/hyperlink" Target="http://www.sec.gov/Archives/edgar/data/723612/000072361206000058/articles.htm" TargetMode="External"/><Relationship Id="rId144" Type="http://schemas.openxmlformats.org/officeDocument/2006/relationships/hyperlink" Target="http://www.sec.gov/Archives/edgar/data/723612/000072361215000158/exhibit32bylaws.htm" TargetMode="External"/><Relationship Id="rId145" Type="http://schemas.openxmlformats.org/officeDocument/2006/relationships/hyperlink" Target="http://www.sec.gov/Archives/edgar/data/723612/000119312518010516/d655514dex31.htm" TargetMode="External"/><Relationship Id="rId146" Type="http://schemas.openxmlformats.org/officeDocument/2006/relationships/hyperlink" Target="http://www.sec.gov/Archives/edgar/data/723612/000119312517156458/d392846dex31.htm" TargetMode="External"/><Relationship Id="rId147" Type="http://schemas.openxmlformats.org/officeDocument/2006/relationships/hyperlink" Target="http://www.sec.gov/Archives/edgar/data/723612/000072361213000015/ex41indenture.htm" TargetMode="External"/><Relationship Id="rId148" Type="http://schemas.openxmlformats.org/officeDocument/2006/relationships/hyperlink" Target="http://www.sec.gov/Archives/edgar/data/723612/000119312513267483/d550239dex412b.htm" TargetMode="External"/><Relationship Id="rId149" Type="http://schemas.openxmlformats.org/officeDocument/2006/relationships/hyperlink" Target="http://www.sec.gov/Archives/edgar/data/723612/000072361213000015/ex42seniornotes.htm" TargetMode="External"/><Relationship Id="rId150" Type="http://schemas.openxmlformats.org/officeDocument/2006/relationships/hyperlink" Target="http://www.sec.gov/Archives/edgar/data/723612/000072361214000115/ex41indenture.htm" TargetMode="External"/><Relationship Id="rId151" Type="http://schemas.openxmlformats.org/officeDocument/2006/relationships/hyperlink" Target="http://www.sec.gov/Archives/edgar/data/723612/000072361214000115/ex42seniornote.htm" TargetMode="External"/><Relationship Id="rId152" Type="http://schemas.openxmlformats.org/officeDocument/2006/relationships/hyperlink" Target="http://www.sec.gov/Archives/edgar/data/723612/000072361215000084/avisindenturemarch2015.htm" TargetMode="External"/><Relationship Id="rId153" Type="http://schemas.openxmlformats.org/officeDocument/2006/relationships/hyperlink" Target="http://www.sec.gov/Archives/edgar/data/723612/000072361215000084/formof525note.htm" TargetMode="External"/><Relationship Id="rId154" Type="http://schemas.openxmlformats.org/officeDocument/2006/relationships/hyperlink" Target="http://www.sec.gov/Archives/edgar/data/723612/000072361216000294/ex4_1xnoteindenture.htm" TargetMode="External"/><Relationship Id="rId155" Type="http://schemas.openxmlformats.org/officeDocument/2006/relationships/hyperlink" Target="http://www.sec.gov/Archives/edgar/data/723612/000072361216000350/exhibit41indenture.htm" TargetMode="External"/><Relationship Id="rId156" Type="http://schemas.openxmlformats.org/officeDocument/2006/relationships/hyperlink" Target="http://www.sec.gov/Archives/edgar/data/723612/000072361216000350/exhibit42formof4125note.htm" TargetMode="External"/><Relationship Id="rId157" Type="http://schemas.openxmlformats.org/officeDocument/2006/relationships/hyperlink" Target="http://www.sec.gov/Archives/edgar/data/723612/000072361217000076/exhibit42-indenture450seni.htm" TargetMode="External"/><Relationship Id="rId158" Type="http://schemas.openxmlformats.org/officeDocument/2006/relationships/hyperlink" Target="http://www.sec.gov/Archives/edgar/data/723612/000072361217000076/exhibit43-formofnote450sen.htm" TargetMode="External"/><Relationship Id="rId159" Type="http://schemas.openxmlformats.org/officeDocument/2006/relationships/hyperlink" Target="http://www.sec.gov/Archives/edgar/data/723612/000119312517015325/d335616dex41.htm" TargetMode="External"/><Relationship Id="rId160" Type="http://schemas.openxmlformats.org/officeDocument/2006/relationships/hyperlink" Target="http://www.sec.gov/Archives/edgar/data/723612/000119312517156464/d391522dex42.htm" TargetMode="External"/><Relationship Id="rId161" Type="http://schemas.openxmlformats.org/officeDocument/2006/relationships/hyperlink" Target="http://www.sec.gov/Archives/edgar/data/723612/000119312518010516/d655514dex41.htm" TargetMode="External"/><Relationship Id="rId162" Type="http://schemas.openxmlformats.org/officeDocument/2006/relationships/hyperlink" Target="http://www.sec.gov/Archives/edgar/data/723612/000072361215000158/exhibit101-deshon.htm" TargetMode="External"/><Relationship Id="rId163" Type="http://schemas.openxmlformats.org/officeDocument/2006/relationships/hyperlink" Target="http://www.sec.gov/Archives/edgar/data/723612/000072361217000094/ex10_2separationagreement.htm" TargetMode="External"/><Relationship Id="rId164" Type="http://schemas.openxmlformats.org/officeDocument/2006/relationships/hyperlink" Target="http://www.sec.gov/Archives/edgar/data/723612/000072361216000244/exhibit104-servodidioemplo.htm" TargetMode="External"/><Relationship Id="rId165" Type="http://schemas.openxmlformats.org/officeDocument/2006/relationships/hyperlink" Target="http://www.sec.gov/Archives/edgar/data/723612/000072361216000244/exhibit105-ferraroemployme.htm" TargetMode="External"/><Relationship Id="rId166" Type="http://schemas.openxmlformats.org/officeDocument/2006/relationships/hyperlink" Target="http://www.sec.gov/Archives/edgar/data/723612/000072361217000094/ex10_1employmentletter.htm" TargetMode="External"/><Relationship Id="rId167" Type="http://schemas.openxmlformats.org/officeDocument/2006/relationships/hyperlink" Target="http://www.sec.gov/Archives/edgar/data/723612/000119312517156458/d392846dex101.htm" TargetMode="External"/><Relationship Id="rId168" Type="http://schemas.openxmlformats.org/officeDocument/2006/relationships/hyperlink" Target="http://www.sec.gov/Archives/edgar/data/723612/000119312510037872/dex108.htm" TargetMode="External"/><Relationship Id="rId169" Type="http://schemas.openxmlformats.org/officeDocument/2006/relationships/hyperlink" Target="http://www.sec.gov/Archives/edgar/data/723612/000120677416005178/avis_def14a.htm" TargetMode="External"/><Relationship Id="rId170" Type="http://schemas.openxmlformats.org/officeDocument/2006/relationships/hyperlink" Target="http://www.sec.gov/Archives/edgar/data/723612/0000950136-97-001205.txt" TargetMode="External"/><Relationship Id="rId171" Type="http://schemas.openxmlformats.org/officeDocument/2006/relationships/hyperlink" Target="http://www.sec.gov/Archives/edgar/data/723612/000091205701505442/a2033484zex-10_12b.txt" TargetMode="External"/><Relationship Id="rId172" Type="http://schemas.openxmlformats.org/officeDocument/2006/relationships/hyperlink" Target="http://www.sec.gov/Archives/edgar/data/723612/000091205701505442/a2033484zex-10_12c.txt" TargetMode="External"/><Relationship Id="rId173" Type="http://schemas.openxmlformats.org/officeDocument/2006/relationships/hyperlink" Target="http://www.sec.gov/Archives/edgar/data/723612/000091205701505442/a2033484zex-10_12d.txt" TargetMode="External"/><Relationship Id="rId174" Type="http://schemas.openxmlformats.org/officeDocument/2006/relationships/hyperlink" Target="http://www.sec.gov/Archives/edgar/data/723612/000095012306002437/y17817exv10w16.htm" TargetMode="External"/><Relationship Id="rId175" Type="http://schemas.openxmlformats.org/officeDocument/2006/relationships/hyperlink" Target="http://www.sec.gov/Archives/edgar/data/723612/000072361209000006/abgemployeestockpurchaseplan.htm" TargetMode="External"/><Relationship Id="rId176" Type="http://schemas.openxmlformats.org/officeDocument/2006/relationships/hyperlink" Target="http://www.sec.gov/Archives/edgar/data/723612/000119312511279055/d237908dex1017b.htm" TargetMode="External"/><Relationship Id="rId177" Type="http://schemas.openxmlformats.org/officeDocument/2006/relationships/hyperlink" Target="http://www.sec.gov/Archives/edgar/data/723612/000119312512089534/d268073dex1017a.htm" TargetMode="External"/><Relationship Id="rId178" Type="http://schemas.openxmlformats.org/officeDocument/2006/relationships/hyperlink" Target="http://www.sec.gov/Archives/edgar/data/723612/000119312506162523/dex102.htm" TargetMode="External"/><Relationship Id="rId179" Type="http://schemas.openxmlformats.org/officeDocument/2006/relationships/hyperlink" Target="http://www.sec.gov/Archives/edgar/data/723612/000119312509039260/dex1015c.htm" TargetMode="External"/><Relationship Id="rId180" Type="http://schemas.openxmlformats.org/officeDocument/2006/relationships/hyperlink" Target="http://www.sec.gov/Archives/edgar/data/723612/000119312509039260/dex1015d.htm" TargetMode="External"/><Relationship Id="rId181" Type="http://schemas.openxmlformats.org/officeDocument/2006/relationships/hyperlink" Target="http://www.sec.gov/Archives/edgar/data/723612/000119312509165859/dex104.htm" TargetMode="External"/><Relationship Id="rId182" Type="http://schemas.openxmlformats.org/officeDocument/2006/relationships/hyperlink" Target="http://www.sec.gov/Archives/edgar/data/723612/000119312513068169/d449977dex1020.htm" TargetMode="External"/><Relationship Id="rId183" Type="http://schemas.openxmlformats.org/officeDocument/2006/relationships/hyperlink" Target="http://www.sec.gov/Archives/edgar/data/723612/000119312509039260/dex1017.htm" TargetMode="External"/><Relationship Id="rId184" Type="http://schemas.openxmlformats.org/officeDocument/2006/relationships/hyperlink" Target="http://www.sec.gov/Archives/edgar/data/723612/000119312509039260/dex1018.htm" TargetMode="External"/><Relationship Id="rId185" Type="http://schemas.openxmlformats.org/officeDocument/2006/relationships/hyperlink" Target="http://www.sec.gov/Archives/edgar/data/723612/000119312508042121/dex1059.htm" TargetMode="External"/><Relationship Id="rId186" Type="http://schemas.openxmlformats.org/officeDocument/2006/relationships/hyperlink" Target="http://www.sec.gov/Archives/edgar/data/723612/000119312509039260/dex1020.htm" TargetMode="External"/><Relationship Id="rId187" Type="http://schemas.openxmlformats.org/officeDocument/2006/relationships/hyperlink" Target="http://www.sec.gov/Archives/edgar/data/723612/000091205702040802/a2092465zex-10_71.txt" TargetMode="External"/><Relationship Id="rId188" Type="http://schemas.openxmlformats.org/officeDocument/2006/relationships/hyperlink" Target="http://www.sec.gov/Archives/edgar/data/723612/000091205702040802/a2092465zex-10_72.txt" TargetMode="External"/><Relationship Id="rId189" Type="http://schemas.openxmlformats.org/officeDocument/2006/relationships/hyperlink" Target="http://www.sec.gov/Archives/edgar/data/723612/000095012305001209/y05226exv10w3.htm" TargetMode="External"/><Relationship Id="rId190" Type="http://schemas.openxmlformats.org/officeDocument/2006/relationships/hyperlink" Target="http://www.sec.gov/Archives/edgar/data/723612/000095012305001209/y05226exv10w4.htm" TargetMode="External"/><Relationship Id="rId191" Type="http://schemas.openxmlformats.org/officeDocument/2006/relationships/hyperlink" Target="http://www.sec.gov/Archives/edgar/data/723612/000072361205000004/financialservicespolicy.htm" TargetMode="External"/><Relationship Id="rId192" Type="http://schemas.openxmlformats.org/officeDocument/2006/relationships/hyperlink" Target="http://www.sec.gov/Archives/edgar/data/723612/000119312506140779/dex101.htm" TargetMode="External"/><Relationship Id="rId193" Type="http://schemas.openxmlformats.org/officeDocument/2006/relationships/hyperlink" Target="http://www.sec.gov/Archives/edgar/data/723612/000119312506158308/dex101.htm" TargetMode="External"/><Relationship Id="rId194" Type="http://schemas.openxmlformats.org/officeDocument/2006/relationships/hyperlink" Target="http://www.sec.gov/Archives/edgar/data/723612/000119312506158308/dex102.htm" TargetMode="External"/><Relationship Id="rId195" Type="http://schemas.openxmlformats.org/officeDocument/2006/relationships/hyperlink" Target="http://www.sec.gov/Archives/edgar/data/723612/000119312508170083/dex104.htm" TargetMode="External"/><Relationship Id="rId196" Type="http://schemas.openxmlformats.org/officeDocument/2006/relationships/hyperlink" Target="http://www.sec.gov/Archives/edgar/data/723612/000095012305012969/e14101exv10w2.htm" TargetMode="External"/><Relationship Id="rId197" Type="http://schemas.openxmlformats.org/officeDocument/2006/relationships/hyperlink" Target="http://www.sec.gov/Archives/edgar/data/723612/000095012305012969/e14101exv10w3.htm" TargetMode="External"/><Relationship Id="rId198" Type="http://schemas.openxmlformats.org/officeDocument/2006/relationships/hyperlink" Target="http://www.sec.gov/Archives/edgar/data/723612/000072361216000352/gm2017purchaseagmt.htm" TargetMode="External"/><Relationship Id="rId199" Type="http://schemas.openxmlformats.org/officeDocument/2006/relationships/hyperlink" Target="http://www.sec.gov/Archives/edgar/data/723612/000072361217000145/gmmy2018purchase_agreement.htm" TargetMode="External"/><Relationship Id="rId200" Type="http://schemas.openxmlformats.org/officeDocument/2006/relationships/hyperlink" Target="http://www.sec.gov/Archives/edgar/data/723612/000072361216000338/exhibit10_1.htm" TargetMode="External"/><Relationship Id="rId201" Type="http://schemas.openxmlformats.org/officeDocument/2006/relationships/hyperlink" Target="http://www.sec.gov/Archives/edgar/data/723612/000072361217000127/fordabprogramletter8-kfili.htm" TargetMode="External"/><Relationship Id="rId202" Type="http://schemas.openxmlformats.org/officeDocument/2006/relationships/hyperlink" Target="http://www.sec.gov/Archives/edgar/data/723612/000095012304009102/y99348exv10w7.htm" TargetMode="External"/><Relationship Id="rId203" Type="http://schemas.openxmlformats.org/officeDocument/2006/relationships/hyperlink" Target="http://www.sec.gov/Archives/edgar/data/723612/000072361206000002/exhibit-1.htm" TargetMode="External"/><Relationship Id="rId204" Type="http://schemas.openxmlformats.org/officeDocument/2006/relationships/hyperlink" Target="http://www.sec.gov/Archives/edgar/data/723612/000119312507175647/dex106.htm" TargetMode="External"/><Relationship Id="rId205" Type="http://schemas.openxmlformats.org/officeDocument/2006/relationships/hyperlink" Target="http://www.sec.gov/Archives/edgar/data/723612/000072361214000041/exhibit1035csupplementalin.htm" TargetMode="External"/><Relationship Id="rId206" Type="http://schemas.openxmlformats.org/officeDocument/2006/relationships/hyperlink" Target="http://www.sec.gov/Archives/edgar/data/723612/000095012304009102/y99348exv10w8.htm" TargetMode="External"/><Relationship Id="rId207" Type="http://schemas.openxmlformats.org/officeDocument/2006/relationships/hyperlink" Target="http://www.sec.gov/Archives/edgar/data/723612/000072361206000002/exhibit-2.htm" TargetMode="External"/><Relationship Id="rId208" Type="http://schemas.openxmlformats.org/officeDocument/2006/relationships/hyperlink" Target="http://www.sec.gov/Archives/edgar/data/723612/000119312507175647/dex108.htm" TargetMode="External"/><Relationship Id="rId209" Type="http://schemas.openxmlformats.org/officeDocument/2006/relationships/hyperlink" Target="http://www.sec.gov/Archives/edgar/data/723612/000072361214000041/exhibit1036cthirdamendment.htm" TargetMode="External"/><Relationship Id="rId210" Type="http://schemas.openxmlformats.org/officeDocument/2006/relationships/hyperlink" Target="http://www.sec.gov/Archives/edgar/data/723612/000119312507044472/dex1029a.htm" TargetMode="External"/><Relationship Id="rId211" Type="http://schemas.openxmlformats.org/officeDocument/2006/relationships/hyperlink" Target="http://www.sec.gov/Archives/edgar/data/723612/000119312507044472/dex1029b.htm" TargetMode="External"/><Relationship Id="rId212" Type="http://schemas.openxmlformats.org/officeDocument/2006/relationships/hyperlink" Target="http://www.sec.gov/Archives/edgar/data/723612/000119312507175647/dex107.htm" TargetMode="External"/><Relationship Id="rId213" Type="http://schemas.openxmlformats.org/officeDocument/2006/relationships/hyperlink" Target="http://www.sec.gov/Archives/edgar/data/723612/000072361214000041/exhibit1037cthirdamendment.htm" TargetMode="External"/><Relationship Id="rId214" Type="http://schemas.openxmlformats.org/officeDocument/2006/relationships/hyperlink" Target="http://www.sec.gov/Archives/edgar/data/723612/000095012304009102/y99348exv10w9.htm" TargetMode="External"/><Relationship Id="rId215" Type="http://schemas.openxmlformats.org/officeDocument/2006/relationships/hyperlink" Target="http://www.sec.gov/Archives/edgar/data/723612/000072361206000002/exhibit-3.htm" TargetMode="External"/><Relationship Id="rId216" Type="http://schemas.openxmlformats.org/officeDocument/2006/relationships/hyperlink" Target="http://www.sec.gov/Archives/edgar/data/723612/000119312507175647/dex109.htm" TargetMode="External"/><Relationship Id="rId217" Type="http://schemas.openxmlformats.org/officeDocument/2006/relationships/hyperlink" Target="http://www.sec.gov/Archives/edgar/data/723612/000072361214000041/exhibit1038cfourthamendmen.htm" TargetMode="External"/><Relationship Id="rId218" Type="http://schemas.openxmlformats.org/officeDocument/2006/relationships/hyperlink" Target="http://www.sec.gov/Archives/edgar/data/723612/000119312507044472/dex1030a.htm" TargetMode="External"/><Relationship Id="rId219" Type="http://schemas.openxmlformats.org/officeDocument/2006/relationships/hyperlink" Target="http://www.sec.gov/Archives/edgar/data/723612/000119312507044472/dex1030b.htm" TargetMode="External"/><Relationship Id="rId220" Type="http://schemas.openxmlformats.org/officeDocument/2006/relationships/hyperlink" Target="http://www.sec.gov/Archives/edgar/data/723612/000119312507175647/dex1011.htm" TargetMode="External"/><Relationship Id="rId221" Type="http://schemas.openxmlformats.org/officeDocument/2006/relationships/hyperlink" Target="http://www.sec.gov/Archives/edgar/data/723612/000072361214000041/exhibit1039cfourthamendmen.htm" TargetMode="External"/><Relationship Id="rId222" Type="http://schemas.openxmlformats.org/officeDocument/2006/relationships/hyperlink" Target="http://www.sec.gov/Archives/edgar/data/723612/000072361213000018/exhibit101aesopioperatingsu.htm" TargetMode="External"/><Relationship Id="rId223" Type="http://schemas.openxmlformats.org/officeDocument/2006/relationships/hyperlink" Target="http://www.sec.gov/Archives/edgar/data/723612/000095012306002437/y17817exv10w34.htm" TargetMode="External"/><Relationship Id="rId224" Type="http://schemas.openxmlformats.org/officeDocument/2006/relationships/hyperlink" Target="http://www.sec.gov/Archives/edgar/data/723612/000072361214000041/exhibit1041afirstamendment.htm" TargetMode="External"/><Relationship Id="rId225" Type="http://schemas.openxmlformats.org/officeDocument/2006/relationships/hyperlink" Target="http://www.sec.gov/Archives/edgar/data/723612/000095012306002437/y17817exv10w35.htm" TargetMode="External"/><Relationship Id="rId226" Type="http://schemas.openxmlformats.org/officeDocument/2006/relationships/hyperlink" Target="http://www.sec.gov/Archives/edgar/data/723612/000072361213000062/a108arseries2012-3suppleme.htm" TargetMode="External"/><Relationship Id="rId227" Type="http://schemas.openxmlformats.org/officeDocument/2006/relationships/hyperlink" Target="http://www.sec.gov/Archives/edgar/data/723612/000072361213000062/a107arseries2013-1suppleme.htm" TargetMode="External"/><Relationship Id="rId228" Type="http://schemas.openxmlformats.org/officeDocument/2006/relationships/hyperlink" Target="http://www.sec.gov/Archives/edgar/data/723612/000072361214000041/exhibit1054series2013-2sup.htm" TargetMode="External"/><Relationship Id="rId229" Type="http://schemas.openxmlformats.org/officeDocument/2006/relationships/hyperlink" Target="http://www.sec.gov/Archives/edgar/data/723612/000072361214000037/series2014-1supplement.htm" TargetMode="External"/><Relationship Id="rId230" Type="http://schemas.openxmlformats.org/officeDocument/2006/relationships/hyperlink" Target="http://www.sec.gov/Archives/edgar/data/723612/000072361214000131/a2014-2supplement.htm" TargetMode="External"/><Relationship Id="rId231" Type="http://schemas.openxmlformats.org/officeDocument/2006/relationships/hyperlink" Target="http://www.sec.gov/Archives/edgar/data/723612/000072361215000040/series2015-1supplement.htm" TargetMode="External"/><Relationship Id="rId232" Type="http://schemas.openxmlformats.org/officeDocument/2006/relationships/hyperlink" Target="http://www.sec.gov/Archives/edgar/data/723612/000072361215000120/aesopseries2015-2supplement.htm" TargetMode="External"/><Relationship Id="rId233" Type="http://schemas.openxmlformats.org/officeDocument/2006/relationships/hyperlink" Target="http://www.sec.gov/Archives/edgar/data/723612/000072361216000282/indenturesupp.htm" TargetMode="External"/><Relationship Id="rId234" Type="http://schemas.openxmlformats.org/officeDocument/2006/relationships/hyperlink" Target="http://www.sec.gov/Archives/edgar/data/723612/000072361216000310/ex10_1.htm" TargetMode="External"/><Relationship Id="rId235" Type="http://schemas.openxmlformats.org/officeDocument/2006/relationships/hyperlink" Target="http://www.sec.gov/Archives/edgar/data/723612/000072361217000067/exhibit101to8-kforaesop201.htm" TargetMode="External"/><Relationship Id="rId236" Type="http://schemas.openxmlformats.org/officeDocument/2006/relationships/hyperlink" Target="http://www.sec.gov/Archives/edgar/data/723612/000072361217000165/ex101series2017-2indenture.htm" TargetMode="External"/><Relationship Id="rId237" Type="http://schemas.openxmlformats.org/officeDocument/2006/relationships/hyperlink" Target="http://www.sec.gov/Archives/edgar/data/723612/000072361216000344/creditagreement.htm" TargetMode="External"/><Relationship Id="rId238" Type="http://schemas.openxmlformats.org/officeDocument/2006/relationships/hyperlink" Target="http://www.sec.gov/Archives/edgar/data/723612/000072361217000059/exhbit101-firstamendmentto.htm" TargetMode="External"/><Relationship Id="rId239" Type="http://schemas.openxmlformats.org/officeDocument/2006/relationships/hyperlink" Target="http://www.sec.gov/Archives/edgar/data/723612/000072361217000125/exhibit10_1.htm" TargetMode="External"/><Relationship Id="rId240" Type="http://schemas.openxmlformats.org/officeDocument/2006/relationships/hyperlink" Target="http://www.sec.gov/Archives/edgar/data/723612/000072361211000006/guaranteeandcollateral.htm" TargetMode="External"/><Relationship Id="rId241" Type="http://schemas.openxmlformats.org/officeDocument/2006/relationships/hyperlink" Target="http://www.sec.gov/Archives/edgar/data/723612/000072361213000006/ex102sixthamendment.htm" TargetMode="External"/><Relationship Id="rId242" Type="http://schemas.openxmlformats.org/officeDocument/2006/relationships/hyperlink" Target="http://www.sec.gov/Archives/edgar/data/723612/000072361214000174/gcaamendment.htm" TargetMode="External"/><Relationship Id="rId243" Type="http://schemas.openxmlformats.org/officeDocument/2006/relationships/hyperlink" Target="http://www.sec.gov/Archives/edgar/data/723612/000072361213000013/exhibit101.htm" TargetMode="External"/><Relationship Id="rId244" Type="http://schemas.openxmlformats.org/officeDocument/2006/relationships/hyperlink" Target="http://www.sec.gov/Archives/edgar/data/723612/000072361213000015/ex101registrationrightsagmt.htm" TargetMode="External"/><Relationship Id="rId245" Type="http://schemas.openxmlformats.org/officeDocument/2006/relationships/hyperlink" Target="http://www.sec.gov/Archives/edgar/data/723612/000072361213000062/a104tripartiteagreement-av.htm" TargetMode="External"/><Relationship Id="rId246" Type="http://schemas.openxmlformats.org/officeDocument/2006/relationships/hyperlink" Target="http://www.sec.gov/Archives/edgar/data/723612/000072361214000115/ex101purchaseagreement.htm" TargetMode="External"/><Relationship Id="rId247" Type="http://schemas.openxmlformats.org/officeDocument/2006/relationships/hyperlink" Target="http://www.sec.gov/Archives/edgar/data/723612/000119312514448414/d831771dex1073.htm" TargetMode="External"/><Relationship Id="rId248" Type="http://schemas.openxmlformats.org/officeDocument/2006/relationships/hyperlink" Target="http://www.sec.gov/Archives/edgar/data/723612/000119312514448414/d831771dex1074.htm" TargetMode="External"/><Relationship Id="rId250" Type="http://schemas.openxmlformats.org/officeDocument/2006/relationships/hyperlink" Target="http://www.sec.gov/Archives/edgar/data/723612/000072361215000080/purchaseagreement-march2015.htm" TargetMode="External"/><Relationship Id="rId251" Type="http://schemas.openxmlformats.org/officeDocument/2006/relationships/hyperlink" Target="http://www.sec.gov/Archives/edgar/data/723612/000119312513101330/d500075dex101.htm" TargetMode="External"/><Relationship Id="rId252" Type="http://schemas.openxmlformats.org/officeDocument/2006/relationships/hyperlink" Target="http://www.sec.gov/Archives/edgar/data/723612/000072361214000139/a104arframeworkagreement.htm" TargetMode="External"/><Relationship Id="rId253" Type="http://schemas.openxmlformats.org/officeDocument/2006/relationships/hyperlink" Target="http://www.sec.gov/Archives/edgar/data/723612/000072361214000139/a105armasterdefinitionsagr.htm" TargetMode="External"/><Relationship Id="rId254" Type="http://schemas.openxmlformats.org/officeDocument/2006/relationships/hyperlink" Target="http://www.sec.gov/Archives/edgar/data/723612/000072361214000219/fourthmasteramendment.htm" TargetMode="External"/><Relationship Id="rId255" Type="http://schemas.openxmlformats.org/officeDocument/2006/relationships/hyperlink" Target="http://www.sec.gov/Archives/edgar/data/723612/000072361216000287/ex10_6seventhmasteramdt.htm" TargetMode="External"/><Relationship Id="rId256" Type="http://schemas.openxmlformats.org/officeDocument/2006/relationships/hyperlink" Target="http://www.sec.gov/Archives/edgar/data/723612/000072361217000092/ninthmasteramendmentandres.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2019-12-29T01:24:06Z</dcterms:created>
  <dcterms:modified xsi:type="dcterms:W3CDTF">2019-12-29T01:24:06Z</dcterms:modified>
</cp:coreProperties>
</file>