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337820</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354965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50165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2894965</wp:posOffset>
            </wp:positionH>
            <wp:positionV relativeFrom="paragraph">
              <wp:posOffset>-231775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360"/>
          </w:cols>
          <w:pgMar w:left="240" w:top="225" w:right="299" w:bottom="1440" w:gutter="0" w:footer="0" w:header="0"/>
        </w:sectPr>
      </w:pPr>
    </w:p>
    <w:p>
      <w:pPr>
        <w:spacing w:after="0" w:line="200" w:lineRule="exact"/>
        <w:rPr>
          <w:sz w:val="24"/>
          <w:szCs w:val="24"/>
          <w:color w:val="auto"/>
        </w:rPr>
      </w:pPr>
    </w:p>
    <w:p>
      <w:pPr>
        <w:spacing w:after="0" w:line="31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325" w:lineRule="exact"/>
        <w:rPr>
          <w:sz w:val="24"/>
          <w:szCs w:val="24"/>
          <w:color w:val="auto"/>
        </w:rPr>
      </w:pPr>
    </w:p>
    <w:p>
      <w:pPr>
        <w:ind w:left="2320"/>
        <w:spacing w:after="0"/>
        <w:rPr>
          <w:sz w:val="20"/>
          <w:szCs w:val="20"/>
          <w:color w:val="auto"/>
        </w:rPr>
      </w:pPr>
      <w:r>
        <w:rPr>
          <w:rFonts w:ascii="Arial" w:cs="Arial" w:eastAsia="Arial" w:hAnsi="Arial"/>
          <w:sz w:val="14"/>
          <w:szCs w:val="14"/>
          <w:b w:val="1"/>
          <w:bCs w:val="1"/>
          <w:color w:val="auto"/>
        </w:rPr>
        <w:t>For the quarterly period ended September 30, 2015</w:t>
      </w:r>
    </w:p>
    <w:p>
      <w:pPr>
        <w:spacing w:after="0" w:line="258" w:lineRule="exact"/>
        <w:rPr>
          <w:sz w:val="24"/>
          <w:szCs w:val="24"/>
          <w:color w:val="auto"/>
        </w:rPr>
      </w:pPr>
    </w:p>
    <w:p>
      <w:pPr>
        <w:ind w:left="3940"/>
        <w:spacing w:after="0"/>
        <w:rPr>
          <w:sz w:val="20"/>
          <w:szCs w:val="20"/>
          <w:color w:val="auto"/>
        </w:rPr>
      </w:pPr>
      <w:r>
        <w:rPr>
          <w:rFonts w:ascii="Arial" w:cs="Arial" w:eastAsia="Arial" w:hAnsi="Arial"/>
          <w:sz w:val="14"/>
          <w:szCs w:val="14"/>
          <w:b w:val="1"/>
          <w:bCs w:val="1"/>
          <w:color w:val="auto"/>
        </w:rPr>
        <w:t>OR</w:t>
      </w:r>
    </w:p>
    <w:p>
      <w:pPr>
        <w:spacing w:after="0" w:line="217" w:lineRule="exact"/>
        <w:rPr>
          <w:sz w:val="24"/>
          <w:szCs w:val="24"/>
          <w:color w:val="auto"/>
        </w:rPr>
      </w:pPr>
    </w:p>
    <w:p>
      <w:pPr>
        <w:ind w:left="2520" w:right="2320" w:hanging="2504"/>
        <w:spacing w:after="0" w:line="513" w:lineRule="auto"/>
        <w:rPr>
          <w:sz w:val="20"/>
          <w:szCs w:val="20"/>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 to _____</w:t>
      </w:r>
    </w:p>
    <w:p>
      <w:pPr>
        <w:spacing w:after="0" w:line="1" w:lineRule="exact"/>
        <w:rPr>
          <w:sz w:val="24"/>
          <w:szCs w:val="24"/>
          <w:color w:val="auto"/>
        </w:rPr>
      </w:pPr>
    </w:p>
    <w:p>
      <w:pPr>
        <w:ind w:left="2980"/>
        <w:spacing w:after="0"/>
        <w:rPr>
          <w:sz w:val="20"/>
          <w:szCs w:val="20"/>
          <w:color w:val="auto"/>
        </w:rPr>
      </w:pPr>
      <w:r>
        <w:rPr>
          <w:rFonts w:ascii="Arial" w:cs="Arial" w:eastAsia="Arial" w:hAnsi="Arial"/>
          <w:sz w:val="14"/>
          <w:szCs w:val="14"/>
          <w:b w:val="1"/>
          <w:bCs w:val="1"/>
          <w:color w:val="auto"/>
        </w:rPr>
        <w:t>Commission File No. 001-10308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1840865</wp:posOffset>
            </wp:positionH>
            <wp:positionV relativeFrom="paragraph">
              <wp:posOffset>361950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1240" w:space="420"/>
            <w:col w:w="9700"/>
          </w:cols>
          <w:pgMar w:left="240" w:top="225" w:right="29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tbl>
      <w:tblPr>
        <w:tblLayout w:type="fixed"/>
        <w:tblInd w:w="520" w:type="dxa"/>
        <w:tblCellMar>
          <w:top w:w="0" w:type="dxa"/>
          <w:left w:w="0" w:type="dxa"/>
          <w:bottom w:w="0" w:type="dxa"/>
          <w:right w:w="0" w:type="dxa"/>
        </w:tblCellMar>
      </w:tblPr>
      <w:tr>
        <w:trPr>
          <w:trHeight w:val="358"/>
        </w:trPr>
        <w:tc>
          <w:tcPr>
            <w:tcW w:w="2940" w:type="dxa"/>
            <w:vAlign w:val="bottom"/>
          </w:tcPr>
          <w:p>
            <w:pPr>
              <w:spacing w:after="0"/>
              <w:rPr>
                <w:sz w:val="24"/>
                <w:szCs w:val="24"/>
                <w:color w:val="auto"/>
              </w:rPr>
            </w:pPr>
          </w:p>
        </w:tc>
        <w:tc>
          <w:tcPr>
            <w:tcW w:w="6840" w:type="dxa"/>
            <w:vAlign w:val="bottom"/>
          </w:tcPr>
          <w:p>
            <w:pPr>
              <w:jc w:val="center"/>
              <w:ind w:right="2262"/>
              <w:spacing w:after="0"/>
              <w:rPr>
                <w:sz w:val="20"/>
                <w:szCs w:val="20"/>
                <w:color w:val="auto"/>
              </w:rPr>
            </w:pPr>
            <w:r>
              <w:rPr>
                <w:rFonts w:ascii="Arial" w:cs="Arial" w:eastAsia="Arial" w:hAnsi="Arial"/>
                <w:sz w:val="25"/>
                <w:szCs w:val="25"/>
                <w:b w:val="1"/>
                <w:bCs w:val="1"/>
                <w:color w:val="auto"/>
              </w:rPr>
              <w:t>Avis Budget Group, Inc.</w:t>
            </w:r>
          </w:p>
        </w:tc>
      </w:tr>
      <w:tr>
        <w:trPr>
          <w:trHeight w:val="377"/>
        </w:trPr>
        <w:tc>
          <w:tcPr>
            <w:tcW w:w="2940" w:type="dxa"/>
            <w:vAlign w:val="bottom"/>
          </w:tcPr>
          <w:p>
            <w:pPr>
              <w:spacing w:after="0"/>
              <w:rPr>
                <w:sz w:val="24"/>
                <w:szCs w:val="24"/>
                <w:color w:val="auto"/>
              </w:rPr>
            </w:pPr>
          </w:p>
        </w:tc>
        <w:tc>
          <w:tcPr>
            <w:tcW w:w="6840" w:type="dxa"/>
            <w:vAlign w:val="bottom"/>
          </w:tcPr>
          <w:p>
            <w:pPr>
              <w:ind w:left="46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r>
      <w:tr>
        <w:trPr>
          <w:trHeight w:val="405"/>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Delaware</w:t>
            </w:r>
          </w:p>
        </w:tc>
        <w:tc>
          <w:tcPr>
            <w:tcW w:w="6840" w:type="dxa"/>
            <w:vAlign w:val="bottom"/>
          </w:tcPr>
          <w:p>
            <w:pPr>
              <w:jc w:val="right"/>
              <w:ind w:right="242"/>
              <w:spacing w:after="0"/>
              <w:rPr>
                <w:sz w:val="20"/>
                <w:szCs w:val="20"/>
                <w:color w:val="auto"/>
              </w:rPr>
            </w:pPr>
            <w:r>
              <w:rPr>
                <w:rFonts w:ascii="Arial" w:cs="Arial" w:eastAsia="Arial" w:hAnsi="Arial"/>
                <w:sz w:val="14"/>
                <w:szCs w:val="14"/>
                <w:b w:val="1"/>
                <w:bCs w:val="1"/>
                <w:color w:val="auto"/>
              </w:rPr>
              <w:t>06-0918165</w:t>
            </w:r>
          </w:p>
        </w:tc>
      </w:tr>
      <w:tr>
        <w:trPr>
          <w:trHeight w:val="180"/>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(State or other jurisdiction of</w:t>
            </w:r>
          </w:p>
        </w:tc>
        <w:tc>
          <w:tcPr>
            <w:tcW w:w="6840" w:type="dxa"/>
            <w:vAlign w:val="bottom"/>
          </w:tcPr>
          <w:p>
            <w:pPr>
              <w:jc w:val="center"/>
              <w:ind w:left="5342"/>
              <w:spacing w:after="0"/>
              <w:rPr>
                <w:sz w:val="20"/>
                <w:szCs w:val="20"/>
                <w:color w:val="auto"/>
              </w:rPr>
            </w:pPr>
            <w:r>
              <w:rPr>
                <w:rFonts w:ascii="Arial" w:cs="Arial" w:eastAsia="Arial" w:hAnsi="Arial"/>
                <w:sz w:val="14"/>
                <w:szCs w:val="14"/>
                <w:i w:val="1"/>
                <w:iCs w:val="1"/>
                <w:color w:val="auto"/>
              </w:rPr>
              <w:t>(I.R.S. Employer</w:t>
            </w:r>
          </w:p>
        </w:tc>
      </w:tr>
      <w:tr>
        <w:trPr>
          <w:trHeight w:val="192"/>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incorporation or organization)</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Identification Number)</w:t>
            </w:r>
          </w:p>
        </w:tc>
      </w:tr>
      <w:tr>
        <w:trPr>
          <w:trHeight w:val="182"/>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6 Sylvan Way</w:t>
            </w:r>
          </w:p>
        </w:tc>
        <w:tc>
          <w:tcPr>
            <w:tcW w:w="6840" w:type="dxa"/>
            <w:vAlign w:val="bottom"/>
          </w:tcPr>
          <w:p>
            <w:pPr>
              <w:spacing w:after="0"/>
              <w:rPr>
                <w:sz w:val="15"/>
                <w:szCs w:val="15"/>
                <w:color w:val="auto"/>
              </w:rPr>
            </w:pPr>
          </w:p>
        </w:tc>
      </w:tr>
      <w:tr>
        <w:trPr>
          <w:trHeight w:val="202"/>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Parsippany, NJ</w:t>
            </w:r>
          </w:p>
        </w:tc>
        <w:tc>
          <w:tcPr>
            <w:tcW w:w="6840" w:type="dxa"/>
            <w:vAlign w:val="bottom"/>
          </w:tcPr>
          <w:p>
            <w:pPr>
              <w:jc w:val="right"/>
              <w:ind w:right="422"/>
              <w:spacing w:after="0"/>
              <w:rPr>
                <w:sz w:val="20"/>
                <w:szCs w:val="20"/>
                <w:color w:val="auto"/>
              </w:rPr>
            </w:pPr>
            <w:r>
              <w:rPr>
                <w:rFonts w:ascii="Arial" w:cs="Arial" w:eastAsia="Arial" w:hAnsi="Arial"/>
                <w:sz w:val="14"/>
                <w:szCs w:val="14"/>
                <w:b w:val="1"/>
                <w:bCs w:val="1"/>
                <w:color w:val="auto"/>
              </w:rPr>
              <w:t>07054</w:t>
            </w:r>
          </w:p>
        </w:tc>
      </w:tr>
      <w:tr>
        <w:trPr>
          <w:trHeight w:val="264"/>
        </w:trPr>
        <w:tc>
          <w:tcPr>
            <w:tcW w:w="2940" w:type="dxa"/>
            <w:vAlign w:val="bottom"/>
          </w:tcPr>
          <w:p>
            <w:pPr>
              <w:jc w:val="center"/>
              <w:ind w:right="408"/>
              <w:spacing w:after="0"/>
              <w:rPr>
                <w:sz w:val="20"/>
                <w:szCs w:val="20"/>
                <w:color w:val="auto"/>
              </w:rPr>
            </w:pPr>
            <w:r>
              <w:rPr>
                <w:rFonts w:ascii="Arial" w:cs="Arial" w:eastAsia="Arial" w:hAnsi="Arial"/>
                <w:sz w:val="14"/>
                <w:szCs w:val="14"/>
                <w:i w:val="1"/>
                <w:iCs w:val="1"/>
                <w:color w:val="auto"/>
              </w:rPr>
              <w:t>(Address of principal executive offices)</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(Zip Code)</w:t>
            </w:r>
          </w:p>
        </w:tc>
      </w:tr>
      <w:tr>
        <w:trPr>
          <w:trHeight w:val="186"/>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b w:val="1"/>
                <w:bCs w:val="1"/>
                <w:color w:val="auto"/>
              </w:rPr>
              <w:t>(973) 496-4700</w:t>
            </w:r>
          </w:p>
        </w:tc>
      </w:tr>
      <w:tr>
        <w:trPr>
          <w:trHeight w:val="192"/>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i w:val="1"/>
                <w:iCs w:val="1"/>
                <w:color w:val="auto"/>
              </w:rPr>
              <w:t>(Registrant’s telephone number, including area code)</w:t>
            </w:r>
          </w:p>
        </w:tc>
      </w:tr>
    </w:tbl>
    <w:p>
      <w:pPr>
        <w:spacing w:after="0" w:line="76" w:lineRule="exact"/>
        <w:rPr>
          <w:sz w:val="24"/>
          <w:szCs w:val="24"/>
          <w:color w:val="auto"/>
        </w:rPr>
      </w:pPr>
    </w:p>
    <w:p>
      <w:pPr>
        <w:ind w:right="100"/>
        <w:spacing w:after="0" w:line="291"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6"/>
          <w:szCs w:val="16"/>
          <w:color w:val="auto"/>
        </w:rPr>
        <w:t>x</w:t>
      </w:r>
      <w:r>
        <w:rPr>
          <w:rFonts w:ascii="Arial" w:cs="Arial" w:eastAsia="Arial" w:hAnsi="Arial"/>
          <w:sz w:val="14"/>
          <w:szCs w:val="14"/>
          <w:color w:val="auto"/>
        </w:rPr>
        <w:t xml:space="preserve"> No </w:t>
      </w:r>
      <w:r>
        <w:rPr>
          <w:rFonts w:ascii="Times New Roman" w:cs="Times New Roman" w:eastAsia="Times New Roman" w:hAnsi="Times New Roman"/>
          <w:sz w:val="16"/>
          <w:szCs w:val="16"/>
          <w:color w:val="auto"/>
        </w:rPr>
        <w:t>o</w:t>
      </w:r>
    </w:p>
    <w:p>
      <w:pPr>
        <w:spacing w:after="0" w:line="121" w:lineRule="exact"/>
        <w:rPr>
          <w:sz w:val="24"/>
          <w:szCs w:val="24"/>
          <w:color w:val="auto"/>
        </w:rPr>
      </w:pPr>
    </w:p>
    <w:p>
      <w:pPr>
        <w:ind w:right="20"/>
        <w:spacing w:after="0" w:line="287" w:lineRule="auto"/>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Times New Roman" w:cs="Times New Roman" w:eastAsia="Times New Roman" w:hAnsi="Times New Roman"/>
          <w:sz w:val="16"/>
          <w:szCs w:val="16"/>
          <w:color w:val="auto"/>
        </w:rPr>
        <w:t>x</w:t>
      </w:r>
      <w:r>
        <w:rPr>
          <w:rFonts w:ascii="Arial" w:cs="Arial" w:eastAsia="Arial" w:hAnsi="Arial"/>
          <w:sz w:val="14"/>
          <w:szCs w:val="14"/>
          <w:color w:val="auto"/>
        </w:rPr>
        <w:t xml:space="preserve"> No </w:t>
      </w:r>
      <w:r>
        <w:rPr>
          <w:rFonts w:ascii="Times New Roman" w:cs="Times New Roman" w:eastAsia="Times New Roman" w:hAnsi="Times New Roman"/>
          <w:sz w:val="16"/>
          <w:szCs w:val="16"/>
          <w:color w:val="auto"/>
        </w:rPr>
        <w:t>o</w:t>
      </w:r>
    </w:p>
    <w:p>
      <w:pPr>
        <w:spacing w:after="0" w:line="110" w:lineRule="exact"/>
        <w:rPr>
          <w:sz w:val="24"/>
          <w:szCs w:val="24"/>
          <w:color w:val="auto"/>
        </w:rPr>
      </w:pPr>
    </w:p>
    <w:p>
      <w:pPr>
        <w:ind w:right="100"/>
        <w:spacing w:after="0" w:line="29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2060" w:type="dxa"/>
            <w:vAlign w:val="bottom"/>
          </w:tcPr>
          <w:p>
            <w:pPr>
              <w:ind w:left="40"/>
              <w:spacing w:after="0"/>
              <w:rPr>
                <w:sz w:val="20"/>
                <w:szCs w:val="20"/>
                <w:color w:val="auto"/>
              </w:rPr>
            </w:pPr>
            <w:r>
              <w:rPr>
                <w:rFonts w:ascii="Arial" w:cs="Arial" w:eastAsia="Arial" w:hAnsi="Arial"/>
                <w:sz w:val="14"/>
                <w:szCs w:val="14"/>
                <w:color w:val="auto"/>
              </w:rPr>
              <w:t>Large accelerated filer</w:t>
            </w:r>
          </w:p>
        </w:tc>
        <w:tc>
          <w:tcPr>
            <w:tcW w:w="57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x</w:t>
            </w:r>
          </w:p>
        </w:tc>
        <w:tc>
          <w:tcPr>
            <w:tcW w:w="2800" w:type="dxa"/>
            <w:vAlign w:val="bottom"/>
          </w:tcPr>
          <w:p>
            <w:pPr>
              <w:ind w:left="620"/>
              <w:spacing w:after="0"/>
              <w:rPr>
                <w:sz w:val="20"/>
                <w:szCs w:val="20"/>
                <w:color w:val="auto"/>
              </w:rPr>
            </w:pPr>
            <w:r>
              <w:rPr>
                <w:rFonts w:ascii="Arial" w:cs="Arial" w:eastAsia="Arial" w:hAnsi="Arial"/>
                <w:sz w:val="14"/>
                <w:szCs w:val="14"/>
                <w:color w:val="auto"/>
              </w:rPr>
              <w:t>Accelerated filer</w:t>
            </w:r>
          </w:p>
        </w:tc>
        <w:tc>
          <w:tcPr>
            <w:tcW w:w="7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w:t>
            </w:r>
          </w:p>
        </w:tc>
      </w:tr>
      <w:tr>
        <w:trPr>
          <w:trHeight w:val="257"/>
        </w:trPr>
        <w:tc>
          <w:tcPr>
            <w:tcW w:w="2060" w:type="dxa"/>
            <w:vAlign w:val="bottom"/>
          </w:tcPr>
          <w:p>
            <w:pPr>
              <w:ind w:left="40"/>
              <w:spacing w:after="0"/>
              <w:rPr>
                <w:sz w:val="20"/>
                <w:szCs w:val="20"/>
                <w:color w:val="auto"/>
              </w:rPr>
            </w:pPr>
            <w:r>
              <w:rPr>
                <w:rFonts w:ascii="Arial" w:cs="Arial" w:eastAsia="Arial" w:hAnsi="Arial"/>
                <w:sz w:val="14"/>
                <w:szCs w:val="14"/>
                <w:color w:val="auto"/>
              </w:rPr>
              <w:t>Non-accelerated filer</w:t>
            </w:r>
          </w:p>
        </w:tc>
        <w:tc>
          <w:tcPr>
            <w:tcW w:w="57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o</w:t>
            </w:r>
          </w:p>
        </w:tc>
        <w:tc>
          <w:tcPr>
            <w:tcW w:w="2800" w:type="dxa"/>
            <w:vAlign w:val="bottom"/>
          </w:tcPr>
          <w:p>
            <w:pPr>
              <w:ind w:left="620"/>
              <w:spacing w:after="0"/>
              <w:rPr>
                <w:sz w:val="20"/>
                <w:szCs w:val="20"/>
                <w:color w:val="auto"/>
              </w:rPr>
            </w:pPr>
            <w:r>
              <w:rPr>
                <w:rFonts w:ascii="Arial" w:cs="Arial" w:eastAsia="Arial" w:hAnsi="Arial"/>
                <w:sz w:val="14"/>
                <w:szCs w:val="14"/>
                <w:color w:val="auto"/>
              </w:rPr>
              <w:t>Smaller reporting company</w:t>
            </w:r>
          </w:p>
        </w:tc>
        <w:tc>
          <w:tcPr>
            <w:tcW w:w="7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o</w:t>
            </w:r>
          </w:p>
        </w:tc>
      </w:tr>
      <w:tr>
        <w:trPr>
          <w:trHeight w:val="394"/>
        </w:trPr>
        <w:tc>
          <w:tcPr>
            <w:tcW w:w="7840" w:type="dxa"/>
            <w:vAlign w:val="bottom"/>
            <w:gridSpan w:val="2"/>
          </w:tcPr>
          <w:p>
            <w:pPr>
              <w:spacing w:after="0"/>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Times New Roman" w:cs="Times New Roman" w:eastAsia="Times New Roman" w:hAnsi="Times New Roman"/>
                <w:sz w:val="16"/>
                <w:szCs w:val="16"/>
                <w:color w:val="auto"/>
              </w:rPr>
              <w:t>o</w:t>
            </w:r>
          </w:p>
        </w:tc>
        <w:tc>
          <w:tcPr>
            <w:tcW w:w="2800" w:type="dxa"/>
            <w:vAlign w:val="bottom"/>
          </w:tcPr>
          <w:p>
            <w:pPr>
              <w:ind w:left="80"/>
              <w:spacing w:after="0"/>
              <w:rPr>
                <w:sz w:val="20"/>
                <w:szCs w:val="20"/>
                <w:color w:val="auto"/>
              </w:rPr>
            </w:pPr>
            <w:r>
              <w:rPr>
                <w:rFonts w:ascii="Arial" w:cs="Arial" w:eastAsia="Arial" w:hAnsi="Arial"/>
                <w:sz w:val="14"/>
                <w:szCs w:val="14"/>
                <w:color w:val="auto"/>
              </w:rPr>
              <w:t xml:space="preserve">No </w:t>
            </w:r>
            <w:r>
              <w:rPr>
                <w:rFonts w:ascii="Times New Roman" w:cs="Times New Roman" w:eastAsia="Times New Roman" w:hAnsi="Times New Roman"/>
                <w:sz w:val="16"/>
                <w:szCs w:val="16"/>
                <w:color w:val="auto"/>
              </w:rPr>
              <w:t>x</w:t>
            </w:r>
          </w:p>
        </w:tc>
        <w:tc>
          <w:tcPr>
            <w:tcW w:w="720" w:type="dxa"/>
            <w:vAlign w:val="bottom"/>
          </w:tcPr>
          <w:p>
            <w:pPr>
              <w:spacing w:after="0"/>
              <w:rPr>
                <w:sz w:val="24"/>
                <w:szCs w:val="24"/>
                <w:color w:val="auto"/>
              </w:rPr>
            </w:pPr>
          </w:p>
        </w:tc>
      </w:tr>
      <w:tr>
        <w:trPr>
          <w:trHeight w:val="390"/>
        </w:trPr>
        <w:tc>
          <w:tcPr>
            <w:tcW w:w="7840" w:type="dxa"/>
            <w:vAlign w:val="bottom"/>
            <w:gridSpan w:val="2"/>
          </w:tcPr>
          <w:p>
            <w:pPr>
              <w:spacing w:after="0"/>
              <w:rPr>
                <w:sz w:val="20"/>
                <w:szCs w:val="20"/>
                <w:color w:val="auto"/>
              </w:rPr>
            </w:pPr>
            <w:r>
              <w:rPr>
                <w:rFonts w:ascii="Arial" w:cs="Arial" w:eastAsia="Arial" w:hAnsi="Arial"/>
                <w:sz w:val="14"/>
                <w:szCs w:val="14"/>
                <w:color w:val="auto"/>
              </w:rPr>
              <w:t>The number of shares outstanding of the issuer’s common stock was 100,306,123 shares as of October 30, 2015.</w:t>
            </w:r>
          </w:p>
        </w:tc>
        <w:tc>
          <w:tcPr>
            <w:tcW w:w="28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65"/>
        </w:trPr>
        <w:tc>
          <w:tcPr>
            <w:tcW w:w="2060" w:type="dxa"/>
            <w:vAlign w:val="bottom"/>
            <w:tcBorders>
              <w:bottom w:val="single" w:sz="8" w:color="auto"/>
            </w:tcBorders>
          </w:tcPr>
          <w:p>
            <w:pPr>
              <w:spacing w:after="0"/>
              <w:rPr>
                <w:sz w:val="23"/>
                <w:szCs w:val="23"/>
                <w:color w:val="auto"/>
              </w:rPr>
            </w:pPr>
          </w:p>
        </w:tc>
        <w:tc>
          <w:tcPr>
            <w:tcW w:w="5780" w:type="dxa"/>
            <w:vAlign w:val="bottom"/>
            <w:tcBorders>
              <w:bottom w:val="single" w:sz="8" w:color="auto"/>
            </w:tcBorders>
          </w:tcPr>
          <w:p>
            <w:pPr>
              <w:spacing w:after="0"/>
              <w:rPr>
                <w:sz w:val="23"/>
                <w:szCs w:val="23"/>
                <w:color w:val="auto"/>
              </w:rPr>
            </w:pPr>
          </w:p>
        </w:tc>
        <w:tc>
          <w:tcPr>
            <w:tcW w:w="28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spacing w:after="0"/>
              <w:rPr>
                <w:sz w:val="23"/>
                <w:szCs w:val="23"/>
                <w:color w:val="auto"/>
              </w:rPr>
            </w:pPr>
          </w:p>
        </w:tc>
      </w:tr>
      <w:tr>
        <w:trPr>
          <w:trHeight w:val="20"/>
        </w:trPr>
        <w:tc>
          <w:tcPr>
            <w:tcW w:w="2060" w:type="dxa"/>
            <w:vAlign w:val="bottom"/>
            <w:tcBorders>
              <w:bottom w:val="single" w:sz="8" w:color="auto"/>
            </w:tcBorders>
          </w:tcPr>
          <w:p>
            <w:pPr>
              <w:spacing w:after="0" w:line="20" w:lineRule="exact"/>
              <w:rPr>
                <w:sz w:val="1"/>
                <w:szCs w:val="1"/>
                <w:color w:val="auto"/>
              </w:rPr>
            </w:pPr>
          </w:p>
        </w:tc>
        <w:tc>
          <w:tcPr>
            <w:tcW w:w="578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360"/>
          </w:cols>
          <w:pgMar w:left="240" w:top="225"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223"/>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68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Financial Information</w:t>
              </w:r>
            </w:hyperlink>
          </w:p>
        </w:tc>
        <w:tc>
          <w:tcPr>
            <w:tcW w:w="7880" w:type="dxa"/>
            <w:vAlign w:val="bottom"/>
            <w:gridSpan w:val="10"/>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56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Condensed Statements of Comprehensive Income for the Three and Nine Months Ended September</w:t>
              </w:r>
            </w:hyperlink>
          </w:p>
        </w:tc>
        <w:tc>
          <w:tcPr>
            <w:tcW w:w="72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183"/>
        </w:trPr>
        <w:tc>
          <w:tcPr>
            <w:tcW w:w="1020" w:type="dxa"/>
            <w:vAlign w:val="bottom"/>
          </w:tcPr>
          <w:p>
            <w:pPr>
              <w:spacing w:after="0"/>
              <w:rPr>
                <w:sz w:val="15"/>
                <w:szCs w:val="15"/>
                <w:color w:val="auto"/>
              </w:rPr>
            </w:pPr>
          </w:p>
        </w:tc>
        <w:tc>
          <w:tcPr>
            <w:tcW w:w="250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30, 2015 and 2014 (Unaudited)</w:t>
              </w:r>
            </w:hyperlink>
          </w:p>
        </w:tc>
        <w:tc>
          <w:tcPr>
            <w:tcW w:w="6620" w:type="dxa"/>
            <w:vAlign w:val="bottom"/>
            <w:tcBorders>
              <w:top w:val="single" w:sz="8" w:color="0000EE"/>
            </w:tcBorders>
            <w:gridSpan w:val="7"/>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439"/>
        </w:trPr>
        <w:tc>
          <w:tcPr>
            <w:tcW w:w="1020" w:type="dxa"/>
            <w:vAlign w:val="bottom"/>
          </w:tcPr>
          <w:p>
            <w:pPr>
              <w:spacing w:after="0"/>
              <w:rPr>
                <w:sz w:val="24"/>
                <w:szCs w:val="24"/>
                <w:color w:val="auto"/>
              </w:rPr>
            </w:pPr>
          </w:p>
        </w:tc>
        <w:tc>
          <w:tcPr>
            <w:tcW w:w="956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Condensed Balance Sheets as of September 30, 2015 and December 31, 2014 (Unaudited)</w:t>
              </w:r>
            </w:hyperlink>
          </w:p>
        </w:tc>
        <w:tc>
          <w:tcPr>
            <w:tcW w:w="72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39"/>
        </w:trPr>
        <w:tc>
          <w:tcPr>
            <w:tcW w:w="1020" w:type="dxa"/>
            <w:vAlign w:val="bottom"/>
          </w:tcPr>
          <w:p>
            <w:pPr>
              <w:spacing w:after="0"/>
              <w:rPr>
                <w:sz w:val="24"/>
                <w:szCs w:val="24"/>
                <w:color w:val="auto"/>
              </w:rPr>
            </w:pPr>
          </w:p>
        </w:tc>
        <w:tc>
          <w:tcPr>
            <w:tcW w:w="956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Condensed Statements of Cash Flows for the Nine Months Ended September 30, 2015 and 2014</w:t>
              </w:r>
            </w:hyperlink>
          </w:p>
        </w:tc>
        <w:tc>
          <w:tcPr>
            <w:tcW w:w="720" w:type="dxa"/>
            <w:vAlign w:val="bottom"/>
            <w:gridSpan w:val="4"/>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r>
      <w:tr>
        <w:trPr>
          <w:trHeight w:val="183"/>
        </w:trPr>
        <w:tc>
          <w:tcPr>
            <w:tcW w:w="1020" w:type="dxa"/>
            <w:vAlign w:val="bottom"/>
          </w:tcPr>
          <w:p>
            <w:pPr>
              <w:spacing w:after="0"/>
              <w:rPr>
                <w:sz w:val="15"/>
                <w:szCs w:val="15"/>
                <w:color w:val="auto"/>
              </w:rPr>
            </w:pPr>
          </w:p>
        </w:tc>
        <w:tc>
          <w:tcPr>
            <w:tcW w:w="884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(Unaudited)</w:t>
              </w:r>
            </w:hyperlink>
          </w:p>
        </w:tc>
        <w:tc>
          <w:tcPr>
            <w:tcW w:w="7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439"/>
        </w:trPr>
        <w:tc>
          <w:tcPr>
            <w:tcW w:w="1020" w:type="dxa"/>
            <w:vAlign w:val="bottom"/>
          </w:tcPr>
          <w:p>
            <w:pPr>
              <w:spacing w:after="0"/>
              <w:rPr>
                <w:sz w:val="24"/>
                <w:szCs w:val="24"/>
                <w:color w:val="auto"/>
              </w:rPr>
            </w:pPr>
          </w:p>
        </w:tc>
        <w:tc>
          <w:tcPr>
            <w:tcW w:w="9560" w:type="dxa"/>
            <w:vAlign w:val="bottom"/>
            <w:gridSpan w:val="16"/>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Consolidated Condensed Financial Statements (Unaudited)</w:t>
              </w:r>
            </w:hyperlink>
          </w:p>
        </w:tc>
        <w:tc>
          <w:tcPr>
            <w:tcW w:w="720" w:type="dxa"/>
            <w:vAlign w:val="bottom"/>
            <w:gridSpan w:val="4"/>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7</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6"/>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Management’s Discussion and Analysis of Financial Condition and Results of Operations</w:t>
              </w:r>
            </w:hyperlink>
          </w:p>
        </w:tc>
        <w:tc>
          <w:tcPr>
            <w:tcW w:w="720" w:type="dxa"/>
            <w:vAlign w:val="bottom"/>
            <w:gridSpan w:val="4"/>
          </w:tcPr>
          <w:p>
            <w:pPr>
              <w:jc w:val="right"/>
              <w:spacing w:after="0"/>
              <w:rPr>
                <w:rFonts w:ascii="Arial" w:cs="Arial" w:eastAsia="Arial" w:hAnsi="Arial"/>
                <w:sz w:val="18"/>
                <w:szCs w:val="18"/>
                <w:color w:val="0000FF"/>
              </w:rPr>
            </w:pPr>
            <w:hyperlink w:anchor="page33">
              <w:r>
                <w:rPr>
                  <w:rFonts w:ascii="Arial" w:cs="Arial" w:eastAsia="Arial" w:hAnsi="Arial"/>
                  <w:sz w:val="18"/>
                  <w:szCs w:val="18"/>
                  <w:color w:val="0000FF"/>
                </w:rPr>
                <w:t>32</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gridSpan w:val="9"/>
          </w:tcPr>
          <w:p>
            <w:pPr>
              <w:spacing w:after="0"/>
              <w:rPr>
                <w:rFonts w:ascii="Arial" w:cs="Arial" w:eastAsia="Arial" w:hAnsi="Arial"/>
                <w:sz w:val="18"/>
                <w:szCs w:val="18"/>
                <w:color w:val="0000FF"/>
                <w:w w:val="99"/>
              </w:rPr>
            </w:pPr>
            <w:hyperlink w:anchor="page45">
              <w:r>
                <w:rPr>
                  <w:rFonts w:ascii="Arial" w:cs="Arial" w:eastAsia="Arial" w:hAnsi="Arial"/>
                  <w:sz w:val="18"/>
                  <w:szCs w:val="18"/>
                  <w:color w:val="0000FF"/>
                  <w:w w:val="99"/>
                </w:rPr>
                <w:t>Quantitative and Qualitative Disclosures about Market Risk</w:t>
              </w:r>
            </w:hyperlink>
          </w:p>
        </w:tc>
        <w:tc>
          <w:tcPr>
            <w:tcW w:w="2380" w:type="dxa"/>
            <w:vAlign w:val="bottom"/>
            <w:gridSpan w:val="3"/>
          </w:tcPr>
          <w:p>
            <w:pPr>
              <w:spacing w:after="0"/>
              <w:rPr>
                <w:sz w:val="20"/>
                <w:szCs w:val="20"/>
                <w:color w:val="auto"/>
              </w:rPr>
            </w:pPr>
          </w:p>
        </w:tc>
        <w:tc>
          <w:tcPr>
            <w:tcW w:w="2480" w:type="dxa"/>
            <w:vAlign w:val="bottom"/>
            <w:gridSpan w:val="4"/>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45">
              <w:r>
                <w:rPr>
                  <w:rFonts w:ascii="Arial" w:cs="Arial" w:eastAsia="Arial" w:hAnsi="Arial"/>
                  <w:sz w:val="18"/>
                  <w:szCs w:val="18"/>
                  <w:color w:val="0000EE"/>
                </w:rPr>
                <w:t>43</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7"/>
          </w:tcPr>
          <w:p>
            <w:pPr>
              <w:spacing w:after="0"/>
              <w:rPr>
                <w:rFonts w:ascii="Arial" w:cs="Arial" w:eastAsia="Arial" w:hAnsi="Arial"/>
                <w:sz w:val="18"/>
                <w:szCs w:val="18"/>
                <w:color w:val="0000FF"/>
                <w:w w:val="99"/>
              </w:rPr>
            </w:pPr>
            <w:hyperlink w:anchor="page45">
              <w:r>
                <w:rPr>
                  <w:rFonts w:ascii="Arial" w:cs="Arial" w:eastAsia="Arial" w:hAnsi="Arial"/>
                  <w:sz w:val="18"/>
                  <w:szCs w:val="18"/>
                  <w:color w:val="0000FF"/>
                  <w:w w:val="99"/>
                </w:rPr>
                <w:t>Controls and Procedures</w:t>
              </w:r>
            </w:hyperlink>
          </w:p>
        </w:tc>
        <w:tc>
          <w:tcPr>
            <w:tcW w:w="2700" w:type="dxa"/>
            <w:vAlign w:val="bottom"/>
            <w:gridSpan w:val="2"/>
          </w:tcPr>
          <w:p>
            <w:pPr>
              <w:spacing w:after="0"/>
              <w:rPr>
                <w:sz w:val="20"/>
                <w:szCs w:val="20"/>
                <w:color w:val="auto"/>
              </w:rPr>
            </w:pPr>
          </w:p>
        </w:tc>
        <w:tc>
          <w:tcPr>
            <w:tcW w:w="4860" w:type="dxa"/>
            <w:vAlign w:val="bottom"/>
            <w:gridSpan w:val="7"/>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5">
              <w:r>
                <w:rPr>
                  <w:rFonts w:ascii="Arial" w:cs="Arial" w:eastAsia="Arial" w:hAnsi="Arial"/>
                  <w:sz w:val="18"/>
                  <w:szCs w:val="18"/>
                  <w:color w:val="0000FF"/>
                </w:rPr>
                <w:t>43</w:t>
              </w:r>
            </w:hyperlink>
          </w:p>
        </w:tc>
      </w:tr>
      <w:tr>
        <w:trPr>
          <w:trHeight w:val="237"/>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7"/>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Other Information</w:t>
              </w:r>
            </w:hyperlink>
          </w:p>
        </w:tc>
        <w:tc>
          <w:tcPr>
            <w:tcW w:w="7560" w:type="dxa"/>
            <w:vAlign w:val="bottom"/>
            <w:gridSpan w:val="9"/>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5"/>
          </w:tcPr>
          <w:p>
            <w:pPr>
              <w:spacing w:after="0"/>
              <w:rPr>
                <w:rFonts w:ascii="Arial" w:cs="Arial" w:eastAsia="Arial" w:hAnsi="Arial"/>
                <w:sz w:val="18"/>
                <w:szCs w:val="18"/>
                <w:color w:val="0000FF"/>
                <w:w w:val="99"/>
              </w:rPr>
            </w:pPr>
            <w:hyperlink w:anchor="page46">
              <w:r>
                <w:rPr>
                  <w:rFonts w:ascii="Arial" w:cs="Arial" w:eastAsia="Arial" w:hAnsi="Arial"/>
                  <w:sz w:val="18"/>
                  <w:szCs w:val="18"/>
                  <w:color w:val="0000FF"/>
                  <w:w w:val="99"/>
                </w:rPr>
                <w:t>Legal Proceedings</w:t>
              </w:r>
            </w:hyperlink>
          </w:p>
        </w:tc>
        <w:tc>
          <w:tcPr>
            <w:tcW w:w="8060" w:type="dxa"/>
            <w:vAlign w:val="bottom"/>
            <w:gridSpan w:val="11"/>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10"/>
          </w:tcPr>
          <w:p>
            <w:pPr>
              <w:spacing w:after="0"/>
              <w:rPr>
                <w:rFonts w:ascii="Arial" w:cs="Arial" w:eastAsia="Arial" w:hAnsi="Arial"/>
                <w:sz w:val="18"/>
                <w:szCs w:val="18"/>
                <w:color w:val="0000EE"/>
                <w:w w:val="99"/>
              </w:rPr>
            </w:pPr>
            <w:hyperlink w:anchor="page46">
              <w:r>
                <w:rPr>
                  <w:rFonts w:ascii="Arial" w:cs="Arial" w:eastAsia="Arial" w:hAnsi="Arial"/>
                  <w:sz w:val="18"/>
                  <w:szCs w:val="18"/>
                  <w:color w:val="0000EE"/>
                  <w:w w:val="99"/>
                </w:rPr>
                <w:t>Unregistered Sales of Equity Securities and Use of Proceeds</w:t>
              </w:r>
            </w:hyperlink>
          </w:p>
        </w:tc>
        <w:tc>
          <w:tcPr>
            <w:tcW w:w="4700" w:type="dxa"/>
            <w:vAlign w:val="bottom"/>
            <w:gridSpan w:val="6"/>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46">
              <w:r>
                <w:rPr>
                  <w:rFonts w:ascii="Arial" w:cs="Arial" w:eastAsia="Arial" w:hAnsi="Arial"/>
                  <w:sz w:val="18"/>
                  <w:szCs w:val="18"/>
                  <w:color w:val="0000EE"/>
                </w:rPr>
                <w:t>44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0" w:type="dxa"/>
            <w:vAlign w:val="bottom"/>
            <w:gridSpan w:val="8"/>
            <w:shd w:val="clear" w:color="auto" w:fill="0000EE"/>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rFonts w:ascii="Arial" w:cs="Arial" w:eastAsia="Arial" w:hAnsi="Arial"/>
                <w:sz w:val="18"/>
                <w:szCs w:val="18"/>
                <w:color w:val="0000FF"/>
                <w:w w:val="98"/>
              </w:rPr>
            </w:pPr>
            <w:hyperlink w:anchor="page46">
              <w:r>
                <w:rPr>
                  <w:rFonts w:ascii="Arial" w:cs="Arial" w:eastAsia="Arial" w:hAnsi="Arial"/>
                  <w:sz w:val="18"/>
                  <w:szCs w:val="18"/>
                  <w:color w:val="0000FF"/>
                  <w:w w:val="98"/>
                </w:rPr>
                <w:t>Exhibits</w:t>
              </w:r>
            </w:hyperlink>
          </w:p>
        </w:tc>
        <w:tc>
          <w:tcPr>
            <w:tcW w:w="4220" w:type="dxa"/>
            <w:vAlign w:val="bottom"/>
            <w:gridSpan w:val="9"/>
          </w:tcPr>
          <w:p>
            <w:pPr>
              <w:spacing w:after="0"/>
              <w:rPr>
                <w:sz w:val="20"/>
                <w:szCs w:val="20"/>
                <w:color w:val="auto"/>
              </w:rPr>
            </w:pPr>
          </w:p>
        </w:tc>
        <w:tc>
          <w:tcPr>
            <w:tcW w:w="4700" w:type="dxa"/>
            <w:vAlign w:val="bottom"/>
            <w:gridSpan w:val="6"/>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700" w:type="dxa"/>
            <w:vAlign w:val="bottom"/>
            <w:gridSpan w:val="1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6"/>
          </w:tcPr>
          <w:p>
            <w:pPr>
              <w:spacing w:after="0"/>
              <w:rPr>
                <w:rFonts w:ascii="Arial" w:cs="Arial" w:eastAsia="Arial" w:hAnsi="Arial"/>
                <w:sz w:val="18"/>
                <w:szCs w:val="18"/>
                <w:color w:val="0000FF"/>
              </w:rPr>
            </w:pPr>
            <w:hyperlink w:anchor="page46">
              <w:r>
                <w:rPr>
                  <w:rFonts w:ascii="Arial" w:cs="Arial" w:eastAsia="Arial" w:hAnsi="Arial"/>
                  <w:sz w:val="18"/>
                  <w:szCs w:val="18"/>
                  <w:color w:val="0000FF"/>
                </w:rPr>
                <w:t>Signatures</w:t>
              </w:r>
            </w:hyperlink>
          </w:p>
        </w:tc>
        <w:tc>
          <w:tcPr>
            <w:tcW w:w="720" w:type="dxa"/>
            <w:vAlign w:val="bottom"/>
            <w:gridSpan w:val="4"/>
          </w:tcPr>
          <w:p>
            <w:pPr>
              <w:jc w:val="right"/>
              <w:spacing w:after="0"/>
              <w:rPr>
                <w:rFonts w:ascii="Arial" w:cs="Arial" w:eastAsia="Arial" w:hAnsi="Arial"/>
                <w:sz w:val="18"/>
                <w:szCs w:val="18"/>
                <w:color w:val="0000FF"/>
              </w:rPr>
            </w:pPr>
            <w:hyperlink w:anchor="page46">
              <w:r>
                <w:rPr>
                  <w:rFonts w:ascii="Arial" w:cs="Arial" w:eastAsia="Arial" w:hAnsi="Arial"/>
                  <w:sz w:val="18"/>
                  <w:szCs w:val="18"/>
                  <w:color w:val="0000FF"/>
                </w:rPr>
                <w:t>45</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340"/>
          </w:cols>
          <w:pgMar w:left="240" w:top="115" w:right="3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w:t>
      </w:r>
    </w:p>
    <w:p>
      <w:pPr>
        <w:spacing w:after="0" w:line="178"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high level of competition in the vehicle rental industry and the impact such competition may have on pricing and rental volume;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travel demand, including changes in airline passenger traffic;</w:t>
      </w:r>
    </w:p>
    <w:p>
      <w:pPr>
        <w:spacing w:after="0" w:line="225" w:lineRule="exact"/>
        <w:rPr>
          <w:rFonts w:ascii="Arial" w:cs="Arial" w:eastAsia="Arial" w:hAnsi="Arial"/>
          <w:sz w:val="18"/>
          <w:szCs w:val="18"/>
          <w:color w:val="auto"/>
        </w:rPr>
      </w:pPr>
    </w:p>
    <w:p>
      <w:pPr>
        <w:ind w:left="660" w:right="260" w:hanging="328"/>
        <w:spacing w:after="0" w:line="27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our fleet costs as a result of a change in the cost of new vehicles, manufacturer recalls, disruption in the supply of new vehicles, and/or a change in the price at which we dispose of used vehicles either in the used vehicle market or under repurchase or guaranteed depreciation programs;</w:t>
      </w:r>
    </w:p>
    <w:p>
      <w:pPr>
        <w:spacing w:after="0" w:line="163"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cars, which could impact their ability to perform their payment obligations under our agreements with them, including repurchase and/or guaranteed depreciation arrangements, and/or their willingness or ability to make cars available to us or the rental car industry as a whole on commercially reasonable terms or at all;</w:t>
      </w:r>
    </w:p>
    <w:p>
      <w:pPr>
        <w:spacing w:after="0" w:line="1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change in economic conditions generally, particularly during our peak season or in key market segments;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to achieve and maintain cost savings and successfully implement our business strategies;</w:t>
      </w:r>
    </w:p>
    <w:p>
      <w:pPr>
        <w:spacing w:after="0" w:line="225" w:lineRule="exact"/>
        <w:rPr>
          <w:rFonts w:ascii="Arial" w:cs="Arial" w:eastAsia="Arial" w:hAnsi="Arial"/>
          <w:sz w:val="18"/>
          <w:szCs w:val="18"/>
          <w:color w:val="auto"/>
        </w:rPr>
      </w:pPr>
    </w:p>
    <w:p>
      <w:pPr>
        <w:ind w:left="660" w:right="180" w:hanging="328"/>
        <w:spacing w:after="0" w:line="29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44" w:lineRule="exact"/>
        <w:rPr>
          <w:rFonts w:ascii="Arial" w:cs="Arial" w:eastAsia="Arial" w:hAnsi="Arial"/>
          <w:sz w:val="18"/>
          <w:szCs w:val="18"/>
          <w:color w:val="auto"/>
        </w:rPr>
      </w:pPr>
    </w:p>
    <w:p>
      <w:pPr>
        <w:ind w:left="660" w:right="340" w:hanging="328"/>
        <w:spacing w:after="0" w:line="29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occurrence or threat of terrorism, pandemic disease, natural disasters, military conflict or civil unrest in the locations in which we operate;</w:t>
      </w:r>
    </w:p>
    <w:p>
      <w:pPr>
        <w:spacing w:after="0" w:line="144" w:lineRule="exact"/>
        <w:rPr>
          <w:rFonts w:ascii="Arial" w:cs="Arial" w:eastAsia="Arial" w:hAnsi="Arial"/>
          <w:sz w:val="18"/>
          <w:szCs w:val="18"/>
          <w:color w:val="auto"/>
        </w:rPr>
      </w:pPr>
    </w:p>
    <w:p>
      <w:pPr>
        <w:ind w:left="660" w:right="240" w:hanging="328"/>
        <w:spacing w:after="0" w:line="29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44" w:lineRule="exact"/>
        <w:rPr>
          <w:rFonts w:ascii="Arial" w:cs="Arial" w:eastAsia="Arial" w:hAnsi="Arial"/>
          <w:sz w:val="18"/>
          <w:szCs w:val="18"/>
          <w:color w:val="auto"/>
        </w:rPr>
      </w:pPr>
    </w:p>
    <w:p>
      <w:pPr>
        <w:ind w:left="660" w:right="180" w:hanging="328"/>
        <w:spacing w:after="0" w:line="29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accurately estimate our future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exposure to uninsured claims in excess of historical levels;</w:t>
      </w:r>
    </w:p>
    <w:p>
      <w:pPr>
        <w:spacing w:after="0" w:line="225" w:lineRule="exact"/>
        <w:rPr>
          <w:rFonts w:ascii="Arial" w:cs="Arial" w:eastAsia="Arial" w:hAnsi="Arial"/>
          <w:sz w:val="18"/>
          <w:szCs w:val="18"/>
          <w:color w:val="auto"/>
        </w:rPr>
      </w:pPr>
    </w:p>
    <w:p>
      <w:pPr>
        <w:ind w:left="660" w:right="260" w:hanging="328"/>
        <w:spacing w:after="0" w:line="271"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personally identifiable information and taxes;</w:t>
      </w:r>
    </w:p>
    <w:p>
      <w:pPr>
        <w:spacing w:after="0" w:line="163"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and independent contractors;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left="660" w:hanging="328"/>
        <w:spacing w:after="0" w:line="29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and our ability to incur substantially more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accounting standards;</w:t>
      </w:r>
    </w:p>
    <w:p>
      <w:pPr>
        <w:spacing w:after="0" w:line="225" w:lineRule="exact"/>
        <w:rPr>
          <w:rFonts w:ascii="Arial" w:cs="Arial" w:eastAsia="Arial" w:hAnsi="Arial"/>
          <w:sz w:val="18"/>
          <w:szCs w:val="18"/>
          <w:color w:val="auto"/>
        </w:rPr>
      </w:pPr>
    </w:p>
    <w:p>
      <w:pPr>
        <w:ind w:left="660" w:right="920" w:hanging="328"/>
        <w:spacing w:after="0" w:line="323"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risks related to completed or future acquisitions or investments that we may pursue, including any incurrence of incremental indebtedness to help fund such transactions and our ability to promptly and effectively integrate any acquired businesses;</w:t>
      </w:r>
    </w:p>
    <w:p>
      <w:pPr>
        <w:spacing w:after="0" w:line="122" w:lineRule="exact"/>
        <w:rPr>
          <w:rFonts w:ascii="Arial" w:cs="Arial" w:eastAsia="Arial" w:hAnsi="Arial"/>
          <w:sz w:val="17"/>
          <w:szCs w:val="17"/>
          <w:color w:val="auto"/>
        </w:rPr>
      </w:pPr>
    </w:p>
    <w:p>
      <w:pPr>
        <w:ind w:left="660" w:right="340" w:hanging="328"/>
        <w:spacing w:after="0" w:line="29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protecting the integrity of our information technology systems and the confidential information of our employees and customers against security breaches, including cyber-security breaches; and</w:t>
      </w:r>
    </w:p>
    <w:p>
      <w:pPr>
        <w:spacing w:after="0" w:line="144" w:lineRule="exact"/>
        <w:rPr>
          <w:rFonts w:ascii="Arial" w:cs="Arial" w:eastAsia="Arial" w:hAnsi="Arial"/>
          <w:sz w:val="18"/>
          <w:szCs w:val="18"/>
          <w:color w:val="auto"/>
        </w:rPr>
      </w:pPr>
    </w:p>
    <w:p>
      <w:pPr>
        <w:ind w:left="660" w:right="240" w:hanging="328"/>
        <w:spacing w:after="0" w:line="29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4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in “Management’s Discussion and Analysis of Financial Condition and Results of Operations”, “Risk Factors” and other portions of our 2014 Annual Report on Form 10-K and our Current Report on Form 8-K filed May 6, 2015, could cause actual results to differ materially from those projected in any forward-looking statements.</w:t>
      </w:r>
    </w:p>
    <w:p>
      <w:pPr>
        <w:spacing w:after="0" w:line="177"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Except to the extent of our obligations under the federal securities laws,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16"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6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7"/>
                <w:szCs w:val="17"/>
                <w:color w:val="auto"/>
              </w:rPr>
            </w:pPr>
          </w:p>
        </w:tc>
        <w:tc>
          <w:tcPr>
            <w:tcW w:w="25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54"/>
        </w:trPr>
        <w:tc>
          <w:tcPr>
            <w:tcW w:w="5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60" w:type="dxa"/>
            <w:vAlign w:val="bottom"/>
            <w:gridSpan w:val="5"/>
          </w:tcPr>
          <w:p>
            <w:pPr>
              <w:ind w:left="54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22"/>
                <w:szCs w:val="22"/>
                <w:color w:val="auto"/>
              </w:rPr>
            </w:pPr>
          </w:p>
        </w:tc>
        <w:tc>
          <w:tcPr>
            <w:tcW w:w="254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63"/>
        </w:trPr>
        <w:tc>
          <w:tcPr>
            <w:tcW w:w="554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9"/>
        </w:trPr>
        <w:tc>
          <w:tcPr>
            <w:tcW w:w="5540" w:type="dxa"/>
            <w:vAlign w:val="bottom"/>
          </w:tcPr>
          <w:p>
            <w:pPr>
              <w:ind w:left="220"/>
              <w:spacing w:after="0"/>
              <w:rPr>
                <w:sz w:val="20"/>
                <w:szCs w:val="20"/>
                <w:color w:val="auto"/>
              </w:rPr>
            </w:pPr>
            <w:r>
              <w:rPr>
                <w:rFonts w:ascii="Arial" w:cs="Arial" w:eastAsia="Arial" w:hAnsi="Arial"/>
                <w:sz w:val="18"/>
                <w:szCs w:val="18"/>
                <w:color w:val="auto"/>
              </w:rPr>
              <w:t>Vehicle rental</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1,832</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4,684</w:t>
            </w:r>
          </w:p>
        </w:tc>
        <w:tc>
          <w:tcPr>
            <w:tcW w:w="100" w:type="dxa"/>
            <w:vAlign w:val="bottom"/>
          </w:tcPr>
          <w:p>
            <w:pPr>
              <w:spacing w:after="0"/>
              <w:rPr>
                <w:sz w:val="24"/>
                <w:szCs w:val="24"/>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4,692</w:t>
            </w:r>
          </w:p>
        </w:tc>
        <w:tc>
          <w:tcPr>
            <w:tcW w:w="0" w:type="dxa"/>
            <w:vAlign w:val="bottom"/>
          </w:tcPr>
          <w:p>
            <w:pPr>
              <w:spacing w:after="0"/>
              <w:rPr>
                <w:sz w:val="1"/>
                <w:szCs w:val="1"/>
                <w:color w:val="auto"/>
              </w:rPr>
            </w:pPr>
          </w:p>
        </w:tc>
      </w:tr>
      <w:tr>
        <w:trPr>
          <w:trHeight w:val="273"/>
        </w:trPr>
        <w:tc>
          <w:tcPr>
            <w:tcW w:w="5540" w:type="dxa"/>
            <w:vAlign w:val="bottom"/>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color w:val="auto"/>
              </w:rPr>
              <w:t>Net revenues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2,577</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2,542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6,598</w:t>
            </w:r>
          </w:p>
        </w:tc>
        <w:tc>
          <w:tcPr>
            <w:tcW w:w="0" w:type="dxa"/>
            <w:vAlign w:val="bottom"/>
          </w:tcPr>
          <w:p>
            <w:pPr>
              <w:spacing w:after="0"/>
              <w:rPr>
                <w:sz w:val="1"/>
                <w:szCs w:val="1"/>
                <w:color w:val="auto"/>
              </w:rPr>
            </w:pPr>
          </w:p>
        </w:tc>
      </w:tr>
      <w:tr>
        <w:trPr>
          <w:trHeight w:val="485"/>
        </w:trPr>
        <w:tc>
          <w:tcPr>
            <w:tcW w:w="55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540" w:type="dxa"/>
            <w:vAlign w:val="bottom"/>
          </w:tcPr>
          <w:p>
            <w:pPr>
              <w:ind w:left="220"/>
              <w:spacing w:after="0"/>
              <w:rPr>
                <w:sz w:val="20"/>
                <w:szCs w:val="20"/>
                <w:color w:val="auto"/>
              </w:rPr>
            </w:pPr>
            <w:r>
              <w:rPr>
                <w:rFonts w:ascii="Arial" w:cs="Arial" w:eastAsia="Arial" w:hAnsi="Arial"/>
                <w:sz w:val="18"/>
                <w:szCs w:val="18"/>
                <w:color w:val="auto"/>
              </w:rPr>
              <w:t>Operating</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3,279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3,273</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Vehicle depreciation and lease charges, net</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1,532</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Vehicle interest, net</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Non-vehicle related depreciation and amortization</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57"/>
        </w:trPr>
        <w:tc>
          <w:tcPr>
            <w:tcW w:w="5540" w:type="dxa"/>
            <w:vAlign w:val="bottom"/>
          </w:tcPr>
          <w:p>
            <w:pPr>
              <w:ind w:left="220"/>
              <w:spacing w:after="0"/>
              <w:rPr>
                <w:sz w:val="20"/>
                <w:szCs w:val="20"/>
                <w:color w:val="auto"/>
              </w:rPr>
            </w:pPr>
            <w:r>
              <w:rPr>
                <w:rFonts w:ascii="Arial" w:cs="Arial" w:eastAsia="Arial" w:hAnsi="Arial"/>
                <w:sz w:val="18"/>
                <w:szCs w:val="18"/>
                <w:color w:val="auto"/>
              </w:rPr>
              <w:t>Interest expense related to corporate debt, net:</w:t>
            </w: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0"/>
        </w:trPr>
        <w:tc>
          <w:tcPr>
            <w:tcW w:w="5540" w:type="dxa"/>
            <w:vAlign w:val="bottom"/>
          </w:tcPr>
          <w:p>
            <w:pPr>
              <w:ind w:left="360"/>
              <w:spacing w:after="0"/>
              <w:rPr>
                <w:sz w:val="20"/>
                <w:szCs w:val="20"/>
                <w:color w:val="auto"/>
              </w:rPr>
            </w:pPr>
            <w:r>
              <w:rPr>
                <w:rFonts w:ascii="Arial" w:cs="Arial" w:eastAsia="Arial" w:hAnsi="Arial"/>
                <w:sz w:val="18"/>
                <w:szCs w:val="18"/>
                <w:color w:val="auto"/>
              </w:rPr>
              <w:t>Early extinguishment of debt</w:t>
            </w: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Transaction-related costs</w:t>
            </w: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3"/>
        </w:trPr>
        <w:tc>
          <w:tcPr>
            <w:tcW w:w="5540" w:type="dxa"/>
            <w:vAlign w:val="bottom"/>
          </w:tcPr>
          <w:p>
            <w:pPr>
              <w:ind w:left="220"/>
              <w:spacing w:after="0"/>
              <w:rPr>
                <w:sz w:val="20"/>
                <w:szCs w:val="20"/>
                <w:color w:val="auto"/>
              </w:rPr>
            </w:pPr>
            <w:r>
              <w:rPr>
                <w:rFonts w:ascii="Arial" w:cs="Arial" w:eastAsia="Arial" w:hAnsi="Arial"/>
                <w:sz w:val="18"/>
                <w:szCs w:val="18"/>
                <w:color w:val="auto"/>
              </w:rPr>
              <w:t>Restructuring expense</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color w:val="auto"/>
              </w:rPr>
              <w:t>Total expenses</w:t>
            </w: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2,265</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6,222</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6,239</w:t>
            </w:r>
          </w:p>
        </w:tc>
        <w:tc>
          <w:tcPr>
            <w:tcW w:w="0" w:type="dxa"/>
            <w:vAlign w:val="bottom"/>
          </w:tcPr>
          <w:p>
            <w:pPr>
              <w:spacing w:after="0"/>
              <w:rPr>
                <w:sz w:val="1"/>
                <w:szCs w:val="1"/>
                <w:color w:val="auto"/>
              </w:rPr>
            </w:pPr>
          </w:p>
        </w:tc>
      </w:tr>
      <w:tr>
        <w:trPr>
          <w:trHeight w:val="490"/>
        </w:trPr>
        <w:tc>
          <w:tcPr>
            <w:tcW w:w="554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3"/>
        </w:trPr>
        <w:tc>
          <w:tcPr>
            <w:tcW w:w="5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485"/>
        </w:trPr>
        <w:tc>
          <w:tcPr>
            <w:tcW w:w="55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5540" w:type="dxa"/>
            <w:vAlign w:val="bottom"/>
            <w:vMerge w:val="continue"/>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485"/>
        </w:trPr>
        <w:tc>
          <w:tcPr>
            <w:tcW w:w="554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540" w:type="dxa"/>
            <w:vAlign w:val="bottom"/>
          </w:tcPr>
          <w:p>
            <w:pPr>
              <w:ind w:left="22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3"/>
                <w:szCs w:val="23"/>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3"/>
                <w:szCs w:val="23"/>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0"/>
        </w:trPr>
        <w:tc>
          <w:tcPr>
            <w:tcW w:w="5540" w:type="dxa"/>
            <w:vAlign w:val="bottom"/>
          </w:tcPr>
          <w:p>
            <w:pPr>
              <w:ind w:left="22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3"/>
                <w:szCs w:val="23"/>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3"/>
                <w:szCs w:val="23"/>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00"/>
          </w:cols>
          <w:pgMar w:left="240" w:top="116" w:right="259" w:bottom="93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16" w:right="259" w:bottom="93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70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5"/>
        </w:trPr>
        <w:tc>
          <w:tcPr>
            <w:tcW w:w="1400" w:type="dxa"/>
            <w:vAlign w:val="bottom"/>
            <w:tcBorders>
              <w:top w:val="single" w:sz="8" w:color="0000EE"/>
            </w:tcBorders>
          </w:tcPr>
          <w:p>
            <w:pPr>
              <w:spacing w:after="0"/>
              <w:rPr>
                <w:sz w:val="24"/>
                <w:szCs w:val="24"/>
                <w:color w:val="auto"/>
              </w:rPr>
            </w:pPr>
          </w:p>
        </w:tc>
        <w:tc>
          <w:tcPr>
            <w:tcW w:w="6300" w:type="dxa"/>
            <w:vAlign w:val="bottom"/>
          </w:tcPr>
          <w:p>
            <w:pPr>
              <w:jc w:val="center"/>
              <w:ind w:left="2250"/>
              <w:spacing w:after="0"/>
              <w:rPr>
                <w:sz w:val="20"/>
                <w:szCs w:val="20"/>
                <w:color w:val="auto"/>
              </w:rPr>
            </w:pPr>
            <w:r>
              <w:rPr>
                <w:rFonts w:ascii="Arial" w:cs="Arial" w:eastAsia="Arial" w:hAnsi="Arial"/>
                <w:sz w:val="18"/>
                <w:szCs w:val="18"/>
                <w:b w:val="1"/>
                <w:bCs w:val="1"/>
                <w:color w:val="auto"/>
                <w:w w:val="99"/>
              </w:rPr>
              <w:t>Avis Budget Group, Inc.</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480" w:type="dxa"/>
            <w:vAlign w:val="bottom"/>
            <w:gridSpan w:val="2"/>
          </w:tcPr>
          <w:p>
            <w:pPr>
              <w:jc w:val="center"/>
              <w:ind w:left="2070"/>
              <w:spacing w:after="0"/>
              <w:rPr>
                <w:sz w:val="20"/>
                <w:szCs w:val="20"/>
                <w:color w:val="auto"/>
              </w:rPr>
            </w:pPr>
            <w:r>
              <w:rPr>
                <w:rFonts w:ascii="Arial" w:cs="Arial" w:eastAsia="Arial" w:hAnsi="Arial"/>
                <w:sz w:val="18"/>
                <w:szCs w:val="18"/>
                <w:b w:val="1"/>
                <w:bCs w:val="1"/>
                <w:color w:val="auto"/>
                <w:w w:val="99"/>
              </w:rPr>
              <w:t>CONSOLIDATED CONDENSED BALANCE SHEETS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300" w:type="dxa"/>
            <w:vAlign w:val="bottom"/>
          </w:tcPr>
          <w:p>
            <w:pPr>
              <w:jc w:val="center"/>
              <w:ind w:left="2250"/>
              <w:spacing w:after="0"/>
              <w:rPr>
                <w:sz w:val="20"/>
                <w:szCs w:val="20"/>
                <w:color w:val="auto"/>
              </w:rPr>
            </w:pPr>
            <w:r>
              <w:rPr>
                <w:rFonts w:ascii="Arial" w:cs="Arial" w:eastAsia="Arial" w:hAnsi="Arial"/>
                <w:sz w:val="18"/>
                <w:szCs w:val="18"/>
                <w:b w:val="1"/>
                <w:bCs w:val="1"/>
                <w:color w:val="auto"/>
                <w:w w:val="99"/>
              </w:rPr>
              <w:t>(In millions, except par value)</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400" w:type="dxa"/>
            <w:vAlign w:val="bottom"/>
          </w:tcPr>
          <w:p>
            <w:pPr>
              <w:spacing w:after="0"/>
              <w:rPr>
                <w:sz w:val="21"/>
                <w:szCs w:val="21"/>
                <w:color w:val="auto"/>
              </w:rPr>
            </w:pPr>
          </w:p>
        </w:tc>
        <w:tc>
          <w:tcPr>
            <w:tcW w:w="6300" w:type="dxa"/>
            <w:vAlign w:val="bottom"/>
          </w:tcPr>
          <w:p>
            <w:pPr>
              <w:jc w:val="center"/>
              <w:ind w:left="2250"/>
              <w:spacing w:after="0"/>
              <w:rPr>
                <w:sz w:val="20"/>
                <w:szCs w:val="20"/>
                <w:color w:val="auto"/>
              </w:rPr>
            </w:pPr>
            <w:r>
              <w:rPr>
                <w:rFonts w:ascii="Arial" w:cs="Arial" w:eastAsia="Arial" w:hAnsi="Arial"/>
                <w:sz w:val="18"/>
                <w:szCs w:val="18"/>
                <w:b w:val="1"/>
                <w:bCs w:val="1"/>
                <w:color w:val="auto"/>
                <w:w w:val="99"/>
              </w:rPr>
              <w:t>(Unaudited)</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8"/>
        </w:trPr>
        <w:tc>
          <w:tcPr>
            <w:tcW w:w="140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52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53"/>
        </w:trPr>
        <w:tc>
          <w:tcPr>
            <w:tcW w:w="140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37"/>
        </w:trPr>
        <w:tc>
          <w:tcPr>
            <w:tcW w:w="770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70"/>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0"/>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73"/>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47"/>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459"/>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70"/>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70"/>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70"/>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Other intangibles, net</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73"/>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334</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50"/>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6,116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436"/>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Assets under vehicle programs:</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Program cash</w:t>
            </w:r>
          </w:p>
        </w:tc>
        <w:tc>
          <w:tcPr>
            <w:tcW w:w="18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0"/>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Vehicles, net</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11,604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10,215</w:t>
            </w:r>
          </w:p>
        </w:tc>
        <w:tc>
          <w:tcPr>
            <w:tcW w:w="0" w:type="dxa"/>
            <w:vAlign w:val="bottom"/>
          </w:tcPr>
          <w:p>
            <w:pPr>
              <w:spacing w:after="0"/>
              <w:rPr>
                <w:sz w:val="1"/>
                <w:szCs w:val="1"/>
                <w:color w:val="auto"/>
              </w:rPr>
            </w:pPr>
          </w:p>
        </w:tc>
      </w:tr>
      <w:tr>
        <w:trPr>
          <w:trHeight w:val="270"/>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Receivables from vehicle manufacturers and other</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75"/>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Investment in Avis Budget Rental Car Funding (AESOP) LLC—related party</w:t>
            </w: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48"/>
        </w:trPr>
        <w:tc>
          <w:tcPr>
            <w:tcW w:w="140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12,786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11,058</w:t>
            </w:r>
          </w:p>
        </w:tc>
        <w:tc>
          <w:tcPr>
            <w:tcW w:w="0" w:type="dxa"/>
            <w:vAlign w:val="bottom"/>
          </w:tcPr>
          <w:p>
            <w:pPr>
              <w:spacing w:after="0"/>
              <w:rPr>
                <w:sz w:val="1"/>
                <w:szCs w:val="1"/>
                <w:color w:val="auto"/>
              </w:rPr>
            </w:pPr>
          </w:p>
        </w:tc>
      </w:tr>
      <w:tr>
        <w:trPr>
          <w:trHeight w:val="250"/>
        </w:trPr>
        <w:tc>
          <w:tcPr>
            <w:tcW w:w="77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18,902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16,969</w:t>
            </w: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770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Accounts payable and 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73"/>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Short-term debt and current portion of long-term debt</w:t>
            </w: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7"/>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459"/>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3,505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3,392</w:t>
            </w:r>
          </w:p>
        </w:tc>
        <w:tc>
          <w:tcPr>
            <w:tcW w:w="0" w:type="dxa"/>
            <w:vAlign w:val="bottom"/>
          </w:tcPr>
          <w:p>
            <w:pPr>
              <w:spacing w:after="0"/>
              <w:rPr>
                <w:sz w:val="1"/>
                <w:szCs w:val="1"/>
                <w:color w:val="auto"/>
              </w:rPr>
            </w:pPr>
          </w:p>
        </w:tc>
      </w:tr>
      <w:tr>
        <w:trPr>
          <w:trHeight w:val="273"/>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50"/>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6,037</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5,677</w:t>
            </w:r>
          </w:p>
        </w:tc>
        <w:tc>
          <w:tcPr>
            <w:tcW w:w="0" w:type="dxa"/>
            <w:vAlign w:val="bottom"/>
          </w:tcPr>
          <w:p>
            <w:pPr>
              <w:spacing w:after="0"/>
              <w:rPr>
                <w:sz w:val="1"/>
                <w:szCs w:val="1"/>
                <w:color w:val="auto"/>
              </w:rPr>
            </w:pPr>
          </w:p>
        </w:tc>
      </w:tr>
      <w:tr>
        <w:trPr>
          <w:trHeight w:val="436"/>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Liabilities under vehicle programs:</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Debt</w:t>
            </w:r>
          </w:p>
        </w:tc>
        <w:tc>
          <w:tcPr>
            <w:tcW w:w="18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2,757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70"/>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Debt due to Avis Budget Rental Car Funding (AESOP) LLC—related party</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7,239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70"/>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2,066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75"/>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48"/>
        </w:trPr>
        <w:tc>
          <w:tcPr>
            <w:tcW w:w="140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12,265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10,627</w:t>
            </w:r>
          </w:p>
        </w:tc>
        <w:tc>
          <w:tcPr>
            <w:tcW w:w="0" w:type="dxa"/>
            <w:vAlign w:val="bottom"/>
          </w:tcPr>
          <w:p>
            <w:pPr>
              <w:spacing w:after="0"/>
              <w:rPr>
                <w:sz w:val="1"/>
                <w:szCs w:val="1"/>
                <w:color w:val="auto"/>
              </w:rPr>
            </w:pPr>
          </w:p>
        </w:tc>
      </w:tr>
      <w:tr>
        <w:trPr>
          <w:trHeight w:val="234"/>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11)</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Preferred stock, $0.01 par value—authorized 10 shares; none issued and outstanding</w:t>
            </w:r>
          </w:p>
        </w:tc>
        <w:tc>
          <w:tcPr>
            <w:tcW w:w="180" w:type="dxa"/>
            <w:vAlign w:val="bottom"/>
          </w:tcPr>
          <w:p>
            <w:pPr>
              <w:spacing w:after="0"/>
              <w:rPr>
                <w:sz w:val="24"/>
                <w:szCs w:val="24"/>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Common stock, $0.01 par value—authorized 250 shares; issued 137 shares, respectively</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7,047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ind w:right="30"/>
              <w:spacing w:after="0"/>
              <w:rPr>
                <w:sz w:val="20"/>
                <w:szCs w:val="20"/>
                <w:color w:val="auto"/>
              </w:rPr>
            </w:pPr>
            <w:r>
              <w:rPr>
                <w:rFonts w:ascii="Arial" w:cs="Arial" w:eastAsia="Arial" w:hAnsi="Arial"/>
                <w:sz w:val="18"/>
                <w:szCs w:val="18"/>
                <w:color w:val="auto"/>
              </w:rPr>
              <w:t>7,212</w:t>
            </w:r>
          </w:p>
        </w:tc>
        <w:tc>
          <w:tcPr>
            <w:tcW w:w="0" w:type="dxa"/>
            <w:vAlign w:val="bottom"/>
          </w:tcPr>
          <w:p>
            <w:pPr>
              <w:spacing w:after="0"/>
              <w:rPr>
                <w:sz w:val="1"/>
                <w:szCs w:val="1"/>
                <w:color w:val="auto"/>
              </w:rPr>
            </w:pPr>
          </w:p>
        </w:tc>
      </w:tr>
      <w:tr>
        <w:trPr>
          <w:trHeight w:val="270"/>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70"/>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3"/>
        </w:trPr>
        <w:tc>
          <w:tcPr>
            <w:tcW w:w="7700" w:type="dxa"/>
            <w:vAlign w:val="bottom"/>
            <w:gridSpan w:val="2"/>
          </w:tcPr>
          <w:p>
            <w:pPr>
              <w:ind w:left="140"/>
              <w:spacing w:after="0"/>
              <w:rPr>
                <w:sz w:val="20"/>
                <w:szCs w:val="20"/>
                <w:color w:val="auto"/>
              </w:rPr>
            </w:pPr>
            <w:r>
              <w:rPr>
                <w:rFonts w:ascii="Arial" w:cs="Arial" w:eastAsia="Arial" w:hAnsi="Arial"/>
                <w:sz w:val="18"/>
                <w:szCs w:val="18"/>
                <w:color w:val="auto"/>
              </w:rPr>
              <w:t>Treasury stock, at cost—36 and 31 shares</w:t>
            </w: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(4,509)</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(4,411)</w:t>
            </w:r>
          </w:p>
        </w:tc>
        <w:tc>
          <w:tcPr>
            <w:tcW w:w="0" w:type="dxa"/>
            <w:vAlign w:val="bottom"/>
          </w:tcPr>
          <w:p>
            <w:pPr>
              <w:spacing w:after="0"/>
              <w:rPr>
                <w:sz w:val="1"/>
                <w:szCs w:val="1"/>
                <w:color w:val="auto"/>
              </w:rPr>
            </w:pPr>
          </w:p>
        </w:tc>
      </w:tr>
      <w:tr>
        <w:trPr>
          <w:trHeight w:val="250"/>
        </w:trPr>
        <w:tc>
          <w:tcPr>
            <w:tcW w:w="7700" w:type="dxa"/>
            <w:vAlign w:val="bottom"/>
            <w:gridSpan w:val="2"/>
          </w:tcPr>
          <w:p>
            <w:pPr>
              <w:ind w:left="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52"/>
        </w:trPr>
        <w:tc>
          <w:tcPr>
            <w:tcW w:w="77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18,902</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16,969</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180"/>
          </w:cols>
          <w:pgMar w:left="240" w:top="108" w:right="479" w:bottom="228" w:gutter="0" w:footer="0" w:header="0"/>
        </w:sectPr>
      </w:pPr>
    </w:p>
    <w:p>
      <w:pPr>
        <w:spacing w:after="0" w:line="252"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180"/>
          </w:cols>
          <w:pgMar w:left="240" w:top="108" w:right="479" w:bottom="228"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55"/>
        </w:trPr>
        <w:tc>
          <w:tcPr>
            <w:tcW w:w="1400" w:type="dxa"/>
            <w:vAlign w:val="bottom"/>
            <w:tcBorders>
              <w:top w:val="single" w:sz="8" w:color="0000EE"/>
            </w:tcBorders>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Avis Budget Group,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7280" w:type="dxa"/>
            <w:vAlign w:val="bottom"/>
            <w:gridSpan w:val="2"/>
          </w:tcPr>
          <w:p>
            <w:pPr>
              <w:jc w:val="center"/>
              <w:ind w:left="125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6940" w:type="dxa"/>
            <w:vAlign w:val="bottom"/>
          </w:tcPr>
          <w:p>
            <w:pPr>
              <w:jc w:val="center"/>
              <w:ind w:left="159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3"/>
        </w:trPr>
        <w:tc>
          <w:tcPr>
            <w:tcW w:w="1400" w:type="dxa"/>
            <w:vAlign w:val="bottom"/>
          </w:tcPr>
          <w:p>
            <w:pPr>
              <w:spacing w:after="0"/>
              <w:rPr>
                <w:sz w:val="21"/>
                <w:szCs w:val="21"/>
                <w:color w:val="auto"/>
              </w:rPr>
            </w:pPr>
          </w:p>
        </w:tc>
        <w:tc>
          <w:tcPr>
            <w:tcW w:w="694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328"/>
        </w:trPr>
        <w:tc>
          <w:tcPr>
            <w:tcW w:w="140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54"/>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74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September 30,</w:t>
            </w:r>
          </w:p>
        </w:tc>
      </w:tr>
      <w:tr>
        <w:trPr>
          <w:trHeight w:val="263"/>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237"/>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9"/>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222</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Vehicle depreciation</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1,423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1,417</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Gain on sale of vehicles, net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Non-vehicle related depreciation and amortization</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Amortization of debt financing fees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5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Net change in assets and liabilities, excluding the impact of acquisitions and dispositions: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4"/>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Income taxes and deferred income taxes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109</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Accounts payable and other current liabilities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w:t>
            </w:r>
          </w:p>
        </w:tc>
      </w:tr>
      <w:tr>
        <w:trPr>
          <w:trHeight w:val="273"/>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218</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2,038</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2,067</w:t>
            </w:r>
          </w:p>
        </w:tc>
      </w:tr>
      <w:tr>
        <w:trPr>
          <w:trHeight w:val="539"/>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76"/>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additions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Proceeds received on asset sales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assets acquired (net of cash acquired)</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r>
      <w:tr>
        <w:trPr>
          <w:trHeight w:val="531"/>
        </w:trPr>
        <w:tc>
          <w:tcPr>
            <w:tcW w:w="8340" w:type="dxa"/>
            <w:vAlign w:val="bottom"/>
            <w:gridSpan w:val="2"/>
          </w:tcPr>
          <w:p>
            <w:pPr>
              <w:ind w:left="40"/>
              <w:spacing w:after="0"/>
              <w:rPr>
                <w:sz w:val="20"/>
                <w:szCs w:val="20"/>
                <w:color w:val="auto"/>
              </w:rPr>
            </w:pPr>
            <w:r>
              <w:rPr>
                <w:rFonts w:ascii="Arial" w:cs="Arial" w:eastAsia="Arial" w:hAnsi="Arial"/>
                <w:sz w:val="18"/>
                <w:szCs w:val="18"/>
                <w:i w:val="1"/>
                <w:iCs w:val="1"/>
                <w:color w:val="auto"/>
              </w:rPr>
              <w:t>Vehicle programs: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(Increase) decrease in program cash</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Investment in vehicles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(9,762)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(9,835)</w:t>
            </w:r>
          </w:p>
        </w:tc>
      </w:tr>
      <w:tr>
        <w:trPr>
          <w:trHeight w:val="275"/>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Proceeds received on disposition of vehicles</w:t>
            </w: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6,756</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6,535</w:t>
            </w:r>
          </w:p>
        </w:tc>
      </w:tr>
      <w:tr>
        <w:trPr>
          <w:trHeight w:val="248"/>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(3,277)</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(3,417)</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w:t>
            </w:r>
          </w:p>
        </w:tc>
      </w:tr>
      <w:tr>
        <w:trPr>
          <w:trHeight w:val="679"/>
        </w:trPr>
        <w:tc>
          <w:tcPr>
            <w:tcW w:w="8340" w:type="dxa"/>
            <w:vAlign w:val="bottom"/>
            <w:gridSpan w:val="2"/>
          </w:tcPr>
          <w:p>
            <w:pPr>
              <w:jc w:val="center"/>
              <w:ind w:left="2990"/>
              <w:spacing w:after="0"/>
              <w:rPr>
                <w:sz w:val="20"/>
                <w:szCs w:val="20"/>
                <w:color w:val="auto"/>
              </w:rPr>
            </w:pPr>
            <w:r>
              <w:rPr>
                <w:rFonts w:ascii="Arial" w:cs="Arial" w:eastAsia="Arial" w:hAnsi="Arial"/>
                <w:sz w:val="18"/>
                <w:szCs w:val="18"/>
                <w:color w:val="auto"/>
                <w:w w:val="99"/>
              </w:rPr>
              <w:t>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6" w:lineRule="exact"/>
        <w:rPr>
          <w:sz w:val="20"/>
          <w:szCs w:val="20"/>
          <w:color w:val="auto"/>
        </w:rPr>
      </w:pPr>
    </w:p>
    <w:p>
      <w:pPr>
        <w:ind w:left="902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p>
    <w:p>
      <w:pPr>
        <w:ind w:left="93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14605</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3" w:lineRule="exact"/>
        <w:rPr>
          <w:sz w:val="20"/>
          <w:szCs w:val="20"/>
          <w:color w:val="auto"/>
        </w:rPr>
      </w:pPr>
    </w:p>
    <w:tbl>
      <w:tblPr>
        <w:tblLayout w:type="fixed"/>
        <w:tblInd w:w="40" w:type="dxa"/>
        <w:tblCellMar>
          <w:top w:w="0" w:type="dxa"/>
          <w:left w:w="0" w:type="dxa"/>
          <w:bottom w:w="0" w:type="dxa"/>
          <w:right w:w="0" w:type="dxa"/>
        </w:tblCellMar>
      </w:tblPr>
      <w:tr>
        <w:trPr>
          <w:trHeight w:val="254"/>
        </w:trPr>
        <w:tc>
          <w:tcPr>
            <w:tcW w:w="9280" w:type="dxa"/>
            <w:vAlign w:val="bottom"/>
            <w:gridSpan w:val="2"/>
          </w:tcPr>
          <w:p>
            <w:pPr>
              <w:ind w:left="8840"/>
              <w:spacing w:after="0"/>
              <w:rPr>
                <w:sz w:val="20"/>
                <w:szCs w:val="20"/>
                <w:color w:val="auto"/>
              </w:rPr>
            </w:pPr>
            <w:r>
              <w:rPr>
                <w:rFonts w:ascii="Arial" w:cs="Arial" w:eastAsia="Arial" w:hAnsi="Arial"/>
                <w:sz w:val="18"/>
                <w:szCs w:val="18"/>
                <w:b w:val="1"/>
                <w:bCs w:val="1"/>
                <w:color w:val="auto"/>
              </w:rPr>
              <w:t>2015</w:t>
            </w: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236"/>
        </w:trPr>
        <w:tc>
          <w:tcPr>
            <w:tcW w:w="830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top w:val="single" w:sz="8" w:color="auto"/>
            </w:tcBorders>
          </w:tcPr>
          <w:p>
            <w:pPr>
              <w:spacing w:after="0"/>
              <w:rPr>
                <w:sz w:val="20"/>
                <w:szCs w:val="20"/>
                <w:color w:val="auto"/>
              </w:rPr>
            </w:pPr>
          </w:p>
        </w:tc>
      </w:tr>
      <w:tr>
        <w:trPr>
          <w:trHeight w:val="289"/>
        </w:trPr>
        <w:tc>
          <w:tcPr>
            <w:tcW w:w="9280" w:type="dxa"/>
            <w:vAlign w:val="bottom"/>
            <w:gridSpan w:val="2"/>
          </w:tcPr>
          <w:p>
            <w:pPr>
              <w:spacing w:after="0"/>
              <w:rPr>
                <w:sz w:val="20"/>
                <w:szCs w:val="20"/>
                <w:color w:val="auto"/>
              </w:rPr>
            </w:pPr>
            <w:r>
              <w:rPr>
                <w:rFonts w:ascii="Arial" w:cs="Arial" w:eastAsia="Arial" w:hAnsi="Arial"/>
                <w:sz w:val="18"/>
                <w:szCs w:val="18"/>
                <w:color w:val="auto"/>
              </w:rPr>
              <w:t>Proceeds from long-term borrowings</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24"/>
                <w:szCs w:val="24"/>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696</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Payments on long-term borrowings</w:t>
            </w:r>
          </w:p>
        </w:tc>
        <w:tc>
          <w:tcPr>
            <w:tcW w:w="50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(751)</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Net change in short-term borrowings</w:t>
            </w: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Repurchases of common stock</w:t>
            </w:r>
          </w:p>
        </w:tc>
        <w:tc>
          <w:tcPr>
            <w:tcW w:w="500" w:type="dxa"/>
            <w:vAlign w:val="bottom"/>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70"/>
        </w:trPr>
        <w:tc>
          <w:tcPr>
            <w:tcW w:w="9280" w:type="dxa"/>
            <w:vAlign w:val="bottom"/>
            <w:gridSpan w:val="2"/>
          </w:tcPr>
          <w:p>
            <w:pPr>
              <w:spacing w:after="0"/>
              <w:rPr>
                <w:sz w:val="20"/>
                <w:szCs w:val="20"/>
                <w:color w:val="auto"/>
              </w:rPr>
            </w:pPr>
            <w:r>
              <w:rPr>
                <w:rFonts w:ascii="Arial" w:cs="Arial" w:eastAsia="Arial" w:hAnsi="Arial"/>
                <w:sz w:val="18"/>
                <w:szCs w:val="18"/>
                <w:color w:val="auto"/>
              </w:rPr>
              <w:t>Debt financing fees</w:t>
            </w: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5"/>
        </w:trPr>
        <w:tc>
          <w:tcPr>
            <w:tcW w:w="92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8300" w:type="dxa"/>
            <w:vAlign w:val="bottom"/>
          </w:tcPr>
          <w:p>
            <w:pPr>
              <w:spacing w:after="0"/>
              <w:rPr>
                <w:sz w:val="20"/>
                <w:szCs w:val="20"/>
                <w:color w:val="auto"/>
              </w:rPr>
            </w:pPr>
            <w:r>
              <w:rPr>
                <w:rFonts w:ascii="Arial" w:cs="Arial" w:eastAsia="Arial" w:hAnsi="Arial"/>
                <w:sz w:val="18"/>
                <w:szCs w:val="18"/>
                <w:b w:val="1"/>
                <w:bCs w:val="1"/>
                <w:color w:val="auto"/>
              </w:rPr>
              <w:t>Net cash used in financing activities exclusive of vehicle programs</w:t>
            </w:r>
          </w:p>
        </w:tc>
        <w:tc>
          <w:tcPr>
            <w:tcW w:w="98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w:t>
            </w:r>
          </w:p>
        </w:tc>
      </w:tr>
    </w:tbl>
    <w:p>
      <w:pPr>
        <w:spacing w:after="0" w:line="29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Vehicle programs:</w:t>
      </w:r>
    </w:p>
    <w:p>
      <w:pPr>
        <w:sectPr>
          <w:pgSz w:w="11900" w:h="16838" w:orient="portrait"/>
          <w:cols w:equalWidth="0" w:num="1">
            <w:col w:w="11420"/>
          </w:cols>
          <w:pgMar w:left="240" w:top="115" w:right="239" w:bottom="1440" w:gutter="0" w:footer="0" w:header="0"/>
        </w:sectPr>
      </w:pPr>
    </w:p>
    <w:p>
      <w:pPr>
        <w:spacing w:after="0" w:line="6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Proceeds from borrowings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Payments on borrowings</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Debt financing fees</w:t>
      </w:r>
    </w:p>
    <w:p>
      <w:pPr>
        <w:spacing w:after="0" w:line="3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36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Effect of changes in exchange rates on cash and cash equivalents</w:t>
      </w:r>
    </w:p>
    <w:p>
      <w:pPr>
        <w:spacing w:after="0" w:line="372" w:lineRule="exact"/>
        <w:rPr>
          <w:sz w:val="20"/>
          <w:szCs w:val="20"/>
          <w:color w:val="auto"/>
        </w:rPr>
      </w:pPr>
    </w:p>
    <w:p>
      <w:pPr>
        <w:ind w:left="40" w:right="3300"/>
        <w:spacing w:after="0" w:line="330" w:lineRule="auto"/>
        <w:rPr>
          <w:sz w:val="20"/>
          <w:szCs w:val="20"/>
          <w:color w:val="auto"/>
        </w:rPr>
      </w:pPr>
      <w:r>
        <w:rPr>
          <w:rFonts w:ascii="Arial" w:cs="Arial" w:eastAsia="Arial" w:hAnsi="Arial"/>
          <w:sz w:val="17"/>
          <w:szCs w:val="17"/>
          <w:color w:val="auto"/>
        </w:rPr>
        <w:t>Net (decrease) increase in cash and cash equivalents Cash and cash equivalents, beginning of period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and cash equivalents, end of period</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11,532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11,862</w:t>
            </w:r>
          </w:p>
        </w:tc>
      </w:tr>
      <w:tr>
        <w:trPr>
          <w:trHeight w:val="270"/>
        </w:trPr>
        <w:tc>
          <w:tcPr>
            <w:tcW w:w="4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(9,933)</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(10,050)</w:t>
            </w:r>
          </w:p>
        </w:tc>
      </w:tr>
      <w:tr>
        <w:trPr>
          <w:trHeight w:val="275"/>
        </w:trPr>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50"/>
        </w:trPr>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1,582</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1,795</w:t>
            </w:r>
          </w:p>
        </w:tc>
      </w:tr>
      <w:tr>
        <w:trPr>
          <w:trHeight w:val="250"/>
        </w:trPr>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1,520</w:t>
            </w:r>
          </w:p>
        </w:tc>
      </w:tr>
      <w:tr>
        <w:trPr>
          <w:trHeight w:val="547"/>
        </w:trPr>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542"/>
        </w:trPr>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w:t>
            </w:r>
          </w:p>
        </w:tc>
      </w:tr>
      <w:tr>
        <w:trPr>
          <w:trHeight w:val="275"/>
        </w:trPr>
        <w:tc>
          <w:tcPr>
            <w:tcW w:w="4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693</w:t>
            </w:r>
          </w:p>
        </w:tc>
      </w:tr>
      <w:tr>
        <w:trPr>
          <w:trHeight w:val="250"/>
        </w:trPr>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1"/>
                <w:szCs w:val="21"/>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713</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80"/>
          </w:cols>
          <w:pgMar w:left="240" w:top="115"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See Notes to Consolidated Condensed Financial Statements (Unaudited).</w:t>
      </w:r>
    </w:p>
    <w:p>
      <w:pPr>
        <w:sectPr>
          <w:pgSz w:w="11900" w:h="16838" w:orient="portrait"/>
          <w:cols w:equalWidth="0" w:num="1">
            <w:col w:w="11420"/>
          </w:cols>
          <w:pgMar w:left="240" w:top="115" w:right="239" w:bottom="1440" w:gutter="0" w:footer="0" w:header="0"/>
          <w:type w:val="continuous"/>
        </w:sect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15"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Avis Budget Group, Inc.</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(Unless otherwise noted, all dollar amounts in tables are in millions, except per share amounts)</w:t>
      </w:r>
    </w:p>
    <w:p>
      <w:pPr>
        <w:spacing w:after="0" w:line="201"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7" w:lineRule="exact"/>
        <w:rPr>
          <w:rFonts w:ascii="Arial" w:cs="Arial" w:eastAsia="Arial" w:hAnsi="Arial"/>
          <w:sz w:val="18"/>
          <w:szCs w:val="18"/>
          <w:b w:val="1"/>
          <w:bCs w:val="1"/>
          <w:color w:val="auto"/>
        </w:rPr>
      </w:pPr>
    </w:p>
    <w:p>
      <w:pPr>
        <w:ind w:left="50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Avis Budget Group, Inc. provides car and truck rentals, car sharing services and ancillary services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the “Company”), and have been prepared pursuant to the rules and regulations of the U.S. Securities and Exchange Commission for interim financial reporting.</w:t>
      </w:r>
    </w:p>
    <w:p>
      <w:pPr>
        <w:spacing w:after="0" w:line="12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the following reportable business segments:</w:t>
      </w:r>
    </w:p>
    <w:p>
      <w:pPr>
        <w:spacing w:after="0" w:line="223" w:lineRule="exact"/>
        <w:rPr>
          <w:rFonts w:ascii="Arial" w:cs="Arial" w:eastAsia="Arial" w:hAnsi="Arial"/>
          <w:sz w:val="18"/>
          <w:szCs w:val="18"/>
          <w:b w:val="1"/>
          <w:bCs w:val="1"/>
          <w:color w:val="auto"/>
        </w:rPr>
      </w:pPr>
    </w:p>
    <w:p>
      <w:pPr>
        <w:ind w:left="1300" w:right="20" w:hanging="482"/>
        <w:spacing w:after="0" w:line="272"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—provides and licenses the Company’s brands to third parties for vehicle rentals and ancillary products and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in North America, South America, Central America and the Caribbean, and operates the Company’s car sharing business in certain of these markets.</w:t>
      </w:r>
    </w:p>
    <w:p>
      <w:pPr>
        <w:spacing w:after="0" w:line="160" w:lineRule="exact"/>
        <w:rPr>
          <w:rFonts w:ascii="Arial" w:cs="Arial" w:eastAsia="Arial" w:hAnsi="Arial"/>
          <w:sz w:val="18"/>
          <w:szCs w:val="18"/>
          <w:color w:val="auto"/>
        </w:rPr>
      </w:pPr>
    </w:p>
    <w:p>
      <w:pPr>
        <w:ind w:left="1300" w:right="460" w:hanging="482"/>
        <w:spacing w:after="0" w:line="272"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—provides and licenses the Company’s brands to third parties for vehicle rentals and ancillary products and</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in Europe, the Middle East, Africa, Asia, Australia and New Zealand, and operates the Company’s car sharing business in certain of these markets.</w:t>
      </w:r>
    </w:p>
    <w:p>
      <w:pPr>
        <w:spacing w:after="0" w:line="163" w:lineRule="exact"/>
        <w:rPr>
          <w:sz w:val="20"/>
          <w:szCs w:val="20"/>
          <w:color w:val="auto"/>
        </w:rPr>
      </w:pPr>
    </w:p>
    <w:p>
      <w:pPr>
        <w:ind w:left="500" w:right="240"/>
        <w:spacing w:after="0" w:line="271" w:lineRule="auto"/>
        <w:rPr>
          <w:sz w:val="20"/>
          <w:szCs w:val="20"/>
          <w:color w:val="auto"/>
        </w:rPr>
      </w:pPr>
      <w:r>
        <w:rPr>
          <w:rFonts w:ascii="Arial" w:cs="Arial" w:eastAsia="Arial" w:hAnsi="Arial"/>
          <w:sz w:val="18"/>
          <w:szCs w:val="18"/>
          <w:color w:val="auto"/>
        </w:rPr>
        <w:t>In 2015 and 2014, the Company completed the business acquisitions discussed in Note 4 to these Consolidated Condensed Financial Statements. The operating results of the acquired businesses are included in the accompanying Consolidated Condensed Financial Statements from the dates of acquisition.</w:t>
      </w:r>
    </w:p>
    <w:p>
      <w:pPr>
        <w:spacing w:after="0" w:line="163" w:lineRule="exact"/>
        <w:rPr>
          <w:sz w:val="20"/>
          <w:szCs w:val="20"/>
          <w:color w:val="auto"/>
        </w:rPr>
      </w:pPr>
    </w:p>
    <w:p>
      <w:pPr>
        <w:ind w:left="500" w:right="140"/>
        <w:spacing w:after="0" w:line="256"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the Company’s 2014 Annual Report on Form 10-K (the “2014 Form 10-K”) and the Company’s Current Report on Form 8-K filed May 6, 2015, which updated the 2014 Form 10-K for a change in the Company’s reportable segments.</w:t>
      </w:r>
    </w:p>
    <w:p>
      <w:pPr>
        <w:spacing w:after="0" w:line="178" w:lineRule="exact"/>
        <w:rPr>
          <w:sz w:val="20"/>
          <w:szCs w:val="20"/>
          <w:color w:val="auto"/>
        </w:rPr>
      </w:pPr>
    </w:p>
    <w:p>
      <w:pPr>
        <w:ind w:left="500" w:right="140"/>
        <w:spacing w:after="0" w:line="258"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The Company presents separately the financial data of its vehicle programs. These programs are distinct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178" w:lineRule="exact"/>
        <w:rPr>
          <w:sz w:val="20"/>
          <w:szCs w:val="20"/>
          <w:color w:val="auto"/>
        </w:rPr>
      </w:pPr>
    </w:p>
    <w:p>
      <w:pPr>
        <w:ind w:left="500" w:right="60"/>
        <w:spacing w:after="0" w:line="260" w:lineRule="auto"/>
        <w:rPr>
          <w:sz w:val="20"/>
          <w:szCs w:val="20"/>
          <w:color w:val="auto"/>
        </w:rPr>
      </w:pPr>
      <w:r>
        <w:rPr>
          <w:rFonts w:ascii="Arial" w:cs="Arial" w:eastAsia="Arial" w:hAnsi="Arial"/>
          <w:sz w:val="18"/>
          <w:szCs w:val="18"/>
          <w:i w:val="1"/>
          <w:iCs w:val="1"/>
          <w:color w:val="auto"/>
        </w:rPr>
        <w:t xml:space="preserve">Transaction-related costs. </w:t>
      </w:r>
      <w:r>
        <w:rPr>
          <w:rFonts w:ascii="Arial" w:cs="Arial" w:eastAsia="Arial" w:hAnsi="Arial"/>
          <w:sz w:val="18"/>
          <w:szCs w:val="18"/>
          <w:color w:val="auto"/>
        </w:rPr>
        <w:t>Transaction-related costs are classified separately in the Consolidated Condensed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related to acquisition-related activities such as due -diligence and other advisory costs, expenses related to the integration of the acquiree’s operations with those of the Company, including the implementation of best practices and process improvements, non-cash charges related to re-acquired rights, expenses related to pre-acquisition contingencies and contingent consideration related to acquisitions.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1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500" w:right="120"/>
        <w:spacing w:after="0" w:line="264"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The Company records the gain or loss on foreign-currency transactions on certain intercompany loans and gain</w:t>
      </w:r>
      <w:r>
        <w:rPr>
          <w:rFonts w:ascii="Arial" w:cs="Arial" w:eastAsia="Arial" w:hAnsi="Arial"/>
          <w:sz w:val="18"/>
          <w:szCs w:val="18"/>
          <w:i w:val="1"/>
          <w:iCs w:val="1"/>
          <w:color w:val="auto"/>
        </w:rPr>
        <w:t xml:space="preserve"> </w:t>
      </w:r>
      <w:r>
        <w:rPr>
          <w:rFonts w:ascii="Arial" w:cs="Arial" w:eastAsia="Arial" w:hAnsi="Arial"/>
          <w:sz w:val="18"/>
          <w:szCs w:val="18"/>
          <w:color w:val="auto"/>
        </w:rPr>
        <w:t>or loss on intercompany loan hedges within interest expense related to corporate debt, net. During the three and nine months ended September 30, 2015, the Company recorded losses of $1 million and $10 million, respectively, on such items. During the three and nine months ended September 30, 2014, the Company recorded losses of $3 million and $8 million, respectively, on such items.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25" w:lineRule="exact"/>
        <w:rPr>
          <w:sz w:val="20"/>
          <w:szCs w:val="20"/>
          <w:color w:val="auto"/>
        </w:rPr>
      </w:pPr>
    </w:p>
    <w:p>
      <w:pPr>
        <w:ind w:left="500" w:right="60"/>
        <w:spacing w:after="0" w:line="264" w:lineRule="auto"/>
        <w:rPr>
          <w:sz w:val="20"/>
          <w:szCs w:val="20"/>
          <w:color w:val="auto"/>
        </w:rPr>
      </w:pPr>
      <w:r>
        <w:rPr>
          <w:rFonts w:ascii="Arial" w:cs="Arial" w:eastAsia="Arial" w:hAnsi="Arial"/>
          <w:sz w:val="18"/>
          <w:szCs w:val="18"/>
          <w:color w:val="auto"/>
        </w:rPr>
        <w:t>On January 1, 2015, as a result of the issuance of a new accounting pronouncement, the Company adopted Accounting Standards Update (“ASU”) 2014-08, “Reporting Discontinued Operations and Disclosures of Disposals of Components of an Entity,” which changes the criteria for determining which disposals can be presented as discontinued operations and also modifies related disclosure requirements. The adoption of this accounting pronouncement did not have an impact on the Company’s financial statements.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500"/>
        <w:spacing w:after="0" w:line="258" w:lineRule="auto"/>
        <w:rPr>
          <w:sz w:val="20"/>
          <w:szCs w:val="20"/>
          <w:color w:val="auto"/>
        </w:rPr>
      </w:pPr>
      <w:r>
        <w:rPr>
          <w:rFonts w:ascii="Arial" w:cs="Arial" w:eastAsia="Arial" w:hAnsi="Arial"/>
          <w:sz w:val="18"/>
          <w:szCs w:val="18"/>
          <w:color w:val="auto"/>
        </w:rPr>
        <w:t>In September 2015, the Financial Accounting Standards Board (“FASB”) issued ASU 2015-16, “Simplifying the Accounting for Measurement-Period Adjustments,” which eliminates the requirement to retrospectively account for adjustments made to provisional amounts recognized in a business combination at the acquisition date. Instead, the cumulative impact of any adjustment will be recognized in the reporting period in which the adjustment is identified. ASU 2015-16 becomes effective for the Company on January 1, 2016. The adoption of this accounting pronouncement is not expected to have a material impact on the Company’s consolidated financial statements.</w:t>
      </w:r>
    </w:p>
    <w:p>
      <w:pPr>
        <w:spacing w:after="0" w:line="178" w:lineRule="exact"/>
        <w:rPr>
          <w:sz w:val="20"/>
          <w:szCs w:val="20"/>
          <w:color w:val="auto"/>
        </w:rPr>
      </w:pPr>
    </w:p>
    <w:p>
      <w:pPr>
        <w:ind w:left="500" w:right="140"/>
        <w:spacing w:after="0" w:line="260" w:lineRule="auto"/>
        <w:rPr>
          <w:sz w:val="20"/>
          <w:szCs w:val="20"/>
          <w:color w:val="auto"/>
        </w:rPr>
      </w:pPr>
      <w:r>
        <w:rPr>
          <w:rFonts w:ascii="Arial" w:cs="Arial" w:eastAsia="Arial" w:hAnsi="Arial"/>
          <w:sz w:val="18"/>
          <w:szCs w:val="18"/>
          <w:color w:val="auto"/>
        </w:rPr>
        <w:t>In April 2015, the FASB issued ASU 2015-05, “Customer’s Accounting for Fees Paid in a Cloud Computing Arrangement,” which provides guidance on determining whether a cloud computing arrangement contains a software license that should be accounted for as internal-use software. If a cloud computing arrangement does not contain a software license, it should be accounted for as a service contract. ASU 2015-05 becomes effective for the Company on January 1, 2016. The adoption of this accounting pronouncement is not expected to have a material impact on the Company’s consolidated financial statements.</w:t>
      </w:r>
    </w:p>
    <w:p>
      <w:pPr>
        <w:spacing w:after="0" w:line="175" w:lineRule="exact"/>
        <w:rPr>
          <w:sz w:val="20"/>
          <w:szCs w:val="20"/>
          <w:color w:val="auto"/>
        </w:rPr>
      </w:pPr>
    </w:p>
    <w:p>
      <w:pPr>
        <w:ind w:left="500" w:right="80"/>
        <w:spacing w:after="0" w:line="258" w:lineRule="auto"/>
        <w:rPr>
          <w:sz w:val="20"/>
          <w:szCs w:val="20"/>
          <w:color w:val="auto"/>
        </w:rPr>
      </w:pPr>
      <w:r>
        <w:rPr>
          <w:rFonts w:ascii="Arial" w:cs="Arial" w:eastAsia="Arial" w:hAnsi="Arial"/>
          <w:sz w:val="18"/>
          <w:szCs w:val="18"/>
          <w:color w:val="auto"/>
        </w:rPr>
        <w:t>In April 2015, the FASB issued ASU 2015-03, “Simplifying the Presentation of Debt Issuance Costs,” which changes the presentation of debt issuance costs in financial statements. ASU 2015-03 becomes effective for the Company on January 1, 2016, although early adoption is permitted. When adopted, this accounting pronouncement will be applied retrospectively to all periods presented and will result in the Company presenting debt issuance costs as a direct deduction from the carrying amount of debt on the Company’s balance sheet, rather than in other non-current assets. The Company plans to adopt the provisions of ASU No. 2015-03 early, beginning with the annual period ended December 31, 2015.</w:t>
      </w:r>
    </w:p>
    <w:p>
      <w:pPr>
        <w:spacing w:after="0" w:line="178" w:lineRule="exact"/>
        <w:rPr>
          <w:sz w:val="20"/>
          <w:szCs w:val="20"/>
          <w:color w:val="auto"/>
        </w:rPr>
      </w:pPr>
    </w:p>
    <w:p>
      <w:pPr>
        <w:ind w:left="500" w:right="180"/>
        <w:spacing w:after="0" w:line="260" w:lineRule="auto"/>
        <w:rPr>
          <w:sz w:val="20"/>
          <w:szCs w:val="20"/>
          <w:color w:val="auto"/>
        </w:rPr>
      </w:pPr>
      <w:r>
        <w:rPr>
          <w:rFonts w:ascii="Arial" w:cs="Arial" w:eastAsia="Arial" w:hAnsi="Arial"/>
          <w:sz w:val="18"/>
          <w:szCs w:val="18"/>
          <w:color w:val="auto"/>
        </w:rPr>
        <w:t>In August 2014, the FASB issued ASU 2014-15, “Disclosure of Uncertainties about an Entity’s Ability to Continue as a Going Concern,” which requires management to perform interim and annual assessments of an entity’s ability to continue as a going concern within one year of the date the financial statements are issued and to provide related footnote disclosures in certain circumstances. ASU 2014-15 becomes effective for the Company on January 1, 2016. The adoption of this accounting pronouncement is not expected to have an impact on the Company’s consolidated financial statements.</w:t>
      </w:r>
    </w:p>
    <w:p>
      <w:pPr>
        <w:spacing w:after="0" w:line="175" w:lineRule="exact"/>
        <w:rPr>
          <w:sz w:val="20"/>
          <w:szCs w:val="20"/>
          <w:color w:val="auto"/>
        </w:rPr>
      </w:pPr>
    </w:p>
    <w:p>
      <w:pPr>
        <w:ind w:left="500" w:right="20"/>
        <w:spacing w:after="0" w:line="264" w:lineRule="auto"/>
        <w:rPr>
          <w:sz w:val="20"/>
          <w:szCs w:val="20"/>
          <w:color w:val="auto"/>
        </w:rPr>
      </w:pPr>
      <w:r>
        <w:rPr>
          <w:rFonts w:ascii="Arial" w:cs="Arial" w:eastAsia="Arial" w:hAnsi="Arial"/>
          <w:sz w:val="18"/>
          <w:szCs w:val="18"/>
          <w:color w:val="auto"/>
        </w:rPr>
        <w:t>In May 2014, the FASB issued ASU 2014-09, “Revenue from Contracts with Customers,” which outlines a single model for entities to use in accounting for revenue arising from contracts with customers and supersedes current revenue recognition guidance. ASU 2014-09 becomes effective for the Company on January 1, 2018. The Company is currently evaluating the impact of this accounting pronouncement on its consolidated financial statements.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115" w:right="27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Activities</w:t>
      </w:r>
    </w:p>
    <w:p>
      <w:pPr>
        <w:spacing w:after="0" w:line="227" w:lineRule="exact"/>
        <w:rPr>
          <w:rFonts w:ascii="Arial" w:cs="Arial" w:eastAsia="Arial" w:hAnsi="Arial"/>
          <w:sz w:val="18"/>
          <w:szCs w:val="18"/>
          <w:b w:val="1"/>
          <w:bCs w:val="1"/>
          <w:color w:val="auto"/>
        </w:rPr>
      </w:pPr>
    </w:p>
    <w:p>
      <w:pPr>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conjunction with recent acquisitions (see Note 4 - Acquisitions), the Company has identified opportunities to integrate and streamline its operations, primarily in Europe (the “Acquisition integration”). During the nine months ended September 30, 2015, as part of this process, the Company formally communicated the termination of employment to approximately 50 employees, and as of September 30, 2015, the Company has terminated approximately 30 of these employees. The costs associated with this initiative primarily represent severance, outplacement services and other costs associated with employee terminations, the majority of which have been or are expected to be settled in cash. The Company expects further restructuring expense of approximately $15 million related to this initiative to be incurred through 2016.</w:t>
      </w:r>
    </w:p>
    <w:p>
      <w:pPr>
        <w:spacing w:after="0" w:line="177" w:lineRule="exact"/>
        <w:rPr>
          <w:rFonts w:ascii="Arial" w:cs="Arial" w:eastAsia="Arial" w:hAnsi="Arial"/>
          <w:sz w:val="18"/>
          <w:szCs w:val="18"/>
          <w:b w:val="1"/>
          <w:bCs w:val="1"/>
          <w:color w:val="auto"/>
        </w:rPr>
      </w:pPr>
    </w:p>
    <w:p>
      <w:pPr>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2014, the Company committed to various strategic initiatives to identify best practices and drive efficiency throughout its organization, by reducing headcount, improving processes and consolidating functions (the “T15 restructuring”). During the nine months ended September 30, 2015, as part of this process, the Company formally communicated the termination of employment to approximately 320 employees, and as of September 30, 2015, the Company has terminated approximately 295 of these employees. The costs associated with this initiative primarily represent severance, outplacement services and other costs associated with employee terminations, the majority of which have been or are expected to be settled in cash. The Company does not anticipate any further restructuring expense related to this phase of the initiative.</w:t>
      </w:r>
    </w:p>
    <w:p>
      <w:pPr>
        <w:spacing w:after="0" w:line="177" w:lineRule="exact"/>
        <w:rPr>
          <w:rFonts w:ascii="Arial" w:cs="Arial" w:eastAsia="Arial" w:hAnsi="Arial"/>
          <w:sz w:val="18"/>
          <w:szCs w:val="18"/>
          <w:b w:val="1"/>
          <w:bCs w:val="1"/>
          <w:color w:val="auto"/>
        </w:rPr>
      </w:pPr>
    </w:p>
    <w:p>
      <w:pPr>
        <w:ind w:left="500" w:right="26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Subsequent to the acquisition of Avis Europe plc, the Company began a restructuring initiative, identifying synergies across the Company, enhancing organizational efficiencies and consolidating and rationalizing processes (the “Avis Europe restructuring”). This restructuring initiative is substantially complete.</w:t>
      </w:r>
    </w:p>
    <w:p>
      <w:pPr>
        <w:spacing w:after="0" w:line="16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activity related to our restructuring liabilities:</w:t>
      </w:r>
    </w:p>
    <w:p>
      <w:pPr>
        <w:spacing w:after="0" w:line="363"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40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52"/>
              <w:spacing w:after="0"/>
              <w:rPr>
                <w:sz w:val="20"/>
                <w:szCs w:val="20"/>
                <w:color w:val="auto"/>
              </w:rPr>
            </w:pPr>
            <w:r>
              <w:rPr>
                <w:rFonts w:ascii="Arial" w:cs="Arial" w:eastAsia="Arial" w:hAnsi="Arial"/>
                <w:sz w:val="16"/>
                <w:szCs w:val="16"/>
                <w:b w:val="1"/>
                <w:bCs w:val="1"/>
                <w:color w:val="auto"/>
                <w:w w:val="99"/>
              </w:rPr>
              <w:t>Americas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rPr>
              <w:t>International</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7"/>
        </w:trPr>
        <w:tc>
          <w:tcPr>
            <w:tcW w:w="4000" w:type="dxa"/>
            <w:vAlign w:val="bottom"/>
          </w:tcPr>
          <w:p>
            <w:pPr>
              <w:spacing w:after="0"/>
              <w:rPr>
                <w:sz w:val="20"/>
                <w:szCs w:val="20"/>
                <w:color w:val="auto"/>
              </w:rPr>
            </w:pPr>
            <w:r>
              <w:rPr>
                <w:rFonts w:ascii="Arial" w:cs="Arial" w:eastAsia="Arial" w:hAnsi="Arial"/>
                <w:sz w:val="18"/>
                <w:szCs w:val="18"/>
                <w:color w:val="auto"/>
              </w:rPr>
              <w:t>Balance as of January 1, 2015</w:t>
            </w:r>
          </w:p>
        </w:tc>
        <w:tc>
          <w:tcPr>
            <w:tcW w:w="19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4000" w:type="dxa"/>
            <w:vAlign w:val="bottom"/>
          </w:tcPr>
          <w:p>
            <w:pPr>
              <w:ind w:left="100"/>
              <w:spacing w:after="0"/>
              <w:rPr>
                <w:sz w:val="20"/>
                <w:szCs w:val="20"/>
                <w:color w:val="auto"/>
              </w:rPr>
            </w:pPr>
            <w:r>
              <w:rPr>
                <w:rFonts w:ascii="Arial" w:cs="Arial" w:eastAsia="Arial" w:hAnsi="Arial"/>
                <w:sz w:val="18"/>
                <w:szCs w:val="18"/>
                <w:color w:val="auto"/>
              </w:rPr>
              <w:t>T15 restructuring expense</w:t>
            </w:r>
          </w:p>
        </w:tc>
        <w:tc>
          <w:tcPr>
            <w:tcW w:w="1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4000" w:type="dxa"/>
            <w:vAlign w:val="bottom"/>
          </w:tcPr>
          <w:p>
            <w:pPr>
              <w:ind w:left="100"/>
              <w:spacing w:after="0"/>
              <w:rPr>
                <w:sz w:val="20"/>
                <w:szCs w:val="20"/>
                <w:color w:val="auto"/>
              </w:rPr>
            </w:pPr>
            <w:r>
              <w:rPr>
                <w:rFonts w:ascii="Arial" w:cs="Arial" w:eastAsia="Arial" w:hAnsi="Arial"/>
                <w:sz w:val="18"/>
                <w:szCs w:val="18"/>
                <w:color w:val="auto"/>
              </w:rPr>
              <w:t>Acquisition integration expense</w:t>
            </w:r>
          </w:p>
        </w:tc>
        <w:tc>
          <w:tcPr>
            <w:tcW w:w="1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000" w:type="dxa"/>
            <w:vAlign w:val="bottom"/>
          </w:tcPr>
          <w:p>
            <w:pPr>
              <w:ind w:left="100"/>
              <w:spacing w:after="0"/>
              <w:rPr>
                <w:sz w:val="20"/>
                <w:szCs w:val="20"/>
                <w:color w:val="auto"/>
              </w:rPr>
            </w:pPr>
            <w:r>
              <w:rPr>
                <w:rFonts w:ascii="Arial" w:cs="Arial" w:eastAsia="Arial" w:hAnsi="Arial"/>
                <w:sz w:val="18"/>
                <w:szCs w:val="18"/>
                <w:color w:val="auto"/>
              </w:rPr>
              <w:t>Avis Europe restructuring payment</w:t>
            </w:r>
          </w:p>
        </w:tc>
        <w:tc>
          <w:tcPr>
            <w:tcW w:w="1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4000" w:type="dxa"/>
            <w:vAlign w:val="bottom"/>
          </w:tcPr>
          <w:p>
            <w:pPr>
              <w:ind w:left="100"/>
              <w:spacing w:after="0"/>
              <w:rPr>
                <w:sz w:val="20"/>
                <w:szCs w:val="20"/>
                <w:color w:val="auto"/>
              </w:rPr>
            </w:pPr>
            <w:r>
              <w:rPr>
                <w:rFonts w:ascii="Arial" w:cs="Arial" w:eastAsia="Arial" w:hAnsi="Arial"/>
                <w:sz w:val="18"/>
                <w:szCs w:val="18"/>
                <w:color w:val="auto"/>
              </w:rPr>
              <w:t>T15 restructuring payment</w:t>
            </w:r>
          </w:p>
        </w:tc>
        <w:tc>
          <w:tcPr>
            <w:tcW w:w="1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5"/>
        </w:trPr>
        <w:tc>
          <w:tcPr>
            <w:tcW w:w="4000" w:type="dxa"/>
            <w:vAlign w:val="bottom"/>
          </w:tcPr>
          <w:p>
            <w:pPr>
              <w:ind w:left="100"/>
              <w:spacing w:after="0"/>
              <w:rPr>
                <w:sz w:val="20"/>
                <w:szCs w:val="20"/>
                <w:color w:val="auto"/>
              </w:rPr>
            </w:pPr>
            <w:r>
              <w:rPr>
                <w:rFonts w:ascii="Arial" w:cs="Arial" w:eastAsia="Arial" w:hAnsi="Arial"/>
                <w:sz w:val="18"/>
                <w:szCs w:val="18"/>
                <w:color w:val="auto"/>
              </w:rPr>
              <w:t>Acquisition integration payment</w:t>
            </w:r>
          </w:p>
        </w:tc>
        <w:tc>
          <w:tcPr>
            <w:tcW w:w="17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5"/>
        </w:trPr>
        <w:tc>
          <w:tcPr>
            <w:tcW w:w="4000" w:type="dxa"/>
            <w:vAlign w:val="bottom"/>
          </w:tcPr>
          <w:p>
            <w:pPr>
              <w:spacing w:after="0"/>
              <w:rPr>
                <w:sz w:val="20"/>
                <w:szCs w:val="20"/>
                <w:color w:val="auto"/>
              </w:rPr>
            </w:pPr>
            <w:r>
              <w:rPr>
                <w:rFonts w:ascii="Arial" w:cs="Arial" w:eastAsia="Arial" w:hAnsi="Arial"/>
                <w:sz w:val="18"/>
                <w:szCs w:val="18"/>
                <w:color w:val="auto"/>
              </w:rPr>
              <w:t>Balance as of September 30, 2015</w:t>
            </w:r>
          </w:p>
        </w:tc>
        <w:tc>
          <w:tcPr>
            <w:tcW w:w="172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4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Personnel</w:t>
            </w:r>
          </w:p>
        </w:tc>
        <w:tc>
          <w:tcPr>
            <w:tcW w:w="180" w:type="dxa"/>
            <w:vAlign w:val="bottom"/>
          </w:tcPr>
          <w:p>
            <w:pPr>
              <w:spacing w:after="0"/>
              <w:rPr>
                <w:sz w:val="24"/>
                <w:szCs w:val="2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Facility</w:t>
            </w: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rPr>
              <w:t>Related</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92"/>
              <w:spacing w:after="0"/>
              <w:rPr>
                <w:sz w:val="20"/>
                <w:szCs w:val="20"/>
                <w:color w:val="auto"/>
              </w:rPr>
            </w:pPr>
            <w:r>
              <w:rPr>
                <w:rFonts w:ascii="Arial" w:cs="Arial" w:eastAsia="Arial" w:hAnsi="Arial"/>
                <w:sz w:val="16"/>
                <w:szCs w:val="16"/>
                <w:b w:val="1"/>
                <w:bCs w:val="1"/>
                <w:color w:val="auto"/>
              </w:rPr>
              <w:t>Related</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7"/>
        </w:trPr>
        <w:tc>
          <w:tcPr>
            <w:tcW w:w="4000" w:type="dxa"/>
            <w:vAlign w:val="bottom"/>
          </w:tcPr>
          <w:p>
            <w:pPr>
              <w:spacing w:after="0"/>
              <w:rPr>
                <w:sz w:val="20"/>
                <w:szCs w:val="20"/>
                <w:color w:val="auto"/>
              </w:rPr>
            </w:pPr>
            <w:r>
              <w:rPr>
                <w:rFonts w:ascii="Arial" w:cs="Arial" w:eastAsia="Arial" w:hAnsi="Arial"/>
                <w:sz w:val="18"/>
                <w:szCs w:val="18"/>
                <w:color w:val="auto"/>
              </w:rPr>
              <w:t>Balance as of January 1, 2015</w:t>
            </w:r>
          </w:p>
        </w:tc>
        <w:tc>
          <w:tcPr>
            <w:tcW w:w="19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0"/>
        </w:trPr>
        <w:tc>
          <w:tcPr>
            <w:tcW w:w="4000" w:type="dxa"/>
            <w:vAlign w:val="bottom"/>
          </w:tcPr>
          <w:p>
            <w:pPr>
              <w:ind w:left="100"/>
              <w:spacing w:after="0"/>
              <w:rPr>
                <w:sz w:val="20"/>
                <w:szCs w:val="20"/>
                <w:color w:val="auto"/>
              </w:rPr>
            </w:pPr>
            <w:r>
              <w:rPr>
                <w:rFonts w:ascii="Arial" w:cs="Arial" w:eastAsia="Arial" w:hAnsi="Arial"/>
                <w:sz w:val="18"/>
                <w:szCs w:val="18"/>
                <w:color w:val="auto"/>
              </w:rPr>
              <w:t>T15 restructuring expense</w:t>
            </w:r>
          </w:p>
        </w:tc>
        <w:tc>
          <w:tcPr>
            <w:tcW w:w="1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4000" w:type="dxa"/>
            <w:vAlign w:val="bottom"/>
          </w:tcPr>
          <w:p>
            <w:pPr>
              <w:ind w:left="100"/>
              <w:spacing w:after="0"/>
              <w:rPr>
                <w:sz w:val="20"/>
                <w:szCs w:val="20"/>
                <w:color w:val="auto"/>
              </w:rPr>
            </w:pPr>
            <w:r>
              <w:rPr>
                <w:rFonts w:ascii="Arial" w:cs="Arial" w:eastAsia="Arial" w:hAnsi="Arial"/>
                <w:sz w:val="18"/>
                <w:szCs w:val="18"/>
                <w:color w:val="auto"/>
              </w:rPr>
              <w:t>Acquisition integration expense</w:t>
            </w:r>
          </w:p>
        </w:tc>
        <w:tc>
          <w:tcPr>
            <w:tcW w:w="1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4000" w:type="dxa"/>
            <w:vAlign w:val="bottom"/>
          </w:tcPr>
          <w:p>
            <w:pPr>
              <w:ind w:left="100"/>
              <w:spacing w:after="0"/>
              <w:rPr>
                <w:sz w:val="20"/>
                <w:szCs w:val="20"/>
                <w:color w:val="auto"/>
              </w:rPr>
            </w:pPr>
            <w:r>
              <w:rPr>
                <w:rFonts w:ascii="Arial" w:cs="Arial" w:eastAsia="Arial" w:hAnsi="Arial"/>
                <w:sz w:val="18"/>
                <w:szCs w:val="18"/>
                <w:color w:val="auto"/>
              </w:rPr>
              <w:t>Avis Europe restructuring payment</w:t>
            </w:r>
          </w:p>
        </w:tc>
        <w:tc>
          <w:tcPr>
            <w:tcW w:w="1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0"/>
        </w:trPr>
        <w:tc>
          <w:tcPr>
            <w:tcW w:w="4000" w:type="dxa"/>
            <w:vAlign w:val="bottom"/>
          </w:tcPr>
          <w:p>
            <w:pPr>
              <w:ind w:left="100"/>
              <w:spacing w:after="0"/>
              <w:rPr>
                <w:sz w:val="20"/>
                <w:szCs w:val="20"/>
                <w:color w:val="auto"/>
              </w:rPr>
            </w:pPr>
            <w:r>
              <w:rPr>
                <w:rFonts w:ascii="Arial" w:cs="Arial" w:eastAsia="Arial" w:hAnsi="Arial"/>
                <w:sz w:val="18"/>
                <w:szCs w:val="18"/>
                <w:color w:val="auto"/>
              </w:rPr>
              <w:t>T15 restructuring payment</w:t>
            </w:r>
          </w:p>
        </w:tc>
        <w:tc>
          <w:tcPr>
            <w:tcW w:w="1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5"/>
        </w:trPr>
        <w:tc>
          <w:tcPr>
            <w:tcW w:w="4000" w:type="dxa"/>
            <w:vAlign w:val="bottom"/>
          </w:tcPr>
          <w:p>
            <w:pPr>
              <w:ind w:left="100"/>
              <w:spacing w:after="0"/>
              <w:rPr>
                <w:sz w:val="20"/>
                <w:szCs w:val="20"/>
                <w:color w:val="auto"/>
              </w:rPr>
            </w:pPr>
            <w:r>
              <w:rPr>
                <w:rFonts w:ascii="Arial" w:cs="Arial" w:eastAsia="Arial" w:hAnsi="Arial"/>
                <w:sz w:val="18"/>
                <w:szCs w:val="18"/>
                <w:color w:val="auto"/>
              </w:rPr>
              <w:t>Acquisition integration payment</w:t>
            </w:r>
          </w:p>
        </w:tc>
        <w:tc>
          <w:tcPr>
            <w:tcW w:w="17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5"/>
        </w:trPr>
        <w:tc>
          <w:tcPr>
            <w:tcW w:w="4000" w:type="dxa"/>
            <w:vAlign w:val="bottom"/>
          </w:tcPr>
          <w:p>
            <w:pPr>
              <w:spacing w:after="0"/>
              <w:rPr>
                <w:sz w:val="20"/>
                <w:szCs w:val="20"/>
                <w:color w:val="auto"/>
              </w:rPr>
            </w:pPr>
            <w:r>
              <w:rPr>
                <w:rFonts w:ascii="Arial" w:cs="Arial" w:eastAsia="Arial" w:hAnsi="Arial"/>
                <w:sz w:val="18"/>
                <w:szCs w:val="18"/>
                <w:color w:val="auto"/>
              </w:rPr>
              <w:t>Balance as of September 30, 2015</w:t>
            </w:r>
          </w:p>
        </w:tc>
        <w:tc>
          <w:tcPr>
            <w:tcW w:w="19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720" w:type="dxa"/>
            <w:vAlign w:val="bottom"/>
            <w:vMerge w:val="restart"/>
          </w:tcPr>
          <w:p>
            <w:pPr>
              <w:jc w:val="right"/>
              <w:ind w:right="390"/>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4000" w:type="dxa"/>
            <w:vAlign w:val="bottom"/>
          </w:tcPr>
          <w:p>
            <w:pPr>
              <w:spacing w:after="0"/>
              <w:rPr>
                <w:sz w:val="24"/>
                <w:szCs w:val="24"/>
                <w:color w:val="auto"/>
              </w:rPr>
            </w:pPr>
          </w:p>
        </w:tc>
        <w:tc>
          <w:tcPr>
            <w:tcW w:w="17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116" w:right="3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16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1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54"/>
        </w:trPr>
        <w:tc>
          <w:tcPr>
            <w:tcW w:w="5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0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2"/>
                <w:szCs w:val="22"/>
                <w:color w:val="auto"/>
              </w:rPr>
            </w:pPr>
          </w:p>
        </w:tc>
        <w:tc>
          <w:tcPr>
            <w:tcW w:w="21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63"/>
        </w:trPr>
        <w:tc>
          <w:tcPr>
            <w:tcW w:w="54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42"/>
        </w:trPr>
        <w:tc>
          <w:tcPr>
            <w:tcW w:w="5400" w:type="dxa"/>
            <w:vAlign w:val="bottom"/>
          </w:tcPr>
          <w:p>
            <w:pPr>
              <w:ind w:left="20"/>
              <w:spacing w:after="0"/>
              <w:rPr>
                <w:sz w:val="20"/>
                <w:szCs w:val="20"/>
                <w:color w:val="auto"/>
              </w:rPr>
            </w:pPr>
            <w:r>
              <w:rPr>
                <w:rFonts w:ascii="Arial" w:cs="Arial" w:eastAsia="Arial" w:hAnsi="Arial"/>
                <w:sz w:val="18"/>
                <w:szCs w:val="18"/>
                <w:color w:val="auto"/>
              </w:rPr>
              <w:t>Net income for basic EPS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5"/>
        </w:trPr>
        <w:tc>
          <w:tcPr>
            <w:tcW w:w="5400" w:type="dxa"/>
            <w:vAlign w:val="bottom"/>
          </w:tcPr>
          <w:p>
            <w:pPr>
              <w:ind w:left="20"/>
              <w:spacing w:after="0"/>
              <w:rPr>
                <w:sz w:val="20"/>
                <w:szCs w:val="20"/>
                <w:color w:val="auto"/>
              </w:rPr>
            </w:pPr>
            <w:r>
              <w:rPr>
                <w:rFonts w:ascii="Arial" w:cs="Arial" w:eastAsia="Arial" w:hAnsi="Arial"/>
                <w:sz w:val="18"/>
                <w:szCs w:val="18"/>
                <w:color w:val="auto"/>
              </w:rPr>
              <w:t>Convertible note interest, net of tax</w:t>
            </w:r>
          </w:p>
        </w:tc>
        <w:tc>
          <w:tcPr>
            <w:tcW w:w="22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5"/>
        </w:trPr>
        <w:tc>
          <w:tcPr>
            <w:tcW w:w="5400" w:type="dxa"/>
            <w:vAlign w:val="bottom"/>
          </w:tcPr>
          <w:p>
            <w:pPr>
              <w:ind w:left="20"/>
              <w:spacing w:after="0"/>
              <w:rPr>
                <w:sz w:val="20"/>
                <w:szCs w:val="20"/>
                <w:color w:val="auto"/>
              </w:rPr>
            </w:pPr>
            <w:r>
              <w:rPr>
                <w:rFonts w:ascii="Arial" w:cs="Arial" w:eastAsia="Arial" w:hAnsi="Arial"/>
                <w:sz w:val="18"/>
                <w:szCs w:val="18"/>
                <w:color w:val="auto"/>
              </w:rPr>
              <w:t>Net income for diluted EPS</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540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102.7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97"/>
        </w:trPr>
        <w:tc>
          <w:tcPr>
            <w:tcW w:w="5400" w:type="dxa"/>
            <w:vAlign w:val="bottom"/>
          </w:tcPr>
          <w:p>
            <w:pPr>
              <w:ind w:left="20"/>
              <w:spacing w:after="0"/>
              <w:rPr>
                <w:sz w:val="20"/>
                <w:szCs w:val="20"/>
                <w:color w:val="auto"/>
              </w:rPr>
            </w:pPr>
            <w:r>
              <w:rPr>
                <w:rFonts w:ascii="Arial" w:cs="Arial" w:eastAsia="Arial" w:hAnsi="Arial"/>
                <w:sz w:val="18"/>
                <w:szCs w:val="18"/>
                <w:color w:val="auto"/>
              </w:rPr>
              <w:t xml:space="preserve">Options and non-vested stock </w:t>
            </w:r>
            <w:r>
              <w:rPr>
                <w:rFonts w:ascii="Arial" w:cs="Arial" w:eastAsia="Arial" w:hAnsi="Arial"/>
                <w:sz w:val="21"/>
                <w:szCs w:val="21"/>
                <w:color w:val="auto"/>
                <w:vertAlign w:val="superscript"/>
              </w:rPr>
              <w:t>(a)</w:t>
            </w:r>
          </w:p>
        </w:tc>
        <w:tc>
          <w:tcPr>
            <w:tcW w:w="2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8"/>
        </w:trPr>
        <w:tc>
          <w:tcPr>
            <w:tcW w:w="5400" w:type="dxa"/>
            <w:vAlign w:val="bottom"/>
          </w:tcPr>
          <w:p>
            <w:pPr>
              <w:ind w:left="20"/>
              <w:spacing w:after="0"/>
              <w:rPr>
                <w:sz w:val="20"/>
                <w:szCs w:val="20"/>
                <w:color w:val="auto"/>
              </w:rPr>
            </w:pPr>
            <w:r>
              <w:rPr>
                <w:rFonts w:ascii="Arial" w:cs="Arial" w:eastAsia="Arial" w:hAnsi="Arial"/>
                <w:sz w:val="18"/>
                <w:szCs w:val="18"/>
                <w:color w:val="auto"/>
              </w:rPr>
              <w:t>Convertible debt</w:t>
            </w:r>
          </w:p>
        </w:tc>
        <w:tc>
          <w:tcPr>
            <w:tcW w:w="22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55"/>
        </w:trPr>
        <w:tc>
          <w:tcPr>
            <w:tcW w:w="540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Earnings per share:</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5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57"/>
        </w:trPr>
        <w:tc>
          <w:tcPr>
            <w:tcW w:w="540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6"/>
        </w:trPr>
        <w:tc>
          <w:tcPr>
            <w:tcW w:w="5400" w:type="dxa"/>
            <w:vAlign w:val="bottom"/>
          </w:tcPr>
          <w:p>
            <w:pPr>
              <w:spacing w:after="0"/>
              <w:rPr>
                <w:sz w:val="20"/>
                <w:szCs w:val="20"/>
                <w:color w:val="auto"/>
              </w:rPr>
            </w:pPr>
            <w:r>
              <w:rPr>
                <w:rFonts w:ascii="Arial" w:cs="Arial" w:eastAsia="Arial" w:hAnsi="Arial"/>
                <w:sz w:val="18"/>
                <w:szCs w:val="18"/>
                <w:color w:val="auto"/>
              </w:rPr>
              <w:t>__________</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820" w:hanging="326"/>
        <w:spacing w:after="0" w:line="229" w:lineRule="auto"/>
        <w:tabs>
          <w:tab w:leader="none" w:pos="820" w:val="left"/>
        </w:tabs>
        <w:numPr>
          <w:ilvl w:val="1"/>
          <w:numId w:val="6"/>
        </w:numPr>
        <w:rPr>
          <w:rFonts w:ascii="Arial" w:cs="Arial" w:eastAsia="Arial" w:hAnsi="Arial"/>
          <w:sz w:val="22"/>
          <w:szCs w:val="22"/>
          <w:color w:val="auto"/>
          <w:vertAlign w:val="superscript"/>
        </w:rPr>
      </w:pPr>
      <w:r>
        <w:rPr>
          <w:rFonts w:ascii="Arial" w:cs="Arial" w:eastAsia="Arial" w:hAnsi="Arial"/>
          <w:sz w:val="16"/>
          <w:szCs w:val="16"/>
          <w:color w:val="auto"/>
        </w:rPr>
        <w:t>For the three and nine months ended September 30, 2015, 0.3 million and 0.1 million non-vested stock awards, respectively, have an anti-dilutive effect and are therefore excluded from the computation of diluted weighted average shares outstanding. For the three months ended September 30, 2014, there were no anti-dilutive securities excluded from the computation of diluted earnings per share. For the nine months ended September 30, 2014, the number of anti-dilutive securities which were excluded from the computation of diluted earnings per share was not significant.</w:t>
      </w:r>
    </w:p>
    <w:p>
      <w:pPr>
        <w:spacing w:after="0" w:line="182" w:lineRule="exact"/>
        <w:rPr>
          <w:rFonts w:ascii="Arial" w:cs="Arial" w:eastAsia="Arial" w:hAnsi="Arial"/>
          <w:sz w:val="22"/>
          <w:szCs w:val="22"/>
          <w:color w:val="auto"/>
          <w:vertAlign w:val="superscript"/>
        </w:rPr>
      </w:pPr>
    </w:p>
    <w:p>
      <w:pPr>
        <w:ind w:left="500" w:right="9520" w:hanging="492"/>
        <w:spacing w:after="0" w:line="501" w:lineRule="auto"/>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2015 </w:t>
      </w:r>
      <w:r>
        <w:rPr>
          <w:rFonts w:ascii="Arial" w:cs="Arial" w:eastAsia="Arial" w:hAnsi="Arial"/>
          <w:sz w:val="18"/>
          <w:szCs w:val="18"/>
          <w:b w:val="1"/>
          <w:bCs w:val="1"/>
          <w:i w:val="1"/>
          <w:iCs w:val="1"/>
          <w:color w:val="auto"/>
        </w:rPr>
        <w:t>Maggiore Group</w:t>
      </w:r>
    </w:p>
    <w:p>
      <w:pPr>
        <w:spacing w:after="0" w:line="2" w:lineRule="exact"/>
        <w:rPr>
          <w:rFonts w:ascii="Arial" w:cs="Arial" w:eastAsia="Arial" w:hAnsi="Arial"/>
          <w:sz w:val="18"/>
          <w:szCs w:val="18"/>
          <w:b w:val="1"/>
          <w:bCs w:val="1"/>
          <w:color w:val="auto"/>
        </w:rPr>
      </w:pPr>
    </w:p>
    <w:p>
      <w:pPr>
        <w:ind w:left="500" w:right="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April 2015, the Company completed the acquisition of Maggiore Group (“Maggiore”) for approximately $160 million, net of acquired cash and short-term investments. The investment enables the Company to expand its footprint with a leading provider of vehicle rental services in Italy. The excess of the purchase price over preliminary fair value of net assets acquired was allocated to goodwill, which was assigned to the Company’s International reportable segment. In connection with this acquisition, approximately $79 million was recorded in goodwill, $51 million was recorded in customer relationships, $34 million related to the trade name was recorded in other intangibles and $11 million was recorded in license agreements. The customer relationships, trade name and license agreements will be amortized over a weighted average useful life of approximately ten years. The goodwill is not expected to be deductible for tax purposes. The fair value of the assets acquired and liabilities assumed has not yet been finalized and is therefore subject to change.</w:t>
      </w:r>
    </w:p>
    <w:p>
      <w:pPr>
        <w:spacing w:after="0" w:line="17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Brazil</w:t>
      </w:r>
    </w:p>
    <w:p>
      <w:pPr>
        <w:spacing w:after="0" w:line="225" w:lineRule="exact"/>
        <w:rPr>
          <w:rFonts w:ascii="Arial" w:cs="Arial" w:eastAsia="Arial" w:hAnsi="Arial"/>
          <w:sz w:val="18"/>
          <w:szCs w:val="18"/>
          <w:b w:val="1"/>
          <w:bCs w:val="1"/>
          <w:color w:val="auto"/>
        </w:rPr>
      </w:pPr>
    </w:p>
    <w:p>
      <w:pPr>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April 2015, the Company acquired the remaining 50% equity interest in its Brazilian Licensee (“Brazil”), which is now a wholly-owned subsidiary, for cash consideration of $8 million plus $46 million principally to acquire debt interests and settle certain debt and accrued interest obligations. The acquisition enables the Company to significantly increase its presence in the Brazilian car rental market. The Company previously accounted for its 50% interest in Brazil as an equity-method investment and accordingly, to recognize Brazil as a wholly-owned subsidiary, remeasured its previously held equity method investment to fair value using the Income approach-discounted cash flow method (Level 3), resulting in a loss of $8 million during second quarter 2015 as part of transaction-related costs. The results of the operations of Brazil and the fair value of its assets and liabilities have been included in the Company’s Consolidated Condensed Financial Statements from the date of the acquisition. As the fair value of the licensee’s liabilities exceeded its assets, $75 million was allocated to goodwill for the excess of the purchase price over preliminary fair value of net assets acquired, which was assigned to the Company’s Americas reportable segment. The goodwill is not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1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500"/>
        <w:spacing w:after="0" w:line="292" w:lineRule="auto"/>
        <w:rPr>
          <w:sz w:val="20"/>
          <w:szCs w:val="20"/>
          <w:color w:val="auto"/>
        </w:rPr>
      </w:pPr>
      <w:r>
        <w:rPr>
          <w:rFonts w:ascii="Arial" w:cs="Arial" w:eastAsia="Arial" w:hAnsi="Arial"/>
          <w:sz w:val="18"/>
          <w:szCs w:val="18"/>
          <w:color w:val="auto"/>
        </w:rPr>
        <w:t>expected to be deductible for tax purposes. The fair value of the assets acquired and liabilities assumed has not yet been finalized and is therefore subject to change.</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Scandinavian Licensee</w:t>
      </w:r>
    </w:p>
    <w:p>
      <w:pPr>
        <w:spacing w:after="0" w:line="225" w:lineRule="exact"/>
        <w:rPr>
          <w:sz w:val="20"/>
          <w:szCs w:val="20"/>
          <w:color w:val="auto"/>
        </w:rPr>
      </w:pPr>
    </w:p>
    <w:p>
      <w:pPr>
        <w:ind w:left="500" w:right="40"/>
        <w:spacing w:after="0" w:line="255" w:lineRule="auto"/>
        <w:rPr>
          <w:sz w:val="20"/>
          <w:szCs w:val="20"/>
          <w:color w:val="auto"/>
        </w:rPr>
      </w:pPr>
      <w:r>
        <w:rPr>
          <w:rFonts w:ascii="Arial" w:cs="Arial" w:eastAsia="Arial" w:hAnsi="Arial"/>
          <w:sz w:val="18"/>
          <w:szCs w:val="18"/>
          <w:color w:val="auto"/>
        </w:rPr>
        <w:t>In January 2015, the Company completed the acquisition of its Avis and Budget licensees in Norway, Sweden and Denmark for approximately $39 million, net of acquired cash. The investment enables the Company to expand its footprint of Company-operated locations. The excess of the purchase price over preliminary fair value of net assets acquired was allocated to goodwill, which was assigned to the Company’s International reportable segment. In connection with this acquisition, approximately $31 million was recorded in license agreements and $21 million was recorded in goodwill. The license agreements will be amortized over a weighted average useful life of approximately eight years. In addition, at the time of acquisition, the Company recorded a $22 million non-cash charge within transaction-related costs in connection with license rights reacquired by the Company. The goodwill is not expected to be deductible for tax purposes. The fair value of the assets acquired and liabilities assumed has not yet been finalized and is therefore subject to change.</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2014</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Budget Licensees</w:t>
      </w:r>
    </w:p>
    <w:p>
      <w:pPr>
        <w:spacing w:after="0" w:line="225"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During 2014, the Company completed the acquisition of its Budget licensees for Edmonton, Canada; Southern California and Las Vegas, and reacquired the right to operate the Budget brand in Portugal, for an aggregate of approximately $263 million, plus $132 million for acquired fleet. These investments enabled the Company to expand its footprint of Company-operated locations. The acquired fleet was financed under the Company’s existing vehicle financing arrangements. The excess of the purchase price over preliminary fair value of net assets acquired was allocated to goodwill, which was assigned to the Company’s Americas reportable segment for Edmonton, Southern California and Las Vegas and to the Company’s International reportable segment for Portugal. In connection with these acquisitions, approximately $ 58 million was recorded in identifiable intangible assets (consisting of $10 million related to customer relationships and $48 million related to license agreements) and $192 million was recorded in goodwill. The customer relationships will be amortized over a weighted average useful life of approximately 12 years and the license agreements will be amortized over a weighted average useful life of approximately three years. During 2014, the Company recorded a non-cash gain of approximately $20 million within transaction-related costs in connection with license rights reacquired by the Company. Goodwill is deductible for tax purposes. The fair value of the assets acquired and liabilities assumed has not yet been finalized for Southern California and Las Vegas and is therefore subject to change. Differences between the preliminary allocation of purchase price and the final allocation were not material for Edmonton and Portugal.</w:t>
      </w:r>
    </w:p>
    <w:p>
      <w:pPr>
        <w:spacing w:after="0" w:line="185"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w:t>
      </w:r>
    </w:p>
    <w:p>
      <w:pPr>
        <w:spacing w:after="0" w:line="16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336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1800" w:type="dxa"/>
            <w:vAlign w:val="bottom"/>
            <w:gridSpan w:val="3"/>
          </w:tcPr>
          <w:p>
            <w:pPr>
              <w:ind w:left="140"/>
              <w:spacing w:after="0"/>
              <w:rPr>
                <w:sz w:val="20"/>
                <w:szCs w:val="20"/>
                <w:color w:val="auto"/>
              </w:rPr>
            </w:pPr>
            <w:r>
              <w:rPr>
                <w:rFonts w:ascii="Arial" w:cs="Arial" w:eastAsia="Arial" w:hAnsi="Arial"/>
                <w:sz w:val="18"/>
                <w:szCs w:val="18"/>
                <w:b w:val="1"/>
                <w:bCs w:val="1"/>
                <w:color w:val="auto"/>
              </w:rPr>
              <w:t>As of September</w:t>
            </w:r>
          </w:p>
        </w:tc>
        <w:tc>
          <w:tcPr>
            <w:tcW w:w="140" w:type="dxa"/>
            <w:vAlign w:val="bottom"/>
          </w:tcPr>
          <w:p>
            <w:pPr>
              <w:spacing w:after="0"/>
              <w:rPr>
                <w:sz w:val="18"/>
                <w:szCs w:val="18"/>
                <w:color w:val="auto"/>
              </w:rPr>
            </w:pPr>
          </w:p>
        </w:tc>
        <w:tc>
          <w:tcPr>
            <w:tcW w:w="152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As of December</w:t>
            </w:r>
          </w:p>
        </w:tc>
        <w:tc>
          <w:tcPr>
            <w:tcW w:w="0" w:type="dxa"/>
            <w:vAlign w:val="bottom"/>
          </w:tcPr>
          <w:p>
            <w:pPr>
              <w:spacing w:after="0"/>
              <w:rPr>
                <w:sz w:val="1"/>
                <w:szCs w:val="1"/>
                <w:color w:val="auto"/>
              </w:rPr>
            </w:pPr>
          </w:p>
        </w:tc>
      </w:tr>
      <w:tr>
        <w:trPr>
          <w:trHeight w:val="253"/>
        </w:trPr>
        <w:tc>
          <w:tcPr>
            <w:tcW w:w="336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30, 2015</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31, 2014</w:t>
            </w:r>
          </w:p>
        </w:tc>
        <w:tc>
          <w:tcPr>
            <w:tcW w:w="0" w:type="dxa"/>
            <w:vAlign w:val="bottom"/>
          </w:tcPr>
          <w:p>
            <w:pPr>
              <w:spacing w:after="0"/>
              <w:rPr>
                <w:sz w:val="1"/>
                <w:szCs w:val="1"/>
                <w:color w:val="auto"/>
              </w:rPr>
            </w:pPr>
          </w:p>
        </w:tc>
      </w:tr>
      <w:tr>
        <w:trPr>
          <w:trHeight w:val="242"/>
        </w:trPr>
        <w:tc>
          <w:tcPr>
            <w:tcW w:w="3360" w:type="dxa"/>
            <w:vAlign w:val="bottom"/>
          </w:tcPr>
          <w:p>
            <w:pPr>
              <w:spacing w:after="0"/>
              <w:rPr>
                <w:sz w:val="20"/>
                <w:szCs w:val="20"/>
                <w:color w:val="auto"/>
              </w:rPr>
            </w:pPr>
            <w:r>
              <w:rPr>
                <w:rFonts w:ascii="Arial" w:cs="Arial" w:eastAsia="Arial" w:hAnsi="Arial"/>
                <w:sz w:val="18"/>
                <w:szCs w:val="18"/>
                <w:color w:val="auto"/>
              </w:rPr>
              <w:t>Sales and use taxes</w:t>
            </w:r>
          </w:p>
        </w:tc>
        <w:tc>
          <w:tcPr>
            <w:tcW w:w="38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0"/>
                <w:szCs w:val="20"/>
                <w:color w:val="auto"/>
              </w:rPr>
            </w:pPr>
            <w:r>
              <w:rPr>
                <w:rFonts w:ascii="Arial" w:cs="Arial" w:eastAsia="Arial" w:hAnsi="Arial"/>
                <w:sz w:val="18"/>
                <w:szCs w:val="18"/>
                <w:color w:val="auto"/>
              </w:rPr>
              <w:t>Prepaid expenses</w:t>
            </w:r>
          </w:p>
        </w:tc>
        <w:tc>
          <w:tcPr>
            <w:tcW w:w="34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75"/>
        </w:trPr>
        <w:tc>
          <w:tcPr>
            <w:tcW w:w="3360" w:type="dxa"/>
            <w:vAlign w:val="bottom"/>
          </w:tcPr>
          <w:p>
            <w:pPr>
              <w:spacing w:after="0"/>
              <w:rPr>
                <w:sz w:val="20"/>
                <w:szCs w:val="20"/>
                <w:color w:val="auto"/>
              </w:rPr>
            </w:pPr>
            <w:r>
              <w:rPr>
                <w:rFonts w:ascii="Arial" w:cs="Arial" w:eastAsia="Arial" w:hAnsi="Arial"/>
                <w:sz w:val="18"/>
                <w:szCs w:val="18"/>
                <w:color w:val="auto"/>
              </w:rPr>
              <w:t>Other</w:t>
            </w:r>
          </w:p>
        </w:tc>
        <w:tc>
          <w:tcPr>
            <w:tcW w:w="348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55"/>
        </w:trPr>
        <w:tc>
          <w:tcPr>
            <w:tcW w:w="3360" w:type="dxa"/>
            <w:vAlign w:val="bottom"/>
          </w:tcPr>
          <w:p>
            <w:pPr>
              <w:spacing w:after="0"/>
              <w:rPr>
                <w:sz w:val="20"/>
                <w:szCs w:val="20"/>
                <w:color w:val="auto"/>
              </w:rPr>
            </w:pPr>
            <w:r>
              <w:rPr>
                <w:rFonts w:ascii="Arial" w:cs="Arial" w:eastAsia="Arial" w:hAnsi="Arial"/>
                <w:sz w:val="18"/>
                <w:szCs w:val="18"/>
                <w:color w:val="auto"/>
              </w:rPr>
              <w:t>Other current assets</w:t>
            </w:r>
          </w:p>
        </w:tc>
        <w:tc>
          <w:tcPr>
            <w:tcW w:w="38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3480" w:type="dxa"/>
            <w:vAlign w:val="bottom"/>
            <w:vMerge w:val="restart"/>
          </w:tcPr>
          <w:p>
            <w:pPr>
              <w:jc w:val="right"/>
              <w:ind w:right="1470"/>
              <w:spacing w:after="0"/>
              <w:rPr>
                <w:sz w:val="20"/>
                <w:szCs w:val="20"/>
                <w:color w:val="auto"/>
              </w:rPr>
            </w:pPr>
            <w:r>
              <w:rPr>
                <w:rFonts w:ascii="Arial" w:cs="Arial" w:eastAsia="Arial" w:hAnsi="Arial"/>
                <w:sz w:val="18"/>
                <w:szCs w:val="18"/>
                <w:color w:val="auto"/>
              </w:rPr>
              <w:t>11</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336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16"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w:t>
      </w:r>
    </w:p>
    <w:p>
      <w:pPr>
        <w:spacing w:after="0" w:line="201" w:lineRule="exact"/>
        <w:rPr>
          <w:sz w:val="20"/>
          <w:szCs w:val="20"/>
          <w:color w:val="auto"/>
        </w:rPr>
      </w:pPr>
    </w:p>
    <w:tbl>
      <w:tblPr>
        <w:tblLayout w:type="fixed"/>
        <w:tblInd w:w="500" w:type="dxa"/>
        <w:tblCellMar>
          <w:top w:w="0" w:type="dxa"/>
          <w:left w:w="0" w:type="dxa"/>
          <w:bottom w:w="0" w:type="dxa"/>
          <w:right w:w="0" w:type="dxa"/>
        </w:tblCellMar>
      </w:tblPr>
      <w:tr>
        <w:trPr>
          <w:trHeight w:val="232"/>
        </w:trPr>
        <w:tc>
          <w:tcPr>
            <w:tcW w:w="2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center"/>
              <w:ind w:left="636"/>
              <w:spacing w:after="0"/>
              <w:rPr>
                <w:sz w:val="20"/>
                <w:szCs w:val="20"/>
                <w:color w:val="auto"/>
              </w:rPr>
            </w:pPr>
            <w:r>
              <w:rPr>
                <w:rFonts w:ascii="Arial" w:cs="Arial" w:eastAsia="Arial" w:hAnsi="Arial"/>
                <w:sz w:val="16"/>
                <w:szCs w:val="16"/>
                <w:b w:val="1"/>
                <w:bCs w:val="1"/>
                <w:color w:val="auto"/>
              </w:rPr>
              <w:t>As of September 30, 2015</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6"/>
          </w:tcPr>
          <w:p>
            <w:pPr>
              <w:jc w:val="center"/>
              <w:ind w:left="636"/>
              <w:spacing w:after="0"/>
              <w:rPr>
                <w:sz w:val="20"/>
                <w:szCs w:val="20"/>
                <w:color w:val="auto"/>
              </w:rPr>
            </w:pPr>
            <w:r>
              <w:rPr>
                <w:rFonts w:ascii="Arial" w:cs="Arial" w:eastAsia="Arial" w:hAnsi="Arial"/>
                <w:sz w:val="16"/>
                <w:szCs w:val="16"/>
                <w:b w:val="1"/>
                <w:bCs w:val="1"/>
                <w:color w:val="auto"/>
              </w:rPr>
              <w:t>As of December 31, 2014</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96"/>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202"/>
        </w:trPr>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2700" w:type="dxa"/>
            <w:vAlign w:val="bottom"/>
          </w:tcPr>
          <w:p>
            <w:pPr>
              <w:ind w:left="20"/>
              <w:spacing w:after="0"/>
              <w:rPr>
                <w:sz w:val="20"/>
                <w:szCs w:val="20"/>
                <w:color w:val="auto"/>
              </w:rPr>
            </w:pPr>
            <w:r>
              <w:rPr>
                <w:rFonts w:ascii="Arial" w:cs="Arial" w:eastAsia="Arial" w:hAnsi="Arial"/>
                <w:sz w:val="16"/>
                <w:szCs w:val="16"/>
                <w:i w:val="1"/>
                <w:iCs w:val="1"/>
                <w:color w:val="auto"/>
              </w:rPr>
              <w:t>Amortized Intangible Assets</w:t>
            </w: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2700" w:type="dxa"/>
            <w:vAlign w:val="bottom"/>
          </w:tcPr>
          <w:p>
            <w:pPr>
              <w:ind w:left="20"/>
              <w:spacing w:after="0"/>
              <w:rPr>
                <w:sz w:val="20"/>
                <w:szCs w:val="20"/>
                <w:color w:val="auto"/>
              </w:rPr>
            </w:pPr>
            <w:r>
              <w:rPr>
                <w:rFonts w:ascii="Arial" w:cs="Arial" w:eastAsia="Arial" w:hAnsi="Arial"/>
                <w:sz w:val="16"/>
                <w:szCs w:val="16"/>
                <w:color w:val="auto"/>
              </w:rPr>
              <w:t>License agreements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261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97"/>
        </w:trPr>
        <w:tc>
          <w:tcPr>
            <w:tcW w:w="2700" w:type="dxa"/>
            <w:vAlign w:val="bottom"/>
          </w:tcPr>
          <w:p>
            <w:pPr>
              <w:ind w:left="20"/>
              <w:spacing w:after="0"/>
              <w:rPr>
                <w:sz w:val="20"/>
                <w:szCs w:val="20"/>
                <w:color w:val="auto"/>
              </w:rPr>
            </w:pPr>
            <w:r>
              <w:rPr>
                <w:rFonts w:ascii="Arial" w:cs="Arial" w:eastAsia="Arial" w:hAnsi="Arial"/>
                <w:sz w:val="16"/>
                <w:szCs w:val="16"/>
                <w:color w:val="auto"/>
              </w:rPr>
              <w:t xml:space="preserve">Customer relationships </w:t>
            </w:r>
            <w:r>
              <w:rPr>
                <w:rFonts w:ascii="Arial" w:cs="Arial" w:eastAsia="Arial" w:hAnsi="Arial"/>
                <w:sz w:val="21"/>
                <w:szCs w:val="21"/>
                <w:color w:val="auto"/>
                <w:vertAlign w:val="superscript"/>
              </w:rPr>
              <w:t>(a)</w:t>
            </w:r>
          </w:p>
        </w:tc>
        <w:tc>
          <w:tcPr>
            <w:tcW w:w="200" w:type="dxa"/>
            <w:vAlign w:val="bottom"/>
          </w:tcPr>
          <w:p>
            <w:pPr>
              <w:spacing w:after="0"/>
              <w:rPr>
                <w:sz w:val="24"/>
                <w:szCs w:val="24"/>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52"/>
        </w:trPr>
        <w:tc>
          <w:tcPr>
            <w:tcW w:w="270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(a)</w:t>
            </w: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270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516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434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27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Unamortized Intangible Assets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700" w:type="dxa"/>
            <w:vAlign w:val="bottom"/>
          </w:tcPr>
          <w:p>
            <w:pPr>
              <w:ind w:left="20"/>
              <w:spacing w:after="0"/>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(b)</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964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70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increases in carrying amounts reflect the acquisition of Maggiore.</w:t>
      </w:r>
    </w:p>
    <w:p>
      <w:pPr>
        <w:ind w:left="820" w:hanging="326"/>
        <w:spacing w:after="0" w:line="204" w:lineRule="auto"/>
        <w:tabs>
          <w:tab w:leader="none" w:pos="8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The change in the carrying amount since December 31, 2014 reflects acquisitions, partially offset by a currency translation reduction of $54 million.</w:t>
      </w:r>
    </w:p>
    <w:p>
      <w:pPr>
        <w:spacing w:after="0" w:line="148" w:lineRule="exact"/>
        <w:rPr>
          <w:sz w:val="20"/>
          <w:szCs w:val="20"/>
          <w:color w:val="auto"/>
        </w:rPr>
      </w:pPr>
    </w:p>
    <w:p>
      <w:pPr>
        <w:ind w:left="500" w:right="160"/>
        <w:spacing w:after="0" w:line="279" w:lineRule="auto"/>
        <w:rPr>
          <w:sz w:val="20"/>
          <w:szCs w:val="20"/>
          <w:color w:val="auto"/>
        </w:rPr>
      </w:pPr>
      <w:r>
        <w:rPr>
          <w:rFonts w:ascii="Arial" w:cs="Arial" w:eastAsia="Arial" w:hAnsi="Arial"/>
          <w:sz w:val="17"/>
          <w:szCs w:val="17"/>
          <w:color w:val="auto"/>
        </w:rPr>
        <w:t>For the three months ended September 30, 2015 and 2014, amortization expense related to amortizable intangible assets was approximately $16 million and $9 million, respectively. For the nine months ended September 30, 2015 and 2014, amortization expense related to amortizable intangible assets was approximately $43 million and $ 25 million, respectively. Based on the Company’s amortizable intangible assets at September 30, 2015, the Company expects amortization expense of approximately $15 million for the remainder of 2015, $57 million for 2016, $52 million for 2017, $41 million for 2018, $40 million for 2019 and $40 million for 2020.</w:t>
      </w:r>
    </w:p>
    <w:p>
      <w:pPr>
        <w:spacing w:after="0" w:line="158"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vehicles, net within assets under vehicle programs were as follows:</w:t>
      </w:r>
    </w:p>
    <w:p>
      <w:pPr>
        <w:spacing w:after="0" w:line="169" w:lineRule="exact"/>
        <w:rPr>
          <w:sz w:val="20"/>
          <w:szCs w:val="20"/>
          <w:color w:val="auto"/>
        </w:rPr>
      </w:pPr>
    </w:p>
    <w:tbl>
      <w:tblPr>
        <w:tblLayout w:type="fixed"/>
        <w:tblInd w:w="520" w:type="dxa"/>
        <w:tblCellMar>
          <w:top w:w="0" w:type="dxa"/>
          <w:left w:w="0" w:type="dxa"/>
          <w:bottom w:w="0" w:type="dxa"/>
          <w:right w:w="0" w:type="dxa"/>
        </w:tblCellMar>
      </w:tblPr>
      <w:tr>
        <w:trPr>
          <w:trHeight w:val="253"/>
        </w:trPr>
        <w:tc>
          <w:tcPr>
            <w:tcW w:w="6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1"/>
                <w:szCs w:val="21"/>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r>
      <w:tr>
        <w:trPr>
          <w:trHeight w:val="270"/>
        </w:trPr>
        <w:tc>
          <w:tcPr>
            <w:tcW w:w="6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r>
      <w:tr>
        <w:trPr>
          <w:trHeight w:val="279"/>
        </w:trPr>
        <w:tc>
          <w:tcPr>
            <w:tcW w:w="6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2015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2014</w:t>
            </w:r>
          </w:p>
        </w:tc>
      </w:tr>
      <w:tr>
        <w:trPr>
          <w:trHeight w:val="247"/>
        </w:trPr>
        <w:tc>
          <w:tcPr>
            <w:tcW w:w="6800" w:type="dxa"/>
            <w:vAlign w:val="bottom"/>
          </w:tcPr>
          <w:p>
            <w:pPr>
              <w:spacing w:after="0"/>
              <w:rPr>
                <w:sz w:val="20"/>
                <w:szCs w:val="20"/>
                <w:color w:val="auto"/>
              </w:rPr>
            </w:pPr>
            <w:r>
              <w:rPr>
                <w:rFonts w:ascii="Arial" w:cs="Arial" w:eastAsia="Arial" w:hAnsi="Arial"/>
                <w:sz w:val="18"/>
                <w:szCs w:val="18"/>
                <w:color w:val="auto"/>
              </w:rPr>
              <w:t>Rental vehicles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12,285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11,006</w:t>
            </w:r>
          </w:p>
        </w:tc>
      </w:tr>
      <w:tr>
        <w:trPr>
          <w:trHeight w:val="275"/>
        </w:trPr>
        <w:tc>
          <w:tcPr>
            <w:tcW w:w="680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(1,465)</w:t>
            </w:r>
          </w:p>
        </w:tc>
      </w:tr>
      <w:tr>
        <w:trPr>
          <w:trHeight w:val="245"/>
        </w:trPr>
        <w:tc>
          <w:tcPr>
            <w:tcW w:w="6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10,811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9,541</w:t>
            </w:r>
          </w:p>
        </w:tc>
      </w:tr>
      <w:tr>
        <w:trPr>
          <w:trHeight w:val="275"/>
        </w:trPr>
        <w:tc>
          <w:tcPr>
            <w:tcW w:w="6800" w:type="dxa"/>
            <w:vAlign w:val="bottom"/>
          </w:tcPr>
          <w:p>
            <w:pPr>
              <w:spacing w:after="0"/>
              <w:rPr>
                <w:sz w:val="20"/>
                <w:szCs w:val="20"/>
                <w:color w:val="auto"/>
              </w:rPr>
            </w:pPr>
            <w:r>
              <w:rPr>
                <w:rFonts w:ascii="Arial" w:cs="Arial" w:eastAsia="Arial" w:hAnsi="Arial"/>
                <w:sz w:val="18"/>
                <w:szCs w:val="18"/>
                <w:color w:val="auto"/>
              </w:rPr>
              <w:t>Vehicles held for sale</w:t>
            </w:r>
          </w:p>
        </w:tc>
        <w:tc>
          <w:tcPr>
            <w:tcW w:w="1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w:t>
            </w:r>
          </w:p>
        </w:tc>
      </w:tr>
      <w:tr>
        <w:trPr>
          <w:trHeight w:val="255"/>
        </w:trPr>
        <w:tc>
          <w:tcPr>
            <w:tcW w:w="6800" w:type="dxa"/>
            <w:vAlign w:val="bottom"/>
          </w:tcPr>
          <w:p>
            <w:pPr>
              <w:spacing w:after="0"/>
              <w:rPr>
                <w:sz w:val="20"/>
                <w:szCs w:val="20"/>
                <w:color w:val="auto"/>
              </w:rPr>
            </w:pPr>
            <w:r>
              <w:rPr>
                <w:rFonts w:ascii="Arial" w:cs="Arial" w:eastAsia="Arial" w:hAnsi="Arial"/>
                <w:sz w:val="18"/>
                <w:szCs w:val="18"/>
                <w:color w:val="auto"/>
              </w:rPr>
              <w:t>Vehicles, net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11,604</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10,215</w:t>
            </w:r>
          </w:p>
        </w:tc>
      </w:tr>
      <w:tr>
        <w:trPr>
          <w:trHeight w:val="20"/>
        </w:trPr>
        <w:tc>
          <w:tcPr>
            <w:tcW w:w="6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1">
            <w:col w:w="11420"/>
          </w:cols>
          <w:pgMar w:left="240" w:top="116" w:right="239" w:bottom="1440" w:gutter="0" w:footer="0" w:header="0"/>
        </w:sect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169"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4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w w:val="99"/>
              </w:rPr>
              <w:t>September 30,</w:t>
            </w:r>
          </w:p>
        </w:tc>
        <w:tc>
          <w:tcPr>
            <w:tcW w:w="460" w:type="dxa"/>
            <w:vAlign w:val="bottom"/>
            <w:tcBorders>
              <w:bottom w:val="single" w:sz="8" w:color="auto"/>
            </w:tcBorders>
          </w:tcPr>
          <w:p>
            <w:pPr>
              <w:spacing w:after="0"/>
              <w:rPr>
                <w:sz w:val="20"/>
                <w:szCs w:val="20"/>
                <w:color w:val="auto"/>
              </w:rPr>
            </w:pPr>
          </w:p>
        </w:tc>
      </w:tr>
      <w:tr>
        <w:trPr>
          <w:trHeight w:val="262"/>
        </w:trPr>
        <w:tc>
          <w:tcPr>
            <w:tcW w:w="410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60" w:type="dxa"/>
            <w:vAlign w:val="bottom"/>
            <w:tcBorders>
              <w:bottom w:val="single" w:sz="8" w:color="auto"/>
            </w:tcBorders>
          </w:tcPr>
          <w:p>
            <w:pPr>
              <w:spacing w:after="0"/>
              <w:rPr>
                <w:sz w:val="22"/>
                <w:szCs w:val="22"/>
                <w:color w:val="auto"/>
              </w:rPr>
            </w:pPr>
          </w:p>
        </w:tc>
      </w:tr>
      <w:tr>
        <w:trPr>
          <w:trHeight w:val="242"/>
        </w:trPr>
        <w:tc>
          <w:tcPr>
            <w:tcW w:w="4100" w:type="dxa"/>
            <w:vAlign w:val="bottom"/>
          </w:tcPr>
          <w:p>
            <w:pPr>
              <w:spacing w:after="0"/>
              <w:rPr>
                <w:sz w:val="20"/>
                <w:szCs w:val="20"/>
                <w:color w:val="auto"/>
              </w:rPr>
            </w:pPr>
            <w:r>
              <w:rPr>
                <w:rFonts w:ascii="Arial" w:cs="Arial" w:eastAsia="Arial" w:hAnsi="Arial"/>
                <w:sz w:val="18"/>
                <w:szCs w:val="18"/>
                <w:color w:val="auto"/>
              </w:rPr>
              <w:t>Depreciation expense</w:t>
            </w:r>
          </w:p>
        </w:tc>
        <w:tc>
          <w:tcPr>
            <w:tcW w:w="920" w:type="dxa"/>
            <w:vAlign w:val="bottom"/>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70"/>
        </w:trPr>
        <w:tc>
          <w:tcPr>
            <w:tcW w:w="4100" w:type="dxa"/>
            <w:vAlign w:val="bottom"/>
          </w:tcPr>
          <w:p>
            <w:pPr>
              <w:spacing w:after="0"/>
              <w:rPr>
                <w:sz w:val="20"/>
                <w:szCs w:val="20"/>
                <w:color w:val="auto"/>
              </w:rPr>
            </w:pPr>
            <w:r>
              <w:rPr>
                <w:rFonts w:ascii="Arial" w:cs="Arial" w:eastAsia="Arial" w:hAnsi="Arial"/>
                <w:sz w:val="18"/>
                <w:szCs w:val="18"/>
                <w:color w:val="auto"/>
              </w:rPr>
              <w:t>Lease charges</w:t>
            </w:r>
          </w:p>
        </w:tc>
        <w:tc>
          <w:tcPr>
            <w:tcW w:w="92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5"/>
        </w:trPr>
        <w:tc>
          <w:tcPr>
            <w:tcW w:w="4100" w:type="dxa"/>
            <w:vAlign w:val="bottom"/>
          </w:tcPr>
          <w:p>
            <w:pPr>
              <w:spacing w:after="0"/>
              <w:rPr>
                <w:sz w:val="20"/>
                <w:szCs w:val="20"/>
                <w:color w:val="auto"/>
              </w:rPr>
            </w:pPr>
            <w:r>
              <w:rPr>
                <w:rFonts w:ascii="Arial" w:cs="Arial" w:eastAsia="Arial" w:hAnsi="Arial"/>
                <w:sz w:val="18"/>
                <w:szCs w:val="18"/>
                <w:color w:val="auto"/>
              </w:rPr>
              <w:t>(Gain) loss on sale of vehicles, net</w:t>
            </w:r>
          </w:p>
        </w:tc>
        <w:tc>
          <w:tcPr>
            <w:tcW w:w="9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55"/>
        </w:trPr>
        <w:tc>
          <w:tcPr>
            <w:tcW w:w="4100" w:type="dxa"/>
            <w:vAlign w:val="bottom"/>
          </w:tcPr>
          <w:p>
            <w:pPr>
              <w:spacing w:after="0"/>
              <w:rPr>
                <w:sz w:val="20"/>
                <w:szCs w:val="20"/>
                <w:color w:val="auto"/>
              </w:rPr>
            </w:pPr>
            <w:r>
              <w:rPr>
                <w:rFonts w:ascii="Arial" w:cs="Arial" w:eastAsia="Arial" w:hAnsi="Arial"/>
                <w:sz w:val="18"/>
                <w:szCs w:val="18"/>
                <w:color w:val="auto"/>
              </w:rPr>
              <w:t>Vehicle depreciation and lease charges, net</w:t>
            </w:r>
          </w:p>
        </w:tc>
        <w:tc>
          <w:tcPr>
            <w:tcW w:w="9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2"/>
                <w:szCs w:val="22"/>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r>
      <w:tr>
        <w:trPr>
          <w:trHeight w:val="20"/>
        </w:trPr>
        <w:tc>
          <w:tcPr>
            <w:tcW w:w="4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5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1912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33" w:lineRule="exact"/>
        <w:rPr>
          <w:sz w:val="20"/>
          <w:szCs w:val="20"/>
          <w:color w:val="auto"/>
        </w:rPr>
      </w:pPr>
    </w:p>
    <w:p>
      <w:pPr>
        <w:ind w:left="500"/>
        <w:spacing w:after="0"/>
        <w:tabs>
          <w:tab w:leader="none" w:pos="2040" w:val="left"/>
        </w:tabs>
        <w:rPr>
          <w:sz w:val="20"/>
          <w:szCs w:val="20"/>
          <w:color w:val="auto"/>
        </w:rPr>
      </w:pPr>
      <w:r>
        <w:rPr>
          <w:rFonts w:ascii="Arial" w:cs="Arial" w:eastAsia="Arial" w:hAnsi="Arial"/>
          <w:sz w:val="18"/>
          <w:szCs w:val="18"/>
          <w:b w:val="1"/>
          <w:bCs w:val="1"/>
          <w:color w:val="auto"/>
        </w:rPr>
        <w:t>2015</w:t>
      </w:r>
      <w:r>
        <w:rPr>
          <w:sz w:val="20"/>
          <w:szCs w:val="20"/>
          <w:color w:val="auto"/>
        </w:rPr>
        <w:tab/>
      </w:r>
      <w:r>
        <w:rPr>
          <w:rFonts w:ascii="Arial" w:cs="Arial" w:eastAsia="Arial" w:hAnsi="Arial"/>
          <w:sz w:val="18"/>
          <w:szCs w:val="18"/>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29845</wp:posOffset>
            </wp:positionV>
            <wp:extent cx="1912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45" w:lineRule="exact"/>
        <w:rPr>
          <w:sz w:val="20"/>
          <w:szCs w:val="20"/>
          <w:color w:val="auto"/>
        </w:rPr>
      </w:pPr>
    </w:p>
    <w:p>
      <w:pPr>
        <w:spacing w:after="0"/>
        <w:tabs>
          <w:tab w:leader="none" w:pos="860" w:val="left"/>
          <w:tab w:leader="none" w:pos="1540" w:val="left"/>
          <w:tab w:leader="none" w:pos="2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1,423</w:t>
        <w:tab/>
        <w:t>$</w:t>
      </w:r>
      <w:r>
        <w:rPr>
          <w:sz w:val="20"/>
          <w:szCs w:val="20"/>
          <w:color w:val="auto"/>
        </w:rPr>
        <w:tab/>
      </w:r>
      <w:r>
        <w:rPr>
          <w:rFonts w:ascii="Arial" w:cs="Arial" w:eastAsia="Arial" w:hAnsi="Arial"/>
          <w:sz w:val="18"/>
          <w:szCs w:val="18"/>
          <w:color w:val="auto"/>
        </w:rPr>
        <w:t>1,417</w:t>
      </w:r>
    </w:p>
    <w:p>
      <w:pPr>
        <w:spacing w:after="0" w:line="63" w:lineRule="exact"/>
        <w:rPr>
          <w:sz w:val="20"/>
          <w:szCs w:val="20"/>
          <w:color w:val="auto"/>
        </w:rPr>
      </w:pPr>
    </w:p>
    <w:p>
      <w:pPr>
        <w:ind w:left="2580" w:hanging="1557"/>
        <w:spacing w:after="0"/>
        <w:tabs>
          <w:tab w:leader="none" w:pos="2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127</w:t>
      </w:r>
    </w:p>
    <w:p>
      <w:pPr>
        <w:spacing w:after="0" w:line="63" w:lineRule="exact"/>
        <w:rPr>
          <w:rFonts w:ascii="Arial" w:cs="Arial" w:eastAsia="Arial" w:hAnsi="Arial"/>
          <w:sz w:val="18"/>
          <w:szCs w:val="18"/>
          <w:color w:val="auto"/>
        </w:rPr>
      </w:pPr>
    </w:p>
    <w:p>
      <w:pPr>
        <w:ind w:left="2640" w:hanging="1576"/>
        <w:spacing w:after="0"/>
        <w:tabs>
          <w:tab w:leader="none" w:pos="26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36195</wp:posOffset>
            </wp:positionV>
            <wp:extent cx="1912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55" w:lineRule="exact"/>
        <w:rPr>
          <w:sz w:val="20"/>
          <w:szCs w:val="20"/>
          <w:color w:val="auto"/>
        </w:rPr>
      </w:pPr>
    </w:p>
    <w:p>
      <w:pPr>
        <w:spacing w:after="0"/>
        <w:tabs>
          <w:tab w:leader="none" w:pos="860" w:val="left"/>
          <w:tab w:leader="none" w:pos="1540" w:val="left"/>
          <w:tab w:leader="none" w:pos="2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1,485</w:t>
        <w:tab/>
        <w:t>$</w:t>
      </w:r>
      <w:r>
        <w:rPr>
          <w:sz w:val="20"/>
          <w:szCs w:val="20"/>
          <w:color w:val="auto"/>
        </w:rPr>
        <w:tab/>
      </w:r>
      <w:r>
        <w:rPr>
          <w:rFonts w:ascii="Arial" w:cs="Arial" w:eastAsia="Arial" w:hAnsi="Arial"/>
          <w:sz w:val="18"/>
          <w:szCs w:val="18"/>
          <w:color w:val="auto"/>
        </w:rPr>
        <w:t>1,532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1912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12620" cy="26035"/>
                    </a:xfrm>
                    <a:prstGeom prst="rect">
                      <a:avLst/>
                    </a:prstGeom>
                    <a:noFill/>
                  </pic:spPr>
                </pic:pic>
              </a:graphicData>
            </a:graphic>
          </wp:anchor>
        </w:drawing>
      </w:r>
    </w:p>
    <w:p>
      <w:pPr>
        <w:spacing w:after="0" w:line="278" w:lineRule="exact"/>
        <w:rPr>
          <w:sz w:val="20"/>
          <w:szCs w:val="20"/>
          <w:color w:val="auto"/>
        </w:rPr>
      </w:pPr>
    </w:p>
    <w:p>
      <w:pPr>
        <w:sectPr>
          <w:pgSz w:w="11900" w:h="16838" w:orient="portrait"/>
          <w:cols w:equalWidth="0" w:num="2">
            <w:col w:w="7620" w:space="140"/>
            <w:col w:w="3660"/>
          </w:cols>
          <w:pgMar w:left="240" w:top="116" w:right="239" w:bottom="1440" w:gutter="0" w:footer="0" w:header="0"/>
          <w:type w:val="continuous"/>
        </w:sectPr>
      </w:pPr>
    </w:p>
    <w:p>
      <w:pPr>
        <w:jc w:val="both"/>
        <w:ind w:left="500"/>
        <w:spacing w:after="0" w:line="271" w:lineRule="auto"/>
        <w:rPr>
          <w:sz w:val="20"/>
          <w:szCs w:val="20"/>
          <w:color w:val="auto"/>
        </w:rPr>
      </w:pPr>
      <w:r>
        <w:rPr>
          <w:rFonts w:ascii="Arial" w:cs="Arial" w:eastAsia="Arial" w:hAnsi="Arial"/>
          <w:sz w:val="18"/>
          <w:szCs w:val="18"/>
          <w:color w:val="auto"/>
        </w:rPr>
        <w:t>At September 30, 2015 and 2014, the Company had payables related to vehicle purchases included in liabilities under vehicle programs - other of $183 million and $192 million, respectively, and receivables related to vehicle sales included in assets under vehicle programs - receivables from vehicle manufacturers and other of $635 million and $627 million, respectively.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6"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2" w:lineRule="exact"/>
        <w:rPr>
          <w:rFonts w:ascii="Arial" w:cs="Arial" w:eastAsia="Arial" w:hAnsi="Arial"/>
          <w:sz w:val="18"/>
          <w:szCs w:val="18"/>
          <w:b w:val="1"/>
          <w:bCs w:val="1"/>
          <w:color w:val="auto"/>
        </w:rPr>
      </w:pPr>
    </w:p>
    <w:p>
      <w:pPr>
        <w:ind w:left="500" w:right="360"/>
        <w:spacing w:after="0" w:line="292"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nine months ended September 30, 2015 is a provision of 15.9%. Such rate differed from the Federal statutory rate of 35.0% primarily due to a $98 million income tax benefit related to resolution of a prior-year tax matter.</w:t>
      </w:r>
    </w:p>
    <w:p>
      <w:pPr>
        <w:spacing w:after="0" w:line="90" w:lineRule="exact"/>
        <w:rPr>
          <w:rFonts w:ascii="Arial" w:cs="Arial" w:eastAsia="Arial" w:hAnsi="Arial"/>
          <w:sz w:val="18"/>
          <w:szCs w:val="18"/>
          <w:b w:val="1"/>
          <w:bCs w:val="1"/>
          <w:color w:val="auto"/>
        </w:rPr>
      </w:pPr>
    </w:p>
    <w:p>
      <w:pPr>
        <w:ind w:left="500" w:right="160"/>
        <w:spacing w:after="0" w:line="292"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nine months ended September 30, 2014 was a provision of 38.2%. Such rate differed from the Federal statutory rate of 35.0% primarily due to state income taxes.</w:t>
      </w:r>
    </w:p>
    <w:p>
      <w:pPr>
        <w:spacing w:after="0" w:line="142" w:lineRule="exact"/>
        <w:rPr>
          <w:rFonts w:ascii="Arial" w:cs="Arial" w:eastAsia="Arial" w:hAnsi="Arial"/>
          <w:sz w:val="18"/>
          <w:szCs w:val="18"/>
          <w:b w:val="1"/>
          <w:bCs w:val="1"/>
          <w:color w:val="auto"/>
        </w:rPr>
      </w:pPr>
    </w:p>
    <w:p>
      <w:pPr>
        <w:ind w:left="500" w:right="6200" w:hanging="492"/>
        <w:spacing w:after="0" w:line="488" w:lineRule="auto"/>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Debt and Borrowing Arrangements </w:t>
      </w:r>
      <w:r>
        <w:rPr>
          <w:rFonts w:ascii="Arial" w:cs="Arial" w:eastAsia="Arial" w:hAnsi="Arial"/>
          <w:sz w:val="18"/>
          <w:szCs w:val="18"/>
          <w:color w:val="auto"/>
        </w:rPr>
        <w:t>Long-term and other borrowing arrangements consisted of:</w:t>
      </w:r>
    </w:p>
    <w:tbl>
      <w:tblPr>
        <w:tblLayout w:type="fixed"/>
        <w:tblInd w:w="500" w:type="dxa"/>
        <w:tblCellMar>
          <w:top w:w="0" w:type="dxa"/>
          <w:left w:w="0" w:type="dxa"/>
          <w:bottom w:w="0" w:type="dxa"/>
          <w:right w:w="0" w:type="dxa"/>
        </w:tblCellMar>
      </w:tblPr>
      <w:tr>
        <w:trPr>
          <w:trHeight w:val="229"/>
        </w:trPr>
        <w:tc>
          <w:tcPr>
            <w:tcW w:w="54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As of</w:t>
            </w:r>
          </w:p>
        </w:tc>
        <w:tc>
          <w:tcPr>
            <w:tcW w:w="160" w:type="dxa"/>
            <w:vAlign w:val="bottom"/>
          </w:tcPr>
          <w:p>
            <w:pPr>
              <w:spacing w:after="0"/>
              <w:rPr>
                <w:sz w:val="19"/>
                <w:szCs w:val="19"/>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43"/>
        </w:trPr>
        <w:tc>
          <w:tcPr>
            <w:tcW w:w="5400" w:type="dxa"/>
            <w:vAlign w:val="bottom"/>
          </w:tcPr>
          <w:p>
            <w:pPr>
              <w:spacing w:after="0"/>
              <w:rPr>
                <w:sz w:val="21"/>
                <w:szCs w:val="21"/>
                <w:color w:val="auto"/>
              </w:rPr>
            </w:pPr>
          </w:p>
        </w:tc>
        <w:tc>
          <w:tcPr>
            <w:tcW w:w="184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Maturity</w:t>
            </w:r>
          </w:p>
        </w:tc>
        <w:tc>
          <w:tcPr>
            <w:tcW w:w="140" w:type="dxa"/>
            <w:vAlign w:val="bottom"/>
          </w:tcPr>
          <w:p>
            <w:pPr>
              <w:spacing w:after="0"/>
              <w:rPr>
                <w:sz w:val="21"/>
                <w:szCs w:val="21"/>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21"/>
                <w:szCs w:val="21"/>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68"/>
        </w:trPr>
        <w:tc>
          <w:tcPr>
            <w:tcW w:w="5400" w:type="dxa"/>
            <w:vAlign w:val="bottom"/>
          </w:tcPr>
          <w:p>
            <w:pPr>
              <w:spacing w:after="0"/>
              <w:rPr>
                <w:sz w:val="5"/>
                <w:szCs w:val="5"/>
                <w:color w:val="auto"/>
              </w:rPr>
            </w:pPr>
          </w:p>
        </w:tc>
        <w:tc>
          <w:tcPr>
            <w:tcW w:w="18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8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32"/>
        </w:trPr>
        <w:tc>
          <w:tcPr>
            <w:tcW w:w="5400" w:type="dxa"/>
            <w:vAlign w:val="bottom"/>
          </w:tcPr>
          <w:p>
            <w:pPr>
              <w:spacing w:after="0"/>
              <w:rPr>
                <w:sz w:val="20"/>
                <w:szCs w:val="20"/>
                <w:color w:val="auto"/>
              </w:rPr>
            </w:pPr>
          </w:p>
        </w:tc>
        <w:tc>
          <w:tcPr>
            <w:tcW w:w="174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Dates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00" w:type="dxa"/>
            <w:vAlign w:val="bottom"/>
          </w:tcPr>
          <w:p>
            <w:pPr>
              <w:ind w:left="20"/>
              <w:spacing w:after="0"/>
              <w:rPr>
                <w:sz w:val="20"/>
                <w:szCs w:val="20"/>
                <w:color w:val="auto"/>
              </w:rPr>
            </w:pPr>
            <w:r>
              <w:rPr>
                <w:rFonts w:ascii="Arial" w:cs="Arial" w:eastAsia="Arial" w:hAnsi="Arial"/>
                <w:sz w:val="16"/>
                <w:szCs w:val="16"/>
                <w:color w:val="auto"/>
              </w:rPr>
              <w:t>4⅞%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2017</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22"/>
        </w:trPr>
        <w:tc>
          <w:tcPr>
            <w:tcW w:w="5400" w:type="dxa"/>
            <w:vAlign w:val="bottom"/>
          </w:tcPr>
          <w:p>
            <w:pPr>
              <w:ind w:left="20"/>
              <w:spacing w:after="0"/>
              <w:rPr>
                <w:sz w:val="20"/>
                <w:szCs w:val="20"/>
                <w:color w:val="auto"/>
              </w:rPr>
            </w:pPr>
            <w:r>
              <w:rPr>
                <w:rFonts w:ascii="Arial" w:cs="Arial" w:eastAsia="Arial" w:hAnsi="Arial"/>
                <w:sz w:val="16"/>
                <w:szCs w:val="16"/>
                <w:color w:val="auto"/>
              </w:rPr>
              <w:t xml:space="preserve">Floating Rate Senior Notes </w:t>
            </w:r>
            <w:r>
              <w:rPr>
                <w:rFonts w:ascii="Arial" w:cs="Arial" w:eastAsia="Arial" w:hAnsi="Arial"/>
                <w:sz w:val="21"/>
                <w:szCs w:val="21"/>
                <w:color w:val="auto"/>
                <w:vertAlign w:val="superscript"/>
              </w:rPr>
              <w:t>(a)</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December 2017</w:t>
            </w:r>
          </w:p>
        </w:tc>
        <w:tc>
          <w:tcPr>
            <w:tcW w:w="140" w:type="dxa"/>
            <w:vAlign w:val="bottom"/>
          </w:tcPr>
          <w:p>
            <w:pPr>
              <w:spacing w:after="0"/>
              <w:rPr>
                <w:sz w:val="24"/>
                <w:szCs w:val="24"/>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70"/>
        </w:trPr>
        <w:tc>
          <w:tcPr>
            <w:tcW w:w="5400" w:type="dxa"/>
            <w:vAlign w:val="bottom"/>
          </w:tcPr>
          <w:p>
            <w:pPr>
              <w:ind w:left="2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(b)</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2019</w:t>
            </w:r>
          </w:p>
        </w:tc>
        <w:tc>
          <w:tcPr>
            <w:tcW w:w="14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973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219"/>
        </w:trPr>
        <w:tc>
          <w:tcPr>
            <w:tcW w:w="5400" w:type="dxa"/>
            <w:vAlign w:val="bottom"/>
          </w:tcPr>
          <w:p>
            <w:pPr>
              <w:ind w:left="20"/>
              <w:spacing w:after="0"/>
              <w:rPr>
                <w:sz w:val="20"/>
                <w:szCs w:val="20"/>
                <w:color w:val="auto"/>
              </w:rPr>
            </w:pPr>
            <w:r>
              <w:rPr>
                <w:rFonts w:ascii="Arial" w:cs="Arial" w:eastAsia="Arial" w:hAnsi="Arial"/>
                <w:sz w:val="16"/>
                <w:szCs w:val="16"/>
                <w:color w:val="auto"/>
              </w:rPr>
              <w:t>9¾%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2020</w:t>
            </w:r>
          </w:p>
        </w:tc>
        <w:tc>
          <w:tcPr>
            <w:tcW w:w="14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322"/>
        </w:trPr>
        <w:tc>
          <w:tcPr>
            <w:tcW w:w="5400" w:type="dxa"/>
            <w:vAlign w:val="bottom"/>
          </w:tcPr>
          <w:p>
            <w:pPr>
              <w:ind w:left="20"/>
              <w:spacing w:after="0"/>
              <w:rPr>
                <w:sz w:val="20"/>
                <w:szCs w:val="20"/>
                <w:color w:val="auto"/>
              </w:rPr>
            </w:pPr>
            <w:r>
              <w:rPr>
                <w:rFonts w:ascii="Arial" w:cs="Arial" w:eastAsia="Arial" w:hAnsi="Arial"/>
                <w:sz w:val="16"/>
                <w:szCs w:val="16"/>
                <w:color w:val="auto"/>
              </w:rPr>
              <w:t xml:space="preserve">6% Euro-denominated Senior Notes </w:t>
            </w:r>
            <w:r>
              <w:rPr>
                <w:rFonts w:ascii="Arial" w:cs="Arial" w:eastAsia="Arial" w:hAnsi="Arial"/>
                <w:sz w:val="21"/>
                <w:szCs w:val="21"/>
                <w:color w:val="auto"/>
                <w:vertAlign w:val="superscript"/>
              </w:rPr>
              <w:t>(c)</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2021</w:t>
            </w:r>
          </w:p>
        </w:tc>
        <w:tc>
          <w:tcPr>
            <w:tcW w:w="140" w:type="dxa"/>
            <w:vAlign w:val="bottom"/>
          </w:tcPr>
          <w:p>
            <w:pPr>
              <w:spacing w:after="0"/>
              <w:rPr>
                <w:sz w:val="24"/>
                <w:szCs w:val="24"/>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19"/>
        </w:trPr>
        <w:tc>
          <w:tcPr>
            <w:tcW w:w="5400" w:type="dxa"/>
            <w:vAlign w:val="bottom"/>
          </w:tcPr>
          <w:p>
            <w:pPr>
              <w:ind w:left="20"/>
              <w:spacing w:after="0"/>
              <w:rPr>
                <w:sz w:val="20"/>
                <w:szCs w:val="20"/>
                <w:color w:val="auto"/>
              </w:rPr>
            </w:pPr>
            <w:r>
              <w:rPr>
                <w:rFonts w:ascii="Arial" w:cs="Arial" w:eastAsia="Arial" w:hAnsi="Arial"/>
                <w:sz w:val="16"/>
                <w:szCs w:val="16"/>
                <w:color w:val="auto"/>
              </w:rPr>
              <w:t>5⅛%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June 2022</w:t>
            </w:r>
          </w:p>
        </w:tc>
        <w:tc>
          <w:tcPr>
            <w:tcW w:w="14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70"/>
        </w:trPr>
        <w:tc>
          <w:tcPr>
            <w:tcW w:w="5400" w:type="dxa"/>
            <w:vAlign w:val="bottom"/>
          </w:tcPr>
          <w:p>
            <w:pPr>
              <w:ind w:left="20"/>
              <w:spacing w:after="0"/>
              <w:rPr>
                <w:sz w:val="20"/>
                <w:szCs w:val="20"/>
                <w:color w:val="auto"/>
              </w:rPr>
            </w:pPr>
            <w:r>
              <w:rPr>
                <w:rFonts w:ascii="Arial" w:cs="Arial" w:eastAsia="Arial" w:hAnsi="Arial"/>
                <w:sz w:val="16"/>
                <w:szCs w:val="16"/>
                <w:color w:val="auto"/>
              </w:rPr>
              <w:t>5½%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2023</w:t>
            </w:r>
          </w:p>
        </w:tc>
        <w:tc>
          <w:tcPr>
            <w:tcW w:w="14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70"/>
        </w:trPr>
        <w:tc>
          <w:tcPr>
            <w:tcW w:w="5400" w:type="dxa"/>
            <w:vAlign w:val="bottom"/>
          </w:tcPr>
          <w:p>
            <w:pPr>
              <w:ind w:left="20"/>
              <w:spacing w:after="0"/>
              <w:rPr>
                <w:sz w:val="20"/>
                <w:szCs w:val="20"/>
                <w:color w:val="auto"/>
              </w:rPr>
            </w:pPr>
            <w:r>
              <w:rPr>
                <w:rFonts w:ascii="Arial" w:cs="Arial" w:eastAsia="Arial" w:hAnsi="Arial"/>
                <w:sz w:val="16"/>
                <w:szCs w:val="16"/>
                <w:color w:val="auto"/>
              </w:rPr>
              <w:t>5¼% Senior Notes</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2025</w:t>
            </w:r>
          </w:p>
        </w:tc>
        <w:tc>
          <w:tcPr>
            <w:tcW w:w="14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9"/>
        </w:trPr>
        <w:tc>
          <w:tcPr>
            <w:tcW w:w="5400" w:type="dxa"/>
            <w:vAlign w:val="bottom"/>
          </w:tcPr>
          <w:p>
            <w:pPr>
              <w:ind w:left="20"/>
              <w:spacing w:after="0"/>
              <w:rPr>
                <w:sz w:val="20"/>
                <w:szCs w:val="20"/>
                <w:color w:val="auto"/>
              </w:rPr>
            </w:pPr>
            <w:r>
              <w:rPr>
                <w:rFonts w:ascii="Arial" w:cs="Arial" w:eastAsia="Arial" w:hAnsi="Arial"/>
                <w:sz w:val="16"/>
                <w:szCs w:val="16"/>
                <w:color w:val="auto"/>
              </w:rPr>
              <w:t>Other</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41"/>
        </w:trPr>
        <w:tc>
          <w:tcPr>
            <w:tcW w:w="5400" w:type="dxa"/>
            <w:vAlign w:val="bottom"/>
          </w:tcPr>
          <w:p>
            <w:pPr>
              <w:ind w:left="20"/>
              <w:spacing w:after="0"/>
              <w:rPr>
                <w:sz w:val="20"/>
                <w:szCs w:val="20"/>
                <w:color w:val="auto"/>
              </w:rPr>
            </w:pPr>
            <w:r>
              <w:rPr>
                <w:rFonts w:ascii="Arial" w:cs="Arial" w:eastAsia="Arial" w:hAnsi="Arial"/>
                <w:sz w:val="16"/>
                <w:szCs w:val="16"/>
                <w:color w:val="auto"/>
              </w:rPr>
              <w:t>Total</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3,532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3,420</w:t>
            </w:r>
          </w:p>
        </w:tc>
        <w:tc>
          <w:tcPr>
            <w:tcW w:w="0" w:type="dxa"/>
            <w:vAlign w:val="bottom"/>
          </w:tcPr>
          <w:p>
            <w:pPr>
              <w:spacing w:after="0"/>
              <w:rPr>
                <w:sz w:val="1"/>
                <w:szCs w:val="1"/>
                <w:color w:val="auto"/>
              </w:rPr>
            </w:pPr>
          </w:p>
        </w:tc>
      </w:tr>
      <w:tr>
        <w:trPr>
          <w:trHeight w:val="279"/>
        </w:trPr>
        <w:tc>
          <w:tcPr>
            <w:tcW w:w="5400" w:type="dxa"/>
            <w:vAlign w:val="bottom"/>
          </w:tcPr>
          <w:p>
            <w:pPr>
              <w:ind w:left="20"/>
              <w:spacing w:after="0"/>
              <w:rPr>
                <w:sz w:val="20"/>
                <w:szCs w:val="20"/>
                <w:color w:val="auto"/>
              </w:rPr>
            </w:pPr>
            <w:r>
              <w:rPr>
                <w:rFonts w:ascii="Arial" w:cs="Arial" w:eastAsia="Arial" w:hAnsi="Arial"/>
                <w:sz w:val="16"/>
                <w:szCs w:val="16"/>
                <w:color w:val="auto"/>
              </w:rPr>
              <w:t>Less: Short-term debt and current portion of long-term debt</w:t>
            </w: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41"/>
        </w:trPr>
        <w:tc>
          <w:tcPr>
            <w:tcW w:w="540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3,505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3,392</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right="420" w:hanging="326"/>
        <w:spacing w:after="0" w:line="214" w:lineRule="auto"/>
        <w:tabs>
          <w:tab w:leader="none" w:pos="8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The interest rate on these notes is equal to three-month LIBOR plus 275 basis points, for an aggregate rate of 3.07% at September 30, 2015; the Company has entered into an interest rate swap to hedge its interest rate exposure related to these notes at an aggregate rate of 3.58%.</w:t>
      </w:r>
    </w:p>
    <w:p>
      <w:pPr>
        <w:spacing w:after="0" w:line="1" w:lineRule="exact"/>
        <w:rPr>
          <w:rFonts w:ascii="Arial" w:cs="Arial" w:eastAsia="Arial" w:hAnsi="Arial"/>
          <w:sz w:val="18"/>
          <w:szCs w:val="18"/>
          <w:color w:val="auto"/>
          <w:vertAlign w:val="superscript"/>
        </w:rPr>
      </w:pPr>
    </w:p>
    <w:p>
      <w:pPr>
        <w:ind w:left="820" w:hanging="326"/>
        <w:spacing w:after="0" w:line="225" w:lineRule="auto"/>
        <w:tabs>
          <w:tab w:leader="none" w:pos="8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September 30, 2015, the floating rate term loan due 2019 bears interest at the greater of three-month LIBOR or 0.75%, plus 225 basis points, for an aggregate rate of 3.00%. The Company has entered into a swap to hedge $600 million of its interest rate exposure related to the floating rate term loan at an aggregate rate of 3.96%.</w:t>
      </w:r>
    </w:p>
    <w:p>
      <w:pPr>
        <w:spacing w:after="0" w:line="1" w:lineRule="exact"/>
        <w:rPr>
          <w:rFonts w:ascii="Arial" w:cs="Arial" w:eastAsia="Arial" w:hAnsi="Arial"/>
          <w:sz w:val="18"/>
          <w:szCs w:val="18"/>
          <w:color w:val="auto"/>
          <w:vertAlign w:val="superscript"/>
        </w:rPr>
      </w:pPr>
    </w:p>
    <w:p>
      <w:pPr>
        <w:ind w:left="820" w:hanging="326"/>
        <w:spacing w:after="0" w:line="204" w:lineRule="auto"/>
        <w:tabs>
          <w:tab w:leader="none" w:pos="8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The reduction in the balance principally reflects currency translation adjustments.</w:t>
      </w:r>
    </w:p>
    <w:p>
      <w:pPr>
        <w:spacing w:after="0" w:line="175" w:lineRule="exact"/>
        <w:rPr>
          <w:sz w:val="20"/>
          <w:szCs w:val="20"/>
          <w:color w:val="auto"/>
        </w:rPr>
      </w:pPr>
    </w:p>
    <w:p>
      <w:pPr>
        <w:jc w:val="both"/>
        <w:ind w:left="500" w:right="80"/>
        <w:spacing w:after="0" w:line="271" w:lineRule="auto"/>
        <w:rPr>
          <w:sz w:val="20"/>
          <w:szCs w:val="20"/>
          <w:color w:val="auto"/>
        </w:rPr>
      </w:pPr>
      <w:r>
        <w:rPr>
          <w:rFonts w:ascii="Arial" w:cs="Arial" w:eastAsia="Arial" w:hAnsi="Arial"/>
          <w:sz w:val="18"/>
          <w:szCs w:val="18"/>
          <w:color w:val="auto"/>
        </w:rPr>
        <w:t>In March 2015, the Company issued $375 million of 5¼% Senior Notes due 2025 at par. In April 2015, the Company used net proceeds from the offering to redeem the remaining $223 million principal amount of its 9¾% Senior Notes due 2020 for $243 million plus accrued interest and to finance a portion of its acquisition of Maggiore.</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September 30, 2015, the committed corporate credit facilities available to the Company and/or its subsidiaries were as follows:</w:t>
      </w:r>
    </w:p>
    <w:p>
      <w:pPr>
        <w:spacing w:after="0" w:line="17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6"/>
                <w:szCs w:val="16"/>
                <w:color w:val="auto"/>
              </w:rPr>
            </w:pPr>
          </w:p>
        </w:tc>
        <w:tc>
          <w:tcPr>
            <w:tcW w:w="15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rPr>
              <w:t>Outstanding</w:t>
            </w: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Letters of</w:t>
            </w:r>
          </w:p>
        </w:tc>
        <w:tc>
          <w:tcPr>
            <w:tcW w:w="240" w:type="dxa"/>
            <w:vAlign w:val="bottom"/>
          </w:tcPr>
          <w:p>
            <w:pPr>
              <w:spacing w:after="0"/>
              <w:rPr>
                <w:sz w:val="16"/>
                <w:szCs w:val="16"/>
                <w:color w:val="auto"/>
              </w:rPr>
            </w:pP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Available</w:t>
            </w:r>
          </w:p>
        </w:tc>
      </w:tr>
      <w:tr>
        <w:trPr>
          <w:trHeight w:val="232"/>
        </w:trPr>
        <w:tc>
          <w:tcPr>
            <w:tcW w:w="4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Credit Issued</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r>
      <w:tr>
        <w:trPr>
          <w:trHeight w:val="290"/>
        </w:trPr>
        <w:tc>
          <w:tcPr>
            <w:tcW w:w="414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2018 </w:t>
            </w:r>
            <w:r>
              <w:rPr>
                <w:rFonts w:ascii="Arial" w:cs="Arial" w:eastAsia="Arial" w:hAnsi="Arial"/>
                <w:sz w:val="21"/>
                <w:szCs w:val="21"/>
                <w:color w:val="auto"/>
                <w:vertAlign w:val="superscript"/>
              </w:rPr>
              <w:t>(a)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725</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1,075</w:t>
            </w:r>
          </w:p>
        </w:tc>
      </w:tr>
      <w:tr>
        <w:trPr>
          <w:trHeight w:val="216"/>
        </w:trPr>
        <w:tc>
          <w:tcPr>
            <w:tcW w:w="414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Other facilities </w:t>
            </w:r>
            <w:r>
              <w:rPr>
                <w:rFonts w:ascii="Arial" w:cs="Arial" w:eastAsia="Arial" w:hAnsi="Arial"/>
                <w:sz w:val="21"/>
                <w:szCs w:val="21"/>
                <w:color w:val="auto"/>
                <w:vertAlign w:val="superscript"/>
              </w:rPr>
              <w:t>(b)</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07"/>
        </w:trPr>
        <w:tc>
          <w:tcPr>
            <w:tcW w:w="4140" w:type="dxa"/>
            <w:vAlign w:val="bottom"/>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ind w:left="820" w:hanging="326"/>
        <w:spacing w:after="0"/>
        <w:tabs>
          <w:tab w:leader="none" w:pos="8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spacing w:after="0" w:line="123" w:lineRule="exact"/>
        <w:rPr>
          <w:rFonts w:ascii="Arial" w:cs="Arial" w:eastAsia="Arial" w:hAnsi="Arial"/>
          <w:sz w:val="18"/>
          <w:szCs w:val="18"/>
          <w:color w:val="auto"/>
          <w:vertAlign w:val="superscript"/>
        </w:rPr>
      </w:pPr>
    </w:p>
    <w:p>
      <w:pPr>
        <w:ind w:left="820" w:hanging="326"/>
        <w:spacing w:after="0" w:line="204" w:lineRule="auto"/>
        <w:tabs>
          <w:tab w:leader="none" w:pos="82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These facilities encompass bank overdraft lines of credit, bearing interest of 1.50% to 4.50%.</w:t>
      </w:r>
    </w:p>
    <w:p>
      <w:pPr>
        <w:spacing w:after="0" w:line="148" w:lineRule="exact"/>
        <w:rPr>
          <w:sz w:val="20"/>
          <w:szCs w:val="20"/>
          <w:color w:val="auto"/>
        </w:rPr>
      </w:pPr>
    </w:p>
    <w:p>
      <w:pPr>
        <w:ind w:left="500" w:right="340"/>
        <w:spacing w:after="0" w:line="292" w:lineRule="auto"/>
        <w:rPr>
          <w:sz w:val="20"/>
          <w:szCs w:val="20"/>
          <w:color w:val="auto"/>
        </w:rPr>
      </w:pPr>
      <w:r>
        <w:rPr>
          <w:rFonts w:ascii="Arial" w:cs="Arial" w:eastAsia="Arial" w:hAnsi="Arial"/>
          <w:sz w:val="18"/>
          <w:szCs w:val="18"/>
          <w:color w:val="auto"/>
        </w:rPr>
        <w:t>At September 30, 2015, the Company had various uncommitted credit facilities available, under which it had drawn approximately $1 million, which bear interest at rates between 0.23% and 2.84%.</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16"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227" w:lineRule="exact"/>
        <w:rPr>
          <w:sz w:val="20"/>
          <w:szCs w:val="20"/>
          <w:color w:val="auto"/>
        </w:rPr>
      </w:pPr>
    </w:p>
    <w:p>
      <w:pPr>
        <w:ind w:left="500" w:right="180"/>
        <w:spacing w:after="0" w:line="260" w:lineRule="auto"/>
        <w:rPr>
          <w:sz w:val="20"/>
          <w:szCs w:val="20"/>
          <w:color w:val="auto"/>
        </w:rPr>
      </w:pPr>
      <w:r>
        <w:rPr>
          <w:rFonts w:ascii="Arial" w:cs="Arial" w:eastAsia="Arial" w:hAnsi="Arial"/>
          <w:sz w:val="18"/>
          <w:szCs w:val="18"/>
          <w:color w:val="auto"/>
        </w:rPr>
        <w:t>The agreements governing the Company’s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The Company’s senior credit facility also contains a maximum leverage ratio requirement. As of September 30, 2015, the Company is in compliance with the financial covenants governing its indebtedness.</w:t>
      </w:r>
    </w:p>
    <w:p>
      <w:pPr>
        <w:spacing w:after="0" w:line="173"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27" w:lineRule="exact"/>
        <w:rPr>
          <w:rFonts w:ascii="Arial" w:cs="Arial" w:eastAsia="Arial" w:hAnsi="Arial"/>
          <w:sz w:val="18"/>
          <w:szCs w:val="18"/>
          <w:b w:val="1"/>
          <w:bCs w:val="1"/>
          <w:color w:val="auto"/>
        </w:rPr>
      </w:pPr>
    </w:p>
    <w:p>
      <w:pPr>
        <w:ind w:left="500"/>
        <w:spacing w:after="0" w:line="292"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02" w:lineRule="exact"/>
        <w:rPr>
          <w:sz w:val="20"/>
          <w:szCs w:val="20"/>
          <w:color w:val="auto"/>
        </w:rPr>
      </w:pPr>
    </w:p>
    <w:tbl>
      <w:tblPr>
        <w:tblLayout w:type="fixed"/>
        <w:tblInd w:w="500" w:type="dxa"/>
        <w:tblCellMar>
          <w:top w:w="0" w:type="dxa"/>
          <w:left w:w="0" w:type="dxa"/>
          <w:bottom w:w="0" w:type="dxa"/>
          <w:right w:w="0" w:type="dxa"/>
        </w:tblCellMar>
      </w:tblPr>
      <w:tr>
        <w:trPr>
          <w:trHeight w:val="253"/>
        </w:trPr>
        <w:tc>
          <w:tcPr>
            <w:tcW w:w="6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1"/>
                <w:szCs w:val="21"/>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September 30,</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2015</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2014</w:t>
            </w:r>
          </w:p>
        </w:tc>
        <w:tc>
          <w:tcPr>
            <w:tcW w:w="0" w:type="dxa"/>
            <w:vAlign w:val="bottom"/>
          </w:tcPr>
          <w:p>
            <w:pPr>
              <w:spacing w:after="0"/>
              <w:rPr>
                <w:sz w:val="1"/>
                <w:szCs w:val="1"/>
                <w:color w:val="auto"/>
              </w:rPr>
            </w:pPr>
          </w:p>
        </w:tc>
      </w:tr>
      <w:tr>
        <w:trPr>
          <w:trHeight w:val="269"/>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1"/>
                <w:szCs w:val="21"/>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7,239</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6,340</w:t>
            </w: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Americas - Debt borrowings</w:t>
            </w: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97"/>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(a) (b)</w:t>
            </w:r>
          </w:p>
        </w:tc>
        <w:tc>
          <w:tcPr>
            <w:tcW w:w="18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1,689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International - Capital leases</w:t>
            </w: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75"/>
        </w:trPr>
        <w:tc>
          <w:tcPr>
            <w:tcW w:w="686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5"/>
        </w:trPr>
        <w:tc>
          <w:tcPr>
            <w:tcW w:w="686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9,996</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8,116</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84" w:lineRule="auto"/>
        <w:tabs>
          <w:tab w:leader="none" w:pos="82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The increase reflects additional borrowings principally to fund increases in the Company’s car rental fleet.</w:t>
      </w:r>
    </w:p>
    <w:p>
      <w:pPr>
        <w:ind w:left="820" w:hanging="326"/>
        <w:spacing w:after="0" w:line="188" w:lineRule="auto"/>
        <w:tabs>
          <w:tab w:leader="none" w:pos="82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The increase also includes additional borrowings related to the acquisition of Maggiore.</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MATURITIES</w:t>
      </w:r>
    </w:p>
    <w:p>
      <w:pPr>
        <w:spacing w:after="0" w:line="227" w:lineRule="exact"/>
        <w:rPr>
          <w:sz w:val="20"/>
          <w:szCs w:val="20"/>
          <w:color w:val="auto"/>
        </w:rPr>
      </w:pPr>
    </w:p>
    <w:p>
      <w:pPr>
        <w:ind w:left="500" w:right="20"/>
        <w:spacing w:after="0" w:line="292" w:lineRule="auto"/>
        <w:rPr>
          <w:sz w:val="20"/>
          <w:szCs w:val="20"/>
          <w:color w:val="auto"/>
        </w:rPr>
      </w:pPr>
      <w:r>
        <w:rPr>
          <w:rFonts w:ascii="Arial" w:cs="Arial" w:eastAsia="Arial" w:hAnsi="Arial"/>
          <w:sz w:val="18"/>
          <w:szCs w:val="18"/>
          <w:color w:val="auto"/>
        </w:rPr>
        <w:t>The following table provides the contractual maturities of the Company’s debt under vehicle programs, including related party debt due to Avis Budget Rental Car Funding at September 30, 2015.</w:t>
      </w:r>
    </w:p>
    <w:p>
      <w:pPr>
        <w:spacing w:after="0" w:line="84"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34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jc w:val="right"/>
              <w:ind w:right="250"/>
              <w:spacing w:after="0"/>
              <w:rPr>
                <w:sz w:val="20"/>
                <w:szCs w:val="20"/>
                <w:color w:val="auto"/>
              </w:rPr>
            </w:pPr>
            <w:r>
              <w:rPr>
                <w:rFonts w:ascii="Arial" w:cs="Arial" w:eastAsia="Arial" w:hAnsi="Arial"/>
                <w:sz w:val="18"/>
                <w:szCs w:val="18"/>
                <w:b w:val="1"/>
                <w:bCs w:val="1"/>
                <w:color w:val="auto"/>
              </w:rPr>
              <w:t>Debt Under</w:t>
            </w:r>
          </w:p>
        </w:tc>
        <w:tc>
          <w:tcPr>
            <w:tcW w:w="0" w:type="dxa"/>
            <w:vAlign w:val="bottom"/>
          </w:tcPr>
          <w:p>
            <w:pPr>
              <w:spacing w:after="0"/>
              <w:rPr>
                <w:sz w:val="1"/>
                <w:szCs w:val="1"/>
                <w:color w:val="auto"/>
              </w:rPr>
            </w:pPr>
          </w:p>
        </w:tc>
      </w:tr>
      <w:tr>
        <w:trPr>
          <w:trHeight w:val="253"/>
        </w:trPr>
        <w:tc>
          <w:tcPr>
            <w:tcW w:w="3460" w:type="dxa"/>
            <w:vAlign w:val="bottom"/>
          </w:tcPr>
          <w:p>
            <w:pPr>
              <w:spacing w:after="0"/>
              <w:rPr>
                <w:sz w:val="21"/>
                <w:szCs w:val="21"/>
                <w:color w:val="auto"/>
              </w:rPr>
            </w:pPr>
          </w:p>
        </w:tc>
        <w:tc>
          <w:tcPr>
            <w:tcW w:w="5180" w:type="dxa"/>
            <w:vAlign w:val="bottom"/>
          </w:tcPr>
          <w:p>
            <w:pPr>
              <w:spacing w:after="0"/>
              <w:rPr>
                <w:sz w:val="21"/>
                <w:szCs w:val="21"/>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Vehicle Programs</w:t>
            </w:r>
          </w:p>
        </w:tc>
        <w:tc>
          <w:tcPr>
            <w:tcW w:w="0" w:type="dxa"/>
            <w:vAlign w:val="bottom"/>
          </w:tcPr>
          <w:p>
            <w:pPr>
              <w:spacing w:after="0"/>
              <w:rPr>
                <w:sz w:val="1"/>
                <w:szCs w:val="1"/>
                <w:color w:val="auto"/>
              </w:rPr>
            </w:pPr>
          </w:p>
        </w:tc>
      </w:tr>
      <w:tr>
        <w:trPr>
          <w:trHeight w:val="242"/>
        </w:trPr>
        <w:tc>
          <w:tcPr>
            <w:tcW w:w="3460" w:type="dxa"/>
            <w:vAlign w:val="bottom"/>
          </w:tcPr>
          <w:p>
            <w:pPr>
              <w:spacing w:after="0"/>
              <w:rPr>
                <w:sz w:val="20"/>
                <w:szCs w:val="20"/>
                <w:color w:val="auto"/>
              </w:rPr>
            </w:pPr>
            <w:r>
              <w:rPr>
                <w:rFonts w:ascii="Arial" w:cs="Arial" w:eastAsia="Arial" w:hAnsi="Arial"/>
                <w:sz w:val="18"/>
                <w:szCs w:val="18"/>
                <w:color w:val="auto"/>
              </w:rPr>
              <w:t>Within 1 year</w:t>
            </w:r>
          </w:p>
        </w:tc>
        <w:tc>
          <w:tcPr>
            <w:tcW w:w="5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Between 1 and 2 years</w:t>
            </w:r>
          </w:p>
        </w:tc>
        <w:tc>
          <w:tcPr>
            <w:tcW w:w="5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Between 2 and 3 years</w:t>
            </w:r>
          </w:p>
        </w:tc>
        <w:tc>
          <w:tcPr>
            <w:tcW w:w="5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Between 3 and 4 years</w:t>
            </w:r>
          </w:p>
        </w:tc>
        <w:tc>
          <w:tcPr>
            <w:tcW w:w="5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57"/>
        </w:trPr>
        <w:tc>
          <w:tcPr>
            <w:tcW w:w="3460" w:type="dxa"/>
            <w:vAlign w:val="bottom"/>
          </w:tcPr>
          <w:p>
            <w:pPr>
              <w:spacing w:after="0"/>
              <w:rPr>
                <w:sz w:val="20"/>
                <w:szCs w:val="20"/>
                <w:color w:val="auto"/>
              </w:rPr>
            </w:pPr>
            <w:r>
              <w:rPr>
                <w:rFonts w:ascii="Arial" w:cs="Arial" w:eastAsia="Arial" w:hAnsi="Arial"/>
                <w:sz w:val="18"/>
                <w:szCs w:val="18"/>
                <w:color w:val="auto"/>
              </w:rPr>
              <w:t>Between 4 and 5 years</w:t>
            </w:r>
          </w:p>
        </w:tc>
        <w:tc>
          <w:tcPr>
            <w:tcW w:w="5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61"/>
        </w:trPr>
        <w:tc>
          <w:tcPr>
            <w:tcW w:w="3460" w:type="dxa"/>
            <w:vAlign w:val="bottom"/>
          </w:tcPr>
          <w:p>
            <w:pPr>
              <w:spacing w:after="0"/>
              <w:rPr>
                <w:sz w:val="20"/>
                <w:szCs w:val="20"/>
                <w:color w:val="auto"/>
              </w:rPr>
            </w:pPr>
            <w:r>
              <w:rPr>
                <w:rFonts w:ascii="Arial" w:cs="Arial" w:eastAsia="Arial" w:hAnsi="Arial"/>
                <w:sz w:val="18"/>
                <w:szCs w:val="18"/>
                <w:color w:val="auto"/>
              </w:rPr>
              <w:t>Thereafter</w:t>
            </w:r>
          </w:p>
        </w:tc>
        <w:tc>
          <w:tcPr>
            <w:tcW w:w="5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55"/>
        </w:trPr>
        <w:tc>
          <w:tcPr>
            <w:tcW w:w="3460" w:type="dxa"/>
            <w:vAlign w:val="bottom"/>
          </w:tcPr>
          <w:p>
            <w:pPr>
              <w:spacing w:after="0"/>
              <w:rPr>
                <w:sz w:val="20"/>
                <w:szCs w:val="20"/>
                <w:color w:val="auto"/>
              </w:rPr>
            </w:pPr>
            <w:r>
              <w:rPr>
                <w:rFonts w:ascii="Arial" w:cs="Arial" w:eastAsia="Arial" w:hAnsi="Arial"/>
                <w:sz w:val="18"/>
                <w:szCs w:val="18"/>
                <w:color w:val="auto"/>
              </w:rPr>
              <w:t>Total</w:t>
            </w:r>
          </w:p>
        </w:tc>
        <w:tc>
          <w:tcPr>
            <w:tcW w:w="5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9,996</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5180" w:type="dxa"/>
            <w:vAlign w:val="bottom"/>
            <w:vMerge w:val="restart"/>
          </w:tcPr>
          <w:p>
            <w:pPr>
              <w:jc w:val="right"/>
              <w:ind w:right="3250"/>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0"/>
        </w:trPr>
        <w:tc>
          <w:tcPr>
            <w:tcW w:w="3460" w:type="dxa"/>
            <w:vAlign w:val="bottom"/>
          </w:tcPr>
          <w:p>
            <w:pPr>
              <w:spacing w:after="0"/>
              <w:rPr>
                <w:sz w:val="24"/>
                <w:szCs w:val="24"/>
                <w:color w:val="auto"/>
              </w:rPr>
            </w:pPr>
          </w:p>
        </w:tc>
        <w:tc>
          <w:tcPr>
            <w:tcW w:w="51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6" w:right="2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COMMITTED CREDIT FACILITIES AND AVAILABLE FUNDING ARRANGEMENTS</w:t>
      </w:r>
    </w:p>
    <w:p>
      <w:pPr>
        <w:spacing w:after="0" w:line="227" w:lineRule="exact"/>
        <w:rPr>
          <w:sz w:val="20"/>
          <w:szCs w:val="20"/>
          <w:color w:val="auto"/>
        </w:rPr>
      </w:pPr>
    </w:p>
    <w:p>
      <w:pPr>
        <w:ind w:left="500" w:right="360"/>
        <w:spacing w:after="0" w:line="292" w:lineRule="auto"/>
        <w:rPr>
          <w:sz w:val="20"/>
          <w:szCs w:val="20"/>
          <w:color w:val="auto"/>
        </w:rPr>
      </w:pPr>
      <w:r>
        <w:rPr>
          <w:rFonts w:ascii="Arial" w:cs="Arial" w:eastAsia="Arial" w:hAnsi="Arial"/>
          <w:sz w:val="18"/>
          <w:szCs w:val="18"/>
          <w:color w:val="auto"/>
        </w:rPr>
        <w:t>As of September 30, 2015, available funding under the Company’s vehicle programs (including related party debt due to Avis Budget Rental Car Funding) consisted of:</w:t>
      </w:r>
    </w:p>
    <w:p>
      <w:pPr>
        <w:sectPr>
          <w:pgSz w:w="11900" w:h="16838" w:orient="portrait"/>
          <w:cols w:equalWidth="0" w:num="1">
            <w:col w:w="11400"/>
          </w:cols>
          <w:pgMar w:left="240" w:top="116" w:right="259" w:bottom="1440" w:gutter="0" w:footer="0" w:header="0"/>
        </w:sectPr>
      </w:pPr>
    </w:p>
    <w:p>
      <w:pPr>
        <w:spacing w:after="0" w:line="84"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Total</w:t>
            </w:r>
          </w:p>
        </w:tc>
        <w:tc>
          <w:tcPr>
            <w:tcW w:w="160" w:type="dxa"/>
            <w:vAlign w:val="bottom"/>
          </w:tcPr>
          <w:p>
            <w:pPr>
              <w:spacing w:after="0"/>
              <w:rPr>
                <w:sz w:val="17"/>
                <w:szCs w:val="17"/>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rPr>
              <w:t>Outstanding</w:t>
            </w:r>
          </w:p>
        </w:tc>
        <w:tc>
          <w:tcPr>
            <w:tcW w:w="0" w:type="dxa"/>
            <w:vAlign w:val="bottom"/>
          </w:tcPr>
          <w:p>
            <w:pPr>
              <w:spacing w:after="0"/>
              <w:rPr>
                <w:sz w:val="1"/>
                <w:szCs w:val="1"/>
                <w:color w:val="auto"/>
              </w:rPr>
            </w:pPr>
          </w:p>
        </w:tc>
      </w:tr>
      <w:tr>
        <w:trPr>
          <w:trHeight w:val="254"/>
        </w:trPr>
        <w:tc>
          <w:tcPr>
            <w:tcW w:w="5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 xml:space="preserve">Capacity </w:t>
            </w:r>
            <w:r>
              <w:rPr>
                <w:rFonts w:ascii="Arial" w:cs="Arial" w:eastAsia="Arial" w:hAnsi="Arial"/>
                <w:sz w:val="21"/>
                <w:szCs w:val="21"/>
                <w:b w:val="1"/>
                <w:bCs w:val="1"/>
                <w:color w:val="auto"/>
                <w:w w:val="94"/>
                <w:vertAlign w:val="superscript"/>
              </w:rPr>
              <w:t>(a)</w:t>
            </w:r>
          </w:p>
        </w:tc>
        <w:tc>
          <w:tcPr>
            <w:tcW w:w="160" w:type="dxa"/>
            <w:vAlign w:val="bottom"/>
          </w:tcPr>
          <w:p>
            <w:pPr>
              <w:spacing w:after="0"/>
              <w:rPr>
                <w:sz w:val="22"/>
                <w:szCs w:val="22"/>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rPr>
              <w:t>Borrowings</w:t>
            </w:r>
          </w:p>
        </w:tc>
        <w:tc>
          <w:tcPr>
            <w:tcW w:w="0" w:type="dxa"/>
            <w:vAlign w:val="bottom"/>
          </w:tcPr>
          <w:p>
            <w:pPr>
              <w:spacing w:after="0"/>
              <w:rPr>
                <w:sz w:val="1"/>
                <w:szCs w:val="1"/>
                <w:color w:val="auto"/>
              </w:rPr>
            </w:pPr>
          </w:p>
        </w:tc>
      </w:tr>
      <w:tr>
        <w:trPr>
          <w:trHeight w:val="268"/>
        </w:trPr>
        <w:tc>
          <w:tcPr>
            <w:tcW w:w="5740" w:type="dxa"/>
            <w:vAlign w:val="bottom"/>
          </w:tcPr>
          <w:p>
            <w:pPr>
              <w:ind w:left="20"/>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1"/>
                <w:szCs w:val="21"/>
                <w:color w:val="auto"/>
                <w:vertAlign w:val="superscript"/>
              </w:rPr>
              <w:t>(b)</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9,489</w:t>
            </w:r>
          </w:p>
        </w:tc>
        <w:tc>
          <w:tcPr>
            <w:tcW w:w="100" w:type="dxa"/>
            <w:vAlign w:val="bottom"/>
          </w:tcPr>
          <w:p>
            <w:pPr>
              <w:spacing w:after="0"/>
              <w:rPr>
                <w:sz w:val="23"/>
                <w:szCs w:val="23"/>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7,239</w:t>
            </w:r>
          </w:p>
        </w:tc>
        <w:tc>
          <w:tcPr>
            <w:tcW w:w="0" w:type="dxa"/>
            <w:vAlign w:val="bottom"/>
          </w:tcPr>
          <w:p>
            <w:pPr>
              <w:spacing w:after="0"/>
              <w:rPr>
                <w:sz w:val="1"/>
                <w:szCs w:val="1"/>
                <w:color w:val="auto"/>
              </w:rPr>
            </w:pP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 xml:space="preserve">Americas - Debt borrowings </w:t>
            </w:r>
            <w:r>
              <w:rPr>
                <w:rFonts w:ascii="Arial" w:cs="Arial" w:eastAsia="Arial" w:hAnsi="Arial"/>
                <w:sz w:val="21"/>
                <w:szCs w:val="21"/>
                <w:color w:val="auto"/>
                <w:vertAlign w:val="superscript"/>
              </w:rPr>
              <w:t>(c)</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(d)</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70"/>
        </w:trPr>
        <w:tc>
          <w:tcPr>
            <w:tcW w:w="5740" w:type="dxa"/>
            <w:vAlign w:val="bottom"/>
          </w:tcPr>
          <w:p>
            <w:pPr>
              <w:ind w:left="20"/>
              <w:spacing w:after="0"/>
              <w:rPr>
                <w:sz w:val="20"/>
                <w:szCs w:val="20"/>
                <w:color w:val="auto"/>
              </w:rPr>
            </w:pPr>
            <w:r>
              <w:rPr>
                <w:rFonts w:ascii="Arial" w:cs="Arial" w:eastAsia="Arial" w:hAnsi="Arial"/>
                <w:sz w:val="18"/>
                <w:szCs w:val="18"/>
                <w:color w:val="auto"/>
              </w:rPr>
              <w:t xml:space="preserve">International - Capital leases </w:t>
            </w:r>
            <w:r>
              <w:rPr>
                <w:rFonts w:ascii="Arial" w:cs="Arial" w:eastAsia="Arial" w:hAnsi="Arial"/>
                <w:sz w:val="21"/>
                <w:szCs w:val="21"/>
                <w:color w:val="auto"/>
                <w:vertAlign w:val="superscript"/>
              </w:rPr>
              <w:t>(e)</w:t>
            </w:r>
          </w:p>
        </w:tc>
        <w:tc>
          <w:tcPr>
            <w:tcW w:w="180" w:type="dxa"/>
            <w:vAlign w:val="bottom"/>
          </w:tcPr>
          <w:p>
            <w:pPr>
              <w:spacing w:after="0"/>
              <w:rPr>
                <w:sz w:val="23"/>
                <w:szCs w:val="23"/>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48"/>
        </w:trPr>
        <w:tc>
          <w:tcPr>
            <w:tcW w:w="574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5"/>
        </w:trPr>
        <w:tc>
          <w:tcPr>
            <w:tcW w:w="574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13,004</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9,996</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7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84" w:lineRule="auto"/>
        <w:tabs>
          <w:tab w:leader="none" w:pos="82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Capacity is subject to maintaining sufficient assets to collateralize debt.</w:t>
      </w:r>
    </w:p>
    <w:p>
      <w:pPr>
        <w:ind w:left="820" w:hanging="326"/>
        <w:spacing w:after="0" w:line="187" w:lineRule="auto"/>
        <w:tabs>
          <w:tab w:leader="none" w:pos="820" w:val="left"/>
        </w:tabs>
        <w:numPr>
          <w:ilvl w:val="0"/>
          <w:numId w:val="18"/>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approximately $8.8 billion of underlying vehicles and related assets.</w:t>
      </w:r>
    </w:p>
    <w:p>
      <w:pPr>
        <w:ind w:left="820" w:hanging="326"/>
        <w:spacing w:after="0" w:line="187" w:lineRule="auto"/>
        <w:tabs>
          <w:tab w:leader="none" w:pos="820" w:val="left"/>
        </w:tabs>
        <w:numPr>
          <w:ilvl w:val="0"/>
          <w:numId w:val="18"/>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approximately $1.1 billion of underlying vehicles and related assets.</w:t>
      </w:r>
    </w:p>
    <w:p>
      <w:pPr>
        <w:ind w:left="820" w:hanging="326"/>
        <w:spacing w:after="0" w:line="187" w:lineRule="auto"/>
        <w:tabs>
          <w:tab w:leader="none" w:pos="820" w:val="left"/>
        </w:tabs>
        <w:numPr>
          <w:ilvl w:val="0"/>
          <w:numId w:val="18"/>
        </w:numPr>
        <w:rPr>
          <w:rFonts w:ascii="Arial" w:cs="Arial" w:eastAsia="Arial" w:hAnsi="Arial"/>
          <w:sz w:val="21"/>
          <w:szCs w:val="21"/>
          <w:color w:val="auto"/>
          <w:vertAlign w:val="superscript"/>
        </w:rPr>
      </w:pPr>
      <w:r>
        <w:rPr>
          <w:rFonts w:ascii="Arial" w:cs="Arial" w:eastAsia="Arial" w:hAnsi="Arial"/>
          <w:sz w:val="15"/>
          <w:szCs w:val="15"/>
          <w:color w:val="auto"/>
        </w:rPr>
        <w:t>The outstanding debt is collateralized by approximately $2.2 billion of underlying vehicles and related assets.</w:t>
      </w:r>
    </w:p>
    <w:p>
      <w:pPr>
        <w:ind w:left="820" w:hanging="326"/>
        <w:spacing w:after="0" w:line="188" w:lineRule="auto"/>
        <w:tabs>
          <w:tab w:leader="none" w:pos="82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The outstanding debt is collateralized by approximately $0.3 billion of underlying vehicles and related assets.</w:t>
      </w:r>
    </w:p>
    <w:p>
      <w:pPr>
        <w:spacing w:after="0" w:line="18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 COVENANTS</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306"/>
        <w:spacing w:after="0"/>
        <w:rPr>
          <w:sz w:val="20"/>
          <w:szCs w:val="20"/>
          <w:color w:val="auto"/>
        </w:rPr>
      </w:pPr>
      <w:r>
        <w:rPr>
          <w:rFonts w:ascii="Arial" w:cs="Arial" w:eastAsia="Arial" w:hAnsi="Arial"/>
          <w:sz w:val="18"/>
          <w:szCs w:val="18"/>
          <w:b w:val="1"/>
          <w:bCs w:val="1"/>
          <w:color w:val="auto"/>
        </w:rPr>
        <w:t>Available</w:t>
      </w:r>
    </w:p>
    <w:p>
      <w:pPr>
        <w:spacing w:after="0" w:line="20" w:lineRule="exact"/>
        <w:rPr>
          <w:sz w:val="20"/>
          <w:szCs w:val="20"/>
          <w:color w:val="auto"/>
        </w:rPr>
      </w:pPr>
    </w:p>
    <w:p>
      <w:pPr>
        <w:ind w:left="326"/>
        <w:spacing w:after="0"/>
        <w:rPr>
          <w:sz w:val="20"/>
          <w:szCs w:val="20"/>
          <w:color w:val="auto"/>
        </w:rPr>
      </w:pPr>
      <w:r>
        <w:rPr>
          <w:rFonts w:ascii="Arial" w:cs="Arial" w:eastAsia="Arial" w:hAnsi="Arial"/>
          <w:sz w:val="18"/>
          <w:szCs w:val="18"/>
          <w:b w:val="1"/>
          <w:bCs w:val="1"/>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14605</wp:posOffset>
            </wp:positionV>
            <wp:extent cx="9264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21" w:lineRule="exact"/>
        <w:rPr>
          <w:sz w:val="20"/>
          <w:szCs w:val="20"/>
          <w:color w:val="auto"/>
        </w:rPr>
      </w:pPr>
    </w:p>
    <w:p>
      <w:pPr>
        <w:ind w:left="886" w:hanging="886"/>
        <w:spacing w:after="0"/>
        <w:tabs>
          <w:tab w:leader="none" w:pos="886" w:val="left"/>
        </w:tabs>
        <w:numPr>
          <w:ilvl w:val="0"/>
          <w:numId w:val="19"/>
        </w:numPr>
        <w:rPr>
          <w:rFonts w:ascii="Arial" w:cs="Arial" w:eastAsia="Arial" w:hAnsi="Arial"/>
          <w:sz w:val="18"/>
          <w:szCs w:val="18"/>
          <w:color w:val="auto"/>
        </w:rPr>
      </w:pPr>
      <w:r>
        <w:rPr>
          <w:rFonts w:ascii="Arial" w:cs="Arial" w:eastAsia="Arial" w:hAnsi="Arial"/>
          <w:sz w:val="18"/>
          <w:szCs w:val="18"/>
          <w:color w:val="auto"/>
        </w:rPr>
        <w:t>2,250</w:t>
      </w:r>
    </w:p>
    <w:p>
      <w:pPr>
        <w:spacing w:after="0" w:line="63"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7"/>
          <w:szCs w:val="17"/>
          <w:color w:val="auto"/>
        </w:rPr>
        <w:t>248</w:t>
      </w:r>
    </w:p>
    <w:p>
      <w:pPr>
        <w:spacing w:after="0" w:line="74" w:lineRule="exact"/>
        <w:rPr>
          <w:rFonts w:ascii="Arial" w:cs="Arial" w:eastAsia="Arial" w:hAnsi="Arial"/>
          <w:sz w:val="18"/>
          <w:szCs w:val="18"/>
          <w:color w:val="auto"/>
        </w:rPr>
      </w:pPr>
    </w:p>
    <w:p>
      <w:pPr>
        <w:ind w:left="1046"/>
        <w:spacing w:after="0"/>
        <w:rPr>
          <w:rFonts w:ascii="Arial" w:cs="Arial" w:eastAsia="Arial" w:hAnsi="Arial"/>
          <w:sz w:val="18"/>
          <w:szCs w:val="18"/>
          <w:color w:val="auto"/>
        </w:rPr>
      </w:pPr>
      <w:r>
        <w:rPr>
          <w:rFonts w:ascii="Arial" w:cs="Arial" w:eastAsia="Arial" w:hAnsi="Arial"/>
          <w:sz w:val="17"/>
          <w:szCs w:val="17"/>
          <w:color w:val="auto"/>
        </w:rPr>
        <w:t>477</w:t>
      </w:r>
    </w:p>
    <w:p>
      <w:pPr>
        <w:spacing w:after="0" w:line="74" w:lineRule="exact"/>
        <w:rPr>
          <w:rFonts w:ascii="Arial" w:cs="Arial" w:eastAsia="Arial" w:hAnsi="Arial"/>
          <w:sz w:val="18"/>
          <w:szCs w:val="18"/>
          <w:color w:val="auto"/>
        </w:rPr>
      </w:pPr>
    </w:p>
    <w:p>
      <w:pPr>
        <w:ind w:left="1146"/>
        <w:spacing w:after="0"/>
        <w:rPr>
          <w:rFonts w:ascii="Arial" w:cs="Arial" w:eastAsia="Arial" w:hAnsi="Arial"/>
          <w:sz w:val="18"/>
          <w:szCs w:val="18"/>
          <w:color w:val="auto"/>
        </w:rPr>
      </w:pPr>
      <w:r>
        <w:rPr>
          <w:rFonts w:ascii="Arial" w:cs="Arial" w:eastAsia="Arial" w:hAnsi="Arial"/>
          <w:sz w:val="17"/>
          <w:szCs w:val="17"/>
          <w:color w:val="auto"/>
        </w:rPr>
        <w:t>33</w:t>
      </w:r>
    </w:p>
    <w:p>
      <w:pPr>
        <w:spacing w:after="0" w:line="75" w:lineRule="exact"/>
        <w:rPr>
          <w:sz w:val="20"/>
          <w:szCs w:val="20"/>
          <w:color w:val="auto"/>
        </w:rPr>
      </w:pPr>
    </w:p>
    <w:p>
      <w:pPr>
        <w:ind w:left="1166"/>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926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43" w:lineRule="exact"/>
        <w:rPr>
          <w:sz w:val="20"/>
          <w:szCs w:val="20"/>
          <w:color w:val="auto"/>
        </w:rPr>
      </w:pPr>
    </w:p>
    <w:p>
      <w:pPr>
        <w:ind w:left="886" w:hanging="886"/>
        <w:spacing w:after="0"/>
        <w:tabs>
          <w:tab w:leader="none" w:pos="886" w:val="left"/>
        </w:tabs>
        <w:numPr>
          <w:ilvl w:val="0"/>
          <w:numId w:val="20"/>
        </w:numPr>
        <w:rPr>
          <w:rFonts w:ascii="Arial" w:cs="Arial" w:eastAsia="Arial" w:hAnsi="Arial"/>
          <w:sz w:val="18"/>
          <w:szCs w:val="18"/>
          <w:color w:val="auto"/>
        </w:rPr>
      </w:pPr>
      <w:r>
        <w:rPr>
          <w:rFonts w:ascii="Arial" w:cs="Arial" w:eastAsia="Arial" w:hAnsi="Arial"/>
          <w:sz w:val="18"/>
          <w:szCs w:val="18"/>
          <w:color w:val="auto"/>
        </w:rPr>
        <w:t>3,008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28575</wp:posOffset>
            </wp:positionV>
            <wp:extent cx="9264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26465" cy="8890"/>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45720</wp:posOffset>
            </wp:positionV>
            <wp:extent cx="9264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1818" w:lineRule="exact"/>
        <w:rPr>
          <w:sz w:val="20"/>
          <w:szCs w:val="20"/>
          <w:color w:val="auto"/>
        </w:rPr>
      </w:pPr>
    </w:p>
    <w:p>
      <w:pPr>
        <w:sectPr>
          <w:pgSz w:w="11900" w:h="16838" w:orient="portrait"/>
          <w:cols w:equalWidth="0" w:num="2">
            <w:col w:w="9260" w:space="134"/>
            <w:col w:w="2006"/>
          </w:cols>
          <w:pgMar w:left="240" w:top="116" w:right="259" w:bottom="1440" w:gutter="0" w:footer="0" w:header="0"/>
          <w:type w:val="continuous"/>
        </w:sectPr>
      </w:pPr>
    </w:p>
    <w:p>
      <w:pPr>
        <w:spacing w:after="0" w:line="27" w:lineRule="exact"/>
        <w:rPr>
          <w:sz w:val="20"/>
          <w:szCs w:val="20"/>
          <w:color w:val="auto"/>
        </w:rPr>
      </w:pPr>
    </w:p>
    <w:p>
      <w:pPr>
        <w:ind w:left="500" w:right="20"/>
        <w:spacing w:after="0" w:line="260" w:lineRule="auto"/>
        <w:rPr>
          <w:sz w:val="20"/>
          <w:szCs w:val="20"/>
          <w:color w:val="auto"/>
        </w:rPr>
      </w:pPr>
      <w:r>
        <w:rPr>
          <w:rFonts w:ascii="Arial" w:cs="Arial" w:eastAsia="Arial" w:hAnsi="Arial"/>
          <w:sz w:val="18"/>
          <w:szCs w:val="18"/>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September 30, 2015, the Company is not aware of any instances of non-compliance with any of the financial covenants contained in the debt agreements under its vehicle-backed funding programs.</w:t>
      </w:r>
    </w:p>
    <w:p>
      <w:pPr>
        <w:spacing w:after="0" w:line="173" w:lineRule="exact"/>
        <w:rPr>
          <w:sz w:val="20"/>
          <w:szCs w:val="20"/>
          <w:color w:val="auto"/>
        </w:rPr>
      </w:pPr>
    </w:p>
    <w:p>
      <w:pPr>
        <w:ind w:left="500" w:right="8040" w:hanging="492"/>
        <w:spacing w:after="0" w:line="502" w:lineRule="auto"/>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ind w:left="50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In 2006, the Company completed the spin-offs of its Realogy and Wyndham subsidiaries. In connection with the spin-offs, the Company does not believe that the impact of any resolution of pre-existing contingent liabilities should result in a material liability to the Company in relation to its consolidated financial position or liquidity, as Realogy and Wyndham each have agreed to assume responsibility for these liabilities. The Company is also named in litigation that is primarily related to the businesses of its former subsidiaries, including Realogy, Wyndham and their current or former subsidiaries. The Company is entitled to indemnification from such entities for any liability resulting from such litigation.</w:t>
      </w:r>
    </w:p>
    <w:p>
      <w:pPr>
        <w:spacing w:after="0" w:line="177" w:lineRule="exact"/>
        <w:rPr>
          <w:rFonts w:ascii="Arial" w:cs="Arial" w:eastAsia="Arial" w:hAnsi="Arial"/>
          <w:sz w:val="18"/>
          <w:szCs w:val="18"/>
          <w:b w:val="1"/>
          <w:bCs w:val="1"/>
          <w:color w:val="auto"/>
        </w:rPr>
      </w:pPr>
    </w:p>
    <w:p>
      <w:pPr>
        <w:ind w:left="5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In February 2015, the French Competition Authority issued a statement of objections alleging that several car rental companies, including the Company and two of its European subsidiaries, engaged with (i) twelve French airports, the majority of which are controlled by public administrative bodies or the French state, violated competition law through the distribution of individual statistics sent by these airports to car rental companies operating at those airports; and (ii) two other international car rental companies in a concerted practice relating to train station surcharges. The Company believes that it has valid defenses and intends to vigorously defend against the allegations, but it is currently unable to predict the outcome of the proceedings or range of reasonably possible losses, which may be material.</w:t>
      </w:r>
    </w:p>
    <w:p>
      <w:pPr>
        <w:spacing w:after="0" w:line="163" w:lineRule="exact"/>
        <w:rPr>
          <w:rFonts w:ascii="Arial" w:cs="Arial" w:eastAsia="Arial" w:hAnsi="Arial"/>
          <w:sz w:val="18"/>
          <w:szCs w:val="18"/>
          <w:b w:val="1"/>
          <w:bCs w:val="1"/>
          <w:color w:val="auto"/>
        </w:rPr>
      </w:pPr>
    </w:p>
    <w:p>
      <w:pPr>
        <w:ind w:left="500"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Additionally, in March 2015, the Canadian Competition Bureau filed an application with the Competition Tribunal alleging that the Company and two of its Canadian subsidiaries engaged in deceptive marketing practices with regard to certain charges that consumers are invoiced related to renting a vehicle and associated products in Canada. The application seeks penalties against the Company and its subsidiaries totaling approximately $25 million as well as reimbursements to current and former customers of amounts collected and retained by the Company related to the alleged deceptive marketing practices. The Company believes that it has valid defenses and intends to vigorously defend against the allegations, but it is currently unable to predict the outcome of the proceedings or range of reasonably possible losses, which may be material.</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16" w:right="25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left="500" w:right="20"/>
        <w:spacing w:after="0" w:line="255" w:lineRule="auto"/>
        <w:rPr>
          <w:sz w:val="20"/>
          <w:szCs w:val="20"/>
          <w:color w:val="auto"/>
        </w:rPr>
      </w:pPr>
      <w:r>
        <w:rPr>
          <w:rFonts w:ascii="Arial" w:cs="Arial" w:eastAsia="Arial" w:hAnsi="Arial"/>
          <w:sz w:val="18"/>
          <w:szCs w:val="18"/>
          <w:color w:val="auto"/>
        </w:rPr>
        <w:t>The Company is involved in claims, legal proceedings and governmental inquiries related, among other things, to its vehicle rental operations, including contract and licensee disputes, competition matters, employment matters, insurance claims, intellectual property claims, business practice disputes and other regulatory, environmental, commercial and tax matters. Litigation is inherently unpredictable and, although the Company believes that its accruals are adequate and/or that it has valid defenses in these matters, unfavorable resolutions could occur. Excluding the French and Canadian competition matters discussed above, the Company estimates that the potential exposure resulting from adverse outcomes of legal proceedings in which it is reasonably possible that a loss may be incurred could, in the aggregate, be up to approximately $20 million in excess of amounts accrued as of September 30, 2015; however, the Company does not believe that the impact should result in a material liability to the Company in relation to its consolidated financial condition or results of operations.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225" w:lineRule="exact"/>
        <w:rPr>
          <w:sz w:val="20"/>
          <w:szCs w:val="20"/>
          <w:color w:val="auto"/>
        </w:rPr>
      </w:pPr>
    </w:p>
    <w:p>
      <w:pPr>
        <w:ind w:left="500" w:right="100"/>
        <w:spacing w:after="0" w:line="264" w:lineRule="auto"/>
        <w:rPr>
          <w:sz w:val="20"/>
          <w:szCs w:val="20"/>
          <w:color w:val="auto"/>
        </w:rPr>
      </w:pPr>
      <w:r>
        <w:rPr>
          <w:rFonts w:ascii="Arial" w:cs="Arial" w:eastAsia="Arial" w:hAnsi="Arial"/>
          <w:sz w:val="18"/>
          <w:szCs w:val="18"/>
          <w:color w:val="auto"/>
        </w:rPr>
        <w:t>The Company maintains agreements with vehicle manufacturers under which the Company has agreed to purchase approximately $7.4 billion of vehicles from manufacturers over the next 12 months. The majority of these commitments are subject to the vehicle manufacturers’ satisfying their obligations under their respective repurchase and guaranteed depreciation agreements. The purchase of such vehicles is financed primarily through the issuance of vehicle-backed debt and cash received upon the disposition of vehicles.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225" w:lineRule="exact"/>
        <w:rPr>
          <w:sz w:val="20"/>
          <w:szCs w:val="20"/>
          <w:color w:val="auto"/>
        </w:rPr>
      </w:pPr>
    </w:p>
    <w:p>
      <w:pPr>
        <w:ind w:left="500"/>
        <w:spacing w:after="0" w:line="258" w:lineRule="auto"/>
        <w:rPr>
          <w:sz w:val="20"/>
          <w:szCs w:val="20"/>
          <w:color w:val="auto"/>
        </w:rPr>
      </w:pPr>
      <w:r>
        <w:rPr>
          <w:rFonts w:ascii="Arial" w:cs="Arial" w:eastAsia="Arial" w:hAnsi="Arial"/>
          <w:sz w:val="18"/>
          <w:szCs w:val="18"/>
          <w:color w:val="auto"/>
        </w:rPr>
        <w:t>Concentrations of credit risk at September 30, 2015 include (i) risks related to the Company’s repurchase and guaranteed depreciation agreements with domestic and foreign car manufacturers, including Ford, General Motors, Chrysler, Peugeot, Volkswagen, Kia, Fiat, Toyota, Mercedes, Volvo and BMW, and primarily with respect to receivables for program cars that have been disposed but for which the Company has not yet received payment from the manufacturers and (ii) risks related to Realogy and Wyndham, including receivables of $54 million and $33 million, respectively, related to certain contingent, income tax and other corporate liabilities assumed by Realogy and Wyndham in connection with their disposition.</w:t>
      </w:r>
    </w:p>
    <w:p>
      <w:pPr>
        <w:spacing w:after="0" w:line="176" w:lineRule="exact"/>
        <w:rPr>
          <w:sz w:val="20"/>
          <w:szCs w:val="20"/>
          <w:color w:val="auto"/>
        </w:rPr>
      </w:pPr>
    </w:p>
    <w:p>
      <w:pPr>
        <w:ind w:left="500" w:right="9100" w:hanging="492"/>
        <w:spacing w:after="0" w:line="531" w:lineRule="auto"/>
        <w:tabs>
          <w:tab w:leader="none" w:pos="50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Share Repurchases</w:t>
      </w:r>
    </w:p>
    <w:p>
      <w:pPr>
        <w:spacing w:after="0" w:line="1" w:lineRule="exact"/>
        <w:rPr>
          <w:rFonts w:ascii="Arial" w:cs="Arial" w:eastAsia="Arial" w:hAnsi="Arial"/>
          <w:sz w:val="17"/>
          <w:szCs w:val="17"/>
          <w:b w:val="1"/>
          <w:bCs w:val="1"/>
          <w:color w:val="auto"/>
        </w:rPr>
      </w:pPr>
    </w:p>
    <w:p>
      <w:pPr>
        <w:ind w:left="500" w:right="400"/>
        <w:spacing w:after="0" w:line="258" w:lineRule="auto"/>
        <w:rPr>
          <w:rFonts w:ascii="Arial" w:cs="Arial" w:eastAsia="Arial" w:hAnsi="Arial"/>
          <w:sz w:val="17"/>
          <w:szCs w:val="17"/>
          <w:b w:val="1"/>
          <w:bCs w:val="1"/>
          <w:color w:val="auto"/>
        </w:rPr>
      </w:pPr>
      <w:r>
        <w:rPr>
          <w:rFonts w:ascii="Arial" w:cs="Arial" w:eastAsia="Arial" w:hAnsi="Arial"/>
          <w:sz w:val="18"/>
          <w:szCs w:val="18"/>
          <w:color w:val="auto"/>
        </w:rPr>
        <w:t>The Company’s Board of Directors has authorized the repurchase of up to $885 million of its common stock under a plan originally approved in August 2013 and subsequently expanded in April and October 2014 and August 2015. During the nine months ended September 30, 2015, the Company repurchased approximately 5.9 million shares of common stock at a cost of approximately $277 million under the program. During the nine months ended September 30, 2014, the Company repurchased approximately 4.0 million shares of common stock at a cost of approximately $210 million under the program. As of September 30, 2015, approximately $258 million of authorization remains available to repurchase common stock under this plan.</w:t>
      </w:r>
    </w:p>
    <w:p>
      <w:pPr>
        <w:spacing w:after="0" w:line="177"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Total Comprehensive Income</w:t>
      </w:r>
    </w:p>
    <w:p>
      <w:pPr>
        <w:spacing w:after="0" w:line="225" w:lineRule="exact"/>
        <w:rPr>
          <w:rFonts w:ascii="Arial" w:cs="Arial" w:eastAsia="Arial" w:hAnsi="Arial"/>
          <w:sz w:val="17"/>
          <w:szCs w:val="17"/>
          <w:b w:val="1"/>
          <w:bCs w:val="1"/>
          <w:color w:val="auto"/>
        </w:rPr>
      </w:pPr>
    </w:p>
    <w:p>
      <w:pPr>
        <w:ind w:left="500" w:right="40"/>
        <w:spacing w:after="0" w:line="292" w:lineRule="auto"/>
        <w:rPr>
          <w:rFonts w:ascii="Arial" w:cs="Arial" w:eastAsia="Arial" w:hAnsi="Arial"/>
          <w:sz w:val="17"/>
          <w:szCs w:val="17"/>
          <w:b w:val="1"/>
          <w:bCs w:val="1"/>
          <w:color w:val="auto"/>
        </w:rPr>
      </w:pPr>
      <w:r>
        <w:rPr>
          <w:rFonts w:ascii="Arial" w:cs="Arial" w:eastAsia="Arial" w:hAnsi="Arial"/>
          <w:sz w:val="18"/>
          <w:szCs w:val="18"/>
          <w:color w:val="auto"/>
        </w:rPr>
        <w:t>Comprehensive income consists of net income and other gains and losses affecting stockholders’ equity that, under GAAP, are excluded from net income.</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16" w:right="2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474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4880" w:type="dxa"/>
            <w:vAlign w:val="bottom"/>
            <w:gridSpan w:val="4"/>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6280" w:type="dxa"/>
            <w:vAlign w:val="bottom"/>
            <w:gridSpan w:val="5"/>
          </w:tcPr>
          <w:p>
            <w:pPr>
              <w:ind w:left="500"/>
              <w:spacing w:after="0"/>
              <w:rPr>
                <w:sz w:val="20"/>
                <w:szCs w:val="20"/>
                <w:color w:val="auto"/>
              </w:rPr>
            </w:pPr>
            <w:r>
              <w:rPr>
                <w:rFonts w:ascii="Arial" w:cs="Arial" w:eastAsia="Arial" w:hAnsi="Arial"/>
                <w:sz w:val="18"/>
                <w:szCs w:val="18"/>
                <w:color w:val="auto"/>
              </w:rPr>
              <w:t>The components of other comprehensive income were as follows:</w:t>
            </w: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140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5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Three Months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4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b w:val="1"/>
                <w:bCs w:val="1"/>
                <w:color w:val="auto"/>
                <w:w w:val="97"/>
              </w:rPr>
              <w:t>September 30,</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63"/>
        </w:trPr>
        <w:tc>
          <w:tcPr>
            <w:tcW w:w="140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0" w:type="dxa"/>
            <w:vAlign w:val="bottom"/>
          </w:tcPr>
          <w:p>
            <w:pPr>
              <w:spacing w:after="0"/>
              <w:rPr>
                <w:sz w:val="1"/>
                <w:szCs w:val="1"/>
                <w:color w:val="auto"/>
              </w:rPr>
            </w:pPr>
          </w:p>
        </w:tc>
      </w:tr>
      <w:tr>
        <w:trPr>
          <w:trHeight w:val="242"/>
        </w:trPr>
        <w:tc>
          <w:tcPr>
            <w:tcW w:w="4740" w:type="dxa"/>
            <w:vAlign w:val="bottom"/>
            <w:gridSpan w:val="2"/>
          </w:tcPr>
          <w:p>
            <w:pPr>
              <w:ind w:left="52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ind w:right="71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1"/>
                <w:szCs w:val="21"/>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0"/>
        </w:trPr>
        <w:tc>
          <w:tcPr>
            <w:tcW w:w="4740" w:type="dxa"/>
            <w:vAlign w:val="bottom"/>
            <w:gridSpan w:val="2"/>
          </w:tcPr>
          <w:p>
            <w:pPr>
              <w:ind w:left="520"/>
              <w:spacing w:after="0"/>
              <w:rPr>
                <w:sz w:val="20"/>
                <w:szCs w:val="20"/>
                <w:color w:val="auto"/>
              </w:rPr>
            </w:pPr>
            <w:r>
              <w:rPr>
                <w:rFonts w:ascii="Arial" w:cs="Arial" w:eastAsia="Arial" w:hAnsi="Arial"/>
                <w:sz w:val="18"/>
                <w:szCs w:val="18"/>
                <w:color w:val="auto"/>
              </w:rPr>
              <w:t>Other comprehensive income (loss):</w:t>
            </w:r>
          </w:p>
        </w:tc>
        <w:tc>
          <w:tcPr>
            <w:tcW w:w="9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620"/>
              <w:spacing w:after="0"/>
              <w:rPr>
                <w:sz w:val="20"/>
                <w:szCs w:val="20"/>
                <w:color w:val="auto"/>
              </w:rPr>
            </w:pPr>
            <w:r>
              <w:rPr>
                <w:rFonts w:ascii="Arial" w:cs="Arial" w:eastAsia="Arial" w:hAnsi="Arial"/>
                <w:sz w:val="18"/>
                <w:szCs w:val="18"/>
                <w:color w:val="auto"/>
              </w:rPr>
              <w:t>Currency translation adjustments (net of tax of $1,</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800"/>
              <w:spacing w:after="0"/>
              <w:rPr>
                <w:sz w:val="20"/>
                <w:szCs w:val="20"/>
                <w:color w:val="auto"/>
              </w:rPr>
            </w:pPr>
            <w:r>
              <w:rPr>
                <w:rFonts w:ascii="Arial" w:cs="Arial" w:eastAsia="Arial" w:hAnsi="Arial"/>
                <w:sz w:val="18"/>
                <w:szCs w:val="18"/>
                <w:color w:val="auto"/>
              </w:rPr>
              <w:t>$(18), $(16) and $(20), respectively)</w:t>
            </w: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4740" w:type="dxa"/>
            <w:vAlign w:val="bottom"/>
            <w:gridSpan w:val="2"/>
          </w:tcPr>
          <w:p>
            <w:pPr>
              <w:ind w:left="620"/>
              <w:spacing w:after="0"/>
              <w:rPr>
                <w:sz w:val="20"/>
                <w:szCs w:val="20"/>
                <w:color w:val="auto"/>
              </w:rPr>
            </w:pPr>
            <w:r>
              <w:rPr>
                <w:rFonts w:ascii="Arial" w:cs="Arial" w:eastAsia="Arial" w:hAnsi="Arial"/>
                <w:sz w:val="18"/>
                <w:szCs w:val="18"/>
                <w:color w:val="auto"/>
              </w:rPr>
              <w:t>Net unrealized gain (loss) on available-for-sale</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ind w:left="800"/>
              <w:spacing w:after="0" w:line="202" w:lineRule="exact"/>
              <w:rPr>
                <w:sz w:val="20"/>
                <w:szCs w:val="20"/>
                <w:color w:val="auto"/>
              </w:rPr>
            </w:pPr>
            <w:r>
              <w:rPr>
                <w:rFonts w:ascii="Arial" w:cs="Arial" w:eastAsia="Arial" w:hAnsi="Arial"/>
                <w:sz w:val="18"/>
                <w:szCs w:val="18"/>
                <w:color w:val="auto"/>
              </w:rPr>
              <w:t>securities (net of tax of $1, $0, $1 and $0,</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800"/>
              <w:spacing w:after="0"/>
              <w:rPr>
                <w:sz w:val="20"/>
                <w:szCs w:val="20"/>
                <w:color w:val="auto"/>
              </w:rPr>
            </w:pPr>
            <w:r>
              <w:rPr>
                <w:rFonts w:ascii="Arial" w:cs="Arial" w:eastAsia="Arial" w:hAnsi="Arial"/>
                <w:sz w:val="18"/>
                <w:szCs w:val="18"/>
                <w:color w:val="auto"/>
              </w:rPr>
              <w:t>respectively)</w:t>
            </w: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740" w:type="dxa"/>
            <w:vAlign w:val="bottom"/>
            <w:gridSpan w:val="2"/>
          </w:tcPr>
          <w:p>
            <w:pPr>
              <w:ind w:left="620"/>
              <w:spacing w:after="0"/>
              <w:rPr>
                <w:sz w:val="20"/>
                <w:szCs w:val="20"/>
                <w:color w:val="auto"/>
              </w:rPr>
            </w:pPr>
            <w:r>
              <w:rPr>
                <w:rFonts w:ascii="Arial" w:cs="Arial" w:eastAsia="Arial" w:hAnsi="Arial"/>
                <w:sz w:val="18"/>
                <w:szCs w:val="18"/>
                <w:color w:val="auto"/>
              </w:rPr>
              <w:t>Net unrealized gain (loss) on cash flow hedges</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800"/>
              <w:spacing w:after="0"/>
              <w:rPr>
                <w:sz w:val="20"/>
                <w:szCs w:val="20"/>
                <w:color w:val="auto"/>
              </w:rPr>
            </w:pPr>
            <w:r>
              <w:rPr>
                <w:rFonts w:ascii="Arial" w:cs="Arial" w:eastAsia="Arial" w:hAnsi="Arial"/>
                <w:sz w:val="18"/>
                <w:szCs w:val="18"/>
                <w:color w:val="auto"/>
              </w:rPr>
              <w:t>(net of tax of $1, $(2), $3 and $(1), respectively)</w:t>
            </w: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740" w:type="dxa"/>
            <w:vAlign w:val="bottom"/>
            <w:gridSpan w:val="2"/>
          </w:tcPr>
          <w:p>
            <w:pPr>
              <w:ind w:left="620"/>
              <w:spacing w:after="0"/>
              <w:rPr>
                <w:sz w:val="20"/>
                <w:szCs w:val="20"/>
                <w:color w:val="auto"/>
              </w:rPr>
            </w:pPr>
            <w:r>
              <w:rPr>
                <w:rFonts w:ascii="Arial" w:cs="Arial" w:eastAsia="Arial" w:hAnsi="Arial"/>
                <w:sz w:val="18"/>
                <w:szCs w:val="18"/>
                <w:color w:val="auto"/>
              </w:rPr>
              <w:t>Minimum pension liability adjustment (net of tax of</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740" w:type="dxa"/>
            <w:vAlign w:val="bottom"/>
            <w:gridSpan w:val="2"/>
          </w:tcPr>
          <w:p>
            <w:pPr>
              <w:ind w:left="800"/>
              <w:spacing w:after="0"/>
              <w:rPr>
                <w:sz w:val="20"/>
                <w:szCs w:val="20"/>
                <w:color w:val="auto"/>
              </w:rPr>
            </w:pPr>
            <w:r>
              <w:rPr>
                <w:rFonts w:ascii="Arial" w:cs="Arial" w:eastAsia="Arial" w:hAnsi="Arial"/>
                <w:sz w:val="18"/>
                <w:szCs w:val="18"/>
                <w:color w:val="auto"/>
              </w:rPr>
              <w:t>$0, $0, $(1) and $0, respectively)</w:t>
            </w:r>
          </w:p>
        </w:tc>
        <w:tc>
          <w:tcPr>
            <w:tcW w:w="9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98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55"/>
        </w:trPr>
        <w:tc>
          <w:tcPr>
            <w:tcW w:w="4740" w:type="dxa"/>
            <w:vAlign w:val="bottom"/>
            <w:gridSpan w:val="2"/>
          </w:tcPr>
          <w:p>
            <w:pPr>
              <w:ind w:left="520"/>
              <w:spacing w:after="0"/>
              <w:rPr>
                <w:sz w:val="20"/>
                <w:szCs w:val="20"/>
                <w:color w:val="auto"/>
              </w:rPr>
            </w:pPr>
            <w:r>
              <w:rPr>
                <w:rFonts w:ascii="Arial" w:cs="Arial" w:eastAsia="Arial" w:hAnsi="Arial"/>
                <w:sz w:val="18"/>
                <w:szCs w:val="18"/>
                <w:color w:val="auto"/>
              </w:rPr>
              <w:t>Total comprehensive income</w:t>
            </w:r>
          </w:p>
        </w:tc>
        <w:tc>
          <w:tcPr>
            <w:tcW w:w="92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2"/>
                <w:szCs w:val="22"/>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ind w:left="500"/>
              <w:spacing w:after="0"/>
              <w:rPr>
                <w:sz w:val="20"/>
                <w:szCs w:val="20"/>
                <w:color w:val="auto"/>
              </w:rPr>
            </w:pPr>
            <w:r>
              <w:rPr>
                <w:rFonts w:ascii="Arial" w:cs="Arial" w:eastAsia="Arial" w:hAnsi="Arial"/>
                <w:sz w:val="18"/>
                <w:szCs w:val="18"/>
                <w:color w:val="auto"/>
              </w:rPr>
              <w:t>__________</w:t>
            </w: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740" w:type="dxa"/>
            <w:vAlign w:val="bottom"/>
            <w:gridSpan w:val="2"/>
            <w:vMerge w:val="continue"/>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spacing w:after="0"/>
        <w:rPr>
          <w:sz w:val="20"/>
          <w:szCs w:val="20"/>
          <w:color w:val="auto"/>
        </w:rPr>
      </w:pPr>
      <w:r>
        <w:rPr>
          <w:rFonts w:ascii="Arial" w:cs="Arial" w:eastAsia="Arial" w:hAnsi="Arial"/>
          <w:sz w:val="14"/>
          <w:szCs w:val="14"/>
          <w:color w:val="auto"/>
        </w:rPr>
        <w:t>Currency translation adjustments exclude income taxes related to indefinite investments in foreign subsidiaries.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156"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2700" w:type="dxa"/>
            <w:vAlign w:val="bottom"/>
          </w:tcPr>
          <w:p>
            <w:pPr>
              <w:spacing w:after="0"/>
              <w:rPr>
                <w:sz w:val="13"/>
                <w:szCs w:val="13"/>
                <w:color w:val="auto"/>
              </w:rPr>
            </w:pPr>
          </w:p>
        </w:tc>
        <w:tc>
          <w:tcPr>
            <w:tcW w:w="1120" w:type="dxa"/>
            <w:vAlign w:val="bottom"/>
            <w:vMerge w:val="restart"/>
          </w:tcPr>
          <w:p>
            <w:pPr>
              <w:jc w:val="center"/>
              <w:ind w:left="297"/>
              <w:spacing w:after="0"/>
              <w:rPr>
                <w:sz w:val="20"/>
                <w:szCs w:val="20"/>
                <w:color w:val="auto"/>
              </w:rPr>
            </w:pPr>
            <w:r>
              <w:rPr>
                <w:rFonts w:ascii="Arial" w:cs="Arial" w:eastAsia="Arial" w:hAnsi="Arial"/>
                <w:sz w:val="13"/>
                <w:szCs w:val="13"/>
                <w:b w:val="1"/>
                <w:bCs w:val="1"/>
                <w:color w:val="auto"/>
                <w:w w:val="98"/>
              </w:rPr>
              <w:t>Currency</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5"/>
              </w:rPr>
              <w:t>Net Unrealized</w:t>
            </w:r>
          </w:p>
        </w:tc>
        <w:tc>
          <w:tcPr>
            <w:tcW w:w="12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5"/>
              </w:rPr>
              <w:t>Net Unrealized</w:t>
            </w:r>
          </w:p>
        </w:tc>
        <w:tc>
          <w:tcPr>
            <w:tcW w:w="200" w:type="dxa"/>
            <w:vAlign w:val="bottom"/>
          </w:tcPr>
          <w:p>
            <w:pPr>
              <w:spacing w:after="0"/>
              <w:rPr>
                <w:sz w:val="13"/>
                <w:szCs w:val="13"/>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Minimum</w:t>
            </w:r>
          </w:p>
        </w:tc>
        <w:tc>
          <w:tcPr>
            <w:tcW w:w="160" w:type="dxa"/>
            <w:vAlign w:val="bottom"/>
          </w:tcPr>
          <w:p>
            <w:pPr>
              <w:spacing w:after="0"/>
              <w:rPr>
                <w:sz w:val="13"/>
                <w:szCs w:val="13"/>
                <w:color w:val="auto"/>
              </w:rPr>
            </w:pPr>
          </w:p>
        </w:tc>
        <w:tc>
          <w:tcPr>
            <w:tcW w:w="1260" w:type="dxa"/>
            <w:vAlign w:val="bottom"/>
          </w:tcPr>
          <w:p>
            <w:pPr>
              <w:jc w:val="center"/>
              <w:ind w:right="97"/>
              <w:spacing w:after="0"/>
              <w:rPr>
                <w:sz w:val="20"/>
                <w:szCs w:val="20"/>
                <w:color w:val="auto"/>
              </w:rPr>
            </w:pPr>
            <w:r>
              <w:rPr>
                <w:rFonts w:ascii="Arial" w:cs="Arial" w:eastAsia="Arial" w:hAnsi="Arial"/>
                <w:sz w:val="13"/>
                <w:szCs w:val="13"/>
                <w:b w:val="1"/>
                <w:bCs w:val="1"/>
                <w:color w:val="auto"/>
                <w:w w:val="95"/>
              </w:rPr>
              <w:t>Accumulated</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Gains (Losses)</w:t>
            </w:r>
          </w:p>
        </w:tc>
        <w:tc>
          <w:tcPr>
            <w:tcW w:w="120" w:type="dxa"/>
            <w:vAlign w:val="bottom"/>
          </w:tcPr>
          <w:p>
            <w:pPr>
              <w:spacing w:after="0"/>
              <w:rPr>
                <w:sz w:val="11"/>
                <w:szCs w:val="11"/>
                <w:color w:val="auto"/>
              </w:rPr>
            </w:pPr>
          </w:p>
        </w:tc>
        <w:tc>
          <w:tcPr>
            <w:tcW w:w="14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7"/>
              </w:rPr>
              <w:t>Gains (Losses) on</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8"/>
              </w:rPr>
              <w:t>Pension</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120" w:type="dxa"/>
            <w:vAlign w:val="bottom"/>
          </w:tcPr>
          <w:p>
            <w:pPr>
              <w:jc w:val="center"/>
              <w:ind w:left="297"/>
              <w:spacing w:after="0" w:line="135" w:lineRule="exact"/>
              <w:rPr>
                <w:sz w:val="20"/>
                <w:szCs w:val="20"/>
                <w:color w:val="auto"/>
              </w:rPr>
            </w:pPr>
            <w:r>
              <w:rPr>
                <w:rFonts w:ascii="Arial" w:cs="Arial" w:eastAsia="Arial" w:hAnsi="Arial"/>
                <w:sz w:val="13"/>
                <w:szCs w:val="13"/>
                <w:b w:val="1"/>
                <w:bCs w:val="1"/>
                <w:color w:val="auto"/>
                <w:w w:val="96"/>
              </w:rPr>
              <w:t>Translation</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on Cash Flow</w:t>
            </w:r>
          </w:p>
        </w:tc>
        <w:tc>
          <w:tcPr>
            <w:tcW w:w="120" w:type="dxa"/>
            <w:vAlign w:val="bottom"/>
          </w:tcPr>
          <w:p>
            <w:pPr>
              <w:spacing w:after="0"/>
              <w:rPr>
                <w:sz w:val="11"/>
                <w:szCs w:val="11"/>
                <w:color w:val="auto"/>
              </w:rPr>
            </w:pPr>
          </w:p>
        </w:tc>
        <w:tc>
          <w:tcPr>
            <w:tcW w:w="142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6"/>
              </w:rPr>
              <w:t>Available-for</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3"/>
              </w:rPr>
              <w:t>Liability</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82"/>
        </w:trPr>
        <w:tc>
          <w:tcPr>
            <w:tcW w:w="2700" w:type="dxa"/>
            <w:vAlign w:val="bottom"/>
          </w:tcPr>
          <w:p>
            <w:pPr>
              <w:spacing w:after="0"/>
              <w:rPr>
                <w:sz w:val="15"/>
                <w:szCs w:val="15"/>
                <w:color w:val="auto"/>
              </w:rPr>
            </w:pPr>
          </w:p>
        </w:tc>
        <w:tc>
          <w:tcPr>
            <w:tcW w:w="1120" w:type="dxa"/>
            <w:vAlign w:val="bottom"/>
          </w:tcPr>
          <w:p>
            <w:pPr>
              <w:jc w:val="center"/>
              <w:ind w:left="297"/>
              <w:spacing w:after="0"/>
              <w:rPr>
                <w:sz w:val="20"/>
                <w:szCs w:val="20"/>
                <w:color w:val="auto"/>
              </w:rPr>
            </w:pPr>
            <w:r>
              <w:rPr>
                <w:rFonts w:ascii="Arial" w:cs="Arial" w:eastAsia="Arial" w:hAnsi="Arial"/>
                <w:sz w:val="13"/>
                <w:szCs w:val="13"/>
                <w:b w:val="1"/>
                <w:bCs w:val="1"/>
                <w:color w:val="auto"/>
                <w:w w:val="96"/>
              </w:rPr>
              <w:t>Adjustments</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Hedges</w:t>
            </w:r>
            <w:r>
              <w:rPr>
                <w:rFonts w:ascii="Arial" w:cs="Arial" w:eastAsia="Arial" w:hAnsi="Arial"/>
                <w:sz w:val="8"/>
                <w:szCs w:val="8"/>
                <w:b w:val="1"/>
                <w:bCs w:val="1"/>
                <w:color w:val="auto"/>
              </w:rPr>
              <w:t>(a)</w:t>
            </w:r>
          </w:p>
        </w:tc>
        <w:tc>
          <w:tcPr>
            <w:tcW w:w="12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7"/>
              </w:rPr>
              <w:t>Sale Securities</w:t>
            </w:r>
          </w:p>
        </w:tc>
        <w:tc>
          <w:tcPr>
            <w:tcW w:w="2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Adjustment</w:t>
            </w:r>
            <w:r>
              <w:rPr>
                <w:rFonts w:ascii="Arial" w:cs="Arial" w:eastAsia="Arial" w:hAnsi="Arial"/>
                <w:sz w:val="8"/>
                <w:szCs w:val="8"/>
                <w:b w:val="1"/>
                <w:bCs w:val="1"/>
                <w:color w:val="auto"/>
              </w:rPr>
              <w:t>(b)</w:t>
            </w:r>
          </w:p>
        </w:tc>
        <w:tc>
          <w:tcPr>
            <w:tcW w:w="160" w:type="dxa"/>
            <w:vAlign w:val="bottom"/>
          </w:tcPr>
          <w:p>
            <w:pPr>
              <w:spacing w:after="0"/>
              <w:rPr>
                <w:sz w:val="15"/>
                <w:szCs w:val="15"/>
                <w:color w:val="auto"/>
              </w:rPr>
            </w:pPr>
          </w:p>
        </w:tc>
        <w:tc>
          <w:tcPr>
            <w:tcW w:w="126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Income (Loss)</w:t>
            </w:r>
          </w:p>
        </w:tc>
        <w:tc>
          <w:tcPr>
            <w:tcW w:w="0" w:type="dxa"/>
            <w:vAlign w:val="bottom"/>
          </w:tcPr>
          <w:p>
            <w:pPr>
              <w:spacing w:after="0"/>
              <w:rPr>
                <w:sz w:val="1"/>
                <w:szCs w:val="1"/>
                <w:color w:val="auto"/>
              </w:rPr>
            </w:pPr>
          </w:p>
        </w:tc>
      </w:tr>
      <w:tr>
        <w:trPr>
          <w:trHeight w:val="248"/>
        </w:trPr>
        <w:tc>
          <w:tcPr>
            <w:tcW w:w="2700" w:type="dxa"/>
            <w:vAlign w:val="bottom"/>
          </w:tcPr>
          <w:p>
            <w:pPr>
              <w:ind w:left="20"/>
              <w:spacing w:after="0"/>
              <w:rPr>
                <w:sz w:val="20"/>
                <w:szCs w:val="20"/>
                <w:color w:val="auto"/>
              </w:rPr>
            </w:pPr>
            <w:r>
              <w:rPr>
                <w:rFonts w:ascii="Arial" w:cs="Arial" w:eastAsia="Arial" w:hAnsi="Arial"/>
                <w:sz w:val="13"/>
                <w:szCs w:val="13"/>
                <w:color w:val="auto"/>
              </w:rPr>
              <w:t>Balance, January 1, 2015</w:t>
            </w:r>
          </w:p>
        </w:tc>
        <w:tc>
          <w:tcPr>
            <w:tcW w:w="1120" w:type="dxa"/>
            <w:vAlign w:val="bottom"/>
            <w:tcBorders>
              <w:top w:val="single" w:sz="8" w:color="auto"/>
              <w:bottom w:val="single" w:sz="8" w:color="auto"/>
            </w:tcBorders>
          </w:tcPr>
          <w:p>
            <w:pPr>
              <w:jc w:val="right"/>
              <w:ind w:right="957"/>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127"/>
        </w:trPr>
        <w:tc>
          <w:tcPr>
            <w:tcW w:w="2700" w:type="dxa"/>
            <w:vAlign w:val="bottom"/>
          </w:tcPr>
          <w:p>
            <w:pPr>
              <w:ind w:left="140"/>
              <w:spacing w:after="0" w:line="127" w:lineRule="exact"/>
              <w:rPr>
                <w:sz w:val="20"/>
                <w:szCs w:val="20"/>
                <w:color w:val="auto"/>
              </w:rPr>
            </w:pPr>
            <w:r>
              <w:rPr>
                <w:rFonts w:ascii="Arial" w:cs="Arial" w:eastAsia="Arial" w:hAnsi="Arial"/>
                <w:sz w:val="13"/>
                <w:szCs w:val="13"/>
                <w:color w:val="auto"/>
              </w:rPr>
              <w:t>Other comprehensive income (loss) before</w:t>
            </w:r>
          </w:p>
        </w:tc>
        <w:tc>
          <w:tcPr>
            <w:tcW w:w="112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w w:val="92"/>
              </w:rPr>
              <w:t>(118)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restart"/>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170"/>
        </w:trPr>
        <w:tc>
          <w:tcPr>
            <w:tcW w:w="2700" w:type="dxa"/>
            <w:vAlign w:val="bottom"/>
          </w:tcPr>
          <w:p>
            <w:pPr>
              <w:ind w:left="300"/>
              <w:spacing w:after="0"/>
              <w:rPr>
                <w:sz w:val="20"/>
                <w:szCs w:val="20"/>
                <w:color w:val="auto"/>
              </w:rPr>
            </w:pPr>
            <w:r>
              <w:rPr>
                <w:rFonts w:ascii="Arial" w:cs="Arial" w:eastAsia="Arial" w:hAnsi="Arial"/>
                <w:sz w:val="13"/>
                <w:szCs w:val="13"/>
                <w:color w:val="auto"/>
              </w:rPr>
              <w:t>reclassifications</w:t>
            </w:r>
          </w:p>
        </w:tc>
        <w:tc>
          <w:tcPr>
            <w:tcW w:w="11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700" w:type="dxa"/>
            <w:vAlign w:val="bottom"/>
          </w:tcPr>
          <w:p>
            <w:pPr>
              <w:ind w:left="140"/>
              <w:spacing w:after="0"/>
              <w:rPr>
                <w:sz w:val="20"/>
                <w:szCs w:val="20"/>
                <w:color w:val="auto"/>
              </w:rPr>
            </w:pPr>
            <w:r>
              <w:rPr>
                <w:rFonts w:ascii="Arial" w:cs="Arial" w:eastAsia="Arial" w:hAnsi="Arial"/>
                <w:sz w:val="13"/>
                <w:szCs w:val="13"/>
                <w:color w:val="auto"/>
                <w:w w:val="97"/>
              </w:rPr>
              <w:t>Amounts reclassified from accumulated other</w:t>
            </w:r>
          </w:p>
        </w:tc>
        <w:tc>
          <w:tcPr>
            <w:tcW w:w="1120" w:type="dxa"/>
            <w:vAlign w:val="bottom"/>
          </w:tcPr>
          <w:p>
            <w:pPr>
              <w:spacing w:after="0"/>
              <w:rPr>
                <w:sz w:val="13"/>
                <w:szCs w:val="13"/>
                <w:color w:val="auto"/>
              </w:rPr>
            </w:pPr>
          </w:p>
        </w:tc>
        <w:tc>
          <w:tcPr>
            <w:tcW w:w="4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240" w:type="dxa"/>
            <w:vAlign w:val="bottom"/>
            <w:vMerge w:val="restart"/>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20" w:type="dxa"/>
            <w:vAlign w:val="bottom"/>
            <w:vMerge w:val="restart"/>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vMerge w:val="restart"/>
          </w:tcPr>
          <w:p>
            <w:pPr>
              <w:jc w:val="right"/>
              <w:ind w:right="17"/>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78"/>
        </w:trPr>
        <w:tc>
          <w:tcPr>
            <w:tcW w:w="2700" w:type="dxa"/>
            <w:vAlign w:val="bottom"/>
          </w:tcPr>
          <w:p>
            <w:pPr>
              <w:ind w:left="300"/>
              <w:spacing w:after="0"/>
              <w:rPr>
                <w:sz w:val="20"/>
                <w:szCs w:val="20"/>
                <w:color w:val="auto"/>
              </w:rPr>
            </w:pPr>
            <w:r>
              <w:rPr>
                <w:rFonts w:ascii="Arial" w:cs="Arial" w:eastAsia="Arial" w:hAnsi="Arial"/>
                <w:sz w:val="13"/>
                <w:szCs w:val="13"/>
                <w:color w:val="auto"/>
              </w:rPr>
              <w:t>comprehensive income (loss)</w:t>
            </w:r>
          </w:p>
        </w:tc>
        <w:tc>
          <w:tcPr>
            <w:tcW w:w="112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700" w:type="dxa"/>
            <w:vAlign w:val="bottom"/>
          </w:tcPr>
          <w:p>
            <w:pPr>
              <w:ind w:left="20"/>
              <w:spacing w:after="0" w:line="127" w:lineRule="exact"/>
              <w:rPr>
                <w:sz w:val="20"/>
                <w:szCs w:val="20"/>
                <w:color w:val="auto"/>
              </w:rPr>
            </w:pPr>
            <w:r>
              <w:rPr>
                <w:rFonts w:ascii="Arial" w:cs="Arial" w:eastAsia="Arial" w:hAnsi="Arial"/>
                <w:sz w:val="13"/>
                <w:szCs w:val="13"/>
                <w:color w:val="auto"/>
              </w:rPr>
              <w:t>Net current-period other comprehensive</w:t>
            </w:r>
          </w:p>
        </w:tc>
        <w:tc>
          <w:tcPr>
            <w:tcW w:w="1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w w:val="92"/>
              </w:rPr>
              <w:t>(118)</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(120)</w:t>
            </w:r>
          </w:p>
        </w:tc>
        <w:tc>
          <w:tcPr>
            <w:tcW w:w="0" w:type="dxa"/>
            <w:vAlign w:val="bottom"/>
          </w:tcPr>
          <w:p>
            <w:pPr>
              <w:spacing w:after="0"/>
              <w:rPr>
                <w:sz w:val="1"/>
                <w:szCs w:val="1"/>
                <w:color w:val="auto"/>
              </w:rPr>
            </w:pPr>
          </w:p>
        </w:tc>
      </w:tr>
      <w:tr>
        <w:trPr>
          <w:trHeight w:val="178"/>
        </w:trPr>
        <w:tc>
          <w:tcPr>
            <w:tcW w:w="270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1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3"/>
                <w:szCs w:val="13"/>
                <w:color w:val="auto"/>
              </w:rPr>
              <w:t>Balance, September 30, 2015</w:t>
            </w:r>
          </w:p>
        </w:tc>
        <w:tc>
          <w:tcPr>
            <w:tcW w:w="1120" w:type="dxa"/>
            <w:vAlign w:val="bottom"/>
          </w:tcPr>
          <w:p>
            <w:pPr>
              <w:jc w:val="right"/>
              <w:ind w:right="957"/>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(67)</w:t>
            </w:r>
          </w:p>
        </w:tc>
        <w:tc>
          <w:tcPr>
            <w:tcW w:w="120" w:type="dxa"/>
            <w:vAlign w:val="bottom"/>
          </w:tcPr>
          <w:p>
            <w:pPr>
              <w:spacing w:after="0"/>
              <w:rPr>
                <w:sz w:val="21"/>
                <w:szCs w:val="21"/>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2700" w:type="dxa"/>
            <w:vAlign w:val="bottom"/>
          </w:tcPr>
          <w:p>
            <w:pPr>
              <w:ind w:left="20"/>
              <w:spacing w:after="0"/>
              <w:rPr>
                <w:sz w:val="20"/>
                <w:szCs w:val="20"/>
                <w:color w:val="auto"/>
              </w:rPr>
            </w:pPr>
            <w:r>
              <w:rPr>
                <w:rFonts w:ascii="Arial" w:cs="Arial" w:eastAsia="Arial" w:hAnsi="Arial"/>
                <w:sz w:val="13"/>
                <w:szCs w:val="13"/>
                <w:color w:val="auto"/>
              </w:rPr>
              <w:t>Balance, January 1, 2014</w:t>
            </w:r>
          </w:p>
        </w:tc>
        <w:tc>
          <w:tcPr>
            <w:tcW w:w="1120" w:type="dxa"/>
            <w:vAlign w:val="bottom"/>
            <w:tcBorders>
              <w:bottom w:val="single" w:sz="8" w:color="auto"/>
            </w:tcBorders>
          </w:tcPr>
          <w:p>
            <w:pPr>
              <w:jc w:val="right"/>
              <w:ind w:right="9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166</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117</w:t>
            </w:r>
          </w:p>
        </w:tc>
        <w:tc>
          <w:tcPr>
            <w:tcW w:w="0" w:type="dxa"/>
            <w:vAlign w:val="bottom"/>
          </w:tcPr>
          <w:p>
            <w:pPr>
              <w:spacing w:after="0"/>
              <w:rPr>
                <w:sz w:val="1"/>
                <w:szCs w:val="1"/>
                <w:color w:val="auto"/>
              </w:rPr>
            </w:pPr>
          </w:p>
        </w:tc>
      </w:tr>
      <w:tr>
        <w:trPr>
          <w:trHeight w:val="127"/>
        </w:trPr>
        <w:tc>
          <w:tcPr>
            <w:tcW w:w="2700" w:type="dxa"/>
            <w:vAlign w:val="bottom"/>
          </w:tcPr>
          <w:p>
            <w:pPr>
              <w:ind w:left="140"/>
              <w:spacing w:after="0" w:line="127" w:lineRule="exact"/>
              <w:rPr>
                <w:sz w:val="20"/>
                <w:szCs w:val="20"/>
                <w:color w:val="auto"/>
              </w:rPr>
            </w:pPr>
            <w:r>
              <w:rPr>
                <w:rFonts w:ascii="Arial" w:cs="Arial" w:eastAsia="Arial" w:hAnsi="Arial"/>
                <w:sz w:val="13"/>
                <w:szCs w:val="13"/>
                <w:color w:val="auto"/>
              </w:rPr>
              <w:t>Other comprehensive income (loss) before</w:t>
            </w:r>
          </w:p>
        </w:tc>
        <w:tc>
          <w:tcPr>
            <w:tcW w:w="1120" w:type="dxa"/>
            <w:vAlign w:val="bottom"/>
          </w:tcPr>
          <w:p>
            <w:pPr>
              <w:spacing w:after="0"/>
              <w:rPr>
                <w:sz w:val="11"/>
                <w:szCs w:val="11"/>
                <w:color w:val="auto"/>
              </w:rPr>
            </w:pP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vMerge w:val="restart"/>
          </w:tcPr>
          <w:p>
            <w:pPr>
              <w:jc w:val="right"/>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restart"/>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1260" w:type="dxa"/>
            <w:vAlign w:val="bottom"/>
            <w:vMerge w:val="restart"/>
          </w:tcPr>
          <w:p>
            <w:pPr>
              <w:jc w:val="right"/>
              <w:spacing w:after="0"/>
              <w:rPr>
                <w:sz w:val="20"/>
                <w:szCs w:val="20"/>
                <w:color w:val="auto"/>
              </w:rPr>
            </w:pPr>
            <w:r>
              <w:rPr>
                <w:rFonts w:ascii="Arial" w:cs="Arial" w:eastAsia="Arial" w:hAnsi="Arial"/>
                <w:sz w:val="13"/>
                <w:szCs w:val="13"/>
                <w:color w:val="auto"/>
              </w:rPr>
              <w:t>(73)</w:t>
            </w:r>
          </w:p>
        </w:tc>
        <w:tc>
          <w:tcPr>
            <w:tcW w:w="0" w:type="dxa"/>
            <w:vAlign w:val="bottom"/>
          </w:tcPr>
          <w:p>
            <w:pPr>
              <w:spacing w:after="0"/>
              <w:rPr>
                <w:sz w:val="1"/>
                <w:szCs w:val="1"/>
                <w:color w:val="auto"/>
              </w:rPr>
            </w:pPr>
          </w:p>
        </w:tc>
      </w:tr>
      <w:tr>
        <w:trPr>
          <w:trHeight w:val="170"/>
        </w:trPr>
        <w:tc>
          <w:tcPr>
            <w:tcW w:w="2700" w:type="dxa"/>
            <w:vAlign w:val="bottom"/>
          </w:tcPr>
          <w:p>
            <w:pPr>
              <w:ind w:left="300"/>
              <w:spacing w:after="0"/>
              <w:rPr>
                <w:sz w:val="20"/>
                <w:szCs w:val="20"/>
                <w:color w:val="auto"/>
              </w:rPr>
            </w:pPr>
            <w:r>
              <w:rPr>
                <w:rFonts w:ascii="Arial" w:cs="Arial" w:eastAsia="Arial" w:hAnsi="Arial"/>
                <w:sz w:val="13"/>
                <w:szCs w:val="13"/>
                <w:color w:val="auto"/>
              </w:rPr>
              <w:t>reclassifications</w:t>
            </w:r>
          </w:p>
        </w:tc>
        <w:tc>
          <w:tcPr>
            <w:tcW w:w="11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700" w:type="dxa"/>
            <w:vAlign w:val="bottom"/>
          </w:tcPr>
          <w:p>
            <w:pPr>
              <w:ind w:left="140"/>
              <w:spacing w:after="0"/>
              <w:rPr>
                <w:sz w:val="20"/>
                <w:szCs w:val="20"/>
                <w:color w:val="auto"/>
              </w:rPr>
            </w:pPr>
            <w:r>
              <w:rPr>
                <w:rFonts w:ascii="Arial" w:cs="Arial" w:eastAsia="Arial" w:hAnsi="Arial"/>
                <w:sz w:val="13"/>
                <w:szCs w:val="13"/>
                <w:color w:val="auto"/>
                <w:w w:val="97"/>
              </w:rPr>
              <w:t>Amounts reclassified from accumulated other</w:t>
            </w:r>
          </w:p>
        </w:tc>
        <w:tc>
          <w:tcPr>
            <w:tcW w:w="1120" w:type="dxa"/>
            <w:vAlign w:val="bottom"/>
          </w:tcPr>
          <w:p>
            <w:pPr>
              <w:spacing w:after="0"/>
              <w:rPr>
                <w:sz w:val="13"/>
                <w:szCs w:val="13"/>
                <w:color w:val="auto"/>
              </w:rPr>
            </w:pPr>
          </w:p>
        </w:tc>
        <w:tc>
          <w:tcPr>
            <w:tcW w:w="46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240" w:type="dxa"/>
            <w:vAlign w:val="bottom"/>
            <w:vMerge w:val="restart"/>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20" w:type="dxa"/>
            <w:vAlign w:val="bottom"/>
            <w:vMerge w:val="restart"/>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vMerge w:val="restart"/>
          </w:tcPr>
          <w:p>
            <w:pPr>
              <w:jc w:val="right"/>
              <w:ind w:right="17"/>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78"/>
        </w:trPr>
        <w:tc>
          <w:tcPr>
            <w:tcW w:w="2700" w:type="dxa"/>
            <w:vAlign w:val="bottom"/>
          </w:tcPr>
          <w:p>
            <w:pPr>
              <w:ind w:left="300"/>
              <w:spacing w:after="0"/>
              <w:rPr>
                <w:sz w:val="20"/>
                <w:szCs w:val="20"/>
                <w:color w:val="auto"/>
              </w:rPr>
            </w:pPr>
            <w:r>
              <w:rPr>
                <w:rFonts w:ascii="Arial" w:cs="Arial" w:eastAsia="Arial" w:hAnsi="Arial"/>
                <w:sz w:val="13"/>
                <w:szCs w:val="13"/>
                <w:color w:val="auto"/>
              </w:rPr>
              <w:t>comprehensive income (loss)</w:t>
            </w:r>
          </w:p>
        </w:tc>
        <w:tc>
          <w:tcPr>
            <w:tcW w:w="1120" w:type="dxa"/>
            <w:vAlign w:val="bottom"/>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700" w:type="dxa"/>
            <w:vAlign w:val="bottom"/>
          </w:tcPr>
          <w:p>
            <w:pPr>
              <w:ind w:left="20"/>
              <w:spacing w:after="0" w:line="127" w:lineRule="exact"/>
              <w:rPr>
                <w:sz w:val="20"/>
                <w:szCs w:val="20"/>
                <w:color w:val="auto"/>
              </w:rPr>
            </w:pPr>
            <w:r>
              <w:rPr>
                <w:rFonts w:ascii="Arial" w:cs="Arial" w:eastAsia="Arial" w:hAnsi="Arial"/>
                <w:sz w:val="13"/>
                <w:szCs w:val="13"/>
                <w:color w:val="auto"/>
              </w:rPr>
              <w:t>Net current-period other comprehensive</w:t>
            </w:r>
          </w:p>
        </w:tc>
        <w:tc>
          <w:tcPr>
            <w:tcW w:w="11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vMerge w:val="restart"/>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(68)</w:t>
            </w:r>
          </w:p>
        </w:tc>
        <w:tc>
          <w:tcPr>
            <w:tcW w:w="0" w:type="dxa"/>
            <w:vAlign w:val="bottom"/>
          </w:tcPr>
          <w:p>
            <w:pPr>
              <w:spacing w:after="0"/>
              <w:rPr>
                <w:sz w:val="1"/>
                <w:szCs w:val="1"/>
                <w:color w:val="auto"/>
              </w:rPr>
            </w:pPr>
          </w:p>
        </w:tc>
      </w:tr>
      <w:tr>
        <w:trPr>
          <w:trHeight w:val="178"/>
        </w:trPr>
        <w:tc>
          <w:tcPr>
            <w:tcW w:w="270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1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Arial" w:cs="Arial" w:eastAsia="Arial" w:hAnsi="Arial"/>
                <w:sz w:val="13"/>
                <w:szCs w:val="13"/>
                <w:color w:val="auto"/>
              </w:rPr>
              <w:t>Balance, September 30, 2014</w:t>
            </w:r>
          </w:p>
        </w:tc>
        <w:tc>
          <w:tcPr>
            <w:tcW w:w="1120" w:type="dxa"/>
            <w:vAlign w:val="bottom"/>
            <w:tcBorders>
              <w:bottom w:val="single" w:sz="8" w:color="auto"/>
            </w:tcBorders>
          </w:tcPr>
          <w:p>
            <w:pPr>
              <w:jc w:val="right"/>
              <w:ind w:right="95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95</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49</w:t>
            </w: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70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spacing w:after="0" w:line="239"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a $60 million gain, net of tax, as of September 30, 2015 related to the Company’s hedge of its net investment in Euro-denominated foreign operations (see Note 14 - Financial Instruments).</w:t>
      </w:r>
    </w:p>
    <w:p>
      <w:pPr>
        <w:spacing w:after="0" w:line="1" w:lineRule="exact"/>
        <w:rPr>
          <w:sz w:val="20"/>
          <w:szCs w:val="20"/>
          <w:color w:val="auto"/>
        </w:rPr>
      </w:pPr>
    </w:p>
    <w:p>
      <w:pPr>
        <w:ind w:left="820" w:hanging="326"/>
        <w:spacing w:after="0" w:line="231" w:lineRule="auto"/>
        <w:tabs>
          <w:tab w:leader="none" w:pos="82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For the three and nine months ended September 30, 2015, amounts reclassified from accumulated other comprehensive income (loss) into corporate interest expense were $2 million ($1 million, net of tax) and $5 million ($3 million, net of tax), respectively. During the three months ended September 30, 2015, amounts reclassified from accumulated other comprehensive income (loss) into vehicle interest expense were immaterial and during the nine months ended September 30, 2015, amounts reclassified from accumulated other comprehensive income (loss) into vehicle interest expense were $1 million ($1 million, net of tax), respectively. For the three and nine months ended September 30, 2014, amounts reclassified from accumulated other comprehensive income (loss) into corporate interest expense were $2 million ($1 million, net of tax) and $6 million ($4 million, net of tax), respectively.</w:t>
      </w:r>
    </w:p>
    <w:p>
      <w:pPr>
        <w:spacing w:after="0" w:line="3" w:lineRule="exact"/>
        <w:rPr>
          <w:rFonts w:ascii="Arial" w:cs="Arial" w:eastAsia="Arial" w:hAnsi="Arial"/>
          <w:sz w:val="18"/>
          <w:szCs w:val="18"/>
          <w:color w:val="auto"/>
          <w:vertAlign w:val="superscript"/>
        </w:rPr>
      </w:pPr>
    </w:p>
    <w:p>
      <w:pPr>
        <w:ind w:left="820" w:right="20" w:hanging="326"/>
        <w:spacing w:after="0" w:line="227" w:lineRule="auto"/>
        <w:tabs>
          <w:tab w:leader="none" w:pos="82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For the three and nine months ended September 30, 2015, amounts reclassified from accumulated other comprehensive income (loss) into selling, general and administrative expenses were $3 million ($2 million, net of tax) and $5 million ($3 million, net of tax), respectively. For the three and nine months ended September 30, 2014, amounts reclassified from accumulated other comprehensive income (loss) were not material.</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08"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7" w:lineRule="exact"/>
        <w:rPr>
          <w:rFonts w:ascii="Arial" w:cs="Arial" w:eastAsia="Arial" w:hAnsi="Arial"/>
          <w:sz w:val="18"/>
          <w:szCs w:val="18"/>
          <w:b w:val="1"/>
          <w:bCs w:val="1"/>
          <w:color w:val="auto"/>
        </w:rPr>
      </w:pPr>
    </w:p>
    <w:p>
      <w:pPr>
        <w:ind w:left="500" w:right="6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The Company recorded stock-based compensation expense of $8 million and $7 million ($5 million and $4 million, net of tax) during the three months ended September 30, 2015 and 2014, respectively, and $19 million and $23 million ($12 million and $14 million, net of tax) during the nine months ended September 30, 2015 and 2014, respectively. In jurisdictions with net operating loss carryforwards, exercises and/or vestings of stock-based awards have generated $49 million of total tax deductions at September 30, 2015. Approximately $19 million of tax benefits will be recorded in additional paid-in capital when these tax deductions are realized in these jurisdictions.</w:t>
      </w:r>
    </w:p>
    <w:p>
      <w:pPr>
        <w:spacing w:after="0" w:line="177" w:lineRule="exact"/>
        <w:rPr>
          <w:rFonts w:ascii="Arial" w:cs="Arial" w:eastAsia="Arial" w:hAnsi="Arial"/>
          <w:sz w:val="18"/>
          <w:szCs w:val="18"/>
          <w:b w:val="1"/>
          <w:bCs w:val="1"/>
          <w:color w:val="auto"/>
        </w:rPr>
      </w:pPr>
    </w:p>
    <w:p>
      <w:pPr>
        <w:ind w:left="500" w:right="380"/>
        <w:spacing w:after="0" w:line="292" w:lineRule="auto"/>
        <w:rPr>
          <w:rFonts w:ascii="Arial" w:cs="Arial" w:eastAsia="Arial" w:hAnsi="Arial"/>
          <w:sz w:val="18"/>
          <w:szCs w:val="18"/>
          <w:b w:val="1"/>
          <w:bCs w:val="1"/>
          <w:color w:val="auto"/>
        </w:rPr>
      </w:pPr>
      <w:r>
        <w:rPr>
          <w:rFonts w:ascii="Arial" w:cs="Arial" w:eastAsia="Arial" w:hAnsi="Arial"/>
          <w:sz w:val="18"/>
          <w:szCs w:val="18"/>
          <w:color w:val="auto"/>
        </w:rPr>
        <w:t>The weighted average assumptions used in the Monte Carlo simulation model to calculate the fair value of the Company’s stock unit awards containing a market condition are as follows:</w:t>
      </w:r>
    </w:p>
    <w:p>
      <w:pPr>
        <w:spacing w:after="0" w:line="93" w:lineRule="exact"/>
        <w:rPr>
          <w:sz w:val="20"/>
          <w:szCs w:val="20"/>
          <w:color w:val="auto"/>
        </w:rPr>
      </w:pPr>
    </w:p>
    <w:p>
      <w:pPr>
        <w:ind w:left="8280"/>
        <w:spacing w:after="0"/>
        <w:rPr>
          <w:sz w:val="20"/>
          <w:szCs w:val="20"/>
          <w:color w:val="auto"/>
        </w:rPr>
      </w:pPr>
      <w:r>
        <w:rPr>
          <w:rFonts w:ascii="Arial" w:cs="Arial" w:eastAsia="Arial" w:hAnsi="Arial"/>
          <w:sz w:val="16"/>
          <w:szCs w:val="16"/>
          <w:b w:val="1"/>
          <w:bCs w:val="1"/>
          <w:color w:val="auto"/>
        </w:rPr>
        <w:t>Nine Months Ended</w:t>
      </w:r>
    </w:p>
    <w:p>
      <w:pPr>
        <w:spacing w:after="0" w:line="27" w:lineRule="exact"/>
        <w:rPr>
          <w:sz w:val="20"/>
          <w:szCs w:val="20"/>
          <w:color w:val="auto"/>
        </w:rPr>
      </w:pPr>
    </w:p>
    <w:tbl>
      <w:tblPr>
        <w:tblLayout w:type="fixed"/>
        <w:tblInd w:w="520" w:type="dxa"/>
        <w:tblCellMar>
          <w:top w:w="0" w:type="dxa"/>
          <w:left w:w="0" w:type="dxa"/>
          <w:bottom w:w="0" w:type="dxa"/>
          <w:right w:w="0" w:type="dxa"/>
        </w:tblCellMar>
      </w:tblPr>
      <w:tr>
        <w:trPr>
          <w:trHeight w:val="214"/>
        </w:trPr>
        <w:tc>
          <w:tcPr>
            <w:tcW w:w="684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September 30,</w:t>
            </w:r>
          </w:p>
        </w:tc>
      </w:tr>
      <w:tr>
        <w:trPr>
          <w:trHeight w:val="260"/>
        </w:trPr>
        <w:tc>
          <w:tcPr>
            <w:tcW w:w="6840" w:type="dxa"/>
            <w:vAlign w:val="bottom"/>
          </w:tcPr>
          <w:p>
            <w:pPr>
              <w:spacing w:after="0"/>
              <w:rPr>
                <w:sz w:val="22"/>
                <w:szCs w:val="22"/>
                <w:color w:val="auto"/>
              </w:rPr>
            </w:pPr>
          </w:p>
        </w:tc>
        <w:tc>
          <w:tcPr>
            <w:tcW w:w="1120" w:type="dxa"/>
            <w:vAlign w:val="bottom"/>
            <w:tcBorders>
              <w:bottom w:val="single" w:sz="8" w:color="auto"/>
            </w:tcBorders>
          </w:tcPr>
          <w:p>
            <w:pPr>
              <w:jc w:val="center"/>
              <w:ind w:left="439"/>
              <w:spacing w:after="0"/>
              <w:rPr>
                <w:sz w:val="20"/>
                <w:szCs w:val="20"/>
                <w:color w:val="auto"/>
              </w:rPr>
            </w:pPr>
            <w:r>
              <w:rPr>
                <w:rFonts w:ascii="Arial" w:cs="Arial" w:eastAsia="Arial" w:hAnsi="Arial"/>
                <w:sz w:val="16"/>
                <w:szCs w:val="16"/>
                <w:b w:val="1"/>
                <w:bCs w:val="1"/>
                <w:color w:val="auto"/>
              </w:rPr>
              <w:t>2015</w:t>
            </w: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2014</w:t>
            </w:r>
          </w:p>
        </w:tc>
      </w:tr>
      <w:tr>
        <w:trPr>
          <w:trHeight w:val="238"/>
        </w:trPr>
        <w:tc>
          <w:tcPr>
            <w:tcW w:w="6840" w:type="dxa"/>
            <w:vAlign w:val="bottom"/>
          </w:tcPr>
          <w:p>
            <w:pPr>
              <w:spacing w:after="0"/>
              <w:rPr>
                <w:sz w:val="20"/>
                <w:szCs w:val="20"/>
                <w:color w:val="auto"/>
              </w:rPr>
            </w:pPr>
            <w:r>
              <w:rPr>
                <w:rFonts w:ascii="Arial" w:cs="Arial" w:eastAsia="Arial" w:hAnsi="Arial"/>
                <w:sz w:val="16"/>
                <w:szCs w:val="16"/>
                <w:color w:val="auto"/>
              </w:rPr>
              <w:t>Expected volatility of stock price</w:t>
            </w:r>
          </w:p>
        </w:tc>
        <w:tc>
          <w:tcPr>
            <w:tcW w:w="1120" w:type="dxa"/>
            <w:vAlign w:val="bottom"/>
          </w:tcPr>
          <w:p>
            <w:pPr>
              <w:jc w:val="center"/>
              <w:ind w:left="439"/>
              <w:spacing w:after="0"/>
              <w:rPr>
                <w:sz w:val="20"/>
                <w:szCs w:val="20"/>
                <w:color w:val="auto"/>
              </w:rPr>
            </w:pPr>
            <w:r>
              <w:rPr>
                <w:rFonts w:ascii="Arial" w:cs="Arial" w:eastAsia="Arial" w:hAnsi="Arial"/>
                <w:sz w:val="16"/>
                <w:szCs w:val="16"/>
                <w:color w:val="auto"/>
                <w:w w:val="99"/>
              </w:rPr>
              <w:t>37%</w:t>
            </w:r>
          </w:p>
        </w:tc>
        <w:tc>
          <w:tcPr>
            <w:tcW w:w="2260" w:type="dxa"/>
            <w:vAlign w:val="bottom"/>
            <w:gridSpan w:val="3"/>
          </w:tcPr>
          <w:p>
            <w:pPr>
              <w:jc w:val="center"/>
              <w:ind w:left="539"/>
              <w:spacing w:after="0"/>
              <w:rPr>
                <w:sz w:val="20"/>
                <w:szCs w:val="20"/>
                <w:color w:val="auto"/>
              </w:rPr>
            </w:pPr>
            <w:r>
              <w:rPr>
                <w:rFonts w:ascii="Arial" w:cs="Arial" w:eastAsia="Arial" w:hAnsi="Arial"/>
                <w:sz w:val="16"/>
                <w:szCs w:val="16"/>
                <w:color w:val="auto"/>
                <w:w w:val="99"/>
              </w:rPr>
              <w:t>40%</w:t>
            </w:r>
          </w:p>
        </w:tc>
      </w:tr>
      <w:tr>
        <w:trPr>
          <w:trHeight w:val="270"/>
        </w:trPr>
        <w:tc>
          <w:tcPr>
            <w:tcW w:w="6840" w:type="dxa"/>
            <w:vAlign w:val="bottom"/>
          </w:tcPr>
          <w:p>
            <w:pPr>
              <w:spacing w:after="0"/>
              <w:rPr>
                <w:sz w:val="20"/>
                <w:szCs w:val="20"/>
                <w:color w:val="auto"/>
              </w:rPr>
            </w:pPr>
            <w:r>
              <w:rPr>
                <w:rFonts w:ascii="Arial" w:cs="Arial" w:eastAsia="Arial" w:hAnsi="Arial"/>
                <w:sz w:val="16"/>
                <w:szCs w:val="16"/>
                <w:color w:val="auto"/>
              </w:rPr>
              <w:t>Risk-free interest rate</w:t>
            </w:r>
          </w:p>
        </w:tc>
        <w:tc>
          <w:tcPr>
            <w:tcW w:w="1120" w:type="dxa"/>
            <w:vAlign w:val="bottom"/>
          </w:tcPr>
          <w:p>
            <w:pPr>
              <w:jc w:val="center"/>
              <w:ind w:left="459"/>
              <w:spacing w:after="0"/>
              <w:rPr>
                <w:sz w:val="20"/>
                <w:szCs w:val="20"/>
                <w:color w:val="auto"/>
              </w:rPr>
            </w:pPr>
            <w:r>
              <w:rPr>
                <w:rFonts w:ascii="Arial" w:cs="Arial" w:eastAsia="Arial" w:hAnsi="Arial"/>
                <w:sz w:val="16"/>
                <w:szCs w:val="16"/>
                <w:color w:val="auto"/>
              </w:rPr>
              <w:t>0.74%</w:t>
            </w:r>
          </w:p>
        </w:tc>
        <w:tc>
          <w:tcPr>
            <w:tcW w:w="2260" w:type="dxa"/>
            <w:vAlign w:val="bottom"/>
            <w:gridSpan w:val="3"/>
          </w:tcPr>
          <w:p>
            <w:pPr>
              <w:jc w:val="center"/>
              <w:ind w:left="559"/>
              <w:spacing w:after="0"/>
              <w:rPr>
                <w:sz w:val="20"/>
                <w:szCs w:val="20"/>
                <w:color w:val="auto"/>
              </w:rPr>
            </w:pPr>
            <w:r>
              <w:rPr>
                <w:rFonts w:ascii="Arial" w:cs="Arial" w:eastAsia="Arial" w:hAnsi="Arial"/>
                <w:sz w:val="16"/>
                <w:szCs w:val="16"/>
                <w:color w:val="auto"/>
              </w:rPr>
              <w:t>0.83%</w:t>
            </w:r>
          </w:p>
        </w:tc>
      </w:tr>
      <w:tr>
        <w:trPr>
          <w:trHeight w:val="270"/>
        </w:trPr>
        <w:tc>
          <w:tcPr>
            <w:tcW w:w="6840" w:type="dxa"/>
            <w:vAlign w:val="bottom"/>
          </w:tcPr>
          <w:p>
            <w:pPr>
              <w:spacing w:after="0"/>
              <w:rPr>
                <w:sz w:val="20"/>
                <w:szCs w:val="20"/>
                <w:color w:val="auto"/>
              </w:rPr>
            </w:pPr>
            <w:r>
              <w:rPr>
                <w:rFonts w:ascii="Arial" w:cs="Arial" w:eastAsia="Arial" w:hAnsi="Arial"/>
                <w:sz w:val="16"/>
                <w:szCs w:val="16"/>
                <w:color w:val="auto"/>
              </w:rPr>
              <w:t>Expected term of awards</w:t>
            </w:r>
          </w:p>
        </w:tc>
        <w:tc>
          <w:tcPr>
            <w:tcW w:w="1120" w:type="dxa"/>
            <w:vAlign w:val="bottom"/>
          </w:tcPr>
          <w:p>
            <w:pPr>
              <w:ind w:left="560"/>
              <w:spacing w:after="0"/>
              <w:rPr>
                <w:sz w:val="20"/>
                <w:szCs w:val="20"/>
                <w:color w:val="auto"/>
              </w:rPr>
            </w:pPr>
            <w:r>
              <w:rPr>
                <w:rFonts w:ascii="Arial" w:cs="Arial" w:eastAsia="Arial" w:hAnsi="Arial"/>
                <w:sz w:val="16"/>
                <w:szCs w:val="16"/>
                <w:color w:val="auto"/>
              </w:rPr>
              <w:t>3 years</w:t>
            </w: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20" w:type="dxa"/>
            <w:vAlign w:val="bottom"/>
          </w:tcPr>
          <w:p>
            <w:pPr>
              <w:ind w:left="540"/>
              <w:spacing w:after="0"/>
              <w:rPr>
                <w:sz w:val="20"/>
                <w:szCs w:val="20"/>
                <w:color w:val="auto"/>
              </w:rPr>
            </w:pPr>
            <w:r>
              <w:rPr>
                <w:rFonts w:ascii="Arial" w:cs="Arial" w:eastAsia="Arial" w:hAnsi="Arial"/>
                <w:sz w:val="16"/>
                <w:szCs w:val="16"/>
                <w:color w:val="auto"/>
              </w:rPr>
              <w:t>3 years</w:t>
            </w:r>
          </w:p>
        </w:tc>
      </w:tr>
      <w:tr>
        <w:trPr>
          <w:trHeight w:val="270"/>
        </w:trPr>
        <w:tc>
          <w:tcPr>
            <w:tcW w:w="6840" w:type="dxa"/>
            <w:vAlign w:val="bottom"/>
          </w:tcPr>
          <w:p>
            <w:pPr>
              <w:spacing w:after="0"/>
              <w:rPr>
                <w:sz w:val="20"/>
                <w:szCs w:val="20"/>
                <w:color w:val="auto"/>
              </w:rPr>
            </w:pPr>
            <w:r>
              <w:rPr>
                <w:rFonts w:ascii="Arial" w:cs="Arial" w:eastAsia="Arial" w:hAnsi="Arial"/>
                <w:sz w:val="16"/>
                <w:szCs w:val="16"/>
                <w:color w:val="auto"/>
              </w:rPr>
              <w:t>Dividend yield</w:t>
            </w:r>
          </w:p>
        </w:tc>
        <w:tc>
          <w:tcPr>
            <w:tcW w:w="1120" w:type="dxa"/>
            <w:vAlign w:val="bottom"/>
          </w:tcPr>
          <w:p>
            <w:pPr>
              <w:jc w:val="center"/>
              <w:ind w:left="459"/>
              <w:spacing w:after="0"/>
              <w:rPr>
                <w:sz w:val="20"/>
                <w:szCs w:val="20"/>
                <w:color w:val="auto"/>
              </w:rPr>
            </w:pPr>
            <w:r>
              <w:rPr>
                <w:rFonts w:ascii="Arial" w:cs="Arial" w:eastAsia="Arial" w:hAnsi="Arial"/>
                <w:sz w:val="16"/>
                <w:szCs w:val="16"/>
                <w:color w:val="auto"/>
              </w:rPr>
              <w:t>0.0%</w:t>
            </w:r>
          </w:p>
        </w:tc>
        <w:tc>
          <w:tcPr>
            <w:tcW w:w="2260" w:type="dxa"/>
            <w:vAlign w:val="bottom"/>
            <w:gridSpan w:val="3"/>
          </w:tcPr>
          <w:p>
            <w:pPr>
              <w:jc w:val="center"/>
              <w:ind w:left="559"/>
              <w:spacing w:after="0"/>
              <w:rPr>
                <w:sz w:val="20"/>
                <w:szCs w:val="20"/>
                <w:color w:val="auto"/>
              </w:rPr>
            </w:pPr>
            <w:r>
              <w:rPr>
                <w:rFonts w:ascii="Arial" w:cs="Arial" w:eastAsia="Arial" w:hAnsi="Arial"/>
                <w:sz w:val="16"/>
                <w:szCs w:val="16"/>
                <w:color w:val="auto"/>
              </w:rPr>
              <w:t>0.0%</w:t>
            </w:r>
          </w:p>
        </w:tc>
      </w:tr>
    </w:tbl>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activity related to the Company’s restricted stock units (“RSUs”) and cash units, consisted of (in thousands of shares):</w:t>
      </w:r>
    </w:p>
    <w:p>
      <w:pPr>
        <w:spacing w:after="0" w:line="17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5"/>
          </w:tcPr>
          <w:p>
            <w:pPr>
              <w:ind w:left="160"/>
              <w:spacing w:after="0"/>
              <w:rPr>
                <w:sz w:val="20"/>
                <w:szCs w:val="20"/>
                <w:color w:val="auto"/>
              </w:rPr>
            </w:pPr>
            <w:r>
              <w:rPr>
                <w:rFonts w:ascii="Arial" w:cs="Arial" w:eastAsia="Arial" w:hAnsi="Arial"/>
                <w:sz w:val="16"/>
                <w:szCs w:val="16"/>
                <w:b w:val="1"/>
                <w:bCs w:val="1"/>
                <w:color w:val="auto"/>
              </w:rPr>
              <w:t>Performance-Based and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580" w:type="dxa"/>
            <w:vAlign w:val="bottom"/>
          </w:tcPr>
          <w:p>
            <w:pPr>
              <w:spacing w:after="0"/>
              <w:rPr>
                <w:sz w:val="20"/>
                <w:szCs w:val="20"/>
                <w:color w:val="auto"/>
              </w:rPr>
            </w:pPr>
          </w:p>
        </w:tc>
        <w:tc>
          <w:tcPr>
            <w:tcW w:w="216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Time-Based RSUs</w:t>
            </w:r>
          </w:p>
        </w:tc>
        <w:tc>
          <w:tcPr>
            <w:tcW w:w="100" w:type="dxa"/>
            <w:vAlign w:val="bottom"/>
          </w:tcPr>
          <w:p>
            <w:pPr>
              <w:spacing w:after="0"/>
              <w:rPr>
                <w:sz w:val="20"/>
                <w:szCs w:val="20"/>
                <w:color w:val="auto"/>
              </w:rPr>
            </w:pPr>
          </w:p>
        </w:tc>
        <w:tc>
          <w:tcPr>
            <w:tcW w:w="2140" w:type="dxa"/>
            <w:vAlign w:val="bottom"/>
            <w:tcBorders>
              <w:bottom w:val="single" w:sz="8" w:color="auto"/>
            </w:tcBorders>
            <w:gridSpan w:val="4"/>
          </w:tcPr>
          <w:p>
            <w:pPr>
              <w:jc w:val="right"/>
              <w:ind w:right="199"/>
              <w:spacing w:after="0"/>
              <w:rPr>
                <w:sz w:val="20"/>
                <w:szCs w:val="20"/>
                <w:color w:val="auto"/>
              </w:rPr>
            </w:pPr>
            <w:r>
              <w:rPr>
                <w:rFonts w:ascii="Arial" w:cs="Arial" w:eastAsia="Arial" w:hAnsi="Arial"/>
                <w:sz w:val="16"/>
                <w:szCs w:val="16"/>
                <w:b w:val="1"/>
                <w:bCs w:val="1"/>
                <w:color w:val="auto"/>
              </w:rPr>
              <w:t>Market-Based RSUs</w:t>
            </w:r>
          </w:p>
        </w:tc>
        <w:tc>
          <w:tcPr>
            <w:tcW w:w="120" w:type="dxa"/>
            <w:vAlign w:val="bottom"/>
          </w:tcPr>
          <w:p>
            <w:pPr>
              <w:spacing w:after="0"/>
              <w:rPr>
                <w:sz w:val="20"/>
                <w:szCs w:val="20"/>
                <w:color w:val="auto"/>
              </w:rPr>
            </w:pPr>
          </w:p>
        </w:tc>
        <w:tc>
          <w:tcPr>
            <w:tcW w:w="2140" w:type="dxa"/>
            <w:vAlign w:val="bottom"/>
            <w:tcBorders>
              <w:bottom w:val="single" w:sz="8" w:color="auto"/>
            </w:tcBorders>
            <w:gridSpan w:val="4"/>
          </w:tcPr>
          <w:p>
            <w:pPr>
              <w:jc w:val="right"/>
              <w:ind w:right="279"/>
              <w:spacing w:after="0"/>
              <w:rPr>
                <w:sz w:val="20"/>
                <w:szCs w:val="20"/>
                <w:color w:val="auto"/>
              </w:rPr>
            </w:pPr>
            <w:r>
              <w:rPr>
                <w:rFonts w:ascii="Arial" w:cs="Arial" w:eastAsia="Arial" w:hAnsi="Arial"/>
                <w:sz w:val="16"/>
                <w:szCs w:val="16"/>
                <w:b w:val="1"/>
                <w:bCs w:val="1"/>
                <w:color w:val="auto"/>
              </w:rPr>
              <w:t>Cash Unit Awards</w:t>
            </w:r>
          </w:p>
        </w:tc>
        <w:tc>
          <w:tcPr>
            <w:tcW w:w="0" w:type="dxa"/>
            <w:vAlign w:val="bottom"/>
          </w:tcPr>
          <w:p>
            <w:pPr>
              <w:spacing w:after="0"/>
              <w:rPr>
                <w:sz w:val="1"/>
                <w:szCs w:val="1"/>
                <w:color w:val="auto"/>
              </w:rPr>
            </w:pPr>
          </w:p>
        </w:tc>
      </w:tr>
      <w:tr>
        <w:trPr>
          <w:trHeight w:val="193"/>
        </w:trPr>
        <w:tc>
          <w:tcPr>
            <w:tcW w:w="3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Weighted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Weighted</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Average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Average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89"/>
        </w:trPr>
        <w:tc>
          <w:tcPr>
            <w:tcW w:w="3580" w:type="dxa"/>
            <w:vAlign w:val="bottom"/>
          </w:tcPr>
          <w:p>
            <w:pPr>
              <w:spacing w:after="0"/>
              <w:rPr>
                <w:sz w:val="16"/>
                <w:szCs w:val="16"/>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Grant Date</w:t>
            </w:r>
          </w:p>
        </w:tc>
        <w:tc>
          <w:tcPr>
            <w:tcW w:w="1020" w:type="dxa"/>
            <w:vAlign w:val="bottom"/>
          </w:tcPr>
          <w:p>
            <w:pPr>
              <w:jc w:val="right"/>
              <w:ind w:right="1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Grant Date</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6"/>
                <w:szCs w:val="16"/>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32"/>
        </w:trPr>
        <w:tc>
          <w:tcPr>
            <w:tcW w:w="3580" w:type="dxa"/>
            <w:vAlign w:val="bottom"/>
          </w:tcPr>
          <w:p>
            <w:pPr>
              <w:spacing w:after="0"/>
              <w:rPr>
                <w:sz w:val="20"/>
                <w:szCs w:val="20"/>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Fair Value</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9"/>
              </w:rPr>
              <w:t>Fair Value</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Units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90"/>
        </w:trPr>
        <w:tc>
          <w:tcPr>
            <w:tcW w:w="3580" w:type="dxa"/>
            <w:vAlign w:val="bottom"/>
          </w:tcPr>
          <w:p>
            <w:pPr>
              <w:ind w:left="20"/>
              <w:spacing w:after="0"/>
              <w:rPr>
                <w:sz w:val="20"/>
                <w:szCs w:val="20"/>
                <w:color w:val="auto"/>
              </w:rPr>
            </w:pPr>
            <w:r>
              <w:rPr>
                <w:rFonts w:ascii="Arial" w:cs="Arial" w:eastAsia="Arial" w:hAnsi="Arial"/>
                <w:sz w:val="16"/>
                <w:szCs w:val="16"/>
                <w:color w:val="auto"/>
              </w:rPr>
              <w:t xml:space="preserve">Outstanding at January 1, 2015 </w:t>
            </w:r>
            <w:r>
              <w:rPr>
                <w:rFonts w:ascii="Arial" w:cs="Arial" w:eastAsia="Arial" w:hAnsi="Arial"/>
                <w:sz w:val="21"/>
                <w:szCs w:val="21"/>
                <w:color w:val="auto"/>
                <w:vertAlign w:val="superscript"/>
              </w:rPr>
              <w:t>(a)</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998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27.26</w:t>
            </w:r>
          </w:p>
        </w:tc>
        <w:tc>
          <w:tcPr>
            <w:tcW w:w="10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1,884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19.17</w:t>
            </w:r>
          </w:p>
        </w:tc>
        <w:tc>
          <w:tcPr>
            <w:tcW w:w="120" w:type="dxa"/>
            <w:vAlign w:val="bottom"/>
          </w:tcPr>
          <w:p>
            <w:pPr>
              <w:spacing w:after="0"/>
              <w:rPr>
                <w:sz w:val="24"/>
                <w:szCs w:val="24"/>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219"/>
        </w:trPr>
        <w:tc>
          <w:tcPr>
            <w:tcW w:w="3580" w:type="dxa"/>
            <w:vAlign w:val="bottom"/>
          </w:tcPr>
          <w:p>
            <w:pPr>
              <w:ind w:left="340"/>
              <w:spacing w:after="0"/>
              <w:rPr>
                <w:sz w:val="20"/>
                <w:szCs w:val="20"/>
                <w:color w:val="auto"/>
              </w:rPr>
            </w:pPr>
            <w:r>
              <w:rPr>
                <w:rFonts w:ascii="Arial" w:cs="Arial" w:eastAsia="Arial" w:hAnsi="Arial"/>
                <w:sz w:val="16"/>
                <w:szCs w:val="16"/>
                <w:color w:val="auto"/>
              </w:rPr>
              <w:t>Granted</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54.72</w:t>
            </w:r>
          </w:p>
        </w:tc>
        <w:tc>
          <w:tcPr>
            <w:tcW w:w="10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230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55.51</w:t>
            </w:r>
          </w:p>
        </w:tc>
        <w:tc>
          <w:tcPr>
            <w:tcW w:w="12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22"/>
        </w:trPr>
        <w:tc>
          <w:tcPr>
            <w:tcW w:w="3580" w:type="dxa"/>
            <w:vAlign w:val="bottom"/>
          </w:tcPr>
          <w:p>
            <w:pPr>
              <w:ind w:left="340"/>
              <w:spacing w:after="0"/>
              <w:rPr>
                <w:sz w:val="20"/>
                <w:szCs w:val="20"/>
                <w:color w:val="auto"/>
              </w:rPr>
            </w:pPr>
            <w:r>
              <w:rPr>
                <w:rFonts w:ascii="Arial" w:cs="Arial" w:eastAsia="Arial" w:hAnsi="Arial"/>
                <w:sz w:val="16"/>
                <w:szCs w:val="16"/>
                <w:color w:val="auto"/>
              </w:rPr>
              <w:t xml:space="preserve">Vested </w:t>
            </w:r>
            <w:r>
              <w:rPr>
                <w:rFonts w:ascii="Arial" w:cs="Arial" w:eastAsia="Arial" w:hAnsi="Arial"/>
                <w:sz w:val="21"/>
                <w:szCs w:val="21"/>
                <w:color w:val="auto"/>
                <w:vertAlign w:val="superscript"/>
              </w:rPr>
              <w:t>(b)</w:t>
            </w:r>
          </w:p>
        </w:tc>
        <w:tc>
          <w:tcPr>
            <w:tcW w:w="1020" w:type="dxa"/>
            <w:vAlign w:val="bottom"/>
          </w:tcPr>
          <w:p>
            <w:pPr>
              <w:jc w:val="right"/>
              <w:spacing w:after="0"/>
              <w:rPr>
                <w:sz w:val="20"/>
                <w:szCs w:val="20"/>
                <w:color w:val="auto"/>
              </w:rPr>
            </w:pPr>
            <w:r>
              <w:rPr>
                <w:rFonts w:ascii="Arial" w:cs="Arial" w:eastAsia="Arial" w:hAnsi="Arial"/>
                <w:sz w:val="16"/>
                <w:szCs w:val="16"/>
                <w:color w:val="auto"/>
              </w:rPr>
              <w:t>(538)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22.23</w:t>
            </w: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(982)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12.05</w:t>
            </w:r>
          </w:p>
        </w:tc>
        <w:tc>
          <w:tcPr>
            <w:tcW w:w="1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12.65</w:t>
            </w:r>
          </w:p>
        </w:tc>
        <w:tc>
          <w:tcPr>
            <w:tcW w:w="0" w:type="dxa"/>
            <w:vAlign w:val="bottom"/>
          </w:tcPr>
          <w:p>
            <w:pPr>
              <w:spacing w:after="0"/>
              <w:rPr>
                <w:sz w:val="1"/>
                <w:szCs w:val="1"/>
                <w:color w:val="auto"/>
              </w:rPr>
            </w:pPr>
          </w:p>
        </w:tc>
      </w:tr>
      <w:tr>
        <w:trPr>
          <w:trHeight w:val="228"/>
        </w:trPr>
        <w:tc>
          <w:tcPr>
            <w:tcW w:w="3580" w:type="dxa"/>
            <w:vAlign w:val="bottom"/>
          </w:tcPr>
          <w:p>
            <w:pPr>
              <w:ind w:left="340"/>
              <w:spacing w:after="0"/>
              <w:rPr>
                <w:sz w:val="20"/>
                <w:szCs w:val="20"/>
                <w:color w:val="auto"/>
              </w:rPr>
            </w:pPr>
            <w:r>
              <w:rPr>
                <w:rFonts w:ascii="Arial" w:cs="Arial" w:eastAsia="Arial" w:hAnsi="Arial"/>
                <w:sz w:val="16"/>
                <w:szCs w:val="16"/>
                <w:color w:val="auto"/>
              </w:rPr>
              <w:t>Forfeited/expired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41.19</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19.96</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6"/>
                <w:szCs w:val="16"/>
                <w:color w:val="auto"/>
              </w:rPr>
              <w:t xml:space="preserve">Outstanding at September 30, 2015 </w:t>
            </w:r>
            <w:r>
              <w:rPr>
                <w:rFonts w:ascii="Arial" w:cs="Arial" w:eastAsia="Arial" w:hAnsi="Arial"/>
                <w:sz w:val="21"/>
                <w:szCs w:val="21"/>
                <w:color w:val="auto"/>
                <w:vertAlign w:val="superscript"/>
              </w:rPr>
              <w:t>(c)</w:t>
            </w: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856</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43.57</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950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35.15</w:t>
            </w:r>
          </w:p>
        </w:tc>
        <w:tc>
          <w:tcPr>
            <w:tcW w:w="120" w:type="dxa"/>
            <w:vAlign w:val="bottom"/>
          </w:tcPr>
          <w:p>
            <w:pPr>
              <w:spacing w:after="0"/>
              <w:rPr>
                <w:sz w:val="21"/>
                <w:szCs w:val="21"/>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18.04</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58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right="220" w:hanging="326"/>
        <w:spacing w:after="0" w:line="222" w:lineRule="auto"/>
        <w:tabs>
          <w:tab w:leader="none" w:pos="82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Reflects the maximum number of stock units assuming achievement of all time-, performance- and market-vesting criteria and does not include those for non-employee directors. The weighted-average fair value of time-based RSUs and performance-based and market-based RSUs granted during the nine months ended September 30, 2014 was $42.05 and $42.03, respectively.</w:t>
      </w:r>
    </w:p>
    <w:p>
      <w:pPr>
        <w:spacing w:after="0" w:line="2" w:lineRule="exact"/>
        <w:rPr>
          <w:rFonts w:ascii="Arial" w:cs="Arial" w:eastAsia="Arial" w:hAnsi="Arial"/>
          <w:sz w:val="18"/>
          <w:szCs w:val="18"/>
          <w:color w:val="auto"/>
          <w:vertAlign w:val="superscript"/>
        </w:rPr>
      </w:pPr>
    </w:p>
    <w:p>
      <w:pPr>
        <w:ind w:left="820" w:right="220" w:hanging="326"/>
        <w:spacing w:after="0" w:line="211" w:lineRule="auto"/>
        <w:tabs>
          <w:tab w:leader="none" w:pos="82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The total grant date fair value of RSUs vested during the nine months ended September 30, 2015 and 2014 was $24 million and $15 million, respectively. The total grant date fair value of cash units vested during the nine months ended September 30, 2015 was $2 million.</w:t>
      </w:r>
    </w:p>
    <w:p>
      <w:pPr>
        <w:ind w:left="820" w:hanging="326"/>
        <w:spacing w:after="0"/>
        <w:tabs>
          <w:tab w:leader="none" w:pos="82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The Company’s outstanding time-based RSUs, performance-based and market-based RSUs, and cash units had aggregate intrinsic values of $37 million, $41 million and $5 million, respectively. Aggregate unrecognized compensation expense related to time-based RSUs and performance-based and market-based RSUs amounted to $31 million and will be recognized over a weighted average vesting period of 1.0 years. The Company assumes that substantially all outstanding awards will vest over time.</w:t>
      </w:r>
    </w:p>
    <w:p>
      <w:pPr>
        <w:spacing w:after="0" w:line="30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stock option activity consisted of (in thousands of shares):</w:t>
      </w:r>
    </w:p>
    <w:p>
      <w:pPr>
        <w:spacing w:after="0" w:line="174"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4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9"/>
              </w:rPr>
              <w:t>Weighted</w:t>
            </w:r>
          </w:p>
        </w:tc>
      </w:tr>
      <w:tr>
        <w:trPr>
          <w:trHeight w:val="189"/>
        </w:trPr>
        <w:tc>
          <w:tcPr>
            <w:tcW w:w="4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r>
      <w:tr>
        <w:trPr>
          <w:trHeight w:val="189"/>
        </w:trPr>
        <w:tc>
          <w:tcPr>
            <w:tcW w:w="45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Weighted</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Aggregate</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Remaining</w:t>
            </w:r>
          </w:p>
        </w:tc>
      </w:tr>
      <w:tr>
        <w:trPr>
          <w:trHeight w:val="189"/>
        </w:trPr>
        <w:tc>
          <w:tcPr>
            <w:tcW w:w="458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Intrinsic Value</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rPr>
              <w:t>Contractual</w:t>
            </w:r>
          </w:p>
        </w:tc>
      </w:tr>
      <w:tr>
        <w:trPr>
          <w:trHeight w:val="232"/>
        </w:trPr>
        <w:tc>
          <w:tcPr>
            <w:tcW w:w="4580" w:type="dxa"/>
            <w:vAlign w:val="bottom"/>
          </w:tcPr>
          <w:p>
            <w:pPr>
              <w:spacing w:after="0"/>
              <w:rPr>
                <w:sz w:val="20"/>
                <w:szCs w:val="20"/>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20"/>
                <w:szCs w:val="20"/>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Exercise Price</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(in millions)</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(years)</w:t>
            </w:r>
          </w:p>
        </w:tc>
      </w:tr>
      <w:tr>
        <w:trPr>
          <w:trHeight w:val="238"/>
        </w:trPr>
        <w:tc>
          <w:tcPr>
            <w:tcW w:w="4580" w:type="dxa"/>
            <w:vAlign w:val="bottom"/>
          </w:tcPr>
          <w:p>
            <w:pPr>
              <w:spacing w:after="0"/>
              <w:rPr>
                <w:sz w:val="20"/>
                <w:szCs w:val="20"/>
                <w:color w:val="auto"/>
              </w:rPr>
            </w:pPr>
            <w:r>
              <w:rPr>
                <w:rFonts w:ascii="Arial" w:cs="Arial" w:eastAsia="Arial" w:hAnsi="Arial"/>
                <w:sz w:val="16"/>
                <w:szCs w:val="16"/>
                <w:color w:val="auto"/>
              </w:rPr>
              <w:t>Outstanding at January 1, 2015</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848</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70"/>
        </w:trPr>
        <w:tc>
          <w:tcPr>
            <w:tcW w:w="4580" w:type="dxa"/>
            <w:vAlign w:val="bottom"/>
          </w:tcPr>
          <w:p>
            <w:pPr>
              <w:ind w:left="10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0"/>
        </w:trPr>
        <w:tc>
          <w:tcPr>
            <w:tcW w:w="4580" w:type="dxa"/>
            <w:vAlign w:val="bottom"/>
          </w:tcPr>
          <w:p>
            <w:pPr>
              <w:ind w:left="100"/>
              <w:spacing w:after="0"/>
              <w:rPr>
                <w:sz w:val="20"/>
                <w:szCs w:val="20"/>
                <w:color w:val="auto"/>
              </w:rPr>
            </w:pPr>
            <w:r>
              <w:rPr>
                <w:rFonts w:ascii="Arial" w:cs="Arial" w:eastAsia="Arial" w:hAnsi="Arial"/>
                <w:sz w:val="16"/>
                <w:szCs w:val="16"/>
                <w:color w:val="auto"/>
              </w:rPr>
              <w:t>Exercised</w:t>
            </w:r>
          </w:p>
        </w:tc>
        <w:tc>
          <w:tcPr>
            <w:tcW w:w="13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9"/>
        </w:trPr>
        <w:tc>
          <w:tcPr>
            <w:tcW w:w="4580" w:type="dxa"/>
            <w:vAlign w:val="bottom"/>
          </w:tcPr>
          <w:p>
            <w:pPr>
              <w:ind w:left="100"/>
              <w:spacing w:after="0"/>
              <w:rPr>
                <w:sz w:val="20"/>
                <w:szCs w:val="20"/>
                <w:color w:val="auto"/>
              </w:rPr>
            </w:pPr>
            <w:r>
              <w:rPr>
                <w:rFonts w:ascii="Arial" w:cs="Arial" w:eastAsia="Arial" w:hAnsi="Arial"/>
                <w:sz w:val="16"/>
                <w:szCs w:val="16"/>
                <w:color w:val="auto"/>
              </w:rPr>
              <w:t>Forfeited/expired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0.79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42"/>
        </w:trPr>
        <w:tc>
          <w:tcPr>
            <w:tcW w:w="4580" w:type="dxa"/>
            <w:vAlign w:val="bottom"/>
          </w:tcPr>
          <w:p>
            <w:pPr>
              <w:spacing w:after="0"/>
              <w:rPr>
                <w:sz w:val="20"/>
                <w:szCs w:val="20"/>
                <w:color w:val="auto"/>
              </w:rPr>
            </w:pPr>
            <w:r>
              <w:rPr>
                <w:rFonts w:ascii="Arial" w:cs="Arial" w:eastAsia="Arial" w:hAnsi="Arial"/>
                <w:sz w:val="16"/>
                <w:szCs w:val="16"/>
                <w:color w:val="auto"/>
              </w:rPr>
              <w:t>Outstanding and exercisable at September 30, 2015</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827</w:t>
            </w:r>
          </w:p>
        </w:tc>
        <w:tc>
          <w:tcPr>
            <w:tcW w:w="32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0"/>
        </w:trPr>
        <w:tc>
          <w:tcPr>
            <w:tcW w:w="45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15" w:right="279" w:bottom="1440" w:gutter="0" w:footer="0" w:header="0"/>
        </w:sect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380"/>
          </w:cols>
          <w:pgMar w:left="240" w:top="115" w:right="27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 and Hedging Activities</w:t>
      </w:r>
    </w:p>
    <w:p>
      <w:pPr>
        <w:spacing w:after="0" w:line="171" w:lineRule="exact"/>
        <w:rPr>
          <w:rFonts w:ascii="Arial" w:cs="Arial" w:eastAsia="Arial" w:hAnsi="Arial"/>
          <w:sz w:val="18"/>
          <w:szCs w:val="18"/>
          <w:b w:val="1"/>
          <w:bCs w:val="1"/>
          <w:color w:val="auto"/>
        </w:rPr>
      </w:pPr>
    </w:p>
    <w:p>
      <w:pPr>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uses currency exchange contracts to manage its exposure to changes in currency exchange rates associated with its non-U.S.-dollar denominated receivables and forecasted royalties, forecasted earnings of non-U.S. subsidiaries and forecasted non-U.S.-dollar denominated 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w:t>
      </w:r>
    </w:p>
    <w:p>
      <w:pPr>
        <w:spacing w:after="0" w:line="177" w:lineRule="exact"/>
        <w:rPr>
          <w:rFonts w:ascii="Arial" w:cs="Arial" w:eastAsia="Arial" w:hAnsi="Arial"/>
          <w:sz w:val="18"/>
          <w:szCs w:val="18"/>
          <w:b w:val="1"/>
          <w:bCs w:val="1"/>
          <w:color w:val="auto"/>
        </w:rPr>
      </w:pPr>
    </w:p>
    <w:p>
      <w:pPr>
        <w:ind w:left="500" w:right="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The Company has designated its 6% Euro-denominated notes as a hedge of its net investment in Euro-denominated foreign operations. For the three months ended September 30, 2015 and 2014, the Company recorded a $1 million loss and a $29 million gain, respectively, and for the nine months ended September 30, 2015 and 2014, the Company recorded a $25 million gain and a $31 million gain, respectively, in accumulated other comprehensive income as part of currency translation adjustments. There was no ineffectiveness related to the Company’s net investment hedge during the three and nine months ended September 30, 2015 and 2014. The Company does not expect to reclassify any amounts from accumulated other comprehensive income into earnings over the next 12 months.</w:t>
      </w:r>
    </w:p>
    <w:p>
      <w:pPr>
        <w:spacing w:after="0" w:line="163" w:lineRule="exact"/>
        <w:rPr>
          <w:rFonts w:ascii="Arial" w:cs="Arial" w:eastAsia="Arial" w:hAnsi="Arial"/>
          <w:sz w:val="18"/>
          <w:szCs w:val="18"/>
          <w:b w:val="1"/>
          <w:bCs w:val="1"/>
          <w:color w:val="auto"/>
        </w:rPr>
      </w:pPr>
    </w:p>
    <w:p>
      <w:pPr>
        <w:ind w:left="50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uses various hedging strategies including interest rate swaps and interest rate caps to create an appropriate mix of fixed and floating rate assets and liabilities. The Company uses interest rate swaps and interest rate caps to manage the risk related to its floating rate corporate debt and its floating rate vehicle-backed debt. The Company records the effective portion of changes in the fair value of its cash flow hedges to other comprehensive income, net of tax, and subsequently reclassifies these amounts into earnings in the period during which the hedged transaction is recognized. The Company records the gains or losses related to freestanding derivatives, which are not designated as a hedge for accounting purposes, in its consolidated results of operations. The changes in fair values of hedges that are determined to be ineffective are immediately reclassified from accumulated other comprehensive income into earnings. There was no ineffectiveness related to the Company’s cash flow hedges during the three and nine months ended September 30, 2015 and 2014. The Company estimates that $7 million of losses currently recorded in accumulated other comprehensive income will be recognized in earnings over the next 12 months.</w:t>
      </w:r>
    </w:p>
    <w:p>
      <w:pPr>
        <w:spacing w:after="0" w:line="177" w:lineRule="exact"/>
        <w:rPr>
          <w:rFonts w:ascii="Arial" w:cs="Arial" w:eastAsia="Arial" w:hAnsi="Arial"/>
          <w:sz w:val="18"/>
          <w:szCs w:val="18"/>
          <w:b w:val="1"/>
          <w:bCs w:val="1"/>
          <w:color w:val="auto"/>
        </w:rPr>
      </w:pPr>
    </w:p>
    <w:p>
      <w:pPr>
        <w:ind w:left="500" w:right="40"/>
        <w:spacing w:after="0" w:line="292" w:lineRule="auto"/>
        <w:rPr>
          <w:rFonts w:ascii="Arial" w:cs="Arial" w:eastAsia="Arial" w:hAnsi="Arial"/>
          <w:sz w:val="18"/>
          <w:szCs w:val="18"/>
          <w:b w:val="1"/>
          <w:bCs w:val="1"/>
          <w:color w:val="auto"/>
        </w:rPr>
      </w:pPr>
      <w:r>
        <w:rPr>
          <w:rFonts w:ascii="Arial" w:cs="Arial" w:eastAsia="Arial" w:hAnsi="Arial"/>
          <w:sz w:val="18"/>
          <w:szCs w:val="18"/>
          <w:color w:val="auto"/>
        </w:rPr>
        <w:t>The Company enters into derivative commodity contracts to manage its exposure to changes in the price of unleaded gasoline. Changes in the fair value of these derivatives are recorded within operating expenses.</w:t>
      </w:r>
    </w:p>
    <w:p>
      <w:pPr>
        <w:spacing w:after="0" w:line="144"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held derivative instruments with absolute notional values as follows:</w:t>
      </w:r>
    </w:p>
    <w:p>
      <w:pPr>
        <w:spacing w:after="0" w:line="17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8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As of September</w:t>
            </w:r>
          </w:p>
        </w:tc>
      </w:tr>
      <w:tr>
        <w:trPr>
          <w:trHeight w:val="232"/>
        </w:trPr>
        <w:tc>
          <w:tcPr>
            <w:tcW w:w="8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30, 2015</w:t>
            </w:r>
          </w:p>
        </w:tc>
      </w:tr>
      <w:tr>
        <w:trPr>
          <w:trHeight w:val="249"/>
        </w:trPr>
        <w:tc>
          <w:tcPr>
            <w:tcW w:w="8700" w:type="dxa"/>
            <w:vAlign w:val="bottom"/>
          </w:tcPr>
          <w:p>
            <w:pPr>
              <w:ind w:left="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8,428</w:t>
            </w:r>
          </w:p>
        </w:tc>
      </w:tr>
      <w:tr>
        <w:trPr>
          <w:trHeight w:val="219"/>
        </w:trPr>
        <w:tc>
          <w:tcPr>
            <w:tcW w:w="870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120" w:type="dxa"/>
            <w:vAlign w:val="bottom"/>
          </w:tcPr>
          <w:p>
            <w:pPr>
              <w:spacing w:after="0"/>
              <w:rPr>
                <w:sz w:val="19"/>
                <w:szCs w:val="19"/>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1,669</w:t>
            </w:r>
          </w:p>
        </w:tc>
      </w:tr>
      <w:tr>
        <w:trPr>
          <w:trHeight w:val="243"/>
        </w:trPr>
        <w:tc>
          <w:tcPr>
            <w:tcW w:w="8700" w:type="dxa"/>
            <w:vAlign w:val="bottom"/>
          </w:tcPr>
          <w:p>
            <w:pPr>
              <w:ind w:left="20"/>
              <w:spacing w:after="0"/>
              <w:rPr>
                <w:sz w:val="20"/>
                <w:szCs w:val="20"/>
                <w:color w:val="auto"/>
              </w:rPr>
            </w:pPr>
            <w:r>
              <w:rPr>
                <w:rFonts w:ascii="Arial" w:cs="Arial" w:eastAsia="Arial" w:hAnsi="Arial"/>
                <w:sz w:val="16"/>
                <w:szCs w:val="16"/>
                <w:color w:val="auto"/>
              </w:rPr>
              <w:t>Foreign exchange contracts</w:t>
            </w:r>
          </w:p>
        </w:tc>
        <w:tc>
          <w:tcPr>
            <w:tcW w:w="120" w:type="dxa"/>
            <w:vAlign w:val="bottom"/>
          </w:tcPr>
          <w:p>
            <w:pPr>
              <w:spacing w:after="0"/>
              <w:rPr>
                <w:sz w:val="21"/>
                <w:szCs w:val="21"/>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724</w:t>
            </w:r>
          </w:p>
        </w:tc>
      </w:tr>
      <w:tr>
        <w:trPr>
          <w:trHeight w:val="465"/>
        </w:trPr>
        <w:tc>
          <w:tcPr>
            <w:tcW w:w="8700" w:type="dxa"/>
            <w:vAlign w:val="bottom"/>
          </w:tcPr>
          <w:p>
            <w:pPr>
              <w:ind w:left="20"/>
              <w:spacing w:after="0"/>
              <w:rPr>
                <w:sz w:val="20"/>
                <w:szCs w:val="20"/>
                <w:color w:val="auto"/>
              </w:rPr>
            </w:pPr>
            <w:r>
              <w:rPr>
                <w:rFonts w:ascii="Arial" w:cs="Arial" w:eastAsia="Arial" w:hAnsi="Arial"/>
                <w:sz w:val="16"/>
                <w:szCs w:val="16"/>
                <w:color w:val="auto"/>
              </w:rPr>
              <w:t>Commodity contracts (millions of gallons of unleaded gasoline)</w:t>
            </w:r>
          </w:p>
        </w:tc>
        <w:tc>
          <w:tcPr>
            <w:tcW w:w="120" w:type="dxa"/>
            <w:vAlign w:val="bottom"/>
          </w:tcPr>
          <w:p>
            <w:pPr>
              <w:spacing w:after="0"/>
              <w:rPr>
                <w:sz w:val="24"/>
                <w:szCs w:val="24"/>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39"/>
        </w:trPr>
        <w:tc>
          <w:tcPr>
            <w:tcW w:w="8700" w:type="dxa"/>
            <w:vAlign w:val="bottom"/>
          </w:tcPr>
          <w:p>
            <w:pPr>
              <w:spacing w:after="0"/>
              <w:rPr>
                <w:sz w:val="20"/>
                <w:szCs w:val="20"/>
                <w:color w:val="auto"/>
              </w:rPr>
            </w:pPr>
            <w:r>
              <w:rPr>
                <w:rFonts w:ascii="Arial" w:cs="Arial" w:eastAsia="Arial" w:hAnsi="Arial"/>
                <w:sz w:val="18"/>
                <w:szCs w:val="18"/>
                <w:color w:val="auto"/>
              </w:rPr>
              <w:t>__________</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ind w:left="820" w:right="180" w:hanging="326"/>
        <w:spacing w:after="0" w:line="224" w:lineRule="auto"/>
        <w:tabs>
          <w:tab w:leader="none" w:pos="820"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Represents $6.3 billion of interest rate caps sold, partially offset by approximately $2.1 billion of interest rate caps purchased. These amounts exclude $4.2 billion of interest rate caps purchased by the Company’s Avis Budget Rental Car Funding subsidiary as it is not consolidated by the Company.</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15"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Fair values (Level 2) of derivative instruments were as follows:</w:t>
      </w:r>
    </w:p>
    <w:p>
      <w:pPr>
        <w:spacing w:after="0" w:line="201" w:lineRule="exact"/>
        <w:rPr>
          <w:sz w:val="20"/>
          <w:szCs w:val="20"/>
          <w:color w:val="auto"/>
        </w:rPr>
      </w:pPr>
    </w:p>
    <w:tbl>
      <w:tblPr>
        <w:tblLayout w:type="fixed"/>
        <w:tblInd w:w="500" w:type="dxa"/>
        <w:tblCellMar>
          <w:top w:w="0" w:type="dxa"/>
          <w:left w:w="0" w:type="dxa"/>
          <w:bottom w:w="0" w:type="dxa"/>
          <w:right w:w="0" w:type="dxa"/>
        </w:tblCellMar>
      </w:tblPr>
      <w:tr>
        <w:trPr>
          <w:trHeight w:val="232"/>
        </w:trPr>
        <w:tc>
          <w:tcPr>
            <w:tcW w:w="4180" w:type="dxa"/>
            <w:vAlign w:val="bottom"/>
          </w:tcPr>
          <w:p>
            <w:pPr>
              <w:spacing w:after="0"/>
              <w:rPr>
                <w:sz w:val="20"/>
                <w:szCs w:val="20"/>
                <w:color w:val="auto"/>
              </w:rPr>
            </w:pPr>
          </w:p>
        </w:tc>
        <w:tc>
          <w:tcPr>
            <w:tcW w:w="270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As of September 30, 2015</w:t>
            </w:r>
          </w:p>
        </w:tc>
        <w:tc>
          <w:tcPr>
            <w:tcW w:w="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2014</w:t>
            </w:r>
          </w:p>
        </w:tc>
        <w:tc>
          <w:tcPr>
            <w:tcW w:w="0" w:type="dxa"/>
            <w:vAlign w:val="bottom"/>
          </w:tcPr>
          <w:p>
            <w:pPr>
              <w:spacing w:after="0"/>
              <w:rPr>
                <w:sz w:val="1"/>
                <w:szCs w:val="1"/>
                <w:color w:val="auto"/>
              </w:rPr>
            </w:pPr>
          </w:p>
        </w:tc>
      </w:tr>
      <w:tr>
        <w:trPr>
          <w:trHeight w:val="193"/>
        </w:trPr>
        <w:tc>
          <w:tcPr>
            <w:tcW w:w="4180" w:type="dxa"/>
            <w:vAlign w:val="bottom"/>
          </w:tcPr>
          <w:p>
            <w:pPr>
              <w:spacing w:after="0"/>
              <w:rPr>
                <w:sz w:val="16"/>
                <w:szCs w:val="16"/>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w w:val="98"/>
              </w:rPr>
              <w:t>Fair Value,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w w:val="98"/>
              </w:rPr>
              <w:t>Fair Value,</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Fair Value,</w:t>
            </w:r>
          </w:p>
        </w:tc>
        <w:tc>
          <w:tcPr>
            <w:tcW w:w="200" w:type="dxa"/>
            <w:vAlign w:val="bottom"/>
          </w:tcPr>
          <w:p>
            <w:pPr>
              <w:spacing w:after="0"/>
              <w:rPr>
                <w:sz w:val="16"/>
                <w:szCs w:val="16"/>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89"/>
        </w:trPr>
        <w:tc>
          <w:tcPr>
            <w:tcW w:w="4180" w:type="dxa"/>
            <w:vAlign w:val="bottom"/>
          </w:tcPr>
          <w:p>
            <w:pPr>
              <w:spacing w:after="0"/>
              <w:rPr>
                <w:sz w:val="16"/>
                <w:szCs w:val="16"/>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rPr>
              <w:t>Asset</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w w:val="99"/>
              </w:rPr>
              <w:t>Liability</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Asset</w:t>
            </w:r>
          </w:p>
        </w:tc>
        <w:tc>
          <w:tcPr>
            <w:tcW w:w="200" w:type="dxa"/>
            <w:vAlign w:val="bottom"/>
          </w:tcPr>
          <w:p>
            <w:pPr>
              <w:spacing w:after="0"/>
              <w:rPr>
                <w:sz w:val="16"/>
                <w:szCs w:val="16"/>
                <w:color w:val="auto"/>
              </w:rPr>
            </w:pPr>
          </w:p>
        </w:tc>
        <w:tc>
          <w:tcPr>
            <w:tcW w:w="1240" w:type="dxa"/>
            <w:vAlign w:val="bottom"/>
          </w:tcPr>
          <w:p>
            <w:pPr>
              <w:jc w:val="center"/>
              <w:ind w:right="139"/>
              <w:spacing w:after="0"/>
              <w:rPr>
                <w:sz w:val="20"/>
                <w:szCs w:val="20"/>
                <w:color w:val="auto"/>
              </w:rPr>
            </w:pPr>
            <w:r>
              <w:rPr>
                <w:rFonts w:ascii="Arial" w:cs="Arial" w:eastAsia="Arial" w:hAnsi="Arial"/>
                <w:sz w:val="16"/>
                <w:szCs w:val="16"/>
                <w:b w:val="1"/>
                <w:bCs w:val="1"/>
                <w:color w:val="auto"/>
              </w:rPr>
              <w:t>Liability</w:t>
            </w:r>
          </w:p>
        </w:tc>
        <w:tc>
          <w:tcPr>
            <w:tcW w:w="0" w:type="dxa"/>
            <w:vAlign w:val="bottom"/>
          </w:tcPr>
          <w:p>
            <w:pPr>
              <w:spacing w:after="0"/>
              <w:rPr>
                <w:sz w:val="1"/>
                <w:szCs w:val="1"/>
                <w:color w:val="auto"/>
              </w:rPr>
            </w:pPr>
          </w:p>
        </w:tc>
      </w:tr>
      <w:tr>
        <w:trPr>
          <w:trHeight w:val="230"/>
        </w:trPr>
        <w:tc>
          <w:tcPr>
            <w:tcW w:w="4180" w:type="dxa"/>
            <w:vAlign w:val="bottom"/>
          </w:tcPr>
          <w:p>
            <w:pPr>
              <w:spacing w:after="0"/>
              <w:rPr>
                <w:sz w:val="19"/>
                <w:szCs w:val="19"/>
                <w:color w:val="auto"/>
              </w:rPr>
            </w:pPr>
          </w:p>
        </w:tc>
        <w:tc>
          <w:tcPr>
            <w:tcW w:w="1160" w:type="dxa"/>
            <w:vAlign w:val="bottom"/>
          </w:tcPr>
          <w:p>
            <w:pPr>
              <w:jc w:val="center"/>
              <w:ind w:left="179"/>
              <w:spacing w:after="0"/>
              <w:rPr>
                <w:sz w:val="20"/>
                <w:szCs w:val="20"/>
                <w:color w:val="auto"/>
              </w:rPr>
            </w:pPr>
            <w:r>
              <w:rPr>
                <w:rFonts w:ascii="Arial" w:cs="Arial" w:eastAsia="Arial" w:hAnsi="Arial"/>
                <w:sz w:val="16"/>
                <w:szCs w:val="16"/>
                <w:b w:val="1"/>
                <w:bCs w:val="1"/>
                <w:color w:val="auto"/>
              </w:rPr>
              <w:t>Derivatives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center"/>
              <w:ind w:left="179"/>
              <w:spacing w:after="0"/>
              <w:rPr>
                <w:sz w:val="20"/>
                <w:szCs w:val="20"/>
                <w:color w:val="auto"/>
              </w:rPr>
            </w:pPr>
            <w:r>
              <w:rPr>
                <w:rFonts w:ascii="Arial" w:cs="Arial" w:eastAsia="Arial" w:hAnsi="Arial"/>
                <w:sz w:val="16"/>
                <w:szCs w:val="16"/>
                <w:b w:val="1"/>
                <w:bCs w:val="1"/>
                <w:color w:val="auto"/>
              </w:rPr>
              <w:t>Derivatives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Derivatives</w:t>
            </w:r>
          </w:p>
        </w:tc>
        <w:tc>
          <w:tcPr>
            <w:tcW w:w="200" w:type="dxa"/>
            <w:vAlign w:val="bottom"/>
          </w:tcPr>
          <w:p>
            <w:pPr>
              <w:spacing w:after="0"/>
              <w:rPr>
                <w:sz w:val="19"/>
                <w:szCs w:val="19"/>
                <w:color w:val="auto"/>
              </w:rPr>
            </w:pPr>
          </w:p>
        </w:tc>
        <w:tc>
          <w:tcPr>
            <w:tcW w:w="1240" w:type="dxa"/>
            <w:vAlign w:val="bottom"/>
          </w:tcPr>
          <w:p>
            <w:pPr>
              <w:jc w:val="center"/>
              <w:ind w:right="139"/>
              <w:spacing w:after="0"/>
              <w:rPr>
                <w:sz w:val="20"/>
                <w:szCs w:val="20"/>
                <w:color w:val="auto"/>
              </w:rPr>
            </w:pPr>
            <w:r>
              <w:rPr>
                <w:rFonts w:ascii="Arial" w:cs="Arial" w:eastAsia="Arial" w:hAnsi="Arial"/>
                <w:sz w:val="16"/>
                <w:szCs w:val="16"/>
                <w:b w:val="1"/>
                <w:bCs w:val="1"/>
                <w:color w:val="auto"/>
              </w:rPr>
              <w:t>Derivatives</w:t>
            </w:r>
          </w:p>
        </w:tc>
        <w:tc>
          <w:tcPr>
            <w:tcW w:w="0" w:type="dxa"/>
            <w:vAlign w:val="bottom"/>
          </w:tcPr>
          <w:p>
            <w:pPr>
              <w:spacing w:after="0"/>
              <w:rPr>
                <w:sz w:val="1"/>
                <w:szCs w:val="1"/>
                <w:color w:val="auto"/>
              </w:rPr>
            </w:pPr>
          </w:p>
        </w:tc>
      </w:tr>
      <w:tr>
        <w:trPr>
          <w:trHeight w:val="263"/>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37"/>
        </w:trPr>
        <w:tc>
          <w:tcPr>
            <w:tcW w:w="4180" w:type="dxa"/>
            <w:vAlign w:val="bottom"/>
          </w:tcPr>
          <w:p>
            <w:pPr>
              <w:ind w:left="12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433"/>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180" w:type="dxa"/>
            <w:vAlign w:val="bottom"/>
          </w:tcPr>
          <w:p>
            <w:pPr>
              <w:ind w:left="1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(b)</w:t>
            </w:r>
          </w:p>
        </w:tc>
        <w:tc>
          <w:tcPr>
            <w:tcW w:w="1160" w:type="dxa"/>
            <w:vAlign w:val="bottom"/>
          </w:tcPr>
          <w:p>
            <w:pPr>
              <w:spacing w:after="0"/>
              <w:rPr>
                <w:sz w:val="24"/>
                <w:szCs w:val="24"/>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70"/>
        </w:trPr>
        <w:tc>
          <w:tcPr>
            <w:tcW w:w="4180" w:type="dxa"/>
            <w:vAlign w:val="bottom"/>
          </w:tcPr>
          <w:p>
            <w:pPr>
              <w:ind w:left="12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(c)</w:t>
            </w:r>
          </w:p>
        </w:tc>
        <w:tc>
          <w:tcPr>
            <w:tcW w:w="1160" w:type="dxa"/>
            <w:vAlign w:val="bottom"/>
          </w:tcPr>
          <w:p>
            <w:pPr>
              <w:spacing w:after="0"/>
              <w:rPr>
                <w:sz w:val="23"/>
                <w:szCs w:val="23"/>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w w:val="89"/>
              </w:rPr>
              <w:t>12</w:t>
            </w: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4"/>
        </w:trPr>
        <w:tc>
          <w:tcPr>
            <w:tcW w:w="4180" w:type="dxa"/>
            <w:vAlign w:val="bottom"/>
          </w:tcPr>
          <w:p>
            <w:pPr>
              <w:ind w:left="120"/>
              <w:spacing w:after="0" w:line="234"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(c)</w:t>
            </w:r>
          </w:p>
        </w:tc>
        <w:tc>
          <w:tcPr>
            <w:tcW w:w="1160" w:type="dxa"/>
            <w:vAlign w:val="bottom"/>
          </w:tcPr>
          <w:p>
            <w:pPr>
              <w:spacing w:after="0"/>
              <w:rPr>
                <w:sz w:val="20"/>
                <w:szCs w:val="20"/>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1160" w:type="dxa"/>
            <w:vAlign w:val="bottom"/>
          </w:tcPr>
          <w:p>
            <w:pPr>
              <w:spacing w:after="0"/>
              <w:rPr>
                <w:sz w:val="20"/>
                <w:szCs w:val="20"/>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5"/>
        </w:trPr>
        <w:tc>
          <w:tcPr>
            <w:tcW w:w="4180" w:type="dxa"/>
            <w:vAlign w:val="bottom"/>
          </w:tcPr>
          <w:p>
            <w:pPr>
              <w:ind w:left="120"/>
              <w:spacing w:after="0"/>
              <w:rPr>
                <w:sz w:val="20"/>
                <w:szCs w:val="20"/>
                <w:color w:val="auto"/>
              </w:rPr>
            </w:pPr>
            <w:r>
              <w:rPr>
                <w:rFonts w:ascii="Arial" w:cs="Arial" w:eastAsia="Arial" w:hAnsi="Arial"/>
                <w:sz w:val="16"/>
                <w:szCs w:val="16"/>
                <w:color w:val="auto"/>
              </w:rPr>
              <w:t>Total</w:t>
            </w:r>
          </w:p>
        </w:tc>
        <w:tc>
          <w:tcPr>
            <w:tcW w:w="116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13</w:t>
            </w:r>
          </w:p>
        </w:tc>
        <w:tc>
          <w:tcPr>
            <w:tcW w:w="10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16</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0"/>
        </w:trPr>
        <w:tc>
          <w:tcPr>
            <w:tcW w:w="41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18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500" w:right="60"/>
        <w:spacing w:after="0" w:line="237" w:lineRule="auto"/>
        <w:rPr>
          <w:sz w:val="20"/>
          <w:szCs w:val="20"/>
          <w:color w:val="auto"/>
        </w:rPr>
      </w:pPr>
      <w:r>
        <w:rPr>
          <w:rFonts w:ascii="Arial" w:cs="Arial" w:eastAsia="Arial" w:hAnsi="Arial"/>
          <w:sz w:val="14"/>
          <w:szCs w:val="14"/>
          <w:color w:val="auto"/>
        </w:rPr>
        <w:t>Amounts in this table exclude derivatives issued by Avis Budget Rental Car Funding; however, certain amounts related to the derivatives held by Avis Budget Rental Car Funding are included within accumulated other comprehensive income.</w:t>
      </w:r>
    </w:p>
    <w:p>
      <w:pPr>
        <w:ind w:left="820" w:hanging="326"/>
        <w:spacing w:after="0" w:line="195" w:lineRule="auto"/>
        <w:tabs>
          <w:tab w:leader="none" w:pos="82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Included in assets under vehicle programs or liabilities under vehicle programs.</w:t>
      </w:r>
    </w:p>
    <w:p>
      <w:pPr>
        <w:ind w:left="820" w:hanging="326"/>
        <w:spacing w:after="0" w:line="204" w:lineRule="auto"/>
        <w:tabs>
          <w:tab w:leader="none" w:pos="82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or other current liabilities.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the Company’s Consolidated Condensed Financial Statements were as follows:</w:t>
      </w:r>
    </w:p>
    <w:p>
      <w:pPr>
        <w:spacing w:after="0" w:line="174"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258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Three Months Ended</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2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Nine Months Ended</w:t>
            </w:r>
          </w:p>
        </w:tc>
      </w:tr>
      <w:tr>
        <w:trPr>
          <w:trHeight w:val="232"/>
        </w:trPr>
        <w:tc>
          <w:tcPr>
            <w:tcW w:w="42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439"/>
              <w:spacing w:after="0"/>
              <w:rPr>
                <w:sz w:val="20"/>
                <w:szCs w:val="20"/>
                <w:color w:val="auto"/>
              </w:rPr>
            </w:pPr>
            <w:r>
              <w:rPr>
                <w:rFonts w:ascii="Arial" w:cs="Arial" w:eastAsia="Arial" w:hAnsi="Arial"/>
                <w:sz w:val="16"/>
                <w:szCs w:val="16"/>
                <w:b w:val="1"/>
                <w:bCs w:val="1"/>
                <w:color w:val="auto"/>
              </w:rPr>
              <w:t>September 30,</w:t>
            </w:r>
          </w:p>
        </w:tc>
        <w:tc>
          <w:tcPr>
            <w:tcW w:w="3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4"/>
          </w:tcPr>
          <w:p>
            <w:pPr>
              <w:jc w:val="right"/>
              <w:ind w:right="819"/>
              <w:spacing w:after="0"/>
              <w:rPr>
                <w:sz w:val="20"/>
                <w:szCs w:val="20"/>
                <w:color w:val="auto"/>
              </w:rPr>
            </w:pPr>
            <w:r>
              <w:rPr>
                <w:rFonts w:ascii="Arial" w:cs="Arial" w:eastAsia="Arial" w:hAnsi="Arial"/>
                <w:sz w:val="16"/>
                <w:szCs w:val="16"/>
                <w:b w:val="1"/>
                <w:bCs w:val="1"/>
                <w:color w:val="auto"/>
              </w:rPr>
              <w:t>September 30,</w:t>
            </w:r>
          </w:p>
        </w:tc>
      </w:tr>
      <w:tr>
        <w:trPr>
          <w:trHeight w:val="261"/>
        </w:trPr>
        <w:tc>
          <w:tcPr>
            <w:tcW w:w="4220" w:type="dxa"/>
            <w:vAlign w:val="bottom"/>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2014</w:t>
            </w:r>
          </w:p>
        </w:tc>
        <w:tc>
          <w:tcPr>
            <w:tcW w:w="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2014</w:t>
            </w:r>
          </w:p>
        </w:tc>
      </w:tr>
      <w:tr>
        <w:trPr>
          <w:trHeight w:val="263"/>
        </w:trPr>
        <w:tc>
          <w:tcPr>
            <w:tcW w:w="4220" w:type="dxa"/>
            <w:vAlign w:val="bottom"/>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9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328"/>
        </w:trPr>
        <w:tc>
          <w:tcPr>
            <w:tcW w:w="4220" w:type="dxa"/>
            <w:vAlign w:val="bottom"/>
          </w:tcPr>
          <w:p>
            <w:pPr>
              <w:ind w:left="10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1060" w:type="dxa"/>
            <w:vAlign w:val="bottom"/>
          </w:tcPr>
          <w:p>
            <w:pPr>
              <w:jc w:val="right"/>
              <w:ind w:right="859"/>
              <w:spacing w:after="0"/>
              <w:rPr>
                <w:sz w:val="20"/>
                <w:szCs w:val="20"/>
                <w:color w:val="auto"/>
              </w:rPr>
            </w:pPr>
            <w:r>
              <w:rPr>
                <w:rFonts w:ascii="Arial" w:cs="Arial" w:eastAsia="Arial" w:hAnsi="Arial"/>
                <w:sz w:val="16"/>
                <w:szCs w:val="16"/>
                <w:color w:val="auto"/>
              </w:rPr>
              <w:t>$</w:t>
            </w:r>
          </w:p>
        </w:tc>
        <w:tc>
          <w:tcPr>
            <w:tcW w:w="36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4"/>
                <w:szCs w:val="24"/>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4"/>
                <w:szCs w:val="24"/>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w:t>
            </w:r>
          </w:p>
        </w:tc>
      </w:tr>
    </w:tbl>
    <w:p>
      <w:pPr>
        <w:ind w:left="520"/>
        <w:spacing w:after="0"/>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b w:val="1"/>
          <w:bCs w:val="1"/>
          <w:color w:val="auto"/>
          <w:vertAlign w:val="superscript"/>
        </w:rPr>
        <w:t>(b)</w:t>
      </w:r>
    </w:p>
    <w:p>
      <w:pPr>
        <w:spacing w:after="0" w:line="29" w:lineRule="exact"/>
        <w:rPr>
          <w:sz w:val="20"/>
          <w:szCs w:val="20"/>
          <w:color w:val="auto"/>
        </w:rPr>
      </w:pPr>
    </w:p>
    <w:tbl>
      <w:tblPr>
        <w:tblLayout w:type="fixed"/>
        <w:tblInd w:w="500" w:type="dxa"/>
        <w:tblCellMar>
          <w:top w:w="0" w:type="dxa"/>
          <w:left w:w="0" w:type="dxa"/>
          <w:bottom w:w="0" w:type="dxa"/>
          <w:right w:w="0" w:type="dxa"/>
        </w:tblCellMar>
      </w:tblPr>
      <w:tr>
        <w:trPr>
          <w:trHeight w:val="255"/>
        </w:trPr>
        <w:tc>
          <w:tcPr>
            <w:tcW w:w="4240" w:type="dxa"/>
            <w:vAlign w:val="bottom"/>
          </w:tcPr>
          <w:p>
            <w:pPr>
              <w:ind w:left="1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6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0"/>
        </w:trPr>
        <w:tc>
          <w:tcPr>
            <w:tcW w:w="4240" w:type="dxa"/>
            <w:vAlign w:val="bottom"/>
          </w:tcPr>
          <w:p>
            <w:pPr>
              <w:ind w:left="12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(d)</w:t>
            </w:r>
          </w:p>
        </w:tc>
        <w:tc>
          <w:tcPr>
            <w:tcW w:w="620" w:type="dxa"/>
            <w:vAlign w:val="bottom"/>
          </w:tcPr>
          <w:p>
            <w:pPr>
              <w:spacing w:after="0"/>
              <w:rPr>
                <w:sz w:val="23"/>
                <w:szCs w:val="23"/>
                <w:color w:val="auto"/>
              </w:rPr>
            </w:pPr>
          </w:p>
        </w:tc>
        <w:tc>
          <w:tcPr>
            <w:tcW w:w="80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4"/>
        </w:trPr>
        <w:tc>
          <w:tcPr>
            <w:tcW w:w="4240" w:type="dxa"/>
            <w:vAlign w:val="bottom"/>
          </w:tcPr>
          <w:p>
            <w:pPr>
              <w:ind w:left="120"/>
              <w:spacing w:after="0" w:line="234"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(e)</w:t>
            </w:r>
          </w:p>
        </w:tc>
        <w:tc>
          <w:tcPr>
            <w:tcW w:w="6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6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5"/>
        </w:trPr>
        <w:tc>
          <w:tcPr>
            <w:tcW w:w="4240" w:type="dxa"/>
            <w:vAlign w:val="bottom"/>
          </w:tcPr>
          <w:p>
            <w:pPr>
              <w:ind w:left="120"/>
              <w:spacing w:after="0"/>
              <w:rPr>
                <w:sz w:val="20"/>
                <w:szCs w:val="20"/>
                <w:color w:val="auto"/>
              </w:rPr>
            </w:pPr>
            <w:r>
              <w:rPr>
                <w:rFonts w:ascii="Arial" w:cs="Arial" w:eastAsia="Arial" w:hAnsi="Arial"/>
                <w:sz w:val="16"/>
                <w:szCs w:val="16"/>
                <w:color w:val="auto"/>
              </w:rPr>
              <w:t>Total</w:t>
            </w:r>
          </w:p>
        </w:tc>
        <w:tc>
          <w:tcPr>
            <w:tcW w:w="6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6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24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Recognized, net of tax, as a component of other comprehensive income within stockholders’ equity.</w:t>
      </w:r>
    </w:p>
    <w:p>
      <w:pPr>
        <w:ind w:left="820" w:hanging="326"/>
        <w:spacing w:after="0" w:line="187" w:lineRule="auto"/>
        <w:tabs>
          <w:tab w:leader="none" w:pos="8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ind w:left="820" w:hanging="326"/>
        <w:spacing w:after="0" w:line="187" w:lineRule="auto"/>
        <w:tabs>
          <w:tab w:leader="none" w:pos="8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Included in interest expense.</w:t>
      </w:r>
    </w:p>
    <w:p>
      <w:pPr>
        <w:ind w:left="820" w:hanging="326"/>
        <w:spacing w:after="0" w:line="225" w:lineRule="auto"/>
        <w:tabs>
          <w:tab w:leader="none" w:pos="8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September 30, 2015, included a $19 million gain in interest expense and a $2 million gain in operating expense and for the nine months ended September 30, 2015, included a $21 million gain in interest expense and a $16 million gain in operating expense. For the three months ended September 30, 2014, included a $19 million gain in interest expense and $3 million gain in operating expense, and for the nine months ended September 30, 2014, included a $7 million loss in interest expense.</w:t>
      </w:r>
    </w:p>
    <w:p>
      <w:pPr>
        <w:spacing w:after="0" w:line="1" w:lineRule="exact"/>
        <w:rPr>
          <w:rFonts w:ascii="Arial" w:cs="Arial" w:eastAsia="Arial" w:hAnsi="Arial"/>
          <w:sz w:val="18"/>
          <w:szCs w:val="18"/>
          <w:color w:val="auto"/>
          <w:vertAlign w:val="superscript"/>
        </w:rPr>
      </w:pPr>
    </w:p>
    <w:p>
      <w:pPr>
        <w:ind w:left="820" w:hanging="326"/>
        <w:spacing w:after="0" w:line="204" w:lineRule="auto"/>
        <w:tabs>
          <w:tab w:leader="none" w:pos="820" w:val="left"/>
        </w:tabs>
        <w:numPr>
          <w:ilvl w:val="0"/>
          <w:numId w:val="29"/>
        </w:numPr>
        <w:rPr>
          <w:rFonts w:ascii="Arial" w:cs="Arial" w:eastAsia="Arial" w:hAnsi="Arial"/>
          <w:sz w:val="18"/>
          <w:szCs w:val="18"/>
          <w:color w:val="auto"/>
          <w:vertAlign w:val="superscript"/>
        </w:rPr>
      </w:pPr>
      <w:r>
        <w:rPr>
          <w:rFonts w:ascii="Arial" w:cs="Arial" w:eastAsia="Arial" w:hAnsi="Arial"/>
          <w:sz w:val="14"/>
          <w:szCs w:val="14"/>
          <w:color w:val="auto"/>
        </w:rPr>
        <w:t>Included in operating expense.</w:t>
      </w: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60"/>
          </w:cols>
          <w:pgMar w:left="240" w:top="115" w:right="3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were as follows:</w:t>
      </w:r>
    </w:p>
    <w:p>
      <w:pPr>
        <w:spacing w:after="0" w:line="201" w:lineRule="exact"/>
        <w:rPr>
          <w:sz w:val="20"/>
          <w:szCs w:val="20"/>
          <w:color w:val="auto"/>
        </w:rPr>
      </w:pPr>
    </w:p>
    <w:tbl>
      <w:tblPr>
        <w:tblLayout w:type="fixed"/>
        <w:tblInd w:w="520" w:type="dxa"/>
        <w:tblCellMar>
          <w:top w:w="0" w:type="dxa"/>
          <w:left w:w="0" w:type="dxa"/>
          <w:bottom w:w="0" w:type="dxa"/>
          <w:right w:w="0" w:type="dxa"/>
        </w:tblCellMar>
      </w:tblPr>
      <w:tr>
        <w:trPr>
          <w:trHeight w:val="232"/>
        </w:trPr>
        <w:tc>
          <w:tcPr>
            <w:tcW w:w="4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As of September 30, 2015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2014</w:t>
            </w:r>
          </w:p>
        </w:tc>
      </w:tr>
      <w:tr>
        <w:trPr>
          <w:trHeight w:val="193"/>
        </w:trPr>
        <w:tc>
          <w:tcPr>
            <w:tcW w:w="4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Estimated</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rPr>
              <w:t>Estimated</w:t>
            </w:r>
          </w:p>
        </w:tc>
      </w:tr>
      <w:tr>
        <w:trPr>
          <w:trHeight w:val="189"/>
        </w:trPr>
        <w:tc>
          <w:tcPr>
            <w:tcW w:w="4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rPr>
              <w:t>Fair</w:t>
            </w:r>
          </w:p>
        </w:tc>
      </w:tr>
      <w:tr>
        <w:trPr>
          <w:trHeight w:val="230"/>
        </w:trPr>
        <w:tc>
          <w:tcPr>
            <w:tcW w:w="4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Amount</w:t>
            </w:r>
          </w:p>
        </w:tc>
        <w:tc>
          <w:tcPr>
            <w:tcW w:w="22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Value</w:t>
            </w:r>
          </w:p>
        </w:tc>
        <w:tc>
          <w:tcPr>
            <w:tcW w:w="24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220" w:type="dxa"/>
            <w:vAlign w:val="bottom"/>
          </w:tcPr>
          <w:p>
            <w:pPr>
              <w:jc w:val="center"/>
              <w:ind w:right="159"/>
              <w:spacing w:after="0"/>
              <w:rPr>
                <w:sz w:val="20"/>
                <w:szCs w:val="20"/>
                <w:color w:val="auto"/>
              </w:rPr>
            </w:pPr>
            <w:r>
              <w:rPr>
                <w:rFonts w:ascii="Arial" w:cs="Arial" w:eastAsia="Arial" w:hAnsi="Arial"/>
                <w:sz w:val="16"/>
                <w:szCs w:val="16"/>
                <w:b w:val="1"/>
                <w:bCs w:val="1"/>
                <w:color w:val="auto"/>
                <w:w w:val="98"/>
              </w:rPr>
              <w:t>Value</w:t>
            </w:r>
          </w:p>
        </w:tc>
      </w:tr>
      <w:tr>
        <w:trPr>
          <w:trHeight w:val="263"/>
        </w:trPr>
        <w:tc>
          <w:tcPr>
            <w:tcW w:w="4180" w:type="dxa"/>
            <w:vAlign w:val="bottom"/>
          </w:tcPr>
          <w:p>
            <w:pPr>
              <w:spacing w:after="0"/>
              <w:rPr>
                <w:sz w:val="20"/>
                <w:szCs w:val="20"/>
                <w:color w:val="auto"/>
              </w:rPr>
            </w:pPr>
            <w:r>
              <w:rPr>
                <w:rFonts w:ascii="Arial" w:cs="Arial" w:eastAsia="Arial" w:hAnsi="Arial"/>
                <w:sz w:val="16"/>
                <w:szCs w:val="16"/>
                <w:b w:val="1"/>
                <w:bCs w:val="1"/>
                <w:color w:val="auto"/>
              </w:rPr>
              <w:t>Corporate debt</w:t>
            </w:r>
          </w:p>
        </w:tc>
        <w:tc>
          <w:tcPr>
            <w:tcW w:w="24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r>
      <w:tr>
        <w:trPr>
          <w:trHeight w:val="262"/>
        </w:trPr>
        <w:tc>
          <w:tcPr>
            <w:tcW w:w="4180" w:type="dxa"/>
            <w:vAlign w:val="bottom"/>
          </w:tcPr>
          <w:p>
            <w:pPr>
              <w:ind w:left="100"/>
              <w:spacing w:after="0"/>
              <w:rPr>
                <w:sz w:val="20"/>
                <w:szCs w:val="20"/>
                <w:color w:val="auto"/>
              </w:rPr>
            </w:pPr>
            <w:r>
              <w:rPr>
                <w:rFonts w:ascii="Arial" w:cs="Arial" w:eastAsia="Arial" w:hAnsi="Arial"/>
                <w:sz w:val="16"/>
                <w:szCs w:val="16"/>
                <w:color w:val="auto"/>
              </w:rPr>
              <w:t>Short-term debt and current portion of long-term debt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22"/>
                <w:szCs w:val="22"/>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28</w:t>
            </w:r>
          </w:p>
        </w:tc>
      </w:tr>
      <w:tr>
        <w:trPr>
          <w:trHeight w:val="270"/>
        </w:trPr>
        <w:tc>
          <w:tcPr>
            <w:tcW w:w="4180" w:type="dxa"/>
            <w:vAlign w:val="bottom"/>
          </w:tcPr>
          <w:p>
            <w:pPr>
              <w:ind w:left="10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3,505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3,434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3,392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3,439</w:t>
            </w:r>
          </w:p>
        </w:tc>
      </w:tr>
      <w:tr>
        <w:trPr>
          <w:trHeight w:val="508"/>
        </w:trPr>
        <w:tc>
          <w:tcPr>
            <w:tcW w:w="418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06"/>
        </w:trPr>
        <w:tc>
          <w:tcPr>
            <w:tcW w:w="4180" w:type="dxa"/>
            <w:vAlign w:val="bottom"/>
          </w:tcPr>
          <w:p>
            <w:pPr>
              <w:ind w:left="100"/>
              <w:spacing w:after="0"/>
              <w:rPr>
                <w:sz w:val="20"/>
                <w:szCs w:val="20"/>
                <w:color w:val="auto"/>
              </w:rPr>
            </w:pPr>
            <w:r>
              <w:rPr>
                <w:rFonts w:ascii="Arial" w:cs="Arial" w:eastAsia="Arial" w:hAnsi="Arial"/>
                <w:sz w:val="16"/>
                <w:szCs w:val="16"/>
                <w:color w:val="auto"/>
              </w:rPr>
              <w:t>Vehicle-backed debt due to Avis Budget Rental Car</w:t>
            </w: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9"/>
        </w:trPr>
        <w:tc>
          <w:tcPr>
            <w:tcW w:w="4180" w:type="dxa"/>
            <w:vAlign w:val="bottom"/>
          </w:tcPr>
          <w:p>
            <w:pPr>
              <w:ind w:left="280"/>
              <w:spacing w:after="0"/>
              <w:rPr>
                <w:sz w:val="20"/>
                <w:szCs w:val="20"/>
                <w:color w:val="auto"/>
              </w:rPr>
            </w:pPr>
            <w:r>
              <w:rPr>
                <w:rFonts w:ascii="Arial" w:cs="Arial" w:eastAsia="Arial" w:hAnsi="Arial"/>
                <w:sz w:val="16"/>
                <w:szCs w:val="16"/>
                <w:color w:val="auto"/>
              </w:rPr>
              <w:t>Funding</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7,239</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7,307</w:t>
            </w:r>
          </w:p>
        </w:tc>
        <w:tc>
          <w:tcPr>
            <w:tcW w:w="100" w:type="dxa"/>
            <w:vAlign w:val="bottom"/>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6,340</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6,407</w:t>
            </w:r>
          </w:p>
        </w:tc>
      </w:tr>
      <w:tr>
        <w:trPr>
          <w:trHeight w:val="270"/>
        </w:trPr>
        <w:tc>
          <w:tcPr>
            <w:tcW w:w="4180" w:type="dxa"/>
            <w:vAlign w:val="bottom"/>
          </w:tcPr>
          <w:p>
            <w:pPr>
              <w:ind w:left="100"/>
              <w:spacing w:after="0"/>
              <w:rPr>
                <w:sz w:val="20"/>
                <w:szCs w:val="20"/>
                <w:color w:val="auto"/>
              </w:rPr>
            </w:pPr>
            <w:r>
              <w:rPr>
                <w:rFonts w:ascii="Arial" w:cs="Arial" w:eastAsia="Arial" w:hAnsi="Arial"/>
                <w:sz w:val="16"/>
                <w:szCs w:val="16"/>
                <w:color w:val="auto"/>
              </w:rPr>
              <w:t>Vehicle-backed debt</w:t>
            </w:r>
          </w:p>
        </w:tc>
        <w:tc>
          <w:tcPr>
            <w:tcW w:w="240" w:type="dxa"/>
            <w:vAlign w:val="bottom"/>
          </w:tcPr>
          <w:p>
            <w:pPr>
              <w:spacing w:after="0"/>
              <w:rPr>
                <w:sz w:val="23"/>
                <w:szCs w:val="23"/>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2,755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2,756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1,771</w:t>
            </w:r>
          </w:p>
        </w:tc>
      </w:tr>
      <w:tr>
        <w:trPr>
          <w:trHeight w:val="263"/>
        </w:trPr>
        <w:tc>
          <w:tcPr>
            <w:tcW w:w="4180" w:type="dxa"/>
            <w:vAlign w:val="bottom"/>
          </w:tcPr>
          <w:p>
            <w:pPr>
              <w:ind w:left="10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4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w:t>
            </w:r>
          </w:p>
        </w:tc>
      </w:tr>
      <w:tr>
        <w:trPr>
          <w:trHeight w:val="239"/>
        </w:trPr>
        <w:tc>
          <w:tcPr>
            <w:tcW w:w="4180" w:type="dxa"/>
            <w:vAlign w:val="bottom"/>
          </w:tcPr>
          <w:p>
            <w:pPr>
              <w:ind w:left="20"/>
              <w:spacing w:after="0"/>
              <w:rPr>
                <w:sz w:val="20"/>
                <w:szCs w:val="20"/>
                <w:color w:val="auto"/>
              </w:rPr>
            </w:pPr>
            <w:r>
              <w:rPr>
                <w:rFonts w:ascii="Arial" w:cs="Arial" w:eastAsia="Arial" w:hAnsi="Arial"/>
                <w:sz w:val="18"/>
                <w:szCs w:val="18"/>
                <w:color w:val="auto"/>
              </w:rPr>
              <w:t>__________</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ind w:left="820" w:hanging="326"/>
        <w:spacing w:after="0" w:line="210" w:lineRule="auto"/>
        <w:tabs>
          <w:tab w:leader="none" w:pos="820" w:val="left"/>
        </w:tabs>
        <w:numPr>
          <w:ilvl w:val="1"/>
          <w:numId w:val="30"/>
        </w:numPr>
        <w:rPr>
          <w:rFonts w:ascii="Arial" w:cs="Arial" w:eastAsia="Arial" w:hAnsi="Arial"/>
          <w:sz w:val="18"/>
          <w:szCs w:val="18"/>
          <w:color w:val="auto"/>
          <w:vertAlign w:val="superscript"/>
        </w:rPr>
      </w:pPr>
      <w:r>
        <w:rPr>
          <w:rFonts w:ascii="Arial" w:cs="Arial" w:eastAsia="Arial" w:hAnsi="Arial"/>
          <w:sz w:val="14"/>
          <w:szCs w:val="14"/>
          <w:color w:val="auto"/>
        </w:rPr>
        <w:t>Derivatives in a liability position.</w:t>
      </w:r>
    </w:p>
    <w:p>
      <w:pPr>
        <w:spacing w:after="0" w:line="172"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7" w:lineRule="exact"/>
        <w:rPr>
          <w:rFonts w:ascii="Arial" w:cs="Arial" w:eastAsia="Arial" w:hAnsi="Arial"/>
          <w:sz w:val="18"/>
          <w:szCs w:val="18"/>
          <w:b w:val="1"/>
          <w:bCs w:val="1"/>
          <w:color w:val="auto"/>
        </w:rPr>
      </w:pPr>
    </w:p>
    <w:p>
      <w:pPr>
        <w:ind w:left="500" w:right="3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chief operating decision maker assesses performance and allocates resources based upon the separate financial information from the Company’s operating segments. In identifying its reportable segments, the Company considered the nature of services provided, the geographical areas in which the segments operated and other relevant factors. The Company has aggregated certain of its operating segments into its reportable segments.</w:t>
      </w:r>
    </w:p>
    <w:p>
      <w:pPr>
        <w:spacing w:after="0" w:line="169" w:lineRule="exact"/>
        <w:rPr>
          <w:rFonts w:ascii="Arial" w:cs="Arial" w:eastAsia="Arial" w:hAnsi="Arial"/>
          <w:sz w:val="18"/>
          <w:szCs w:val="18"/>
          <w:b w:val="1"/>
          <w:bCs w:val="1"/>
          <w:color w:val="auto"/>
        </w:rPr>
      </w:pPr>
    </w:p>
    <w:p>
      <w:pPr>
        <w:jc w:val="both"/>
        <w:ind w:lef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operating results of each of its reportable segments based upon revenue and “Adjusted EBITDA,” which the Company defines as income from continuing operations before non-vehicle related depreciation and amortization, any impairment charge, restructuring expense, early extinguishment of debt costs, non-vehicle related interest, transaction-related costs and income taxes. The Company’s presentation of Adjusted EBITDA may not be comparable to similarly-titled measures used by other companies.</w:t>
      </w:r>
    </w:p>
    <w:p>
      <w:pPr>
        <w:spacing w:after="0" w:line="127" w:lineRule="exact"/>
        <w:rPr>
          <w:sz w:val="20"/>
          <w:szCs w:val="20"/>
          <w:color w:val="auto"/>
        </w:rPr>
      </w:pPr>
    </w:p>
    <w:tbl>
      <w:tblPr>
        <w:tblLayout w:type="fixed"/>
        <w:tblInd w:w="520" w:type="dxa"/>
        <w:tblCellMar>
          <w:top w:w="0" w:type="dxa"/>
          <w:left w:w="0" w:type="dxa"/>
          <w:bottom w:w="0" w:type="dxa"/>
          <w:right w:w="0" w:type="dxa"/>
        </w:tblCellMar>
      </w:tblPr>
      <w:tr>
        <w:trPr>
          <w:trHeight w:val="254"/>
        </w:trPr>
        <w:tc>
          <w:tcPr>
            <w:tcW w:w="78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308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w w:val="99"/>
              </w:rPr>
              <w:t>Three Months Ended September 30,</w:t>
            </w: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r>
      <w:tr>
        <w:trPr>
          <w:trHeight w:val="264"/>
        </w:trPr>
        <w:tc>
          <w:tcPr>
            <w:tcW w:w="78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2015</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2014</w:t>
            </w:r>
          </w:p>
        </w:tc>
        <w:tc>
          <w:tcPr>
            <w:tcW w:w="1160" w:type="dxa"/>
            <w:vAlign w:val="bottom"/>
            <w:tcBorders>
              <w:bottom w:val="single" w:sz="8" w:color="auto"/>
            </w:tcBorders>
          </w:tcPr>
          <w:p>
            <w:pPr>
              <w:spacing w:after="0"/>
              <w:rPr>
                <w:sz w:val="22"/>
                <w:szCs w:val="22"/>
                <w:color w:val="auto"/>
              </w:rPr>
            </w:pPr>
          </w:p>
        </w:tc>
      </w:tr>
      <w:tr>
        <w:trPr>
          <w:trHeight w:val="199"/>
        </w:trPr>
        <w:tc>
          <w:tcPr>
            <w:tcW w:w="7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10"/>
              <w:spacing w:after="0" w:line="199" w:lineRule="exact"/>
              <w:rPr>
                <w:sz w:val="20"/>
                <w:szCs w:val="20"/>
                <w:color w:val="auto"/>
              </w:rPr>
            </w:pPr>
            <w:r>
              <w:rPr>
                <w:rFonts w:ascii="Arial" w:cs="Arial" w:eastAsia="Arial" w:hAnsi="Arial"/>
                <w:sz w:val="18"/>
                <w:szCs w:val="18"/>
                <w:b w:val="1"/>
                <w:bCs w:val="1"/>
                <w:color w:val="auto"/>
              </w:rPr>
              <w:t>Adjusted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210"/>
              <w:spacing w:after="0" w:line="199" w:lineRule="exact"/>
              <w:rPr>
                <w:sz w:val="20"/>
                <w:szCs w:val="20"/>
                <w:color w:val="auto"/>
              </w:rPr>
            </w:pPr>
            <w:r>
              <w:rPr>
                <w:rFonts w:ascii="Arial" w:cs="Arial" w:eastAsia="Arial" w:hAnsi="Arial"/>
                <w:sz w:val="18"/>
                <w:szCs w:val="18"/>
                <w:b w:val="1"/>
                <w:bCs w:val="1"/>
                <w:color w:val="auto"/>
              </w:rPr>
              <w:t>Adjusted</w:t>
            </w:r>
          </w:p>
        </w:tc>
      </w:tr>
      <w:tr>
        <w:trPr>
          <w:trHeight w:val="254"/>
        </w:trPr>
        <w:tc>
          <w:tcPr>
            <w:tcW w:w="78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Revenues</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EBITDA</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 xml:space="preserve">Revenues </w:t>
            </w:r>
            <w:r>
              <w:rPr>
                <w:rFonts w:ascii="Arial" w:cs="Arial" w:eastAsia="Arial" w:hAnsi="Arial"/>
                <w:sz w:val="21"/>
                <w:szCs w:val="21"/>
                <w:b w:val="1"/>
                <w:bCs w:val="1"/>
                <w:color w:val="auto"/>
                <w:w w:val="95"/>
                <w:vertAlign w:val="superscript"/>
              </w:rPr>
              <w:t>(a)</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21"/>
                <w:szCs w:val="21"/>
                <w:b w:val="1"/>
                <w:bCs w:val="1"/>
                <w:color w:val="auto"/>
                <w:vertAlign w:val="superscript"/>
              </w:rPr>
              <w:t>(b)</w:t>
            </w:r>
          </w:p>
        </w:tc>
      </w:tr>
      <w:tr>
        <w:trPr>
          <w:trHeight w:val="241"/>
        </w:trPr>
        <w:tc>
          <w:tcPr>
            <w:tcW w:w="780" w:type="dxa"/>
            <w:vAlign w:val="bottom"/>
          </w:tcPr>
          <w:p>
            <w:pPr>
              <w:spacing w:after="0"/>
              <w:rPr>
                <w:sz w:val="20"/>
                <w:szCs w:val="20"/>
                <w:color w:val="auto"/>
              </w:rPr>
            </w:pPr>
            <w:r>
              <w:rPr>
                <w:rFonts w:ascii="Arial" w:cs="Arial" w:eastAsia="Arial" w:hAnsi="Arial"/>
                <w:sz w:val="18"/>
                <w:szCs w:val="18"/>
                <w:color w:val="auto"/>
              </w:rPr>
              <w:t>Americas</w:t>
            </w:r>
          </w:p>
        </w:tc>
        <w:tc>
          <w:tcPr>
            <w:tcW w:w="3740" w:type="dxa"/>
            <w:vAlign w:val="bottom"/>
          </w:tcPr>
          <w:p>
            <w:pPr>
              <w:spacing w:after="0"/>
              <w:rPr>
                <w:sz w:val="20"/>
                <w:szCs w:val="20"/>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1,776</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1,742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70"/>
        </w:trPr>
        <w:tc>
          <w:tcPr>
            <w:tcW w:w="452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80"/>
        </w:trPr>
        <w:tc>
          <w:tcPr>
            <w:tcW w:w="4520" w:type="dxa"/>
            <w:vAlign w:val="bottom"/>
            <w:gridSpan w:val="2"/>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(c)</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50"/>
        </w:trPr>
        <w:tc>
          <w:tcPr>
            <w:tcW w:w="4520" w:type="dxa"/>
            <w:vAlign w:val="bottom"/>
            <w:gridSpan w:val="2"/>
          </w:tcPr>
          <w:p>
            <w:pPr>
              <w:ind w:left="400"/>
              <w:spacing w:after="0"/>
              <w:rPr>
                <w:sz w:val="20"/>
                <w:szCs w:val="20"/>
                <w:color w:val="auto"/>
              </w:rPr>
            </w:pPr>
            <w:r>
              <w:rPr>
                <w:rFonts w:ascii="Arial" w:cs="Arial" w:eastAsia="Arial" w:hAnsi="Arial"/>
                <w:sz w:val="18"/>
                <w:szCs w:val="18"/>
                <w:color w:val="auto"/>
              </w:rPr>
              <w:t>Total Company</w:t>
            </w: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2,542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0"/>
        </w:trPr>
        <w:tc>
          <w:tcPr>
            <w:tcW w:w="7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511"/>
        </w:trPr>
        <w:tc>
          <w:tcPr>
            <w:tcW w:w="780" w:type="dxa"/>
            <w:vAlign w:val="bottom"/>
          </w:tcPr>
          <w:p>
            <w:pPr>
              <w:spacing w:after="0"/>
              <w:rPr>
                <w:sz w:val="20"/>
                <w:szCs w:val="20"/>
                <w:color w:val="auto"/>
              </w:rPr>
            </w:pPr>
            <w:r>
              <w:rPr>
                <w:rFonts w:ascii="Arial" w:cs="Arial" w:eastAsia="Arial" w:hAnsi="Arial"/>
                <w:sz w:val="18"/>
                <w:szCs w:val="18"/>
                <w:color w:val="auto"/>
              </w:rPr>
              <w:t>Less:</w:t>
            </w:r>
          </w:p>
        </w:tc>
        <w:tc>
          <w:tcPr>
            <w:tcW w:w="4000" w:type="dxa"/>
            <w:vAlign w:val="bottom"/>
            <w:gridSpan w:val="2"/>
          </w:tcPr>
          <w:p>
            <w:pPr>
              <w:ind w:left="20"/>
              <w:spacing w:after="0"/>
              <w:rPr>
                <w:sz w:val="20"/>
                <w:szCs w:val="20"/>
                <w:color w:val="auto"/>
              </w:rPr>
            </w:pPr>
            <w:r>
              <w:rPr>
                <w:rFonts w:ascii="Arial" w:cs="Arial" w:eastAsia="Arial" w:hAnsi="Arial"/>
                <w:sz w:val="18"/>
                <w:szCs w:val="18"/>
                <w:color w:val="auto"/>
                <w:w w:val="99"/>
              </w:rPr>
              <w:t>Non-vehicle related depreciation and amortization</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780" w:type="dxa"/>
            <w:vAlign w:val="bottom"/>
          </w:tcPr>
          <w:p>
            <w:pPr>
              <w:spacing w:after="0"/>
              <w:rPr>
                <w:sz w:val="23"/>
                <w:szCs w:val="23"/>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Interest expense related to corporate debt, net</w:t>
            </w: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780" w:type="dxa"/>
            <w:vAlign w:val="bottom"/>
          </w:tcPr>
          <w:p>
            <w:pPr>
              <w:spacing w:after="0"/>
              <w:rPr>
                <w:sz w:val="23"/>
                <w:szCs w:val="23"/>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Transaction-related costs</w:t>
            </w: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5"/>
        </w:trPr>
        <w:tc>
          <w:tcPr>
            <w:tcW w:w="780" w:type="dxa"/>
            <w:vAlign w:val="bottom"/>
          </w:tcPr>
          <w:p>
            <w:pPr>
              <w:spacing w:after="0"/>
              <w:rPr>
                <w:sz w:val="23"/>
                <w:szCs w:val="23"/>
                <w:color w:val="auto"/>
              </w:rPr>
            </w:pPr>
          </w:p>
        </w:tc>
        <w:tc>
          <w:tcPr>
            <w:tcW w:w="3740" w:type="dxa"/>
            <w:vAlign w:val="bottom"/>
          </w:tcPr>
          <w:p>
            <w:pPr>
              <w:ind w:left="2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59"/>
        </w:trPr>
        <w:tc>
          <w:tcPr>
            <w:tcW w:w="452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-1905</wp:posOffset>
            </wp:positionV>
            <wp:extent cx="8661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-1905</wp:posOffset>
            </wp:positionV>
            <wp:extent cx="8661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-113030</wp:posOffset>
            </wp:positionV>
            <wp:extent cx="8661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-113030</wp:posOffset>
            </wp:positionV>
            <wp:extent cx="8661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 w:lineRule="exact"/>
        <w:rPr>
          <w:sz w:val="20"/>
          <w:szCs w:val="20"/>
          <w:color w:val="auto"/>
        </w:rPr>
      </w:pPr>
    </w:p>
    <w:p>
      <w:pPr>
        <w:ind w:left="500" w:right="260"/>
        <w:spacing w:after="0" w:line="243" w:lineRule="auto"/>
        <w:rPr>
          <w:sz w:val="20"/>
          <w:szCs w:val="20"/>
          <w:color w:val="auto"/>
        </w:rPr>
      </w:pPr>
      <w:r>
        <w:rPr>
          <w:rFonts w:ascii="Arial" w:cs="Arial" w:eastAsia="Arial" w:hAnsi="Arial"/>
          <w:sz w:val="16"/>
          <w:szCs w:val="16"/>
          <w:color w:val="auto"/>
        </w:rPr>
        <w:t>Previously reported amounts were recast for a change in the Company’s reportable segments. The financial results of the Company’s North America, South America, Central America and Caribbean operations are now reported in the Company’s Americas segment.</w:t>
      </w:r>
    </w:p>
    <w:p>
      <w:pPr>
        <w:ind w:left="820" w:right="260" w:hanging="326"/>
        <w:spacing w:after="0" w:line="210" w:lineRule="auto"/>
        <w:tabs>
          <w:tab w:leader="none" w:pos="82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As a result of the change in the Company’s reportable segments, $15 million of revenues previously reported in International are now reported in the Americas in the three months ended September 30, 2014.</w:t>
      </w:r>
    </w:p>
    <w:p>
      <w:pPr>
        <w:ind w:left="820" w:right="40" w:hanging="326"/>
        <w:spacing w:after="0" w:line="207" w:lineRule="auto"/>
        <w:tabs>
          <w:tab w:leader="none" w:pos="82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As a result of the change in the Company’s reportable segments, $2 million of Adjusted EBITDA previously reported in International is now reported in the Americas in the three months ended September 30, 2014.</w:t>
      </w:r>
    </w:p>
    <w:p>
      <w:pPr>
        <w:spacing w:after="0" w:line="1" w:lineRule="exact"/>
        <w:rPr>
          <w:rFonts w:ascii="Arial" w:cs="Arial" w:eastAsia="Arial" w:hAnsi="Arial"/>
          <w:sz w:val="22"/>
          <w:szCs w:val="22"/>
          <w:color w:val="auto"/>
          <w:vertAlign w:val="superscript"/>
        </w:rPr>
      </w:pPr>
    </w:p>
    <w:p>
      <w:pPr>
        <w:ind w:left="820" w:hanging="326"/>
        <w:spacing w:after="0" w:line="188" w:lineRule="auto"/>
        <w:tabs>
          <w:tab w:leader="none" w:pos="820" w:val="left"/>
        </w:tabs>
        <w:numPr>
          <w:ilvl w:val="0"/>
          <w:numId w:val="32"/>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5"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506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668"/>
        </w:trPr>
        <w:tc>
          <w:tcPr>
            <w:tcW w:w="1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ind w:left="60"/>
              <w:spacing w:after="0"/>
              <w:rPr>
                <w:sz w:val="20"/>
                <w:szCs w:val="20"/>
                <w:color w:val="auto"/>
              </w:rPr>
            </w:pPr>
            <w:r>
              <w:rPr>
                <w:rFonts w:ascii="Arial" w:cs="Arial" w:eastAsia="Arial" w:hAnsi="Arial"/>
                <w:sz w:val="18"/>
                <w:szCs w:val="18"/>
                <w:b w:val="1"/>
                <w:bCs w:val="1"/>
                <w:color w:val="auto"/>
              </w:rPr>
              <w:t>Nine Months Ended September 30,</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64"/>
        </w:trPr>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2015</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2014</w:t>
            </w:r>
          </w:p>
        </w:tc>
        <w:tc>
          <w:tcPr>
            <w:tcW w:w="1160" w:type="dxa"/>
            <w:vAlign w:val="bottom"/>
            <w:tcBorders>
              <w:bottom w:val="single" w:sz="8" w:color="auto"/>
            </w:tcBorders>
          </w:tcPr>
          <w:p>
            <w:pPr>
              <w:spacing w:after="0"/>
              <w:rPr>
                <w:sz w:val="22"/>
                <w:szCs w:val="22"/>
                <w:color w:val="auto"/>
              </w:rPr>
            </w:pPr>
          </w:p>
        </w:tc>
      </w:tr>
      <w:tr>
        <w:trPr>
          <w:trHeight w:val="199"/>
        </w:trPr>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210"/>
              <w:spacing w:after="0" w:line="199" w:lineRule="exact"/>
              <w:rPr>
                <w:sz w:val="20"/>
                <w:szCs w:val="20"/>
                <w:color w:val="auto"/>
              </w:rPr>
            </w:pPr>
            <w:r>
              <w:rPr>
                <w:rFonts w:ascii="Arial" w:cs="Arial" w:eastAsia="Arial" w:hAnsi="Arial"/>
                <w:sz w:val="18"/>
                <w:szCs w:val="18"/>
                <w:b w:val="1"/>
                <w:bCs w:val="1"/>
                <w:color w:val="auto"/>
              </w:rPr>
              <w:t>Adjusted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10"/>
              <w:spacing w:after="0" w:line="199" w:lineRule="exact"/>
              <w:rPr>
                <w:sz w:val="20"/>
                <w:szCs w:val="20"/>
                <w:color w:val="auto"/>
              </w:rPr>
            </w:pPr>
            <w:r>
              <w:rPr>
                <w:rFonts w:ascii="Arial" w:cs="Arial" w:eastAsia="Arial" w:hAnsi="Arial"/>
                <w:sz w:val="18"/>
                <w:szCs w:val="18"/>
                <w:b w:val="1"/>
                <w:bCs w:val="1"/>
                <w:color w:val="auto"/>
              </w:rPr>
              <w:t>Adjusted</w:t>
            </w:r>
          </w:p>
        </w:tc>
      </w:tr>
      <w:tr>
        <w:trPr>
          <w:trHeight w:val="254"/>
        </w:trPr>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Revenues</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EBITDA</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 xml:space="preserve">Revenues </w:t>
            </w:r>
            <w:r>
              <w:rPr>
                <w:rFonts w:ascii="Arial" w:cs="Arial" w:eastAsia="Arial" w:hAnsi="Arial"/>
                <w:sz w:val="21"/>
                <w:szCs w:val="21"/>
                <w:b w:val="1"/>
                <w:bCs w:val="1"/>
                <w:color w:val="auto"/>
                <w:w w:val="95"/>
                <w:vertAlign w:val="superscript"/>
              </w:rPr>
              <w:t>(a)</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xml:space="preserve">EBITDA </w:t>
            </w:r>
            <w:r>
              <w:rPr>
                <w:rFonts w:ascii="Arial" w:cs="Arial" w:eastAsia="Arial" w:hAnsi="Arial"/>
                <w:sz w:val="21"/>
                <w:szCs w:val="21"/>
                <w:b w:val="1"/>
                <w:bCs w:val="1"/>
                <w:color w:val="auto"/>
                <w:vertAlign w:val="superscript"/>
              </w:rPr>
              <w:t>(b)</w:t>
            </w:r>
          </w:p>
        </w:tc>
      </w:tr>
      <w:tr>
        <w:trPr>
          <w:trHeight w:val="241"/>
        </w:trPr>
        <w:tc>
          <w:tcPr>
            <w:tcW w:w="1300" w:type="dxa"/>
            <w:vAlign w:val="bottom"/>
          </w:tcPr>
          <w:p>
            <w:pPr>
              <w:ind w:left="520"/>
              <w:spacing w:after="0"/>
              <w:rPr>
                <w:sz w:val="20"/>
                <w:szCs w:val="20"/>
                <w:color w:val="auto"/>
              </w:rPr>
            </w:pPr>
            <w:r>
              <w:rPr>
                <w:rFonts w:ascii="Arial" w:cs="Arial" w:eastAsia="Arial" w:hAnsi="Arial"/>
                <w:sz w:val="18"/>
                <w:szCs w:val="18"/>
                <w:color w:val="auto"/>
              </w:rPr>
              <w:t>Americas</w:t>
            </w:r>
          </w:p>
        </w:tc>
        <w:tc>
          <w:tcPr>
            <w:tcW w:w="1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4,707</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562</w:t>
            </w:r>
          </w:p>
        </w:tc>
      </w:tr>
      <w:tr>
        <w:trPr>
          <w:trHeight w:val="270"/>
        </w:trPr>
        <w:tc>
          <w:tcPr>
            <w:tcW w:w="5060" w:type="dxa"/>
            <w:vAlign w:val="bottom"/>
            <w:gridSpan w:val="4"/>
          </w:tcPr>
          <w:p>
            <w:pPr>
              <w:ind w:left="520"/>
              <w:spacing w:after="0"/>
              <w:rPr>
                <w:sz w:val="20"/>
                <w:szCs w:val="20"/>
                <w:color w:val="auto"/>
              </w:rPr>
            </w:pPr>
            <w:r>
              <w:rPr>
                <w:rFonts w:ascii="Arial" w:cs="Arial" w:eastAsia="Arial" w:hAnsi="Arial"/>
                <w:sz w:val="18"/>
                <w:szCs w:val="18"/>
                <w:color w:val="auto"/>
              </w:rPr>
              <w:t>International</w:t>
            </w:r>
          </w:p>
        </w:tc>
        <w:tc>
          <w:tcPr>
            <w:tcW w:w="2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1,893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w:t>
            </w:r>
          </w:p>
        </w:tc>
      </w:tr>
      <w:tr>
        <w:trPr>
          <w:trHeight w:val="280"/>
        </w:trPr>
        <w:tc>
          <w:tcPr>
            <w:tcW w:w="5040" w:type="dxa"/>
            <w:vAlign w:val="bottom"/>
            <w:gridSpan w:val="3"/>
          </w:tcPr>
          <w:p>
            <w:pPr>
              <w:ind w:left="5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(c)</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r>
      <w:tr>
        <w:trPr>
          <w:trHeight w:val="250"/>
        </w:trPr>
        <w:tc>
          <w:tcPr>
            <w:tcW w:w="5060" w:type="dxa"/>
            <w:vAlign w:val="bottom"/>
            <w:gridSpan w:val="4"/>
          </w:tcPr>
          <w:p>
            <w:pPr>
              <w:ind w:left="920"/>
              <w:spacing w:after="0"/>
              <w:rPr>
                <w:sz w:val="20"/>
                <w:szCs w:val="20"/>
                <w:color w:val="auto"/>
              </w:rPr>
            </w:pPr>
            <w:r>
              <w:rPr>
                <w:rFonts w:ascii="Arial" w:cs="Arial" w:eastAsia="Arial" w:hAnsi="Arial"/>
                <w:sz w:val="18"/>
                <w:szCs w:val="18"/>
                <w:color w:val="auto"/>
              </w:rPr>
              <w:t>Total Company</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775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6,598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747</w:t>
            </w:r>
          </w:p>
        </w:tc>
      </w:tr>
      <w:tr>
        <w:trPr>
          <w:trHeight w:val="20"/>
        </w:trPr>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71"/>
        </w:trPr>
        <w:tc>
          <w:tcPr>
            <w:tcW w:w="1300" w:type="dxa"/>
            <w:vAlign w:val="bottom"/>
          </w:tcPr>
          <w:p>
            <w:pPr>
              <w:ind w:left="520"/>
              <w:spacing w:after="0"/>
              <w:rPr>
                <w:sz w:val="20"/>
                <w:szCs w:val="20"/>
                <w:color w:val="auto"/>
              </w:rPr>
            </w:pPr>
            <w:r>
              <w:rPr>
                <w:rFonts w:ascii="Arial" w:cs="Arial" w:eastAsia="Arial" w:hAnsi="Arial"/>
                <w:sz w:val="18"/>
                <w:szCs w:val="18"/>
                <w:color w:val="auto"/>
              </w:rPr>
              <w:t>Less:</w:t>
            </w:r>
          </w:p>
        </w:tc>
        <w:tc>
          <w:tcPr>
            <w:tcW w:w="4000" w:type="dxa"/>
            <w:vAlign w:val="bottom"/>
            <w:gridSpan w:val="4"/>
          </w:tcPr>
          <w:p>
            <w:pPr>
              <w:ind w:left="20"/>
              <w:spacing w:after="0"/>
              <w:rPr>
                <w:sz w:val="20"/>
                <w:szCs w:val="20"/>
                <w:color w:val="auto"/>
              </w:rPr>
            </w:pPr>
            <w:r>
              <w:rPr>
                <w:rFonts w:ascii="Arial" w:cs="Arial" w:eastAsia="Arial" w:hAnsi="Arial"/>
                <w:sz w:val="18"/>
                <w:szCs w:val="18"/>
                <w:color w:val="auto"/>
                <w:w w:val="99"/>
              </w:rPr>
              <w:t>Non-vehicle related depreciation and amortization</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70"/>
        </w:trPr>
        <w:tc>
          <w:tcPr>
            <w:tcW w:w="1300" w:type="dxa"/>
            <w:vAlign w:val="bottom"/>
          </w:tcPr>
          <w:p>
            <w:pPr>
              <w:spacing w:after="0"/>
              <w:rPr>
                <w:sz w:val="23"/>
                <w:szCs w:val="23"/>
                <w:color w:val="auto"/>
              </w:rPr>
            </w:pPr>
          </w:p>
        </w:tc>
        <w:tc>
          <w:tcPr>
            <w:tcW w:w="3760" w:type="dxa"/>
            <w:vAlign w:val="bottom"/>
            <w:gridSpan w:val="3"/>
          </w:tcPr>
          <w:p>
            <w:pPr>
              <w:ind w:left="20"/>
              <w:spacing w:after="0"/>
              <w:rPr>
                <w:sz w:val="20"/>
                <w:szCs w:val="20"/>
                <w:color w:val="auto"/>
              </w:rPr>
            </w:pPr>
            <w:r>
              <w:rPr>
                <w:rFonts w:ascii="Arial" w:cs="Arial" w:eastAsia="Arial" w:hAnsi="Arial"/>
                <w:sz w:val="18"/>
                <w:szCs w:val="18"/>
                <w:color w:val="auto"/>
                <w:w w:val="99"/>
              </w:rPr>
              <w:t>Interest expense related to corporate debt, net:</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70"/>
        </w:trPr>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2"/>
          </w:tcPr>
          <w:p>
            <w:pPr>
              <w:ind w:left="12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1300" w:type="dxa"/>
            <w:vAlign w:val="bottom"/>
          </w:tcPr>
          <w:p>
            <w:pPr>
              <w:spacing w:after="0"/>
              <w:rPr>
                <w:sz w:val="23"/>
                <w:szCs w:val="23"/>
                <w:color w:val="auto"/>
              </w:rPr>
            </w:pPr>
          </w:p>
        </w:tc>
        <w:tc>
          <w:tcPr>
            <w:tcW w:w="3760" w:type="dxa"/>
            <w:vAlign w:val="bottom"/>
            <w:gridSpan w:val="3"/>
          </w:tcPr>
          <w:p>
            <w:pPr>
              <w:ind w:left="20"/>
              <w:spacing w:after="0"/>
              <w:rPr>
                <w:sz w:val="20"/>
                <w:szCs w:val="20"/>
                <w:color w:val="auto"/>
              </w:rPr>
            </w:pPr>
            <w:r>
              <w:rPr>
                <w:rFonts w:ascii="Arial" w:cs="Arial" w:eastAsia="Arial" w:hAnsi="Arial"/>
                <w:sz w:val="18"/>
                <w:szCs w:val="18"/>
                <w:color w:val="auto"/>
              </w:rPr>
              <w:t>Transaction-related costs</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5"/>
        </w:trPr>
        <w:tc>
          <w:tcPr>
            <w:tcW w:w="1300" w:type="dxa"/>
            <w:vAlign w:val="bottom"/>
          </w:tcPr>
          <w:p>
            <w:pPr>
              <w:spacing w:after="0"/>
              <w:rPr>
                <w:sz w:val="23"/>
                <w:szCs w:val="23"/>
                <w:color w:val="auto"/>
              </w:rPr>
            </w:pPr>
          </w:p>
        </w:tc>
        <w:tc>
          <w:tcPr>
            <w:tcW w:w="3760" w:type="dxa"/>
            <w:vAlign w:val="bottom"/>
            <w:gridSpan w:val="3"/>
          </w:tcPr>
          <w:p>
            <w:pPr>
              <w:ind w:left="20"/>
              <w:spacing w:after="0"/>
              <w:rPr>
                <w:sz w:val="20"/>
                <w:szCs w:val="20"/>
                <w:color w:val="auto"/>
              </w:rPr>
            </w:pPr>
            <w:r>
              <w:rPr>
                <w:rFonts w:ascii="Arial" w:cs="Arial" w:eastAsia="Arial" w:hAnsi="Arial"/>
                <w:sz w:val="18"/>
                <w:szCs w:val="18"/>
                <w:color w:val="auto"/>
              </w:rPr>
              <w:t>Restructuring expense</w:t>
            </w:r>
          </w:p>
        </w:tc>
        <w:tc>
          <w:tcPr>
            <w:tcW w:w="2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59"/>
        </w:trPr>
        <w:tc>
          <w:tcPr>
            <w:tcW w:w="5060" w:type="dxa"/>
            <w:vAlign w:val="bottom"/>
            <w:gridSpan w:val="4"/>
          </w:tcPr>
          <w:p>
            <w:pPr>
              <w:ind w:left="52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-1905</wp:posOffset>
            </wp:positionV>
            <wp:extent cx="8661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-1905</wp:posOffset>
            </wp:positionV>
            <wp:extent cx="866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ind w:left="500"/>
        <w:spacing w:after="0"/>
        <w:rPr>
          <w:sz w:val="20"/>
          <w:szCs w:val="20"/>
          <w:color w:val="auto"/>
        </w:rPr>
      </w:pPr>
      <w:r>
        <w:rPr>
          <w:rFonts w:ascii="Arial" w:cs="Arial" w:eastAsia="Arial" w:hAnsi="Arial"/>
          <w:sz w:val="16"/>
          <w:szCs w:val="16"/>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-113030</wp:posOffset>
            </wp:positionV>
            <wp:extent cx="8661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-113030</wp:posOffset>
            </wp:positionV>
            <wp:extent cx="8661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 w:lineRule="exact"/>
        <w:rPr>
          <w:sz w:val="20"/>
          <w:szCs w:val="20"/>
          <w:color w:val="auto"/>
        </w:rPr>
      </w:pPr>
    </w:p>
    <w:p>
      <w:pPr>
        <w:ind w:left="500" w:right="260"/>
        <w:spacing w:after="0" w:line="243" w:lineRule="auto"/>
        <w:rPr>
          <w:sz w:val="20"/>
          <w:szCs w:val="20"/>
          <w:color w:val="auto"/>
        </w:rPr>
      </w:pPr>
      <w:r>
        <w:rPr>
          <w:rFonts w:ascii="Arial" w:cs="Arial" w:eastAsia="Arial" w:hAnsi="Arial"/>
          <w:sz w:val="16"/>
          <w:szCs w:val="16"/>
          <w:color w:val="auto"/>
        </w:rPr>
        <w:t>Previously reported amounts were recast for a change in the Company’s reportable segments. The financial results of the Company’s North America, South America, Central America and Caribbean operations are now reported in the Company’s Americas segment.</w:t>
      </w:r>
    </w:p>
    <w:p>
      <w:pPr>
        <w:ind w:left="820" w:right="260" w:hanging="326"/>
        <w:spacing w:after="0" w:line="210" w:lineRule="auto"/>
        <w:tabs>
          <w:tab w:leader="none" w:pos="82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As a result of the change in the Company’s reportable segments, $49 million of revenues previously reported in International are now reported in the Americas in the nine months ended September 30, 2014.</w:t>
      </w:r>
    </w:p>
    <w:p>
      <w:pPr>
        <w:ind w:left="820" w:right="40" w:hanging="326"/>
        <w:spacing w:after="0" w:line="207" w:lineRule="auto"/>
        <w:tabs>
          <w:tab w:leader="none" w:pos="82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As a result of the change in the Company’s reportable segments, $7 million of Adjusted EBITDA previously reported in International is now reported in the Americas in the nine months ended September 30, 2014.</w:t>
      </w:r>
    </w:p>
    <w:p>
      <w:pPr>
        <w:spacing w:after="0" w:line="1" w:lineRule="exact"/>
        <w:rPr>
          <w:rFonts w:ascii="Arial" w:cs="Arial" w:eastAsia="Arial" w:hAnsi="Arial"/>
          <w:sz w:val="22"/>
          <w:szCs w:val="22"/>
          <w:color w:val="auto"/>
          <w:vertAlign w:val="superscript"/>
        </w:rPr>
      </w:pPr>
    </w:p>
    <w:p>
      <w:pPr>
        <w:ind w:left="820" w:hanging="326"/>
        <w:spacing w:after="0" w:line="188" w:lineRule="auto"/>
        <w:tabs>
          <w:tab w:leader="none" w:pos="82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spacing w:after="0" w:line="182" w:lineRule="exact"/>
        <w:rPr>
          <w:sz w:val="20"/>
          <w:szCs w:val="20"/>
          <w:color w:val="auto"/>
        </w:rPr>
      </w:pPr>
    </w:p>
    <w:p>
      <w:pPr>
        <w:ind w:left="500" w:right="40"/>
        <w:spacing w:after="0" w:line="271" w:lineRule="auto"/>
        <w:rPr>
          <w:sz w:val="20"/>
          <w:szCs w:val="20"/>
          <w:color w:val="auto"/>
        </w:rPr>
      </w:pPr>
      <w:r>
        <w:rPr>
          <w:rFonts w:ascii="Arial" w:cs="Arial" w:eastAsia="Arial" w:hAnsi="Arial"/>
          <w:sz w:val="18"/>
          <w:szCs w:val="18"/>
          <w:color w:val="auto"/>
        </w:rPr>
        <w:t>Since December 31, 2014, there have been no significant changes in segment assets other than in the Company’s International segment assets under vehicle programs. As of September 30, 2015 and December 31, 2014, International assets under vehicle programs were approximately $2.8 billion and $1.9 billion, respectively.</w:t>
      </w:r>
    </w:p>
    <w:p>
      <w:pPr>
        <w:spacing w:after="0" w:line="161" w:lineRule="exact"/>
        <w:rPr>
          <w:sz w:val="20"/>
          <w:szCs w:val="20"/>
          <w:color w:val="auto"/>
        </w:rPr>
      </w:pPr>
    </w:p>
    <w:p>
      <w:pPr>
        <w:ind w:left="500" w:hanging="492"/>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and Non-Guarantor Consolidating Condensed Financial Statements</w:t>
      </w:r>
    </w:p>
    <w:p>
      <w:pPr>
        <w:spacing w:after="0" w:line="227" w:lineRule="exact"/>
        <w:rPr>
          <w:rFonts w:ascii="Arial" w:cs="Arial" w:eastAsia="Arial" w:hAnsi="Arial"/>
          <w:sz w:val="18"/>
          <w:szCs w:val="18"/>
          <w:b w:val="1"/>
          <w:bCs w:val="1"/>
          <w:color w:val="auto"/>
        </w:rPr>
      </w:pPr>
    </w:p>
    <w:p>
      <w:pPr>
        <w:ind w:left="500" w:right="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following consolidating financial information presents Consolidating Condensed Statements of Comprehensive Income for the three and nine months ended September 30, 2015 and 2014, Consolidating Condensed Balance Sheets as of September 30, 2015 and December 31, 2014, and Consolidating Condensed Statements of Cash Flows for the nine months ended September 30, 2015 and 2014 for: (i) Avis Budget Group, Inc. (the “Parent”); (ii) ABCR and Avis Budget Finance, Inc. (the “Subsidiary Issuers”); (iii) the guarantor subsidiaries; (iv) the non-guarantor subsidiaries; (v) elimination entries necessary to consolidate the Parent with the Subsidiary Issuers, and the guarantor and non-guarantor subsidiaries; and (vi) the Company on a consolidated basis. The Subsidiary Issuers and the guarantor and non-guarantor subsidiaries are 100% owned by the Parent, either directly or indirectly. All guarantees are full and unconditional and joint and several. This financial information is being presented in relation to the Company’s guarantee of the payment of principal, premium (if any) and interest on the notes issued by the Subsidiary Issuers. See Note 9 - Long-term Debt and Borrowing Arrangements for additional description of these guaranteed notes. The Senior Notes have separate investors than the equity investors of the Company and are guaranteed by the Parent and certain subsidiaries.</w:t>
      </w:r>
    </w:p>
    <w:p>
      <w:pPr>
        <w:spacing w:after="0" w:line="183" w:lineRule="exact"/>
        <w:rPr>
          <w:rFonts w:ascii="Arial" w:cs="Arial" w:eastAsia="Arial" w:hAnsi="Arial"/>
          <w:sz w:val="18"/>
          <w:szCs w:val="18"/>
          <w:b w:val="1"/>
          <w:bCs w:val="1"/>
          <w:color w:val="auto"/>
        </w:rPr>
      </w:pPr>
    </w:p>
    <w:p>
      <w:pPr>
        <w:ind w:lef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Investments in subsidiaries are accounted for using the equity method of accounting for purposes of the consolidating presentation. The principal elimination entries relate to investments in subsidiaries and intercompany balances and transactions. For purposes of the accompanying Consolidating Condensed Statements of Comprehensive Income, certain expenses incurred by the Subsidiary Issuers are allocated to the guarantor and non-guarantor subsidiaries.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08"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Comprehensive Income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September 30, 2015</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180"/>
              <w:spacing w:after="0"/>
              <w:rPr>
                <w:sz w:val="20"/>
                <w:szCs w:val="20"/>
                <w:color w:val="auto"/>
              </w:rPr>
            </w:pPr>
            <w:r>
              <w:rPr>
                <w:rFonts w:ascii="Arial" w:cs="Arial" w:eastAsia="Arial" w:hAnsi="Arial"/>
                <w:sz w:val="14"/>
                <w:szCs w:val="14"/>
                <w:color w:val="auto"/>
              </w:rPr>
              <w:t>Vehicle rental</w:t>
            </w:r>
          </w:p>
        </w:tc>
        <w:tc>
          <w:tcPr>
            <w:tcW w:w="8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1,196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1,832</w:t>
            </w:r>
          </w:p>
        </w:tc>
        <w:tc>
          <w:tcPr>
            <w:tcW w:w="0" w:type="dxa"/>
            <w:vAlign w:val="bottom"/>
          </w:tcPr>
          <w:p>
            <w:pPr>
              <w:spacing w:after="0"/>
              <w:rPr>
                <w:sz w:val="1"/>
                <w:szCs w:val="1"/>
                <w:color w:val="auto"/>
              </w:rPr>
            </w:pPr>
          </w:p>
        </w:tc>
      </w:tr>
      <w:tr>
        <w:trPr>
          <w:trHeight w:val="274"/>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951</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745</w:t>
            </w:r>
          </w:p>
        </w:tc>
        <w:tc>
          <w:tcPr>
            <w:tcW w:w="0" w:type="dxa"/>
            <w:vAlign w:val="bottom"/>
          </w:tcPr>
          <w:p>
            <w:pPr>
              <w:spacing w:after="0"/>
              <w:rPr>
                <w:sz w:val="1"/>
                <w:szCs w:val="1"/>
                <w:color w:val="auto"/>
              </w:rPr>
            </w:pPr>
          </w:p>
        </w:tc>
      </w:tr>
      <w:tr>
        <w:trPr>
          <w:trHeight w:val="248"/>
        </w:trPr>
        <w:tc>
          <w:tcPr>
            <w:tcW w:w="3540" w:type="dxa"/>
            <w:vAlign w:val="bottom"/>
          </w:tcPr>
          <w:p>
            <w:pPr>
              <w:spacing w:after="0"/>
              <w:rPr>
                <w:sz w:val="20"/>
                <w:szCs w:val="20"/>
                <w:color w:val="auto"/>
              </w:rPr>
            </w:pPr>
            <w:r>
              <w:rPr>
                <w:rFonts w:ascii="Arial" w:cs="Arial" w:eastAsia="Arial" w:hAnsi="Arial"/>
                <w:sz w:val="14"/>
                <w:szCs w:val="14"/>
                <w:color w:val="auto"/>
              </w:rPr>
              <w:t>Net revenues</w:t>
            </w:r>
          </w:p>
        </w:tc>
        <w:tc>
          <w:tcPr>
            <w:tcW w:w="8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2,577</w:t>
            </w:r>
          </w:p>
        </w:tc>
        <w:tc>
          <w:tcPr>
            <w:tcW w:w="0" w:type="dxa"/>
            <w:vAlign w:val="bottom"/>
          </w:tcPr>
          <w:p>
            <w:pPr>
              <w:spacing w:after="0"/>
              <w:rPr>
                <w:sz w:val="1"/>
                <w:szCs w:val="1"/>
                <w:color w:val="auto"/>
              </w:rPr>
            </w:pPr>
          </w:p>
        </w:tc>
      </w:tr>
      <w:tr>
        <w:trPr>
          <w:trHeight w:val="525"/>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716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1,202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Transaction-related costs</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74"/>
        </w:trPr>
        <w:tc>
          <w:tcPr>
            <w:tcW w:w="3540" w:type="dxa"/>
            <w:vAlign w:val="bottom"/>
          </w:tcPr>
          <w:p>
            <w:pPr>
              <w:ind w:left="180"/>
              <w:spacing w:after="0"/>
              <w:rPr>
                <w:sz w:val="20"/>
                <w:szCs w:val="20"/>
                <w:color w:val="auto"/>
              </w:rPr>
            </w:pPr>
            <w:r>
              <w:rPr>
                <w:rFonts w:ascii="Arial" w:cs="Arial" w:eastAsia="Arial" w:hAnsi="Arial"/>
                <w:sz w:val="14"/>
                <w:szCs w:val="14"/>
                <w:color w:val="auto"/>
              </w:rPr>
              <w:t>Restructuring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48"/>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1,474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1,282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2,265</w:t>
            </w:r>
          </w:p>
        </w:tc>
        <w:tc>
          <w:tcPr>
            <w:tcW w:w="0" w:type="dxa"/>
            <w:vAlign w:val="bottom"/>
          </w:tcPr>
          <w:p>
            <w:pPr>
              <w:spacing w:after="0"/>
              <w:rPr>
                <w:sz w:val="1"/>
                <w:szCs w:val="1"/>
                <w:color w:val="auto"/>
              </w:rPr>
            </w:pPr>
          </w:p>
        </w:tc>
      </w:tr>
      <w:tr>
        <w:trPr>
          <w:trHeight w:val="160"/>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54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312</w:t>
            </w: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74"/>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184</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54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(569)</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1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2015</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180"/>
              <w:spacing w:after="0"/>
              <w:rPr>
                <w:sz w:val="20"/>
                <w:szCs w:val="20"/>
                <w:color w:val="auto"/>
              </w:rPr>
            </w:pPr>
            <w:r>
              <w:rPr>
                <w:rFonts w:ascii="Arial" w:cs="Arial" w:eastAsia="Arial" w:hAnsi="Arial"/>
                <w:sz w:val="14"/>
                <w:szCs w:val="14"/>
                <w:color w:val="auto"/>
              </w:rPr>
              <w:t>Vehicle rental</w:t>
            </w:r>
          </w:p>
        </w:tc>
        <w:tc>
          <w:tcPr>
            <w:tcW w:w="8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3,193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1,491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4,684</w:t>
            </w:r>
          </w:p>
        </w:tc>
        <w:tc>
          <w:tcPr>
            <w:tcW w:w="0" w:type="dxa"/>
            <w:vAlign w:val="bottom"/>
          </w:tcPr>
          <w:p>
            <w:pPr>
              <w:spacing w:after="0"/>
              <w:rPr>
                <w:sz w:val="1"/>
                <w:szCs w:val="1"/>
                <w:color w:val="auto"/>
              </w:rPr>
            </w:pPr>
          </w:p>
        </w:tc>
      </w:tr>
      <w:tr>
        <w:trPr>
          <w:trHeight w:val="272"/>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910</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2,570</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(1,564)</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1,916</w:t>
            </w:r>
          </w:p>
        </w:tc>
        <w:tc>
          <w:tcPr>
            <w:tcW w:w="0" w:type="dxa"/>
            <w:vAlign w:val="bottom"/>
          </w:tcPr>
          <w:p>
            <w:pPr>
              <w:spacing w:after="0"/>
              <w:rPr>
                <w:sz w:val="1"/>
                <w:szCs w:val="1"/>
                <w:color w:val="auto"/>
              </w:rPr>
            </w:pPr>
          </w:p>
        </w:tc>
      </w:tr>
      <w:tr>
        <w:trPr>
          <w:trHeight w:val="255"/>
        </w:trPr>
        <w:tc>
          <w:tcPr>
            <w:tcW w:w="3540" w:type="dxa"/>
            <w:vAlign w:val="bottom"/>
          </w:tcPr>
          <w:p>
            <w:pPr>
              <w:spacing w:after="0"/>
              <w:rPr>
                <w:sz w:val="20"/>
                <w:szCs w:val="20"/>
                <w:color w:val="auto"/>
              </w:rPr>
            </w:pPr>
            <w:r>
              <w:rPr>
                <w:rFonts w:ascii="Arial" w:cs="Arial" w:eastAsia="Arial" w:hAnsi="Arial"/>
                <w:sz w:val="14"/>
                <w:szCs w:val="14"/>
                <w:b w:val="1"/>
                <w:bCs w:val="1"/>
                <w:color w:val="auto"/>
              </w:rPr>
              <w:t>Net revenues</w:t>
            </w:r>
          </w:p>
        </w:tc>
        <w:tc>
          <w:tcPr>
            <w:tcW w:w="86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4,103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4,061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(1,564)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6,600</w:t>
            </w:r>
          </w:p>
        </w:tc>
        <w:tc>
          <w:tcPr>
            <w:tcW w:w="0" w:type="dxa"/>
            <w:vAlign w:val="bottom"/>
          </w:tcPr>
          <w:p>
            <w:pPr>
              <w:spacing w:after="0"/>
              <w:rPr>
                <w:sz w:val="1"/>
                <w:szCs w:val="1"/>
                <w:color w:val="auto"/>
              </w:rPr>
            </w:pPr>
          </w:p>
        </w:tc>
      </w:tr>
      <w:tr>
        <w:trPr>
          <w:trHeight w:val="588"/>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2"/>
                <w:szCs w:val="22"/>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1,978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3,279</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1,485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Interest expense (income)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Early extinguishment of debt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Transaction-related costs</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274"/>
        </w:trPr>
        <w:tc>
          <w:tcPr>
            <w:tcW w:w="3540" w:type="dxa"/>
            <w:vAlign w:val="bottom"/>
          </w:tcPr>
          <w:p>
            <w:pPr>
              <w:ind w:left="180"/>
              <w:spacing w:after="0"/>
              <w:rPr>
                <w:sz w:val="20"/>
                <w:szCs w:val="20"/>
                <w:color w:val="auto"/>
              </w:rPr>
            </w:pPr>
            <w:r>
              <w:rPr>
                <w:rFonts w:ascii="Arial" w:cs="Arial" w:eastAsia="Arial" w:hAnsi="Arial"/>
                <w:sz w:val="14"/>
                <w:szCs w:val="14"/>
                <w:color w:val="auto"/>
              </w:rPr>
              <w:t>Restructuring expenses</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48"/>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4,118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3,471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(1,564)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6,222</w:t>
            </w:r>
          </w:p>
        </w:tc>
        <w:tc>
          <w:tcPr>
            <w:tcW w:w="0" w:type="dxa"/>
            <w:vAlign w:val="bottom"/>
          </w:tcPr>
          <w:p>
            <w:pPr>
              <w:spacing w:after="0"/>
              <w:rPr>
                <w:sz w:val="1"/>
                <w:szCs w:val="1"/>
                <w:color w:val="auto"/>
              </w:rPr>
            </w:pPr>
          </w:p>
        </w:tc>
      </w:tr>
      <w:tr>
        <w:trPr>
          <w:trHeight w:val="160"/>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54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378</w:t>
            </w: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74"/>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(1,193)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318</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521</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(1,193)</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354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(846)</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1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September 30, 2014</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180"/>
              <w:spacing w:after="0"/>
              <w:rPr>
                <w:sz w:val="20"/>
                <w:szCs w:val="20"/>
                <w:color w:val="auto"/>
              </w:rPr>
            </w:pPr>
            <w:r>
              <w:rPr>
                <w:rFonts w:ascii="Arial" w:cs="Arial" w:eastAsia="Arial" w:hAnsi="Arial"/>
                <w:sz w:val="14"/>
                <w:szCs w:val="14"/>
                <w:color w:val="auto"/>
              </w:rPr>
              <w:t>Vehicle rental</w:t>
            </w:r>
          </w:p>
        </w:tc>
        <w:tc>
          <w:tcPr>
            <w:tcW w:w="8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1,161</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649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1,810</w:t>
            </w:r>
          </w:p>
        </w:tc>
        <w:tc>
          <w:tcPr>
            <w:tcW w:w="0" w:type="dxa"/>
            <w:vAlign w:val="bottom"/>
          </w:tcPr>
          <w:p>
            <w:pPr>
              <w:spacing w:after="0"/>
              <w:rPr>
                <w:sz w:val="1"/>
                <w:szCs w:val="1"/>
                <w:color w:val="auto"/>
              </w:rPr>
            </w:pPr>
          </w:p>
        </w:tc>
      </w:tr>
      <w:tr>
        <w:trPr>
          <w:trHeight w:val="274"/>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988</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w:t>
            </w:r>
          </w:p>
        </w:tc>
        <w:tc>
          <w:tcPr>
            <w:tcW w:w="0" w:type="dxa"/>
            <w:vAlign w:val="bottom"/>
          </w:tcPr>
          <w:p>
            <w:pPr>
              <w:spacing w:after="0"/>
              <w:rPr>
                <w:sz w:val="1"/>
                <w:szCs w:val="1"/>
                <w:color w:val="auto"/>
              </w:rPr>
            </w:pPr>
          </w:p>
        </w:tc>
      </w:tr>
      <w:tr>
        <w:trPr>
          <w:trHeight w:val="248"/>
        </w:trPr>
        <w:tc>
          <w:tcPr>
            <w:tcW w:w="3540" w:type="dxa"/>
            <w:vAlign w:val="bottom"/>
          </w:tcPr>
          <w:p>
            <w:pPr>
              <w:spacing w:after="0"/>
              <w:rPr>
                <w:sz w:val="20"/>
                <w:szCs w:val="20"/>
                <w:color w:val="auto"/>
              </w:rPr>
            </w:pPr>
            <w:r>
              <w:rPr>
                <w:rFonts w:ascii="Arial" w:cs="Arial" w:eastAsia="Arial" w:hAnsi="Arial"/>
                <w:sz w:val="14"/>
                <w:szCs w:val="14"/>
                <w:color w:val="auto"/>
              </w:rPr>
              <w:t>Net revenues</w:t>
            </w:r>
          </w:p>
        </w:tc>
        <w:tc>
          <w:tcPr>
            <w:tcW w:w="8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2,542</w:t>
            </w:r>
          </w:p>
        </w:tc>
        <w:tc>
          <w:tcPr>
            <w:tcW w:w="0" w:type="dxa"/>
            <w:vAlign w:val="bottom"/>
          </w:tcPr>
          <w:p>
            <w:pPr>
              <w:spacing w:after="0"/>
              <w:rPr>
                <w:sz w:val="1"/>
                <w:szCs w:val="1"/>
                <w:color w:val="auto"/>
              </w:rPr>
            </w:pPr>
          </w:p>
        </w:tc>
      </w:tr>
      <w:tr>
        <w:trPr>
          <w:trHeight w:val="498"/>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2"/>
                <w:szCs w:val="22"/>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1,168</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(528)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298</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Interest expense (income)</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Transaction-related costs</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74"/>
        </w:trPr>
        <w:tc>
          <w:tcPr>
            <w:tcW w:w="3540" w:type="dxa"/>
            <w:vAlign w:val="bottom"/>
          </w:tcPr>
          <w:p>
            <w:pPr>
              <w:ind w:left="180"/>
              <w:spacing w:after="0"/>
              <w:rPr>
                <w:sz w:val="20"/>
                <w:szCs w:val="20"/>
                <w:color w:val="auto"/>
              </w:rPr>
            </w:pPr>
            <w:r>
              <w:rPr>
                <w:rFonts w:ascii="Arial" w:cs="Arial" w:eastAsia="Arial" w:hAnsi="Arial"/>
                <w:sz w:val="14"/>
                <w:szCs w:val="14"/>
                <w:color w:val="auto"/>
              </w:rPr>
              <w:t>Restructuring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48"/>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1,446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1,324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(583)</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2,236</w:t>
            </w:r>
          </w:p>
        </w:tc>
        <w:tc>
          <w:tcPr>
            <w:tcW w:w="0" w:type="dxa"/>
            <w:vAlign w:val="bottom"/>
          </w:tcPr>
          <w:p>
            <w:pPr>
              <w:spacing w:after="0"/>
              <w:rPr>
                <w:sz w:val="1"/>
                <w:szCs w:val="1"/>
                <w:color w:val="auto"/>
              </w:rPr>
            </w:pPr>
          </w:p>
        </w:tc>
      </w:tr>
      <w:tr>
        <w:trPr>
          <w:trHeight w:val="160"/>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54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306</w:t>
            </w: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74"/>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199</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218</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(684)</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354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15"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2014</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5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180"/>
              <w:spacing w:after="0"/>
              <w:rPr>
                <w:sz w:val="20"/>
                <w:szCs w:val="20"/>
                <w:color w:val="auto"/>
              </w:rPr>
            </w:pPr>
            <w:r>
              <w:rPr>
                <w:rFonts w:ascii="Arial" w:cs="Arial" w:eastAsia="Arial" w:hAnsi="Arial"/>
                <w:sz w:val="14"/>
                <w:szCs w:val="14"/>
                <w:color w:val="auto"/>
              </w:rPr>
              <w:t>Vehicle rental</w:t>
            </w:r>
          </w:p>
        </w:tc>
        <w:tc>
          <w:tcPr>
            <w:tcW w:w="8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3,126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1,566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4,692</w:t>
            </w:r>
          </w:p>
        </w:tc>
        <w:tc>
          <w:tcPr>
            <w:tcW w:w="0" w:type="dxa"/>
            <w:vAlign w:val="bottom"/>
          </w:tcPr>
          <w:p>
            <w:pPr>
              <w:spacing w:after="0"/>
              <w:rPr>
                <w:sz w:val="1"/>
                <w:szCs w:val="1"/>
                <w:color w:val="auto"/>
              </w:rPr>
            </w:pPr>
          </w:p>
        </w:tc>
      </w:tr>
      <w:tr>
        <w:trPr>
          <w:trHeight w:val="274"/>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8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903</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2,634</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(1,631)</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1,906</w:t>
            </w:r>
          </w:p>
        </w:tc>
        <w:tc>
          <w:tcPr>
            <w:tcW w:w="0" w:type="dxa"/>
            <w:vAlign w:val="bottom"/>
          </w:tcPr>
          <w:p>
            <w:pPr>
              <w:spacing w:after="0"/>
              <w:rPr>
                <w:sz w:val="1"/>
                <w:szCs w:val="1"/>
                <w:color w:val="auto"/>
              </w:rPr>
            </w:pPr>
          </w:p>
        </w:tc>
      </w:tr>
      <w:tr>
        <w:trPr>
          <w:trHeight w:val="248"/>
        </w:trPr>
        <w:tc>
          <w:tcPr>
            <w:tcW w:w="3540" w:type="dxa"/>
            <w:vAlign w:val="bottom"/>
          </w:tcPr>
          <w:p>
            <w:pPr>
              <w:spacing w:after="0"/>
              <w:rPr>
                <w:sz w:val="20"/>
                <w:szCs w:val="20"/>
                <w:color w:val="auto"/>
              </w:rPr>
            </w:pPr>
            <w:r>
              <w:rPr>
                <w:rFonts w:ascii="Arial" w:cs="Arial" w:eastAsia="Arial" w:hAnsi="Arial"/>
                <w:sz w:val="14"/>
                <w:szCs w:val="14"/>
                <w:color w:val="auto"/>
              </w:rPr>
              <w:t>Net revenues</w:t>
            </w:r>
          </w:p>
        </w:tc>
        <w:tc>
          <w:tcPr>
            <w:tcW w:w="86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(1,631)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6,598</w:t>
            </w:r>
          </w:p>
        </w:tc>
        <w:tc>
          <w:tcPr>
            <w:tcW w:w="0" w:type="dxa"/>
            <w:vAlign w:val="bottom"/>
          </w:tcPr>
          <w:p>
            <w:pPr>
              <w:spacing w:after="0"/>
              <w:rPr>
                <w:sz w:val="1"/>
                <w:szCs w:val="1"/>
                <w:color w:val="auto"/>
              </w:rPr>
            </w:pPr>
          </w:p>
        </w:tc>
      </w:tr>
      <w:tr>
        <w:trPr>
          <w:trHeight w:val="592"/>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2"/>
                <w:szCs w:val="22"/>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1,938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1,320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3,273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1,529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(1,472)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1,532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Early extinguishment of debt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Transaction-related costs</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74"/>
        </w:trPr>
        <w:tc>
          <w:tcPr>
            <w:tcW w:w="3540" w:type="dxa"/>
            <w:vAlign w:val="bottom"/>
          </w:tcPr>
          <w:p>
            <w:pPr>
              <w:ind w:left="180"/>
              <w:spacing w:after="0"/>
              <w:rPr>
                <w:sz w:val="20"/>
                <w:szCs w:val="20"/>
                <w:color w:val="auto"/>
              </w:rPr>
            </w:pPr>
            <w:r>
              <w:rPr>
                <w:rFonts w:ascii="Arial" w:cs="Arial" w:eastAsia="Arial" w:hAnsi="Arial"/>
                <w:sz w:val="14"/>
                <w:szCs w:val="14"/>
                <w:color w:val="auto"/>
              </w:rPr>
              <w:t>Restructuring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48"/>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4,108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3,540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(1,631)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6,239</w:t>
            </w:r>
          </w:p>
        </w:tc>
        <w:tc>
          <w:tcPr>
            <w:tcW w:w="0" w:type="dxa"/>
            <w:vAlign w:val="bottom"/>
          </w:tcPr>
          <w:p>
            <w:pPr>
              <w:spacing w:after="0"/>
              <w:rPr>
                <w:sz w:val="1"/>
                <w:szCs w:val="1"/>
                <w:color w:val="auto"/>
              </w:rPr>
            </w:pPr>
          </w:p>
        </w:tc>
      </w:tr>
      <w:tr>
        <w:trPr>
          <w:trHeight w:val="160"/>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540" w:type="dxa"/>
            <w:vAlign w:val="bottom"/>
          </w:tcPr>
          <w:p>
            <w:pPr>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274"/>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354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(1,184)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236</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354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594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(1,184)</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354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284</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524</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(975)</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15"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Balance Sheets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2015</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239</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74"/>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246"/>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2,118</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1,136</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964</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334</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(1,998)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2"/>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3,383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(7,628)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5,314</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6,365</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3,390</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(9,672)</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6,116</w:t>
            </w:r>
          </w:p>
        </w:tc>
        <w:tc>
          <w:tcPr>
            <w:tcW w:w="0" w:type="dxa"/>
            <w:vAlign w:val="bottom"/>
          </w:tcPr>
          <w:p>
            <w:pPr>
              <w:spacing w:after="0"/>
              <w:rPr>
                <w:sz w:val="1"/>
                <w:szCs w:val="1"/>
                <w:color w:val="auto"/>
              </w:rPr>
            </w:pPr>
          </w:p>
        </w:tc>
      </w:tr>
      <w:tr>
        <w:trPr>
          <w:trHeight w:val="492"/>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11,504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11,604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184"/>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12,685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12,786</w:t>
            </w: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719</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5,334</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6,446</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16,075</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(9,672)</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18,902</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1,011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1,764</w:t>
            </w:r>
          </w:p>
        </w:tc>
        <w:tc>
          <w:tcPr>
            <w:tcW w:w="0" w:type="dxa"/>
            <w:vAlign w:val="bottom"/>
          </w:tcPr>
          <w:p>
            <w:pPr>
              <w:spacing w:after="0"/>
              <w:rPr>
                <w:sz w:val="1"/>
                <w:szCs w:val="1"/>
                <w:color w:val="auto"/>
              </w:rPr>
            </w:pPr>
          </w:p>
        </w:tc>
      </w:tr>
      <w:tr>
        <w:trPr>
          <w:trHeight w:val="184"/>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46"/>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1,791</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2,974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3,505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272"/>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1,611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(1,998)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4,890</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1,087</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1,985</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(2,044)</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6,037</w:t>
            </w:r>
          </w:p>
        </w:tc>
        <w:tc>
          <w:tcPr>
            <w:tcW w:w="0" w:type="dxa"/>
            <w:vAlign w:val="bottom"/>
          </w:tcPr>
          <w:p>
            <w:pPr>
              <w:spacing w:after="0"/>
              <w:rPr>
                <w:sz w:val="1"/>
                <w:szCs w:val="1"/>
                <w:color w:val="auto"/>
              </w:rPr>
            </w:pPr>
          </w:p>
        </w:tc>
      </w:tr>
      <w:tr>
        <w:trPr>
          <w:trHeight w:val="492"/>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2,757</w:t>
            </w:r>
          </w:p>
        </w:tc>
        <w:tc>
          <w:tcPr>
            <w:tcW w:w="0" w:type="dxa"/>
            <w:vAlign w:val="bottom"/>
          </w:tcPr>
          <w:p>
            <w:pPr>
              <w:spacing w:after="0"/>
              <w:rPr>
                <w:sz w:val="1"/>
                <w:szCs w:val="1"/>
                <w:color w:val="auto"/>
              </w:rPr>
            </w:pPr>
          </w:p>
        </w:tc>
      </w:tr>
      <w:tr>
        <w:trPr>
          <w:trHeight w:val="184"/>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7,239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7,239</w:t>
            </w:r>
          </w:p>
        </w:tc>
        <w:tc>
          <w:tcPr>
            <w:tcW w:w="0" w:type="dxa"/>
            <w:vAlign w:val="bottom"/>
          </w:tcPr>
          <w:p>
            <w:pPr>
              <w:spacing w:after="0"/>
              <w:rPr>
                <w:sz w:val="1"/>
                <w:szCs w:val="1"/>
                <w:color w:val="auto"/>
              </w:rPr>
            </w:pPr>
          </w:p>
        </w:tc>
      </w:tr>
      <w:tr>
        <w:trPr>
          <w:trHeight w:val="270"/>
        </w:trPr>
        <w:tc>
          <w:tcPr>
            <w:tcW w:w="3540" w:type="dxa"/>
            <w:vAlign w:val="bottom"/>
          </w:tcPr>
          <w:p>
            <w:pPr>
              <w:ind w:left="16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2,066</w:t>
            </w:r>
          </w:p>
        </w:tc>
        <w:tc>
          <w:tcPr>
            <w:tcW w:w="0" w:type="dxa"/>
            <w:vAlign w:val="bottom"/>
          </w:tcPr>
          <w:p>
            <w:pPr>
              <w:spacing w:after="0"/>
              <w:rPr>
                <w:sz w:val="1"/>
                <w:szCs w:val="1"/>
                <w:color w:val="auto"/>
              </w:rPr>
            </w:pPr>
          </w:p>
        </w:tc>
      </w:tr>
      <w:tr>
        <w:trPr>
          <w:trHeight w:val="274"/>
        </w:trPr>
        <w:tc>
          <w:tcPr>
            <w:tcW w:w="3540" w:type="dxa"/>
            <w:vAlign w:val="bottom"/>
          </w:tcPr>
          <w:p>
            <w:pPr>
              <w:ind w:left="16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10,288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12,265</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600</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443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3,383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3,802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(7,628)</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600</w:t>
            </w: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719</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5,334</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6,446</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16,075</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(9,672)</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18,902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5" w:right="259" w:bottom="1440" w:gutter="0" w:footer="0" w:header="0"/>
        </w:sectPr>
      </w:pP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00"/>
          </w:cols>
          <w:pgMar w:left="240" w:top="115" w:right="25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2014</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74"/>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456</w:t>
            </w:r>
          </w:p>
        </w:tc>
        <w:tc>
          <w:tcPr>
            <w:tcW w:w="0" w:type="dxa"/>
            <w:vAlign w:val="bottom"/>
          </w:tcPr>
          <w:p>
            <w:pPr>
              <w:spacing w:after="0"/>
              <w:rPr>
                <w:sz w:val="1"/>
                <w:szCs w:val="1"/>
                <w:color w:val="auto"/>
              </w:rPr>
            </w:pPr>
          </w:p>
        </w:tc>
      </w:tr>
      <w:tr>
        <w:trPr>
          <w:trHeight w:val="246"/>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1,838</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638</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1,199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1,352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886</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(2,199)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2"/>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3,072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3,316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(6,856)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5,165</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6,168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2,836</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(9,059)</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5,911</w:t>
            </w:r>
          </w:p>
        </w:tc>
        <w:tc>
          <w:tcPr>
            <w:tcW w:w="0" w:type="dxa"/>
            <w:vAlign w:val="bottom"/>
          </w:tcPr>
          <w:p>
            <w:pPr>
              <w:spacing w:after="0"/>
              <w:rPr>
                <w:sz w:val="1"/>
                <w:szCs w:val="1"/>
                <w:color w:val="auto"/>
              </w:rPr>
            </w:pPr>
          </w:p>
        </w:tc>
      </w:tr>
      <w:tr>
        <w:trPr>
          <w:trHeight w:val="492"/>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10,121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10,215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184"/>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10,963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11,058</w:t>
            </w: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5,173</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6,255</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13,799</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(9,059)</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16,969</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200</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1,491</w:t>
            </w:r>
          </w:p>
        </w:tc>
        <w:tc>
          <w:tcPr>
            <w:tcW w:w="0" w:type="dxa"/>
            <w:vAlign w:val="bottom"/>
          </w:tcPr>
          <w:p>
            <w:pPr>
              <w:spacing w:after="0"/>
              <w:rPr>
                <w:sz w:val="1"/>
                <w:szCs w:val="1"/>
                <w:color w:val="auto"/>
              </w:rPr>
            </w:pPr>
          </w:p>
        </w:tc>
      </w:tr>
      <w:tr>
        <w:trPr>
          <w:trHeight w:val="184"/>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46"/>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1,519</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2,825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561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3,392</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766</w:t>
            </w:r>
          </w:p>
        </w:tc>
        <w:tc>
          <w:tcPr>
            <w:tcW w:w="0" w:type="dxa"/>
            <w:vAlign w:val="bottom"/>
          </w:tcPr>
          <w:p>
            <w:pPr>
              <w:spacing w:after="0"/>
              <w:rPr>
                <w:sz w:val="1"/>
                <w:szCs w:val="1"/>
                <w:color w:val="auto"/>
              </w:rPr>
            </w:pPr>
          </w:p>
        </w:tc>
      </w:tr>
      <w:tr>
        <w:trPr>
          <w:trHeight w:val="272"/>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1,558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(2,199)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4,696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1,017</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2,031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(2,203)</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5,677</w:t>
            </w:r>
          </w:p>
        </w:tc>
        <w:tc>
          <w:tcPr>
            <w:tcW w:w="0" w:type="dxa"/>
            <w:vAlign w:val="bottom"/>
          </w:tcPr>
          <w:p>
            <w:pPr>
              <w:spacing w:after="0"/>
              <w:rPr>
                <w:sz w:val="1"/>
                <w:szCs w:val="1"/>
                <w:color w:val="auto"/>
              </w:rPr>
            </w:pPr>
          </w:p>
        </w:tc>
      </w:tr>
      <w:tr>
        <w:trPr>
          <w:trHeight w:val="492"/>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1,776</w:t>
            </w:r>
          </w:p>
        </w:tc>
        <w:tc>
          <w:tcPr>
            <w:tcW w:w="0" w:type="dxa"/>
            <w:vAlign w:val="bottom"/>
          </w:tcPr>
          <w:p>
            <w:pPr>
              <w:spacing w:after="0"/>
              <w:rPr>
                <w:sz w:val="1"/>
                <w:szCs w:val="1"/>
                <w:color w:val="auto"/>
              </w:rPr>
            </w:pPr>
          </w:p>
        </w:tc>
      </w:tr>
      <w:tr>
        <w:trPr>
          <w:trHeight w:val="184"/>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6,340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6,340</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2,267</w:t>
            </w:r>
          </w:p>
        </w:tc>
        <w:tc>
          <w:tcPr>
            <w:tcW w:w="0" w:type="dxa"/>
            <w:vAlign w:val="bottom"/>
          </w:tcPr>
          <w:p>
            <w:pPr>
              <w:spacing w:after="0"/>
              <w:rPr>
                <w:sz w:val="1"/>
                <w:szCs w:val="1"/>
                <w:color w:val="auto"/>
              </w:rPr>
            </w:pPr>
          </w:p>
        </w:tc>
      </w:tr>
      <w:tr>
        <w:trPr>
          <w:trHeight w:val="274"/>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8,452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10,627</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665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468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3,072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3,316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(6,856)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241"/>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5,173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6,255</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13,799</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(9,059)</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16,969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15" w:right="25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00"/>
          </w:cols>
          <w:pgMar w:left="240" w:top="115" w:right="25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Cash Flows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2015</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ind w:left="1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Issuers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1"/>
                <w:szCs w:val="21"/>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2,038</w:t>
            </w:r>
          </w:p>
        </w:tc>
        <w:tc>
          <w:tcPr>
            <w:tcW w:w="0" w:type="dxa"/>
            <w:vAlign w:val="bottom"/>
          </w:tcPr>
          <w:p>
            <w:pPr>
              <w:spacing w:after="0"/>
              <w:rPr>
                <w:sz w:val="1"/>
                <w:szCs w:val="1"/>
                <w:color w:val="auto"/>
              </w:rPr>
            </w:pPr>
          </w:p>
        </w:tc>
      </w:tr>
      <w:tr>
        <w:trPr>
          <w:trHeight w:val="439"/>
        </w:trPr>
        <w:tc>
          <w:tcPr>
            <w:tcW w:w="3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2"/>
                <w:szCs w:val="22"/>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advances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56"/>
        </w:trPr>
        <w:tc>
          <w:tcPr>
            <w:tcW w:w="328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433"/>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Increase in program cash</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(9,758)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(9,762)</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4"/>
        </w:trPr>
        <w:tc>
          <w:tcPr>
            <w:tcW w:w="328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6,741</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6,756</w:t>
            </w:r>
          </w:p>
        </w:tc>
        <w:tc>
          <w:tcPr>
            <w:tcW w:w="0" w:type="dxa"/>
            <w:vAlign w:val="bottom"/>
          </w:tcPr>
          <w:p>
            <w:pPr>
              <w:spacing w:after="0"/>
              <w:rPr>
                <w:sz w:val="1"/>
                <w:szCs w:val="1"/>
                <w:color w:val="auto"/>
              </w:rPr>
            </w:pPr>
          </w:p>
        </w:tc>
      </w:tr>
      <w:tr>
        <w:trPr>
          <w:trHeight w:val="248"/>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(3,077)</w:t>
            </w: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(3,417)</w:t>
            </w:r>
          </w:p>
        </w:tc>
        <w:tc>
          <w:tcPr>
            <w:tcW w:w="0" w:type="dxa"/>
            <w:vAlign w:val="bottom"/>
          </w:tcPr>
          <w:p>
            <w:pPr>
              <w:spacing w:after="0"/>
              <w:rPr>
                <w:sz w:val="1"/>
                <w:szCs w:val="1"/>
                <w:color w:val="auto"/>
              </w:rPr>
            </w:pPr>
          </w:p>
        </w:tc>
      </w:tr>
      <w:tr>
        <w:trPr>
          <w:trHeight w:val="439"/>
        </w:trPr>
        <w:tc>
          <w:tcPr>
            <w:tcW w:w="3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2"/>
                <w:szCs w:val="22"/>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375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377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(253)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6"/>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433"/>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11,532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11,532</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(9,926)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(9,933)</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1,582</w:t>
            </w: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1,695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1,369</w:t>
            </w:r>
          </w:p>
        </w:tc>
        <w:tc>
          <w:tcPr>
            <w:tcW w:w="0" w:type="dxa"/>
            <w:vAlign w:val="bottom"/>
          </w:tcPr>
          <w:p>
            <w:pPr>
              <w:spacing w:after="0"/>
              <w:rPr>
                <w:sz w:val="1"/>
                <w:szCs w:val="1"/>
                <w:color w:val="auto"/>
              </w:rPr>
            </w:pPr>
          </w:p>
        </w:tc>
      </w:tr>
      <w:tr>
        <w:trPr>
          <w:trHeight w:val="401"/>
        </w:trPr>
        <w:tc>
          <w:tcPr>
            <w:tcW w:w="328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405"/>
        </w:trPr>
        <w:tc>
          <w:tcPr>
            <w:tcW w:w="328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80" w:type="dxa"/>
            <w:vAlign w:val="bottom"/>
          </w:tcPr>
          <w:p>
            <w:pPr>
              <w:ind w:left="160"/>
              <w:spacing w:after="0"/>
              <w:rPr>
                <w:sz w:val="20"/>
                <w:szCs w:val="20"/>
                <w:color w:val="auto"/>
              </w:rPr>
            </w:pPr>
            <w:r>
              <w:rPr>
                <w:rFonts w:ascii="Arial" w:cs="Arial" w:eastAsia="Arial" w:hAnsi="Arial"/>
                <w:sz w:val="14"/>
                <w:szCs w:val="14"/>
                <w:color w:val="auto"/>
              </w:rPr>
              <w:t>equivalents</w:t>
            </w:r>
          </w:p>
        </w:tc>
        <w:tc>
          <w:tcPr>
            <w:tcW w:w="26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74"/>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0"/>
                <w:szCs w:val="20"/>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239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585</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1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2014</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ind w:left="12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3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Parent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Issuers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operating activities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728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1,280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2,067</w:t>
            </w:r>
          </w:p>
        </w:tc>
        <w:tc>
          <w:tcPr>
            <w:tcW w:w="0" w:type="dxa"/>
            <w:vAlign w:val="bottom"/>
          </w:tcPr>
          <w:p>
            <w:pPr>
              <w:spacing w:after="0"/>
              <w:rPr>
                <w:sz w:val="1"/>
                <w:szCs w:val="1"/>
                <w:color w:val="auto"/>
              </w:rPr>
            </w:pPr>
          </w:p>
        </w:tc>
      </w:tr>
      <w:tr>
        <w:trPr>
          <w:trHeight w:val="439"/>
        </w:trPr>
        <w:tc>
          <w:tcPr>
            <w:tcW w:w="3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2"/>
                <w:szCs w:val="22"/>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56"/>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433"/>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Decrease in program cash</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(9,738)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(9,835)</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6,528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6,535</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(3,187)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(3,277)</w:t>
            </w: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(3,385)</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(3,553)</w:t>
            </w:r>
          </w:p>
        </w:tc>
        <w:tc>
          <w:tcPr>
            <w:tcW w:w="0" w:type="dxa"/>
            <w:vAlign w:val="bottom"/>
          </w:tcPr>
          <w:p>
            <w:pPr>
              <w:spacing w:after="0"/>
              <w:rPr>
                <w:sz w:val="1"/>
                <w:szCs w:val="1"/>
                <w:color w:val="auto"/>
              </w:rPr>
            </w:pPr>
          </w:p>
        </w:tc>
      </w:tr>
      <w:tr>
        <w:trPr>
          <w:trHeight w:val="439"/>
        </w:trPr>
        <w:tc>
          <w:tcPr>
            <w:tcW w:w="3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2"/>
                <w:szCs w:val="22"/>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696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(747)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(204)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(191)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56"/>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433"/>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11,774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11,862</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(10,049)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(10,050)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58"/>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8"/>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1,795</w:t>
            </w:r>
          </w:p>
        </w:tc>
        <w:tc>
          <w:tcPr>
            <w:tcW w:w="0" w:type="dxa"/>
            <w:vAlign w:val="bottom"/>
          </w:tcPr>
          <w:p>
            <w:pPr>
              <w:spacing w:after="0"/>
              <w:rPr>
                <w:sz w:val="1"/>
                <w:szCs w:val="1"/>
                <w:color w:val="auto"/>
              </w:rPr>
            </w:pPr>
          </w:p>
        </w:tc>
      </w:tr>
      <w:tr>
        <w:trPr>
          <w:trHeight w:val="160"/>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(545)</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1,997</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1,520</w:t>
            </w:r>
          </w:p>
        </w:tc>
        <w:tc>
          <w:tcPr>
            <w:tcW w:w="0" w:type="dxa"/>
            <w:vAlign w:val="bottom"/>
          </w:tcPr>
          <w:p>
            <w:pPr>
              <w:spacing w:after="0"/>
              <w:rPr>
                <w:sz w:val="1"/>
                <w:szCs w:val="1"/>
                <w:color w:val="auto"/>
              </w:rPr>
            </w:pPr>
          </w:p>
        </w:tc>
      </w:tr>
      <w:tr>
        <w:trPr>
          <w:trHeight w:val="401"/>
        </w:trPr>
        <w:tc>
          <w:tcPr>
            <w:tcW w:w="328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color w:val="auto"/>
              </w:rPr>
              <w:t>cash equivalents</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405"/>
        </w:trPr>
        <w:tc>
          <w:tcPr>
            <w:tcW w:w="328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280" w:type="dxa"/>
            <w:vAlign w:val="bottom"/>
          </w:tcPr>
          <w:p>
            <w:pPr>
              <w:ind w:left="160"/>
              <w:spacing w:after="0"/>
              <w:rPr>
                <w:sz w:val="20"/>
                <w:szCs w:val="20"/>
                <w:color w:val="auto"/>
              </w:rPr>
            </w:pPr>
            <w:r>
              <w:rPr>
                <w:rFonts w:ascii="Arial" w:cs="Arial" w:eastAsia="Arial" w:hAnsi="Arial"/>
                <w:sz w:val="14"/>
                <w:szCs w:val="14"/>
                <w:color w:val="auto"/>
              </w:rPr>
              <w:t>equivalents</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4"/>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beginning of period</w:t>
            </w: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693</w:t>
            </w: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end of period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0"/>
                <w:szCs w:val="20"/>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15"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7" w:lineRule="exact"/>
        <w:rPr>
          <w:rFonts w:ascii="Arial" w:cs="Arial" w:eastAsia="Arial" w:hAnsi="Arial"/>
          <w:sz w:val="18"/>
          <w:szCs w:val="18"/>
          <w:b w:val="1"/>
          <w:bCs w:val="1"/>
          <w:color w:val="auto"/>
        </w:rPr>
      </w:pPr>
    </w:p>
    <w:p>
      <w:pPr>
        <w:ind w:left="500"/>
        <w:spacing w:after="0" w:line="323" w:lineRule="auto"/>
        <w:rPr>
          <w:rFonts w:ascii="Arial" w:cs="Arial" w:eastAsia="Arial" w:hAnsi="Arial"/>
          <w:sz w:val="18"/>
          <w:szCs w:val="18"/>
          <w:b w:val="1"/>
          <w:bCs w:val="1"/>
          <w:color w:val="auto"/>
        </w:rPr>
      </w:pPr>
      <w:r>
        <w:rPr>
          <w:rFonts w:ascii="Arial" w:cs="Arial" w:eastAsia="Arial" w:hAnsi="Arial"/>
          <w:sz w:val="17"/>
          <w:szCs w:val="17"/>
          <w:color w:val="auto"/>
        </w:rPr>
        <w:t>In November, the Company announced that it had entered into a definitive agreement to acquire its Avis licensee in Poland. The acquisition is expected to close in November, and the purchase price will be approximately $25 million, plus the cost of acquired fleet.</w:t>
      </w:r>
    </w:p>
    <w:p>
      <w:pPr>
        <w:spacing w:after="0" w:line="200" w:lineRule="exact"/>
        <w:rPr>
          <w:rFonts w:ascii="Arial" w:cs="Arial" w:eastAsia="Arial" w:hAnsi="Arial"/>
          <w:sz w:val="18"/>
          <w:szCs w:val="18"/>
          <w:b w:val="1"/>
          <w:bCs w:val="1"/>
          <w:color w:val="auto"/>
        </w:rPr>
      </w:pPr>
    </w:p>
    <w:p>
      <w:pPr>
        <w:spacing w:after="0" w:line="300" w:lineRule="exact"/>
        <w:rPr>
          <w:rFonts w:ascii="Arial" w:cs="Arial" w:eastAsia="Arial" w:hAnsi="Arial"/>
          <w:sz w:val="18"/>
          <w:szCs w:val="18"/>
          <w:b w:val="1"/>
          <w:bCs w:val="1"/>
          <w:color w:val="auto"/>
        </w:rPr>
      </w:pPr>
    </w:p>
    <w:p>
      <w:pPr>
        <w:ind w:left="5280"/>
        <w:spacing w:after="0"/>
        <w:rPr>
          <w:rFonts w:ascii="Arial" w:cs="Arial" w:eastAsia="Arial" w:hAnsi="Arial"/>
          <w:sz w:val="18"/>
          <w:szCs w:val="18"/>
          <w:b w:val="1"/>
          <w:bCs w:val="1"/>
          <w:color w:val="auto"/>
        </w:rPr>
      </w:pPr>
      <w:r>
        <w:rPr>
          <w:rFonts w:ascii="Arial" w:cs="Arial" w:eastAsia="Arial" w:hAnsi="Arial"/>
          <w:sz w:val="18"/>
          <w:szCs w:val="18"/>
          <w:color w:val="auto"/>
        </w:rPr>
        <w:t>*  *  *  *</w:t>
      </w:r>
    </w:p>
    <w:p>
      <w:pPr>
        <w:spacing w:after="0" w:line="200" w:lineRule="exact"/>
        <w:rPr>
          <w:sz w:val="20"/>
          <w:szCs w:val="20"/>
          <w:color w:val="auto"/>
        </w:rPr>
      </w:pPr>
    </w:p>
    <w:p>
      <w:pPr>
        <w:spacing w:after="0" w:line="26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240" w:top="115" w:right="5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thereto included elsewhere herein and with our 2014 Annual Report on Form 10-K filed with the Securities and Exchange Commission on February 23, 2015 and our Current Report on Form 8-K filed May 6, 2015 to update the 2014 Form 10-K for a change in our reportable segments (together the “2014 Form 10-K”). Our actual results of operations may differ materially from those discussed in forward-looking statements as a result of various factors, including but not limited to those included elsewhere in this Quarterly Report on Form 10-Q and those included in the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Operations”, “Risk Factors” and other portions of our 2014 Form 10-K. Unless otherwise noted, all dollar amounts in tables are in millions and those relating to our results of operations are presented before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254875"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4875" cy="180340"/>
                    </a:xfrm>
                    <a:prstGeom prst="rect">
                      <a:avLst/>
                    </a:prstGeom>
                    <a:noFill/>
                  </pic:spPr>
                </pic:pic>
              </a:graphicData>
            </a:graphic>
          </wp:anchor>
        </w:drawing>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operate three of the most recognized brands in the global vehicle rental and car sharing industry, Avis, Budget and Zipcar. We are a leading vehicle rental operator in North America, Europe, Australia, New Zealand and certain other regions we serve, with a rental fleet of more than 500,000 vehicles. We also license the use of the Avis and Budget trademarks to licensees in the areas in which we do not operate directly. We and our licensees operate the Avis, Budget and/or Zipcar brands in approximately 175 countries throughout the world.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consisting primarily of our Avis and Budget vehicle rental operations in North America, South America, Central America and the Caribbean, and our car sharing operations in certain of these markets; and </w:t>
      </w:r>
      <w:r>
        <w:rPr>
          <w:rFonts w:ascii="Arial" w:cs="Arial" w:eastAsia="Arial" w:hAnsi="Arial"/>
          <w:sz w:val="18"/>
          <w:szCs w:val="18"/>
          <w:i w:val="1"/>
          <w:iCs w:val="1"/>
          <w:color w:val="auto"/>
        </w:rPr>
        <w:t>International</w:t>
      </w:r>
      <w:r>
        <w:rPr>
          <w:rFonts w:ascii="Arial" w:cs="Arial" w:eastAsia="Arial" w:hAnsi="Arial"/>
          <w:sz w:val="18"/>
          <w:szCs w:val="18"/>
          <w:color w:val="auto"/>
        </w:rPr>
        <w:t>, consisting primarily of our Avis and Budget vehicle rental operations in Europe, the Middle East, Africa, Asia, Australia and New Zealand, and our car sharing operations in certain of these markets. In conjunction with a change in our management structure in first quarter 2015, which resulted in a change to our reportable segments, the financial results of our North America, South America, Central America and Caribbean operations are now included in our Americas reportable segment. Segment financial information presented below has been recast to conform with our current business segment reporting alignment for all periods presented.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revenues are derived principally from vehicle rentals in our Company-owned operations and include:</w:t>
      </w:r>
    </w:p>
    <w:p>
      <w:pPr>
        <w:spacing w:after="0" w:line="171"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time and mileage (“T&amp;M”) fees charged to our customers for vehicle rentals;</w:t>
      </w:r>
    </w:p>
    <w:p>
      <w:pPr>
        <w:spacing w:after="0" w:line="171" w:lineRule="exact"/>
        <w:rPr>
          <w:rFonts w:ascii="Arial" w:cs="Arial" w:eastAsia="Arial" w:hAnsi="Arial"/>
          <w:sz w:val="18"/>
          <w:szCs w:val="18"/>
          <w:color w:val="auto"/>
        </w:rPr>
      </w:pPr>
    </w:p>
    <w:p>
      <w:pPr>
        <w:ind w:left="660" w:right="320" w:hanging="328"/>
        <w:spacing w:after="0" w:line="292"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payments from our customers with respect to certain operating expenses we incur, including gasoline and vehicle licensing fees, as well as concession fees, which we pay in exchange for the right to operate at airports and other locations;</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loss damage waivers and insurance and rentals of navigation units and other items in conjunction with vehicle rentals;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royalty revenue from our licensees in conjunction with their vehicle rental transactions.</w:t>
      </w:r>
    </w:p>
    <w:p>
      <w:pPr>
        <w:spacing w:after="0" w:line="225"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Our operating results are subject to variability due to seasonality, macroeconomic conditions and other factors. Car rental volumes tend to be associated with the travel industry, particularly airline passenger volumes, or enplanements, which in turn tend to reflect general economic conditions. Our vehicle rental operations are also seasonal, with the third quarter of the year historically having been our strongest due to the increased level of leisure travel during such quarter. We have a partially variable cost structure and routinely adjust the size, and therefore the cost, of our rental fleet in response to fluctuations in demand.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factors, among others, may affect our financial condition and results of operations:</w:t>
      </w:r>
    </w:p>
    <w:p>
      <w:pPr>
        <w:spacing w:after="0" w:line="22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travel demand, including worldwide enplanements;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fleet, pricing, marketing and strategic decisions made by us and by our competitors;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fleet costs and in conditions in the used vehicle marketplace, as well as manufacturer recalls;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borrowing costs and in market willingness to purchase corporate and vehicle-related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demand for truck rentals and car sharing services;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the price of gasoline;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currency exchange rates.</w:t>
      </w:r>
    </w:p>
    <w:p>
      <w:pPr>
        <w:spacing w:after="0" w:line="171"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Throughout 2015, we have operated in an uncertain and uneven economic environment. Nonetheless, we continue to anticipate that worldwide demand for vehicle rental and car sharing services will show an increase in 2015, most likely against a backdrop of modest and uneven global economic growth. Our access to new fleet vehicles has been adequate to meet our needs for both replacement of existing vehicles in the normal course and for growth to meet incremental demand, and we expect that to continue to be the case. We will look to pursue opportunities for pricing increases in the remaining months of 2015 and in 2016 in order to enhance our returns on invested capital and profitability.</w:t>
      </w:r>
    </w:p>
    <w:p>
      <w:pPr>
        <w:spacing w:after="0" w:line="175"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Our objective is to focus on strategically accelerating our growth, strengthening our global position as a leading provider of vehicle rental services, continuing to enhance our customers’ rental experience, and controlling costs and driving efficiency throughout the organization. We operate in a highly competitive industry and we expect to continue to face challenges and risks. We seek to mitigate our exposure to risks in numerous ways, including delivering upon our core strategic initiatives and through continued optimization of fleet levels to match changes in demand for vehicle rentals, maintenance of liquidity to fund our fleet and our operations, appropriate investments in technology and adjustments in the size, nature and terms of our relationships with vehicle manufacturers.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Year-to-Date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the nine months ended September 30, 2015:</w:t>
      </w:r>
    </w:p>
    <w:p>
      <w:pPr>
        <w:spacing w:after="0" w:line="22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net revenues totaled $6.6 billion and grew 6% in constant currency.</w:t>
      </w:r>
    </w:p>
    <w:p>
      <w:pPr>
        <w:spacing w:after="0" w:line="225" w:lineRule="exact"/>
        <w:rPr>
          <w:rFonts w:ascii="Arial" w:cs="Arial" w:eastAsia="Arial" w:hAnsi="Arial"/>
          <w:sz w:val="18"/>
          <w:szCs w:val="18"/>
          <w:color w:val="auto"/>
        </w:rPr>
      </w:pPr>
    </w:p>
    <w:p>
      <w:pPr>
        <w:ind w:left="660" w:right="400" w:hanging="328"/>
        <w:spacing w:after="0" w:line="29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Adjusted EBITDA increased 4% year-over-year to $775 million and increased 9% in constant currency, primarily as a result of higher rental volumes.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repurchased $277 million of our common stock, reducing our shares outstanding by approximately 5.9 million shares.</w:t>
      </w:r>
    </w:p>
    <w:p>
      <w:pPr>
        <w:spacing w:after="0" w:line="225"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January, we acquired our Avis and Budget licensees in Norway, Sweden and Denmark (“Scandinavia”), and in April, we acquired the remaining 50% ownership in our Avis and Budget licensee for Brazil (“Brazil”).</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April, we acquired Maggiore Group (“Maggiore”), the fourth-largest vehicle rental company in Italy.</w:t>
      </w:r>
    </w:p>
    <w:p>
      <w:pPr>
        <w:spacing w:after="0" w:line="225" w:lineRule="exact"/>
        <w:rPr>
          <w:rFonts w:ascii="Arial" w:cs="Arial" w:eastAsia="Arial" w:hAnsi="Arial"/>
          <w:sz w:val="18"/>
          <w:szCs w:val="18"/>
          <w:color w:val="auto"/>
        </w:rPr>
      </w:pPr>
    </w:p>
    <w:p>
      <w:pPr>
        <w:ind w:left="660" w:right="260" w:hanging="328"/>
        <w:spacing w:after="0" w:line="292"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issued $375 million of 5¼% Senior Notes due 2025, the proceeds of which were used primarily to redeem all $223 million of our outstanding 9¾% Senior Notes due 2020 and to finance a portion of our acquisition of Maggiore.</w:t>
      </w: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16" w:right="2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measure performance using the following key operating statistics: (i) rental days, which represents the total number of days (or portion thereof) a vehicle was rented, and (ii) T&amp;M revenue per rental day, which represents the average daily revenue we earned from rental and mileage fees charged to our customers, both of which exclude our U.S. truck rental and Zipcar car sharing operations. We also measure our ancillary revenues (rental-transaction revenue other than T&amp;M revenue), such as from the sale of collision and loss damage waivers, insurance products, fuel service options and portable GPS navigation unit rentals. Our vehicle rental operating statistics (rental days and T&amp;M revenue per rental day) are all calculated based on the actual rental of the vehicle during a 24-hour period. We believe that this methodology provides our management with the most relevant statistics in order to manage the business. Our calculation may not be comparable to other companies’ calculation of similarly-titled statistics. In addition, per-unit fleet costs exclude U.S. truck rental operations.</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 and “Adjusted EBITDA,” which we define as income from continuing operations before non-vehicle related depreciation and amortization, any impairment charges, restructuring expense, early extinguishment of debt costs, non-vehicle related interest, transaction-related costs and income taxes. We believe Adjusted EBITDA is useful as a supplemental measure in evaluating the aggregate performance of our operating businesses and in comparing our results from period to period. We believe that Adjusted EBITDA is useful to investors because it allows investors to assess our financial condition and results of operations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2015 vs. Three Months Ended September 30,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20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336"/>
        </w:trPr>
        <w:tc>
          <w:tcPr>
            <w:tcW w:w="6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8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54"/>
        </w:trPr>
        <w:tc>
          <w:tcPr>
            <w:tcW w:w="6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8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63"/>
        </w:trPr>
        <w:tc>
          <w:tcPr>
            <w:tcW w:w="62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64"/>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62"/>
        </w:trPr>
        <w:tc>
          <w:tcPr>
            <w:tcW w:w="6200" w:type="dxa"/>
            <w:vAlign w:val="bottom"/>
          </w:tcPr>
          <w:p>
            <w:pPr>
              <w:ind w:left="240"/>
              <w:spacing w:after="0"/>
              <w:rPr>
                <w:sz w:val="20"/>
                <w:szCs w:val="20"/>
                <w:color w:val="auto"/>
              </w:rPr>
            </w:pPr>
            <w:r>
              <w:rPr>
                <w:rFonts w:ascii="Arial" w:cs="Arial" w:eastAsia="Arial" w:hAnsi="Arial"/>
                <w:sz w:val="18"/>
                <w:szCs w:val="18"/>
                <w:color w:val="auto"/>
              </w:rPr>
              <w:t>Vehicle rental</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1,832</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1,810</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r>
      <w:tr>
        <w:trPr>
          <w:trHeight w:val="273"/>
        </w:trPr>
        <w:tc>
          <w:tcPr>
            <w:tcW w:w="6200" w:type="dxa"/>
            <w:vAlign w:val="bottom"/>
          </w:tcPr>
          <w:p>
            <w:pPr>
              <w:ind w:left="2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745</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r>
      <w:tr>
        <w:trPr>
          <w:trHeight w:val="250"/>
        </w:trPr>
        <w:tc>
          <w:tcPr>
            <w:tcW w:w="620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2,577</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2,542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r>
      <w:tr>
        <w:trPr>
          <w:trHeight w:val="498"/>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62"/>
        </w:trPr>
        <w:tc>
          <w:tcPr>
            <w:tcW w:w="620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0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1,202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r>
      <w:tr>
        <w:trPr>
          <w:trHeight w:val="270"/>
        </w:trPr>
        <w:tc>
          <w:tcPr>
            <w:tcW w:w="620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582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620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r>
      <w:tr>
        <w:trPr>
          <w:trHeight w:val="270"/>
        </w:trPr>
        <w:tc>
          <w:tcPr>
            <w:tcW w:w="620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620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22%</w:t>
            </w:r>
          </w:p>
        </w:tc>
      </w:tr>
      <w:tr>
        <w:trPr>
          <w:trHeight w:val="270"/>
        </w:trPr>
        <w:tc>
          <w:tcPr>
            <w:tcW w:w="620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70"/>
        </w:trPr>
        <w:tc>
          <w:tcPr>
            <w:tcW w:w="6200" w:type="dxa"/>
            <w:vAlign w:val="bottom"/>
          </w:tcPr>
          <w:p>
            <w:pPr>
              <w:ind w:left="240"/>
              <w:spacing w:after="0"/>
              <w:rPr>
                <w:sz w:val="20"/>
                <w:szCs w:val="20"/>
                <w:color w:val="auto"/>
              </w:rPr>
            </w:pPr>
            <w:r>
              <w:rPr>
                <w:rFonts w:ascii="Arial" w:cs="Arial" w:eastAsia="Arial" w:hAnsi="Arial"/>
                <w:sz w:val="18"/>
                <w:szCs w:val="18"/>
                <w:color w:val="auto"/>
              </w:rPr>
              <w:t>Transaction-related costs</w:t>
            </w:r>
          </w:p>
        </w:tc>
        <w:tc>
          <w:tcPr>
            <w:tcW w:w="20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14%</w:t>
            </w:r>
          </w:p>
        </w:tc>
      </w:tr>
      <w:tr>
        <w:trPr>
          <w:trHeight w:val="273"/>
        </w:trPr>
        <w:tc>
          <w:tcPr>
            <w:tcW w:w="6200" w:type="dxa"/>
            <w:vAlign w:val="bottom"/>
          </w:tcPr>
          <w:p>
            <w:pPr>
              <w:ind w:left="240"/>
              <w:spacing w:after="0"/>
              <w:rPr>
                <w:sz w:val="20"/>
                <w:szCs w:val="20"/>
                <w:color w:val="auto"/>
              </w:rPr>
            </w:pPr>
            <w:r>
              <w:rPr>
                <w:rFonts w:ascii="Arial" w:cs="Arial" w:eastAsia="Arial" w:hAnsi="Arial"/>
                <w:sz w:val="18"/>
                <w:szCs w:val="18"/>
                <w:color w:val="auto"/>
              </w:rPr>
              <w:t>Restructuring expense</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50"/>
        </w:trPr>
        <w:tc>
          <w:tcPr>
            <w:tcW w:w="62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2,265</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2,236</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r>
      <w:tr>
        <w:trPr>
          <w:trHeight w:val="498"/>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r>
      <w:tr>
        <w:trPr>
          <w:trHeight w:val="267"/>
        </w:trPr>
        <w:tc>
          <w:tcPr>
            <w:tcW w:w="62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12%</w:t>
            </w:r>
          </w:p>
        </w:tc>
      </w:tr>
      <w:tr>
        <w:trPr>
          <w:trHeight w:val="484"/>
        </w:trPr>
        <w:tc>
          <w:tcPr>
            <w:tcW w:w="62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193"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During third quarter 2015, our net revenues increased as a result of a 10% increase in total rental days (6% excluding Maggiore), largely offset by an approximately $161 million (6%) negative impact from currency exchange rate movements.</w:t>
      </w:r>
    </w:p>
    <w:p>
      <w:pPr>
        <w:sectPr>
          <w:pgSz w:w="11900" w:h="16838" w:orient="portrait"/>
          <w:cols w:equalWidth="0" w:num="1">
            <w:col w:w="11400"/>
          </w:cols>
          <w:pgMar w:left="240" w:top="115" w:right="259" w:bottom="1440" w:gutter="0" w:footer="0" w:header="0"/>
        </w:sect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115" w:right="25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Total expenses increased as a result of increased volumes and a 7% increase in our car rental fleet (4% excluding Maggiore). The increase was largely offset by a favorable impact from currency exchange rate movements on expenses of approximately $126 million (6%). As a result of these items, our net income decreased by $8 million. Our effective tax rates were provisions of 41% and 37% for the three months ended September 30, 2015 and 2014, respectively.</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the three months ended September 30, 2015, the Company reported earnings of $1.77 per diluted share, which includes after-tax transaction-related costs of ($0.06) per share and after-tax restructuring expense of ($0.05) per share. For the three months ended September 30, 2014, the Company reported earnings of $1.74 per diluted share, which includes after-tax transaction costs of ($0.06) per share and after-tax restructuring expense of ($0.05)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September 30, 2015:</w:t>
      </w:r>
    </w:p>
    <w:p>
      <w:pPr>
        <w:spacing w:after="0" w:line="225" w:lineRule="exact"/>
        <w:rPr>
          <w:sz w:val="20"/>
          <w:szCs w:val="20"/>
          <w:color w:val="auto"/>
        </w:rPr>
      </w:pPr>
    </w:p>
    <w:p>
      <w:pPr>
        <w:ind w:left="660" w:right="80" w:hanging="328"/>
        <w:spacing w:after="0" w:line="29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Operating expenses increased to 46.6% of revenue from 46.0% in third quarter 2014, principally due to inflationary cost increases and higher vehicle maintenance and damage expense.</w:t>
      </w:r>
    </w:p>
    <w:p>
      <w:pPr>
        <w:spacing w:after="0" w:line="144" w:lineRule="exact"/>
        <w:rPr>
          <w:rFonts w:ascii="Arial" w:cs="Arial" w:eastAsia="Arial" w:hAnsi="Arial"/>
          <w:sz w:val="18"/>
          <w:szCs w:val="18"/>
          <w:color w:val="auto"/>
        </w:rPr>
      </w:pPr>
    </w:p>
    <w:p>
      <w:pPr>
        <w:ind w:left="660" w:right="640" w:hanging="328"/>
        <w:spacing w:after="0" w:line="29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21.5% of revenue from 22.9% in third quarter 2014, primarily due to a 6% decrease in per-unit fleet costs in constant currency.</w:t>
      </w:r>
    </w:p>
    <w:p>
      <w:pPr>
        <w:spacing w:after="0" w:line="144" w:lineRule="exact"/>
        <w:rPr>
          <w:rFonts w:ascii="Arial" w:cs="Arial" w:eastAsia="Arial" w:hAnsi="Arial"/>
          <w:sz w:val="18"/>
          <w:szCs w:val="18"/>
          <w:color w:val="auto"/>
        </w:rPr>
      </w:pPr>
    </w:p>
    <w:p>
      <w:pPr>
        <w:ind w:left="660" w:right="260" w:hanging="328"/>
        <w:spacing w:after="0" w:line="292"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12.2% of revenue from 11.7% in third quarter 2014, primarily due to increased marketing costs and commissions.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Vehicle interest costs were 2.9% of revenue compared to 3.0% in the prior-year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6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w w:val="99"/>
              </w:rPr>
              <w:t>Adjusted EBITDA</w:t>
            </w:r>
          </w:p>
        </w:tc>
        <w:tc>
          <w:tcPr>
            <w:tcW w:w="11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6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42"/>
        </w:trPr>
        <w:tc>
          <w:tcPr>
            <w:tcW w:w="3620" w:type="dxa"/>
            <w:vAlign w:val="bottom"/>
          </w:tcPr>
          <w:p>
            <w:pPr>
              <w:ind w:left="40"/>
              <w:spacing w:after="0"/>
              <w:rPr>
                <w:sz w:val="20"/>
                <w:szCs w:val="20"/>
                <w:color w:val="auto"/>
              </w:rPr>
            </w:pPr>
            <w:r>
              <w:rPr>
                <w:rFonts w:ascii="Arial" w:cs="Arial" w:eastAsia="Arial" w:hAnsi="Arial"/>
                <w:sz w:val="18"/>
                <w:szCs w:val="18"/>
                <w:color w:val="auto"/>
              </w:rPr>
              <w:t>Americas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1,776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1,742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279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362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80"/>
        </w:trPr>
        <w:tc>
          <w:tcPr>
            <w:tcW w:w="3620" w:type="dxa"/>
            <w:vAlign w:val="bottom"/>
          </w:tcPr>
          <w:p>
            <w:pPr>
              <w:ind w:left="4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6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620" w:type="dxa"/>
            <w:vAlign w:val="bottom"/>
          </w:tcPr>
          <w:p>
            <w:pPr>
              <w:ind w:left="240"/>
              <w:spacing w:after="0"/>
              <w:rPr>
                <w:sz w:val="20"/>
                <w:szCs w:val="20"/>
                <w:color w:val="auto"/>
              </w:rPr>
            </w:pPr>
            <w:r>
              <w:rPr>
                <w:rFonts w:ascii="Arial" w:cs="Arial" w:eastAsia="Arial" w:hAnsi="Arial"/>
                <w:sz w:val="18"/>
                <w:szCs w:val="18"/>
                <w:color w:val="auto"/>
              </w:rPr>
              <w:t>Total Company</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2,577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2,542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431</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4860" w:type="dxa"/>
            <w:vAlign w:val="bottom"/>
            <w:gridSpan w:val="4"/>
          </w:tcPr>
          <w:p>
            <w:pPr>
              <w:ind w:left="40"/>
              <w:spacing w:after="0"/>
              <w:rPr>
                <w:sz w:val="20"/>
                <w:szCs w:val="20"/>
                <w:color w:val="auto"/>
              </w:rPr>
            </w:pPr>
            <w:r>
              <w:rPr>
                <w:rFonts w:ascii="Arial" w:cs="Arial" w:eastAsia="Arial" w:hAnsi="Arial"/>
                <w:sz w:val="18"/>
                <w:szCs w:val="18"/>
                <w:color w:val="auto"/>
              </w:rPr>
              <w:t xml:space="preserve">Less:  Non-vehicle related depreciation and amortization </w:t>
            </w:r>
            <w:r>
              <w:rPr>
                <w:rFonts w:ascii="Arial" w:cs="Arial" w:eastAsia="Arial" w:hAnsi="Arial"/>
                <w:sz w:val="21"/>
                <w:szCs w:val="21"/>
                <w:color w:val="auto"/>
                <w:vertAlign w:val="superscript"/>
              </w:rPr>
              <w:t>(b)</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60" w:type="dxa"/>
            <w:vAlign w:val="bottom"/>
            <w:gridSpan w:val="4"/>
          </w:tcPr>
          <w:p>
            <w:pPr>
              <w:ind w:left="680"/>
              <w:spacing w:after="0"/>
              <w:rPr>
                <w:sz w:val="20"/>
                <w:szCs w:val="20"/>
                <w:color w:val="auto"/>
              </w:rPr>
            </w:pPr>
            <w:r>
              <w:rPr>
                <w:rFonts w:ascii="Arial" w:cs="Arial" w:eastAsia="Arial" w:hAnsi="Arial"/>
                <w:sz w:val="18"/>
                <w:szCs w:val="18"/>
                <w:color w:val="auto"/>
              </w:rPr>
              <w:t>Interest expense related to corporate debt, net</w:t>
            </w: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3620" w:type="dxa"/>
            <w:vAlign w:val="bottom"/>
          </w:tcPr>
          <w:p>
            <w:pPr>
              <w:ind w:left="680"/>
              <w:spacing w:after="0"/>
              <w:rPr>
                <w:sz w:val="20"/>
                <w:szCs w:val="20"/>
                <w:color w:val="auto"/>
              </w:rPr>
            </w:pPr>
            <w:r>
              <w:rPr>
                <w:rFonts w:ascii="Arial" w:cs="Arial" w:eastAsia="Arial" w:hAnsi="Arial"/>
                <w:sz w:val="18"/>
                <w:szCs w:val="18"/>
                <w:color w:val="auto"/>
              </w:rPr>
              <w:t xml:space="preserve">Transaction-related costs </w:t>
            </w:r>
            <w:r>
              <w:rPr>
                <w:rFonts w:ascii="Arial" w:cs="Arial" w:eastAsia="Arial" w:hAnsi="Arial"/>
                <w:sz w:val="21"/>
                <w:szCs w:val="21"/>
                <w:color w:val="auto"/>
                <w:vertAlign w:val="superscript"/>
              </w:rPr>
              <w:t>(c)</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620" w:type="dxa"/>
            <w:vAlign w:val="bottom"/>
          </w:tcPr>
          <w:p>
            <w:pPr>
              <w:ind w:left="68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6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312</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6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620" w:type="dxa"/>
            <w:vAlign w:val="bottom"/>
          </w:tcPr>
          <w:p>
            <w:pPr>
              <w:spacing w:after="0"/>
              <w:rPr>
                <w:sz w:val="20"/>
                <w:szCs w:val="20"/>
                <w:color w:val="auto"/>
              </w:rPr>
            </w:pPr>
            <w:r>
              <w:rPr>
                <w:rFonts w:ascii="Arial" w:cs="Arial" w:eastAsia="Arial" w:hAnsi="Arial"/>
                <w:sz w:val="16"/>
                <w:szCs w:val="16"/>
                <w:color w:val="auto"/>
              </w:rPr>
              <w:t>*  Not meaningful.</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84" w:lineRule="auto"/>
        <w:tabs>
          <w:tab w:leader="none" w:pos="340"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ind w:left="340" w:hanging="332"/>
        <w:spacing w:after="0" w:line="187" w:lineRule="auto"/>
        <w:tabs>
          <w:tab w:leader="none" w:pos="340" w:val="left"/>
        </w:tabs>
        <w:numPr>
          <w:ilvl w:val="0"/>
          <w:numId w:val="41"/>
        </w:numPr>
        <w:rPr>
          <w:rFonts w:ascii="Arial" w:cs="Arial" w:eastAsia="Arial" w:hAnsi="Arial"/>
          <w:sz w:val="21"/>
          <w:szCs w:val="21"/>
          <w:color w:val="auto"/>
          <w:vertAlign w:val="superscript"/>
        </w:rPr>
      </w:pPr>
      <w:r>
        <w:rPr>
          <w:rFonts w:ascii="Arial" w:cs="Arial" w:eastAsia="Arial" w:hAnsi="Arial"/>
          <w:sz w:val="15"/>
          <w:szCs w:val="15"/>
          <w:color w:val="auto"/>
        </w:rPr>
        <w:t>Amortization of acquisition-related intangible assets increased to $15 million in 2015 from $8 million in 2014.</w:t>
      </w:r>
    </w:p>
    <w:p>
      <w:pPr>
        <w:ind w:left="340" w:hanging="332"/>
        <w:spacing w:after="0" w:line="188" w:lineRule="auto"/>
        <w:tabs>
          <w:tab w:leader="none" w:pos="340" w:val="left"/>
        </w:tabs>
        <w:numPr>
          <w:ilvl w:val="0"/>
          <w:numId w:val="41"/>
        </w:numPr>
        <w:rPr>
          <w:rFonts w:ascii="Arial" w:cs="Arial" w:eastAsia="Arial" w:hAnsi="Arial"/>
          <w:sz w:val="22"/>
          <w:szCs w:val="22"/>
          <w:color w:val="auto"/>
          <w:vertAlign w:val="superscript"/>
        </w:rPr>
      </w:pPr>
      <w:r>
        <w:rPr>
          <w:rFonts w:ascii="Arial" w:cs="Arial" w:eastAsia="Arial" w:hAnsi="Arial"/>
          <w:sz w:val="16"/>
          <w:szCs w:val="16"/>
          <w:color w:val="auto"/>
        </w:rPr>
        <w:t>Primarily comprised of acquisition- and integration-related expenses.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40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392"/>
        </w:trPr>
        <w:tc>
          <w:tcPr>
            <w:tcW w:w="740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DDDDDD"/>
            </w:tcBorders>
          </w:tcPr>
          <w:p>
            <w:pPr>
              <w:spacing w:after="0"/>
              <w:rPr>
                <w:sz w:val="24"/>
                <w:szCs w:val="24"/>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41"/>
        </w:trPr>
        <w:tc>
          <w:tcPr>
            <w:tcW w:w="740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1,776</w:t>
            </w:r>
          </w:p>
        </w:tc>
        <w:tc>
          <w:tcPr>
            <w:tcW w:w="100" w:type="dxa"/>
            <w:vAlign w:val="bottom"/>
            <w:shd w:val="clear" w:color="auto" w:fill="DDDDDD"/>
          </w:tcPr>
          <w:p>
            <w:pPr>
              <w:spacing w:after="0"/>
              <w:rPr>
                <w:sz w:val="20"/>
                <w:szCs w:val="20"/>
                <w:color w:val="auto"/>
              </w:rPr>
            </w:pPr>
          </w:p>
        </w:tc>
        <w:tc>
          <w:tcPr>
            <w:tcW w:w="26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1,742</w:t>
            </w:r>
          </w:p>
        </w:tc>
        <w:tc>
          <w:tcPr>
            <w:tcW w:w="100" w:type="dxa"/>
            <w:vAlign w:val="bottom"/>
            <w:shd w:val="clear" w:color="auto" w:fill="DDDDDD"/>
          </w:tcPr>
          <w:p>
            <w:pPr>
              <w:spacing w:after="0"/>
              <w:rPr>
                <w:sz w:val="20"/>
                <w:szCs w:val="20"/>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w:t>
            </w:r>
          </w:p>
        </w:tc>
      </w:tr>
      <w:tr>
        <w:trPr>
          <w:trHeight w:val="280"/>
        </w:trPr>
        <w:tc>
          <w:tcPr>
            <w:tcW w:w="740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88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275</w:t>
            </w:r>
          </w:p>
        </w:tc>
        <w:tc>
          <w:tcPr>
            <w:tcW w:w="10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1%</w:t>
            </w:r>
          </w:p>
        </w:tc>
      </w:tr>
    </w:tbl>
    <w:p>
      <w:pPr>
        <w:spacing w:after="0" w:line="193"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Revenues increased 2% in third quarter 2015 compared with third quarter 2014, primarily due to 4% growth in rental volumes, partially offset by a $27 million (2%) negative impact from currency exchange rate movements.</w:t>
      </w:r>
    </w:p>
    <w:p>
      <w:pPr>
        <w:spacing w:after="0" w:line="145" w:lineRule="exact"/>
        <w:rPr>
          <w:sz w:val="20"/>
          <w:szCs w:val="20"/>
          <w:color w:val="auto"/>
        </w:rPr>
      </w:pPr>
    </w:p>
    <w:p>
      <w:pPr>
        <w:ind w:right="20"/>
        <w:spacing w:after="0" w:line="292" w:lineRule="auto"/>
        <w:rPr>
          <w:sz w:val="20"/>
          <w:szCs w:val="20"/>
          <w:color w:val="auto"/>
        </w:rPr>
      </w:pPr>
      <w:r>
        <w:rPr>
          <w:rFonts w:ascii="Arial" w:cs="Arial" w:eastAsia="Arial" w:hAnsi="Arial"/>
          <w:sz w:val="18"/>
          <w:szCs w:val="18"/>
          <w:color w:val="auto"/>
        </w:rPr>
        <w:t>Adjusted EBITDA increased 1% in third quarter 2015 compared with third quarter 2014, due to an increase in rental volumes and lower per-unit fleet costs, partially offset by a $7 million (3%) negative impact from currency exchange rate movements.</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September 30, 2015:</w:t>
      </w:r>
    </w:p>
    <w:p>
      <w:pPr>
        <w:sectPr>
          <w:pgSz w:w="11900" w:h="16838" w:orient="portrait"/>
          <w:cols w:equalWidth="0" w:num="1">
            <w:col w:w="11400"/>
          </w:cols>
          <w:pgMar w:left="240" w:top="115" w:right="259" w:bottom="1440" w:gutter="0" w:footer="0" w:header="0"/>
        </w:sect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00"/>
          </w:cols>
          <w:pgMar w:left="240" w:top="115" w:right="25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left="660" w:right="440" w:hanging="328"/>
        <w:spacing w:after="0" w:line="29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Operating expenses increased to 46.9% of revenue, compared to 45.7% in the prior-year period, primarily due to inflationary cost increases and higher vehicle maintenance and damage expense.</w:t>
      </w:r>
    </w:p>
    <w:p>
      <w:pPr>
        <w:spacing w:after="0" w:line="144" w:lineRule="exact"/>
        <w:rPr>
          <w:rFonts w:ascii="Arial" w:cs="Arial" w:eastAsia="Arial" w:hAnsi="Arial"/>
          <w:sz w:val="18"/>
          <w:szCs w:val="18"/>
          <w:color w:val="auto"/>
        </w:rPr>
      </w:pPr>
    </w:p>
    <w:p>
      <w:pPr>
        <w:ind w:left="660" w:right="280" w:hanging="328"/>
        <w:spacing w:after="0" w:line="29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23.2% of revenue from 24.8% in the prior-year period, principally due to a 5% decrease in per-unit fleet costs in constant currency.</w:t>
      </w:r>
    </w:p>
    <w:p>
      <w:pPr>
        <w:spacing w:after="0" w:line="144" w:lineRule="exact"/>
        <w:rPr>
          <w:rFonts w:ascii="Arial" w:cs="Arial" w:eastAsia="Arial" w:hAnsi="Arial"/>
          <w:sz w:val="18"/>
          <w:szCs w:val="18"/>
          <w:color w:val="auto"/>
        </w:rPr>
      </w:pPr>
    </w:p>
    <w:p>
      <w:pPr>
        <w:ind w:left="660" w:right="580" w:hanging="328"/>
        <w:spacing w:after="0" w:line="292"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Selling, general and administrative costs were 10.9% of revenue, an increase from 10.2% in third quarter 2014, primarily due to increased marketing costs and commissions.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Vehicle interest costs were 3.4% of revenue compared to 3.6% in third quarter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40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392"/>
        </w:trPr>
        <w:tc>
          <w:tcPr>
            <w:tcW w:w="740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DDDDDD"/>
            </w:tcBorders>
          </w:tcPr>
          <w:p>
            <w:pPr>
              <w:spacing w:after="0"/>
              <w:rPr>
                <w:sz w:val="24"/>
                <w:szCs w:val="24"/>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41"/>
        </w:trPr>
        <w:tc>
          <w:tcPr>
            <w:tcW w:w="740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801</w:t>
            </w:r>
          </w:p>
        </w:tc>
        <w:tc>
          <w:tcPr>
            <w:tcW w:w="100" w:type="dxa"/>
            <w:vAlign w:val="bottom"/>
            <w:shd w:val="clear" w:color="auto" w:fill="DDDDDD"/>
          </w:tcPr>
          <w:p>
            <w:pPr>
              <w:spacing w:after="0"/>
              <w:rPr>
                <w:sz w:val="20"/>
                <w:szCs w:val="20"/>
                <w:color w:val="auto"/>
              </w:rPr>
            </w:pPr>
          </w:p>
        </w:tc>
        <w:tc>
          <w:tcPr>
            <w:tcW w:w="26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DDDDDD"/>
          </w:tcPr>
          <w:p>
            <w:pPr>
              <w:spacing w:after="0"/>
              <w:rPr>
                <w:sz w:val="20"/>
                <w:szCs w:val="20"/>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0%</w:t>
            </w:r>
          </w:p>
        </w:tc>
      </w:tr>
      <w:tr>
        <w:trPr>
          <w:trHeight w:val="280"/>
        </w:trPr>
        <w:tc>
          <w:tcPr>
            <w:tcW w:w="740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88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6%</w:t>
            </w:r>
          </w:p>
        </w:tc>
      </w:tr>
    </w:tbl>
    <w:p>
      <w:pPr>
        <w:spacing w:after="0" w:line="19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Revenues were relatively unchanged in third quarter 2015 compared to third quarter 2014, primarily due to a 23% increase in rental volumes (12% excluding Maggiore) and a 17% constant-currency increase in ancillary revenue (12% excluding Maggiore), largely offset by a $134 million (17%) negative impact on revenues from currency exchange rate changes and a 3% decrease in pricing in constant currency (1% excluding Maggiore). Excluding Maggiore, total revenue per rental day increased 1% in constant currency.</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Adjusted EBITDA increased 6% in third quarter 2015 compared to third quarter 2014, as benefits from increased rental volumes, lower per-unit fleet costs and the acquisitions of Maggiore and Scandinavia were partially offset by a $33 million (21%) negative impact from currency exchange rate movements.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In the three months ended September 30, 2015:</w:t>
      </w:r>
    </w:p>
    <w:p>
      <w:pPr>
        <w:spacing w:after="0" w:line="225"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Operating expenses were 45.9% of revenue compared to 46.1% in the prior-year period.</w:t>
      </w:r>
    </w:p>
    <w:p>
      <w:pPr>
        <w:spacing w:after="0" w:line="225" w:lineRule="exact"/>
        <w:rPr>
          <w:rFonts w:ascii="Arial" w:cs="Arial" w:eastAsia="Arial" w:hAnsi="Arial"/>
          <w:sz w:val="18"/>
          <w:szCs w:val="18"/>
          <w:color w:val="auto"/>
        </w:rPr>
      </w:pPr>
    </w:p>
    <w:p>
      <w:pPr>
        <w:ind w:left="660" w:right="380" w:hanging="328"/>
        <w:spacing w:after="0" w:line="29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17.8% of revenue from 18.7% compared to third quarter 2014, driven by 7% lower per-unit fleet costs in constant currency.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Selling, general and administrative costs were 13.6% of revenue compared to 13.7% in the prior-year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Vehicle interest costs were 1.9% of revenue compared to 1.8% in third quarter 2014.</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116"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2015 vs. Nine Months Ended September 30, 2014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0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6"/>
        </w:trPr>
        <w:tc>
          <w:tcPr>
            <w:tcW w:w="6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20" w:type="dxa"/>
            <w:vAlign w:val="bottom"/>
            <w:gridSpan w:val="5"/>
          </w:tcPr>
          <w:p>
            <w:pPr>
              <w:jc w:val="center"/>
              <w:ind w:right="340"/>
              <w:spacing w:after="0"/>
              <w:rPr>
                <w:sz w:val="20"/>
                <w:szCs w:val="20"/>
                <w:color w:val="auto"/>
              </w:rPr>
            </w:pPr>
            <w:r>
              <w:rPr>
                <w:rFonts w:ascii="Arial" w:cs="Arial" w:eastAsia="Arial" w:hAnsi="Arial"/>
                <w:sz w:val="18"/>
                <w:szCs w:val="18"/>
                <w:b w:val="1"/>
                <w:bCs w:val="1"/>
                <w:color w:val="auto"/>
                <w:w w:val="99"/>
              </w:rPr>
              <w:t>Nine Months Ended</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6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September 30,</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6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2"/>
                <w:szCs w:val="22"/>
                <w:color w:val="auto"/>
              </w:rPr>
            </w:pPr>
          </w:p>
        </w:tc>
        <w:tc>
          <w:tcPr>
            <w:tcW w:w="1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64"/>
        </w:trPr>
        <w:tc>
          <w:tcPr>
            <w:tcW w:w="61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6100" w:type="dxa"/>
            <w:vAlign w:val="bottom"/>
          </w:tcPr>
          <w:p>
            <w:pPr>
              <w:ind w:left="240"/>
              <w:spacing w:after="0"/>
              <w:rPr>
                <w:sz w:val="20"/>
                <w:szCs w:val="20"/>
                <w:color w:val="auto"/>
              </w:rPr>
            </w:pPr>
            <w:r>
              <w:rPr>
                <w:rFonts w:ascii="Arial" w:cs="Arial" w:eastAsia="Arial" w:hAnsi="Arial"/>
                <w:sz w:val="18"/>
                <w:szCs w:val="18"/>
                <w:color w:val="auto"/>
              </w:rPr>
              <w:t>Vehicle rental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4,684</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4,692</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3"/>
        </w:trPr>
        <w:tc>
          <w:tcPr>
            <w:tcW w:w="6100" w:type="dxa"/>
            <w:vAlign w:val="bottom"/>
          </w:tcPr>
          <w:p>
            <w:pPr>
              <w:ind w:left="24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1,916</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1,906</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610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6,598</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98"/>
        </w:trPr>
        <w:tc>
          <w:tcPr>
            <w:tcW w:w="61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10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40" w:type="dxa"/>
            <w:vAlign w:val="bottom"/>
          </w:tcPr>
          <w:p>
            <w:pPr>
              <w:spacing w:after="0"/>
              <w:rPr>
                <w:sz w:val="22"/>
                <w:szCs w:val="22"/>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3,279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3,273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610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1,532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610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833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10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610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0"/>
        </w:trPr>
        <w:tc>
          <w:tcPr>
            <w:tcW w:w="610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100" w:type="dxa"/>
            <w:vAlign w:val="bottom"/>
          </w:tcPr>
          <w:p>
            <w:pPr>
              <w:ind w:left="4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6100" w:type="dxa"/>
            <w:vAlign w:val="bottom"/>
          </w:tcPr>
          <w:p>
            <w:pPr>
              <w:ind w:left="44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0"/>
        </w:trPr>
        <w:tc>
          <w:tcPr>
            <w:tcW w:w="6100" w:type="dxa"/>
            <w:vAlign w:val="bottom"/>
          </w:tcPr>
          <w:p>
            <w:pPr>
              <w:ind w:left="240"/>
              <w:spacing w:after="0"/>
              <w:rPr>
                <w:sz w:val="20"/>
                <w:szCs w:val="20"/>
                <w:color w:val="auto"/>
              </w:rPr>
            </w:pPr>
            <w:r>
              <w:rPr>
                <w:rFonts w:ascii="Arial" w:cs="Arial" w:eastAsia="Arial" w:hAnsi="Arial"/>
                <w:sz w:val="18"/>
                <w:szCs w:val="18"/>
                <w:color w:val="auto"/>
              </w:rPr>
              <w:t>Transaction-related costs</w:t>
            </w: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60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3"/>
        </w:trPr>
        <w:tc>
          <w:tcPr>
            <w:tcW w:w="6100" w:type="dxa"/>
            <w:vAlign w:val="bottom"/>
          </w:tcPr>
          <w:p>
            <w:pPr>
              <w:ind w:left="240"/>
              <w:spacing w:after="0"/>
              <w:rPr>
                <w:sz w:val="20"/>
                <w:szCs w:val="20"/>
                <w:color w:val="auto"/>
              </w:rPr>
            </w:pPr>
            <w:r>
              <w:rPr>
                <w:rFonts w:ascii="Arial" w:cs="Arial" w:eastAsia="Arial" w:hAnsi="Arial"/>
                <w:sz w:val="18"/>
                <w:szCs w:val="18"/>
                <w:color w:val="auto"/>
              </w:rPr>
              <w:t>Restructuring expense</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50"/>
        </w:trPr>
        <w:tc>
          <w:tcPr>
            <w:tcW w:w="61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6,222</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6,239</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498"/>
        </w:trPr>
        <w:tc>
          <w:tcPr>
            <w:tcW w:w="610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7"/>
        </w:trPr>
        <w:tc>
          <w:tcPr>
            <w:tcW w:w="61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600" w:type="dxa"/>
            <w:vAlign w:val="bottom"/>
            <w:gridSpan w:val="2"/>
          </w:tcPr>
          <w:p>
            <w:pPr>
              <w:jc w:val="right"/>
              <w:ind w:right="9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484"/>
        </w:trPr>
        <w:tc>
          <w:tcPr>
            <w:tcW w:w="61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96</w:t>
            </w:r>
          </w:p>
        </w:tc>
        <w:tc>
          <w:tcPr>
            <w:tcW w:w="1600" w:type="dxa"/>
            <w:vAlign w:val="bottom"/>
            <w:gridSpan w:val="2"/>
          </w:tcPr>
          <w:p>
            <w:pPr>
              <w:jc w:val="right"/>
              <w:ind w:right="15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1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100" w:type="dxa"/>
            <w:vAlign w:val="bottom"/>
          </w:tcPr>
          <w:p>
            <w:pPr>
              <w:spacing w:after="0"/>
              <w:rPr>
                <w:sz w:val="20"/>
                <w:szCs w:val="20"/>
                <w:color w:val="auto"/>
              </w:rPr>
            </w:pPr>
            <w:r>
              <w:rPr>
                <w:rFonts w:ascii="Arial" w:cs="Arial" w:eastAsia="Arial" w:hAnsi="Arial"/>
                <w:sz w:val="16"/>
                <w:szCs w:val="16"/>
                <w:color w:val="auto"/>
              </w:rPr>
              <w:t>*  Not meaningful.</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During the nine months ended September 30, 2015, our net revenues were essentially unchanged as a result of a 7% increase in total rental days (5% excluding Maggiore) being largely offset by an approximately $368 million (6%) negative impact from currency exchange rate movements.</w:t>
      </w:r>
    </w:p>
    <w:p>
      <w:pPr>
        <w:spacing w:after="0" w:line="163"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Total expenses decreased as a result of a favorable impact from currency exchange rate movements on expenses of approximately $345 million (6%). This decrease was largely offset by increased volumes, a 6% increase in our car rental fleet (4% excluding Maggiore) and transaction-related costs associated with the acquisitions of Scandinavia and Brazil, most of which were non-cash expenses. As a result of these items, and a $98 million income tax benefit related to resolution of a prior-year tax matter, our net income increased by $96 million. Our effective tax rates were provisions of 16% and 38% for the nine months ended September 30, 2015 and 2014, respectively.</w:t>
      </w:r>
    </w:p>
    <w:p>
      <w:pPr>
        <w:spacing w:after="0" w:line="17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For the nine months ended September 30, 2015, the Company reported earnings of $3.00 per diluted share, which includes after-tax transaction-related costs of ($0.43) per share, after-tax debt extinguishment costs of ($0.13) per share, after-tax restructuring expense of ($0.07) per share and an income tax benefit related to resolution of a prior-year tax matter of $0.92 per share. For the nine months ended September 30, 2014, the Company reported earnings of $2.00 per diluted share, which includes after-tax debt extinguishment costs of ($0.30) per share, after-tax transaction-related costs of ($0.18) per share and after-tax restructuring expense of ($0.10)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In the nine months ended September 30, 2015:</w:t>
      </w:r>
    </w:p>
    <w:p>
      <w:pPr>
        <w:spacing w:after="0" w:line="22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Operating expenses were 49.7% of revenue compared to 49.6% in the prior-year period.</w:t>
      </w:r>
    </w:p>
    <w:p>
      <w:pPr>
        <w:spacing w:after="0" w:line="225" w:lineRule="exact"/>
        <w:rPr>
          <w:rFonts w:ascii="Arial" w:cs="Arial" w:eastAsia="Arial" w:hAnsi="Arial"/>
          <w:sz w:val="18"/>
          <w:szCs w:val="18"/>
          <w:color w:val="auto"/>
        </w:rPr>
      </w:pPr>
    </w:p>
    <w:p>
      <w:pPr>
        <w:ind w:left="660" w:right="180" w:hanging="328"/>
        <w:spacing w:after="0" w:line="29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22.5% of revenue from 23.2% in the nine months ended September 30, 2014, driven by 4% lower per-unit fleet costs in constant currency.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12.8% of revenue from 12.6% in the nine months ended September 30, 2014.</w:t>
      </w:r>
    </w:p>
    <w:p>
      <w:pPr>
        <w:sectPr>
          <w:pgSz w:w="11900" w:h="16838" w:orient="portrait"/>
          <w:cols w:equalWidth="0" w:num="1">
            <w:col w:w="11300"/>
          </w:cols>
          <w:pgMar w:left="240" w:top="116" w:right="359" w:bottom="1440" w:gutter="0" w:footer="0" w:header="0"/>
        </w:sectPr>
      </w:pP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300"/>
          </w:cols>
          <w:pgMar w:left="240" w:top="116" w:right="35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9"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Vehicle interest costs were 3.3% of revenue compared to 3.2% in the prior-year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5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rPr>
              <w:t>Revenues</w:t>
            </w:r>
          </w:p>
        </w:tc>
        <w:tc>
          <w:tcPr>
            <w:tcW w:w="13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Adjusted EBITDA</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5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 Change</w:t>
            </w:r>
          </w:p>
        </w:tc>
        <w:tc>
          <w:tcPr>
            <w:tcW w:w="0" w:type="dxa"/>
            <w:vAlign w:val="bottom"/>
          </w:tcPr>
          <w:p>
            <w:pPr>
              <w:spacing w:after="0"/>
              <w:rPr>
                <w:sz w:val="1"/>
                <w:szCs w:val="1"/>
                <w:color w:val="auto"/>
              </w:rPr>
            </w:pPr>
          </w:p>
        </w:tc>
      </w:tr>
      <w:tr>
        <w:trPr>
          <w:trHeight w:val="242"/>
        </w:trPr>
        <w:tc>
          <w:tcPr>
            <w:tcW w:w="3580" w:type="dxa"/>
            <w:vAlign w:val="bottom"/>
          </w:tcPr>
          <w:p>
            <w:pPr>
              <w:ind w:left="40"/>
              <w:spacing w:after="0"/>
              <w:rPr>
                <w:sz w:val="20"/>
                <w:szCs w:val="20"/>
                <w:color w:val="auto"/>
              </w:rPr>
            </w:pPr>
            <w:r>
              <w:rPr>
                <w:rFonts w:ascii="Arial" w:cs="Arial" w:eastAsia="Arial" w:hAnsi="Arial"/>
                <w:sz w:val="18"/>
                <w:szCs w:val="18"/>
                <w:color w:val="auto"/>
              </w:rPr>
              <w:t>Americas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4,707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4,614</w:t>
            </w:r>
          </w:p>
        </w:tc>
        <w:tc>
          <w:tcPr>
            <w:tcW w:w="100" w:type="dxa"/>
            <w:vAlign w:val="bottom"/>
          </w:tcPr>
          <w:p>
            <w:pPr>
              <w:spacing w:after="0"/>
              <w:rPr>
                <w:sz w:val="21"/>
                <w:szCs w:val="21"/>
                <w:color w:val="auto"/>
              </w:rPr>
            </w:pP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2%  $</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358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6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1,893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1,984</w:t>
            </w: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80"/>
        </w:trPr>
        <w:tc>
          <w:tcPr>
            <w:tcW w:w="3580" w:type="dxa"/>
            <w:vAlign w:val="bottom"/>
          </w:tcPr>
          <w:p>
            <w:pPr>
              <w:ind w:left="4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1"/>
                <w:szCs w:val="21"/>
                <w:color w:val="auto"/>
                <w:vertAlign w:val="superscript"/>
              </w:rPr>
              <w:t>(a)</w:t>
            </w:r>
          </w:p>
        </w:tc>
        <w:tc>
          <w:tcPr>
            <w:tcW w:w="26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580" w:type="dxa"/>
            <w:vAlign w:val="bottom"/>
          </w:tcPr>
          <w:p>
            <w:pPr>
              <w:ind w:left="240"/>
              <w:spacing w:after="0"/>
              <w:rPr>
                <w:sz w:val="20"/>
                <w:szCs w:val="20"/>
                <w:color w:val="auto"/>
              </w:rPr>
            </w:pPr>
            <w:r>
              <w:rPr>
                <w:rFonts w:ascii="Arial" w:cs="Arial" w:eastAsia="Arial" w:hAnsi="Arial"/>
                <w:sz w:val="18"/>
                <w:szCs w:val="18"/>
                <w:color w:val="auto"/>
              </w:rPr>
              <w:t>Total Company</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6,600</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6,598</w:t>
            </w:r>
          </w:p>
        </w:tc>
        <w:tc>
          <w:tcPr>
            <w:tcW w:w="10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4820" w:type="dxa"/>
            <w:vAlign w:val="bottom"/>
            <w:gridSpan w:val="4"/>
          </w:tcPr>
          <w:p>
            <w:pPr>
              <w:ind w:left="40"/>
              <w:spacing w:after="0"/>
              <w:rPr>
                <w:sz w:val="20"/>
                <w:szCs w:val="20"/>
                <w:color w:val="auto"/>
              </w:rPr>
            </w:pPr>
            <w:r>
              <w:rPr>
                <w:rFonts w:ascii="Arial" w:cs="Arial" w:eastAsia="Arial" w:hAnsi="Arial"/>
                <w:sz w:val="18"/>
                <w:szCs w:val="18"/>
                <w:color w:val="auto"/>
              </w:rPr>
              <w:t xml:space="preserve">Less:  Non-vehicle related depreciation and amortization </w:t>
            </w:r>
            <w:r>
              <w:rPr>
                <w:rFonts w:ascii="Arial" w:cs="Arial" w:eastAsia="Arial" w:hAnsi="Arial"/>
                <w:sz w:val="21"/>
                <w:szCs w:val="21"/>
                <w:color w:val="auto"/>
                <w:vertAlign w:val="superscript"/>
              </w:rPr>
              <w:t>(b)</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20" w:type="dxa"/>
            <w:vAlign w:val="bottom"/>
            <w:gridSpan w:val="4"/>
          </w:tcPr>
          <w:p>
            <w:pPr>
              <w:ind w:left="660"/>
              <w:spacing w:after="0"/>
              <w:rPr>
                <w:sz w:val="20"/>
                <w:szCs w:val="20"/>
                <w:color w:val="auto"/>
              </w:rPr>
            </w:pPr>
            <w:r>
              <w:rPr>
                <w:rFonts w:ascii="Arial" w:cs="Arial" w:eastAsia="Arial" w:hAnsi="Arial"/>
                <w:sz w:val="18"/>
                <w:szCs w:val="18"/>
                <w:color w:val="auto"/>
              </w:rPr>
              <w:t>Interest expense related to corporate debt, net:</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880"/>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Pr>
          <w:p>
            <w:pPr>
              <w:ind w:left="880"/>
              <w:spacing w:after="0"/>
              <w:rPr>
                <w:sz w:val="20"/>
                <w:szCs w:val="20"/>
                <w:color w:val="auto"/>
              </w:rPr>
            </w:pPr>
            <w:r>
              <w:rPr>
                <w:rFonts w:ascii="Arial" w:cs="Arial" w:eastAsia="Arial" w:hAnsi="Arial"/>
                <w:sz w:val="18"/>
                <w:szCs w:val="18"/>
                <w:color w:val="auto"/>
              </w:rPr>
              <w:t>Early extinguishment of debt</w:t>
            </w: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3580" w:type="dxa"/>
            <w:vAlign w:val="bottom"/>
          </w:tcPr>
          <w:p>
            <w:pPr>
              <w:ind w:left="660"/>
              <w:spacing w:after="0"/>
              <w:rPr>
                <w:sz w:val="20"/>
                <w:szCs w:val="20"/>
                <w:color w:val="auto"/>
              </w:rPr>
            </w:pPr>
            <w:r>
              <w:rPr>
                <w:rFonts w:ascii="Arial" w:cs="Arial" w:eastAsia="Arial" w:hAnsi="Arial"/>
                <w:sz w:val="18"/>
                <w:szCs w:val="18"/>
                <w:color w:val="auto"/>
              </w:rPr>
              <w:t xml:space="preserve">Transaction-related costs </w:t>
            </w:r>
            <w:r>
              <w:rPr>
                <w:rFonts w:ascii="Arial" w:cs="Arial" w:eastAsia="Arial" w:hAnsi="Arial"/>
                <w:sz w:val="21"/>
                <w:szCs w:val="21"/>
                <w:color w:val="auto"/>
                <w:vertAlign w:val="superscript"/>
              </w:rPr>
              <w:t>(c)</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3580" w:type="dxa"/>
            <w:vAlign w:val="bottom"/>
          </w:tcPr>
          <w:p>
            <w:pPr>
              <w:ind w:left="660"/>
              <w:spacing w:after="0"/>
              <w:rPr>
                <w:sz w:val="20"/>
                <w:szCs w:val="20"/>
                <w:color w:val="auto"/>
              </w:rPr>
            </w:pPr>
            <w:r>
              <w:rPr>
                <w:rFonts w:ascii="Arial" w:cs="Arial" w:eastAsia="Arial" w:hAnsi="Arial"/>
                <w:sz w:val="18"/>
                <w:szCs w:val="18"/>
                <w:color w:val="auto"/>
              </w:rPr>
              <w:t>Restructuring expense</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5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378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5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580" w:type="dxa"/>
            <w:vAlign w:val="bottom"/>
          </w:tcPr>
          <w:p>
            <w:pPr>
              <w:spacing w:after="0"/>
              <w:rPr>
                <w:sz w:val="20"/>
                <w:szCs w:val="20"/>
                <w:color w:val="auto"/>
              </w:rPr>
            </w:pPr>
            <w:r>
              <w:rPr>
                <w:rFonts w:ascii="Arial" w:cs="Arial" w:eastAsia="Arial" w:hAnsi="Arial"/>
                <w:sz w:val="16"/>
                <w:szCs w:val="16"/>
                <w:color w:val="auto"/>
              </w:rPr>
              <w:t>*  Not meaningful.</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84" w:lineRule="auto"/>
        <w:tabs>
          <w:tab w:leader="none" w:pos="340" w:val="left"/>
        </w:tabs>
        <w:numPr>
          <w:ilvl w:val="0"/>
          <w:numId w:val="46"/>
        </w:numPr>
        <w:rPr>
          <w:rFonts w:ascii="Arial" w:cs="Arial" w:eastAsia="Arial" w:hAnsi="Arial"/>
          <w:sz w:val="22"/>
          <w:szCs w:val="22"/>
          <w:color w:val="auto"/>
          <w:vertAlign w:val="superscript"/>
        </w:rPr>
      </w:pPr>
      <w:r>
        <w:rPr>
          <w:rFonts w:ascii="Arial" w:cs="Arial" w:eastAsia="Arial" w:hAnsi="Arial"/>
          <w:sz w:val="16"/>
          <w:szCs w:val="16"/>
          <w:color w:val="auto"/>
        </w:rPr>
        <w:t>Includes unallocated corporate overhead which is not attributable to a particular segment.</w:t>
      </w:r>
    </w:p>
    <w:p>
      <w:pPr>
        <w:ind w:left="340" w:hanging="332"/>
        <w:spacing w:after="0" w:line="187" w:lineRule="auto"/>
        <w:tabs>
          <w:tab w:leader="none" w:pos="340" w:val="left"/>
        </w:tabs>
        <w:numPr>
          <w:ilvl w:val="0"/>
          <w:numId w:val="46"/>
        </w:numPr>
        <w:rPr>
          <w:rFonts w:ascii="Arial" w:cs="Arial" w:eastAsia="Arial" w:hAnsi="Arial"/>
          <w:sz w:val="21"/>
          <w:szCs w:val="21"/>
          <w:color w:val="auto"/>
          <w:vertAlign w:val="superscript"/>
        </w:rPr>
      </w:pPr>
      <w:r>
        <w:rPr>
          <w:rFonts w:ascii="Arial" w:cs="Arial" w:eastAsia="Arial" w:hAnsi="Arial"/>
          <w:sz w:val="15"/>
          <w:szCs w:val="15"/>
          <w:color w:val="auto"/>
        </w:rPr>
        <w:t>Amortization of acquisition-related intangible assets increased to $41 million in 2015 from $23 million in 2014.</w:t>
      </w:r>
    </w:p>
    <w:p>
      <w:pPr>
        <w:ind w:left="340" w:hanging="332"/>
        <w:spacing w:after="0" w:line="188" w:lineRule="auto"/>
        <w:tabs>
          <w:tab w:leader="none" w:pos="340" w:val="left"/>
        </w:tabs>
        <w:numPr>
          <w:ilvl w:val="0"/>
          <w:numId w:val="46"/>
        </w:numPr>
        <w:rPr>
          <w:rFonts w:ascii="Arial" w:cs="Arial" w:eastAsia="Arial" w:hAnsi="Arial"/>
          <w:sz w:val="22"/>
          <w:szCs w:val="22"/>
          <w:color w:val="auto"/>
          <w:vertAlign w:val="superscript"/>
        </w:rPr>
      </w:pPr>
      <w:r>
        <w:rPr>
          <w:rFonts w:ascii="Arial" w:cs="Arial" w:eastAsia="Arial" w:hAnsi="Arial"/>
          <w:sz w:val="16"/>
          <w:szCs w:val="16"/>
          <w:color w:val="auto"/>
        </w:rPr>
        <w:t>Primarily comprised of acquisition- and integration-related expenses.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740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392"/>
        </w:trPr>
        <w:tc>
          <w:tcPr>
            <w:tcW w:w="7400" w:type="dxa"/>
            <w:vAlign w:val="bottom"/>
            <w:tcBorders>
              <w:bottom w:val="single" w:sz="8" w:color="DDDDDD"/>
            </w:tcBorders>
          </w:tcPr>
          <w:p>
            <w:pPr>
              <w:spacing w:after="0"/>
              <w:rPr>
                <w:sz w:val="24"/>
                <w:szCs w:val="24"/>
                <w:color w:val="auto"/>
              </w:rPr>
            </w:pP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DDDDDD"/>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DDDDDD"/>
            </w:tcBorders>
          </w:tcPr>
          <w:p>
            <w:pPr>
              <w:spacing w:after="0"/>
              <w:rPr>
                <w:sz w:val="24"/>
                <w:szCs w:val="24"/>
                <w:color w:val="auto"/>
              </w:rPr>
            </w:pPr>
          </w:p>
        </w:tc>
        <w:tc>
          <w:tcPr>
            <w:tcW w:w="1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 Change</w:t>
            </w:r>
          </w:p>
        </w:tc>
      </w:tr>
      <w:tr>
        <w:trPr>
          <w:trHeight w:val="241"/>
        </w:trPr>
        <w:tc>
          <w:tcPr>
            <w:tcW w:w="7400" w:type="dxa"/>
            <w:vAlign w:val="bottom"/>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4,707</w:t>
            </w:r>
          </w:p>
        </w:tc>
        <w:tc>
          <w:tcPr>
            <w:tcW w:w="100" w:type="dxa"/>
            <w:vAlign w:val="bottom"/>
            <w:shd w:val="clear" w:color="auto" w:fill="DDDDDD"/>
          </w:tcPr>
          <w:p>
            <w:pPr>
              <w:spacing w:after="0"/>
              <w:rPr>
                <w:sz w:val="20"/>
                <w:szCs w:val="20"/>
                <w:color w:val="auto"/>
              </w:rPr>
            </w:pPr>
          </w:p>
        </w:tc>
        <w:tc>
          <w:tcPr>
            <w:tcW w:w="26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4,614</w:t>
            </w:r>
          </w:p>
        </w:tc>
        <w:tc>
          <w:tcPr>
            <w:tcW w:w="100" w:type="dxa"/>
            <w:vAlign w:val="bottom"/>
            <w:shd w:val="clear" w:color="auto" w:fill="DDDDDD"/>
          </w:tcPr>
          <w:p>
            <w:pPr>
              <w:spacing w:after="0"/>
              <w:rPr>
                <w:sz w:val="20"/>
                <w:szCs w:val="20"/>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w:t>
            </w:r>
          </w:p>
        </w:tc>
      </w:tr>
      <w:tr>
        <w:trPr>
          <w:trHeight w:val="280"/>
        </w:trPr>
        <w:tc>
          <w:tcPr>
            <w:tcW w:w="7400" w:type="dxa"/>
            <w:vAlign w:val="bottom"/>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88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572</w:t>
            </w:r>
          </w:p>
        </w:tc>
        <w:tc>
          <w:tcPr>
            <w:tcW w:w="100" w:type="dxa"/>
            <w:vAlign w:val="bottom"/>
            <w:shd w:val="clear" w:color="auto" w:fill="DDDDDD"/>
          </w:tcPr>
          <w:p>
            <w:pPr>
              <w:spacing w:after="0"/>
              <w:rPr>
                <w:sz w:val="24"/>
                <w:szCs w:val="24"/>
                <w:color w:val="auto"/>
              </w:rPr>
            </w:pPr>
          </w:p>
        </w:tc>
        <w:tc>
          <w:tcPr>
            <w:tcW w:w="260" w:type="dxa"/>
            <w:vAlign w:val="bottom"/>
            <w:shd w:val="clear" w:color="auto" w:fill="DDDDDD"/>
          </w:tcPr>
          <w:p>
            <w:pPr>
              <w:spacing w:after="0"/>
              <w:rPr>
                <w:sz w:val="24"/>
                <w:szCs w:val="24"/>
                <w:color w:val="auto"/>
              </w:rPr>
            </w:pPr>
          </w:p>
        </w:tc>
        <w:tc>
          <w:tcPr>
            <w:tcW w:w="8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DDDDDD"/>
          </w:tcPr>
          <w:p>
            <w:pPr>
              <w:spacing w:after="0"/>
              <w:rPr>
                <w:sz w:val="24"/>
                <w:szCs w:val="24"/>
                <w:color w:val="auto"/>
              </w:rPr>
            </w:pPr>
          </w:p>
        </w:tc>
        <w:tc>
          <w:tcPr>
            <w:tcW w:w="1320" w:type="dxa"/>
            <w:vAlign w:val="bottom"/>
            <w:shd w:val="clear" w:color="auto" w:fill="DDDDDD"/>
          </w:tcPr>
          <w:p>
            <w:pPr>
              <w:jc w:val="right"/>
              <w:spacing w:after="0"/>
              <w:rPr>
                <w:sz w:val="20"/>
                <w:szCs w:val="20"/>
                <w:color w:val="auto"/>
              </w:rPr>
            </w:pPr>
            <w:r>
              <w:rPr>
                <w:rFonts w:ascii="Arial" w:cs="Arial" w:eastAsia="Arial" w:hAnsi="Arial"/>
                <w:sz w:val="18"/>
                <w:szCs w:val="18"/>
                <w:color w:val="auto"/>
              </w:rPr>
              <w:t>2%</w:t>
            </w:r>
          </w:p>
        </w:tc>
      </w:tr>
    </w:tbl>
    <w:p>
      <w:pPr>
        <w:spacing w:after="0" w:line="193"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Revenues increased 2% in the nine months ended September 30, 2015 compared with the same period in 2014, primarily due to 4% growth in rental volumes, partially offset by a $47 million (1%) negative impact from currency exchange rate movements.</w:t>
      </w:r>
    </w:p>
    <w:p>
      <w:pPr>
        <w:spacing w:after="0" w:line="145"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Adjusted EBITDA increased 2% in the nine months ended September 30, 2015 compared with the same period in 2014, due to increased rental volumes, partially offset by a $7 million (1%) negative impact from currency exchange rate movements.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In the nine months ended September 30, 2015:</w:t>
      </w:r>
    </w:p>
    <w:p>
      <w:pPr>
        <w:spacing w:after="0" w:line="22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Operating expenses were 48.8% of revenue compared to 48.7% in the prior-year period.</w:t>
      </w:r>
    </w:p>
    <w:p>
      <w:pPr>
        <w:spacing w:after="0" w:line="225" w:lineRule="exact"/>
        <w:rPr>
          <w:rFonts w:ascii="Arial" w:cs="Arial" w:eastAsia="Arial" w:hAnsi="Arial"/>
          <w:sz w:val="18"/>
          <w:szCs w:val="18"/>
          <w:color w:val="auto"/>
        </w:rPr>
      </w:pPr>
    </w:p>
    <w:p>
      <w:pPr>
        <w:ind w:left="660" w:hanging="328"/>
        <w:spacing w:after="0" w:line="29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24.2% of revenue from 24.6% in the first nine months of 2015 compared to 2014, principally due to 2% lower per-unit fleet costs in constant currency.</w:t>
      </w:r>
    </w:p>
    <w:p>
      <w:pPr>
        <w:spacing w:after="0" w:line="144" w:lineRule="exact"/>
        <w:rPr>
          <w:rFonts w:ascii="Arial" w:cs="Arial" w:eastAsia="Arial" w:hAnsi="Arial"/>
          <w:sz w:val="18"/>
          <w:szCs w:val="18"/>
          <w:color w:val="auto"/>
        </w:rPr>
      </w:pPr>
    </w:p>
    <w:p>
      <w:pPr>
        <w:ind w:left="660" w:right="40" w:hanging="328"/>
        <w:spacing w:after="0" w:line="29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11.1% of revenue from 10.7% in the prior-year period, primarily due to increased marketing costs and commissions.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Vehicle interest costs, at 3.8% of revenue, remained level compared to the nine months ended September 30, 2014.</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116" w:right="27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92"/>
        </w:trPr>
        <w:tc>
          <w:tcPr>
            <w:tcW w:w="1400" w:type="dxa"/>
            <w:vAlign w:val="bottom"/>
            <w:tcBorders>
              <w:top w:val="single" w:sz="8" w:color="0000EE"/>
            </w:tcBorders>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5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392"/>
        </w:trPr>
        <w:tc>
          <w:tcPr>
            <w:tcW w:w="1400" w:type="dxa"/>
            <w:vAlign w:val="bottom"/>
            <w:tcBorders>
              <w:bottom w:val="single" w:sz="8" w:color="DDDDDD"/>
            </w:tcBorders>
          </w:tcPr>
          <w:p>
            <w:pPr>
              <w:spacing w:after="0"/>
              <w:rPr>
                <w:sz w:val="24"/>
                <w:szCs w:val="24"/>
                <w:color w:val="auto"/>
              </w:rPr>
            </w:pPr>
          </w:p>
        </w:tc>
        <w:tc>
          <w:tcPr>
            <w:tcW w:w="5920" w:type="dxa"/>
            <w:vAlign w:val="bottom"/>
            <w:tcBorders>
              <w:bottom w:val="single" w:sz="8" w:color="DDDDDD"/>
            </w:tcBorders>
          </w:tcPr>
          <w:p>
            <w:pPr>
              <w:spacing w:after="0"/>
              <w:rPr>
                <w:sz w:val="24"/>
                <w:szCs w:val="24"/>
                <w:color w:val="auto"/>
              </w:rPr>
            </w:pPr>
          </w:p>
        </w:tc>
        <w:tc>
          <w:tcPr>
            <w:tcW w:w="12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DDDDDD"/>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DDDDDD"/>
            </w:tcBorders>
          </w:tcPr>
          <w:p>
            <w:pPr>
              <w:spacing w:after="0"/>
              <w:rPr>
                <w:sz w:val="24"/>
                <w:szCs w:val="24"/>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1"/>
        </w:trPr>
        <w:tc>
          <w:tcPr>
            <w:tcW w:w="7320" w:type="dxa"/>
            <w:vAlign w:val="bottom"/>
            <w:gridSpan w:val="2"/>
            <w:shd w:val="clear" w:color="auto" w:fill="DDDDDD"/>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gridSpan w:val="2"/>
            <w:shd w:val="clear" w:color="auto" w:fill="DDDDDD"/>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1,893</w:t>
            </w:r>
          </w:p>
        </w:tc>
        <w:tc>
          <w:tcPr>
            <w:tcW w:w="100" w:type="dxa"/>
            <w:vAlign w:val="bottom"/>
            <w:shd w:val="clear" w:color="auto" w:fill="DDDDDD"/>
          </w:tcPr>
          <w:p>
            <w:pPr>
              <w:spacing w:after="0"/>
              <w:rPr>
                <w:sz w:val="20"/>
                <w:szCs w:val="20"/>
                <w:color w:val="auto"/>
              </w:rPr>
            </w:pPr>
          </w:p>
        </w:tc>
        <w:tc>
          <w:tcPr>
            <w:tcW w:w="24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1,984</w:t>
            </w:r>
          </w:p>
        </w:tc>
        <w:tc>
          <w:tcPr>
            <w:tcW w:w="100" w:type="dxa"/>
            <w:vAlign w:val="bottom"/>
            <w:shd w:val="clear" w:color="auto" w:fill="DDDDDD"/>
          </w:tcPr>
          <w:p>
            <w:pPr>
              <w:spacing w:after="0"/>
              <w:rPr>
                <w:sz w:val="20"/>
                <w:szCs w:val="20"/>
                <w:color w:val="auto"/>
              </w:rPr>
            </w:pPr>
          </w:p>
        </w:tc>
        <w:tc>
          <w:tcPr>
            <w:tcW w:w="1380" w:type="dxa"/>
            <w:vAlign w:val="bottom"/>
            <w:shd w:val="clear" w:color="auto" w:fill="DDDDDD"/>
          </w:tcPr>
          <w:p>
            <w:pPr>
              <w:jc w:val="right"/>
              <w:spacing w:after="0"/>
              <w:rPr>
                <w:sz w:val="20"/>
                <w:szCs w:val="20"/>
                <w:color w:val="auto"/>
              </w:rPr>
            </w:pPr>
            <w:r>
              <w:rPr>
                <w:rFonts w:ascii="Arial" w:cs="Arial" w:eastAsia="Arial" w:hAnsi="Arial"/>
                <w:sz w:val="18"/>
                <w:szCs w:val="18"/>
                <w:color w:val="auto"/>
              </w:rPr>
              <w:t>(5%)</w:t>
            </w:r>
          </w:p>
        </w:tc>
      </w:tr>
      <w:tr>
        <w:trPr>
          <w:trHeight w:val="280"/>
        </w:trPr>
        <w:tc>
          <w:tcPr>
            <w:tcW w:w="7320" w:type="dxa"/>
            <w:vAlign w:val="bottom"/>
            <w:gridSpan w:val="2"/>
            <w:shd w:val="clear" w:color="auto" w:fill="DDDDDD"/>
          </w:tcPr>
          <w:p>
            <w:pPr>
              <w:ind w:left="40"/>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DDDDDD"/>
          </w:tcPr>
          <w:p>
            <w:pPr>
              <w:spacing w:after="0"/>
              <w:rPr>
                <w:sz w:val="24"/>
                <w:szCs w:val="24"/>
                <w:color w:val="auto"/>
              </w:rPr>
            </w:pPr>
          </w:p>
        </w:tc>
        <w:tc>
          <w:tcPr>
            <w:tcW w:w="240" w:type="dxa"/>
            <w:vAlign w:val="bottom"/>
            <w:shd w:val="clear" w:color="auto" w:fill="DDDDDD"/>
          </w:tcPr>
          <w:p>
            <w:pPr>
              <w:spacing w:after="0"/>
              <w:rPr>
                <w:sz w:val="24"/>
                <w:szCs w:val="24"/>
                <w:color w:val="auto"/>
              </w:rPr>
            </w:pPr>
          </w:p>
        </w:tc>
        <w:tc>
          <w:tcPr>
            <w:tcW w:w="900" w:type="dxa"/>
            <w:vAlign w:val="bottom"/>
            <w:shd w:val="clear" w:color="auto" w:fill="DDDDDD"/>
          </w:tcPr>
          <w:p>
            <w:pPr>
              <w:jc w:val="right"/>
              <w:ind w:right="30"/>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DDDDDD"/>
          </w:tcPr>
          <w:p>
            <w:pPr>
              <w:spacing w:after="0"/>
              <w:rPr>
                <w:sz w:val="24"/>
                <w:szCs w:val="24"/>
                <w:color w:val="auto"/>
              </w:rPr>
            </w:pPr>
          </w:p>
        </w:tc>
        <w:tc>
          <w:tcPr>
            <w:tcW w:w="1380" w:type="dxa"/>
            <w:vAlign w:val="bottom"/>
            <w:shd w:val="clear" w:color="auto" w:fill="DDDDDD"/>
          </w:tcPr>
          <w:p>
            <w:pPr>
              <w:jc w:val="right"/>
              <w:ind w:right="10"/>
              <w:spacing w:after="0"/>
              <w:rPr>
                <w:sz w:val="20"/>
                <w:szCs w:val="20"/>
                <w:color w:val="auto"/>
              </w:rPr>
            </w:pPr>
            <w:r>
              <w:rPr>
                <w:rFonts w:ascii="Arial" w:cs="Arial" w:eastAsia="Arial" w:hAnsi="Arial"/>
                <w:sz w:val="18"/>
                <w:szCs w:val="18"/>
                <w:color w:val="auto"/>
              </w:rPr>
              <w:t>8%</w:t>
            </w:r>
          </w:p>
        </w:tc>
      </w:tr>
    </w:tbl>
    <w:p>
      <w:pPr>
        <w:spacing w:after="0" w:line="19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Revenues decreased 5% during the nine months ended September 30, 2015 compared with the same period in 2014, primarily due to a $321 million (16%) negative impact on revenues from currency exchange rate changes and a 4% decrease in pricing in constant currency (3% excluding Maggiore), partially offset by a 17% increase in rental volumes (9% excluding Maggiore) and an 14% constant-currency increase in ancillary revenue (10% excluding Maggiore). Excluding Maggiore, total revenue per rental day remained unchanged in constant currency.</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Adjusted EBITDA increased 8% in the nine months ended September 30, 2015 compared with the same period in 2014, due to an increase in rental volumes and the acquisitions of Maggiore and Scandinavia, partially offset by lower pricing and a $35 million (15%) negative impact from currency exchange rate changes.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In the nine months ended September 30, 2015:</w:t>
      </w:r>
    </w:p>
    <w:p>
      <w:pPr>
        <w:spacing w:after="0" w:line="225"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Operating expenses were 51.6% of revenue compared to 51.5% in the prior-year period.</w:t>
      </w:r>
    </w:p>
    <w:p>
      <w:pPr>
        <w:spacing w:after="0" w:line="225" w:lineRule="exact"/>
        <w:rPr>
          <w:rFonts w:ascii="Arial" w:cs="Arial" w:eastAsia="Arial" w:hAnsi="Arial"/>
          <w:sz w:val="18"/>
          <w:szCs w:val="18"/>
          <w:color w:val="auto"/>
        </w:rPr>
      </w:pPr>
    </w:p>
    <w:p>
      <w:pPr>
        <w:ind w:left="660" w:right="260" w:hanging="328"/>
        <w:spacing w:after="0" w:line="29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18.4% of revenue from 19.9% in the nine months ended September 30, 2014, driven by 9% lower per-unit fleet costs in constant currency.</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Selling, general and administrative costs decreased to 15.0% of revenue from 15.3% in the prior-year period.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Vehicle interest costs increased to 2.2% of revenue, an increase from to 1.9% in the nine months ended September 30, 2014.</w:t>
      </w: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73"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120" w:type="dxa"/>
            <w:vAlign w:val="bottom"/>
          </w:tcPr>
          <w:p>
            <w:pPr>
              <w:spacing w:after="0"/>
              <w:rPr>
                <w:sz w:val="20"/>
                <w:szCs w:val="20"/>
                <w:color w:val="auto"/>
              </w:rPr>
            </w:pPr>
            <w:r>
              <w:rPr>
                <w:rFonts w:ascii="Arial" w:cs="Arial" w:eastAsia="Arial" w:hAnsi="Arial"/>
                <w:sz w:val="18"/>
                <w:szCs w:val="18"/>
                <w:b w:val="1"/>
                <w:bCs w:val="1"/>
                <w:color w:val="auto"/>
              </w:rPr>
              <w:t>FINANCIAL CONDITION</w:t>
            </w: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328"/>
        </w:trPr>
        <w:tc>
          <w:tcPr>
            <w:tcW w:w="6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3"/>
        </w:trPr>
        <w:tc>
          <w:tcPr>
            <w:tcW w:w="6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Change</w:t>
            </w:r>
          </w:p>
        </w:tc>
      </w:tr>
      <w:tr>
        <w:trPr>
          <w:trHeight w:val="242"/>
        </w:trPr>
        <w:tc>
          <w:tcPr>
            <w:tcW w:w="6120" w:type="dxa"/>
            <w:vAlign w:val="bottom"/>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6,116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5,911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205</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6,037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5,677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360</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Assets under vehicle programs</w:t>
            </w: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12,786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11,058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1,728</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Liabilities under vehicle programs</w:t>
            </w: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12,265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10,627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1,638</w:t>
            </w:r>
          </w:p>
        </w:tc>
      </w:tr>
      <w:tr>
        <w:trPr>
          <w:trHeight w:val="270"/>
        </w:trPr>
        <w:tc>
          <w:tcPr>
            <w:tcW w:w="612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665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2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Total assets exclusive of assets under vehicle programs increased primarily due to a seasonal increase in value-added tax receivables, which are recoverable from government agencies, as well as the acquisitions of Maggiore, Scandinavia and Brazil (see Note 4 to our Consolidated Financial Statements and “Liquidity and Capital Resources”), partially offset by a decrease in deferred income taxes primarily related to the utilization of net operating losses. Total liabilities exclusive of liabilities under vehicle programs increased primarily due to seasonal increases in accounts payable and an increase in long-term debt (see “Liquidity and Capital Resources” regarding the changes in our corporate financings).</w:t>
      </w:r>
    </w:p>
    <w:p>
      <w:pPr>
        <w:spacing w:after="0" w:line="160"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The increases in assets under vehicle programs and liabilities under vehicle programs are principally related to the seasonal increase in the size of our vehicle rental fleet and associated funding, as well as our acquisitions.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08"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right="280"/>
        <w:spacing w:after="0" w:line="292" w:lineRule="auto"/>
        <w:rPr>
          <w:sz w:val="20"/>
          <w:szCs w:val="20"/>
          <w:color w:val="auto"/>
        </w:rPr>
      </w:pPr>
      <w:r>
        <w:rPr>
          <w:rFonts w:ascii="Arial" w:cs="Arial" w:eastAsia="Arial" w:hAnsi="Arial"/>
          <w:sz w:val="18"/>
          <w:szCs w:val="18"/>
          <w:color w:val="auto"/>
        </w:rPr>
        <w:t>The decrease in stockholders’ equity is primarily due to the repurchase of our common stock and currency translation adjustments, partially offset by our net income.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45"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During the nine months ended September 30, 2015, we issued $375 million of 5¼% Senior Notes due 2025 at par. The proceeds from these borrowings were used to redeem the remaining $223 million principal amount of our 9¾% Senior Notes due 2020 and to finance a portion of our acquisition of Maggiore. In addition, we repurchased approximately 5.9 million shares of our outstanding common stock during the nine months ended September 30, 2015, and increased our borrowings under vehicle programs to fund the seasonal increase in our rental fleet.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424"/>
        </w:trPr>
        <w:tc>
          <w:tcPr>
            <w:tcW w:w="674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00"/>
        </w:trPr>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7"/>
          </w:tcPr>
          <w:p>
            <w:pPr>
              <w:jc w:val="right"/>
              <w:ind w:right="730"/>
              <w:spacing w:after="0"/>
              <w:rPr>
                <w:sz w:val="20"/>
                <w:szCs w:val="20"/>
                <w:color w:val="auto"/>
              </w:rPr>
            </w:pPr>
            <w:r>
              <w:rPr>
                <w:rFonts w:ascii="Arial" w:cs="Arial" w:eastAsia="Arial" w:hAnsi="Arial"/>
                <w:sz w:val="18"/>
                <w:szCs w:val="18"/>
                <w:b w:val="1"/>
                <w:bCs w:val="1"/>
                <w:color w:val="auto"/>
              </w:rPr>
              <w:t>Nine Months Ended September 30,</w:t>
            </w:r>
          </w:p>
        </w:tc>
      </w:tr>
      <w:tr>
        <w:trPr>
          <w:trHeight w:val="263"/>
        </w:trPr>
        <w:tc>
          <w:tcPr>
            <w:tcW w:w="67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56"/>
        </w:trPr>
        <w:tc>
          <w:tcPr>
            <w:tcW w:w="674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2,038</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2,067</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(3,417)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(3,553)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136</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1,520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73"/>
        </w:trPr>
        <w:tc>
          <w:tcPr>
            <w:tcW w:w="6740" w:type="dxa"/>
            <w:vAlign w:val="bottom"/>
          </w:tcPr>
          <w:p>
            <w:pPr>
              <w:ind w:left="40"/>
              <w:spacing w:after="0"/>
              <w:rPr>
                <w:sz w:val="20"/>
                <w:szCs w:val="20"/>
                <w:color w:val="auto"/>
              </w:rPr>
            </w:pPr>
            <w:r>
              <w:rPr>
                <w:rFonts w:ascii="Arial" w:cs="Arial" w:eastAsia="Arial" w:hAnsi="Arial"/>
                <w:sz w:val="18"/>
                <w:szCs w:val="18"/>
                <w:color w:val="auto"/>
              </w:rPr>
              <w:t>Effect of exchange rate changes</w:t>
            </w: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47"/>
        </w:trPr>
        <w:tc>
          <w:tcPr>
            <w:tcW w:w="67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5"/>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624</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55"/>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585</w:t>
            </w:r>
          </w:p>
        </w:tc>
        <w:tc>
          <w:tcPr>
            <w:tcW w:w="12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420"/>
        <w:spacing w:after="0" w:line="292" w:lineRule="auto"/>
        <w:rPr>
          <w:sz w:val="20"/>
          <w:szCs w:val="20"/>
          <w:color w:val="auto"/>
        </w:rPr>
      </w:pPr>
      <w:r>
        <w:rPr>
          <w:rFonts w:ascii="Arial" w:cs="Arial" w:eastAsia="Arial" w:hAnsi="Arial"/>
          <w:sz w:val="18"/>
          <w:szCs w:val="18"/>
          <w:color w:val="auto"/>
        </w:rPr>
        <w:t>Cash provided by operating activities during the nine months ended September 30, 2015 was substantially unchanged compared with the same period in 2014 .</w:t>
      </w:r>
    </w:p>
    <w:p>
      <w:pPr>
        <w:spacing w:after="0" w:line="145"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4% decrease in cash used in investing activities during the nine months ended September 30, 2015 compared with the same period in 2014 is primarily due to a decrease in vehicle purchases and an increase in proceeds received on the disposition of vehicles in 2015, partially offset by the acquisitions of Maggiore, Scandinavia and Brazil in 2015.</w:t>
      </w:r>
    </w:p>
    <w:p>
      <w:pPr>
        <w:spacing w:after="0" w:line="163"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The decrease in cash provided by financing activities during the nine months ended September 30, 2015 compared with the same period in 2014 is primarily due to a decrease in net borrowings under vehicle programs, partially offset by an increase in our stock repurchase program and an increase in net corporate borrowings to help fund acquisitions.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27" w:lineRule="exact"/>
        <w:rPr>
          <w:sz w:val="20"/>
          <w:szCs w:val="20"/>
          <w:color w:val="auto"/>
        </w:rPr>
      </w:pPr>
    </w:p>
    <w:p>
      <w:pPr>
        <w:ind w:right="240"/>
        <w:spacing w:after="0" w:line="292" w:lineRule="auto"/>
        <w:rPr>
          <w:sz w:val="20"/>
          <w:szCs w:val="20"/>
          <w:color w:val="auto"/>
        </w:rPr>
      </w:pPr>
      <w:r>
        <w:rPr>
          <w:rFonts w:ascii="Arial" w:cs="Arial" w:eastAsia="Arial" w:hAnsi="Arial"/>
          <w:sz w:val="18"/>
          <w:szCs w:val="18"/>
          <w:color w:val="auto"/>
        </w:rPr>
        <w:t>At September 30, 2015, we had approximately $14 billion of indebtedness, including corporate indebtedness of approximately $4 billion and debt under vehicle programs of approximately $10 billion.</w:t>
      </w: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116" w:right="29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Corporate indebtedness consisted of:</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As of</w:t>
            </w:r>
          </w:p>
        </w:tc>
        <w:tc>
          <w:tcPr>
            <w:tcW w:w="180" w:type="dxa"/>
            <w:vAlign w:val="bottom"/>
          </w:tcPr>
          <w:p>
            <w:pPr>
              <w:spacing w:after="0"/>
              <w:rPr>
                <w:sz w:val="19"/>
                <w:szCs w:val="19"/>
                <w:color w:val="auto"/>
              </w:rPr>
            </w:pPr>
          </w:p>
        </w:tc>
        <w:tc>
          <w:tcPr>
            <w:tcW w:w="130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70"/>
        </w:trPr>
        <w:tc>
          <w:tcPr>
            <w:tcW w:w="6400" w:type="dxa"/>
            <w:vAlign w:val="bottom"/>
          </w:tcPr>
          <w:p>
            <w:pPr>
              <w:spacing w:after="0"/>
              <w:rPr>
                <w:sz w:val="23"/>
                <w:szCs w:val="23"/>
                <w:color w:val="auto"/>
              </w:rPr>
            </w:pPr>
          </w:p>
        </w:tc>
        <w:tc>
          <w:tcPr>
            <w:tcW w:w="1960" w:type="dxa"/>
            <w:vAlign w:val="bottom"/>
            <w:gridSpan w:val="2"/>
            <w:vMerge w:val="restart"/>
          </w:tcPr>
          <w:p>
            <w:pPr>
              <w:ind w:left="620"/>
              <w:spacing w:after="0"/>
              <w:rPr>
                <w:sz w:val="20"/>
                <w:szCs w:val="20"/>
                <w:color w:val="auto"/>
              </w:rPr>
            </w:pPr>
            <w:r>
              <w:rPr>
                <w:rFonts w:ascii="Arial" w:cs="Arial" w:eastAsia="Arial" w:hAnsi="Arial"/>
                <w:sz w:val="16"/>
                <w:szCs w:val="16"/>
                <w:b w:val="1"/>
                <w:bCs w:val="1"/>
                <w:color w:val="auto"/>
              </w:rPr>
              <w:t>Maturity</w:t>
            </w:r>
          </w:p>
        </w:tc>
        <w:tc>
          <w:tcPr>
            <w:tcW w:w="160" w:type="dxa"/>
            <w:vAlign w:val="bottom"/>
          </w:tcPr>
          <w:p>
            <w:pPr>
              <w:spacing w:after="0"/>
              <w:rPr>
                <w:sz w:val="23"/>
                <w:szCs w:val="23"/>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23"/>
                <w:szCs w:val="23"/>
                <w:color w:val="auto"/>
              </w:rPr>
            </w:pP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41"/>
        </w:trPr>
        <w:tc>
          <w:tcPr>
            <w:tcW w:w="6400" w:type="dxa"/>
            <w:vAlign w:val="bottom"/>
          </w:tcPr>
          <w:p>
            <w:pPr>
              <w:spacing w:after="0"/>
              <w:rPr>
                <w:sz w:val="3"/>
                <w:szCs w:val="3"/>
                <w:color w:val="auto"/>
              </w:rPr>
            </w:pPr>
          </w:p>
        </w:tc>
        <w:tc>
          <w:tcPr>
            <w:tcW w:w="196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6400" w:type="dxa"/>
            <w:vAlign w:val="bottom"/>
          </w:tcPr>
          <w:p>
            <w:pPr>
              <w:spacing w:after="0"/>
              <w:rPr>
                <w:sz w:val="20"/>
                <w:szCs w:val="20"/>
                <w:color w:val="auto"/>
              </w:rPr>
            </w:pPr>
          </w:p>
        </w:tc>
        <w:tc>
          <w:tcPr>
            <w:tcW w:w="18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Dates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38"/>
        </w:trPr>
        <w:tc>
          <w:tcPr>
            <w:tcW w:w="6400" w:type="dxa"/>
            <w:vAlign w:val="bottom"/>
          </w:tcPr>
          <w:p>
            <w:pPr>
              <w:ind w:left="40"/>
              <w:spacing w:after="0"/>
              <w:rPr>
                <w:sz w:val="20"/>
                <w:szCs w:val="20"/>
                <w:color w:val="auto"/>
              </w:rPr>
            </w:pPr>
            <w:r>
              <w:rPr>
                <w:rFonts w:ascii="Arial" w:cs="Arial" w:eastAsia="Arial" w:hAnsi="Arial"/>
                <w:sz w:val="16"/>
                <w:szCs w:val="16"/>
                <w:color w:val="auto"/>
              </w:rPr>
              <w:t>4⅞%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November 2017</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22"/>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Floating Rate Senior Notes </w:t>
            </w:r>
            <w:r>
              <w:rPr>
                <w:rFonts w:ascii="Arial" w:cs="Arial" w:eastAsia="Arial" w:hAnsi="Arial"/>
                <w:sz w:val="21"/>
                <w:szCs w:val="21"/>
                <w:color w:val="auto"/>
                <w:vertAlign w:val="superscript"/>
              </w:rPr>
              <w:t>(a)</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December 2017</w:t>
            </w:r>
          </w:p>
        </w:tc>
        <w:tc>
          <w:tcPr>
            <w:tcW w:w="160" w:type="dxa"/>
            <w:vAlign w:val="bottom"/>
          </w:tcPr>
          <w:p>
            <w:pPr>
              <w:spacing w:after="0"/>
              <w:rPr>
                <w:sz w:val="24"/>
                <w:szCs w:val="24"/>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(b)</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2019</w:t>
            </w:r>
          </w:p>
        </w:tc>
        <w:tc>
          <w:tcPr>
            <w:tcW w:w="16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973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980</w:t>
            </w:r>
          </w:p>
        </w:tc>
        <w:tc>
          <w:tcPr>
            <w:tcW w:w="0" w:type="dxa"/>
            <w:vAlign w:val="bottom"/>
          </w:tcPr>
          <w:p>
            <w:pPr>
              <w:spacing w:after="0"/>
              <w:rPr>
                <w:sz w:val="1"/>
                <w:szCs w:val="1"/>
                <w:color w:val="auto"/>
              </w:rPr>
            </w:pPr>
          </w:p>
        </w:tc>
      </w:tr>
      <w:tr>
        <w:trPr>
          <w:trHeight w:val="219"/>
        </w:trPr>
        <w:tc>
          <w:tcPr>
            <w:tcW w:w="6400" w:type="dxa"/>
            <w:vAlign w:val="bottom"/>
          </w:tcPr>
          <w:p>
            <w:pPr>
              <w:ind w:left="40"/>
              <w:spacing w:after="0"/>
              <w:rPr>
                <w:sz w:val="20"/>
                <w:szCs w:val="20"/>
                <w:color w:val="auto"/>
              </w:rPr>
            </w:pPr>
            <w:r>
              <w:rPr>
                <w:rFonts w:ascii="Arial" w:cs="Arial" w:eastAsia="Arial" w:hAnsi="Arial"/>
                <w:sz w:val="16"/>
                <w:szCs w:val="16"/>
                <w:color w:val="auto"/>
              </w:rPr>
              <w:t>9¾%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2020</w:t>
            </w:r>
          </w:p>
        </w:tc>
        <w:tc>
          <w:tcPr>
            <w:tcW w:w="160" w:type="dxa"/>
            <w:vAlign w:val="bottom"/>
          </w:tcPr>
          <w:p>
            <w:pPr>
              <w:spacing w:after="0"/>
              <w:rPr>
                <w:sz w:val="19"/>
                <w:szCs w:val="19"/>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223</w:t>
            </w:r>
          </w:p>
        </w:tc>
        <w:tc>
          <w:tcPr>
            <w:tcW w:w="0" w:type="dxa"/>
            <w:vAlign w:val="bottom"/>
          </w:tcPr>
          <w:p>
            <w:pPr>
              <w:spacing w:after="0"/>
              <w:rPr>
                <w:sz w:val="1"/>
                <w:szCs w:val="1"/>
                <w:color w:val="auto"/>
              </w:rPr>
            </w:pPr>
          </w:p>
        </w:tc>
      </w:tr>
      <w:tr>
        <w:trPr>
          <w:trHeight w:val="322"/>
        </w:trPr>
        <w:tc>
          <w:tcPr>
            <w:tcW w:w="6400" w:type="dxa"/>
            <w:vAlign w:val="bottom"/>
          </w:tcPr>
          <w:p>
            <w:pPr>
              <w:ind w:left="40"/>
              <w:spacing w:after="0"/>
              <w:rPr>
                <w:sz w:val="20"/>
                <w:szCs w:val="20"/>
                <w:color w:val="auto"/>
              </w:rPr>
            </w:pPr>
            <w:r>
              <w:rPr>
                <w:rFonts w:ascii="Arial" w:cs="Arial" w:eastAsia="Arial" w:hAnsi="Arial"/>
                <w:sz w:val="16"/>
                <w:szCs w:val="16"/>
                <w:color w:val="auto"/>
              </w:rPr>
              <w:t xml:space="preserve">6% Euro-denominated Senior Notes </w:t>
            </w:r>
            <w:r>
              <w:rPr>
                <w:rFonts w:ascii="Arial" w:cs="Arial" w:eastAsia="Arial" w:hAnsi="Arial"/>
                <w:sz w:val="21"/>
                <w:szCs w:val="21"/>
                <w:color w:val="auto"/>
                <w:vertAlign w:val="superscript"/>
              </w:rPr>
              <w:t>(c)</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2021</w:t>
            </w:r>
          </w:p>
        </w:tc>
        <w:tc>
          <w:tcPr>
            <w:tcW w:w="160" w:type="dxa"/>
            <w:vAlign w:val="bottom"/>
          </w:tcPr>
          <w:p>
            <w:pPr>
              <w:spacing w:after="0"/>
              <w:rPr>
                <w:sz w:val="24"/>
                <w:szCs w:val="24"/>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561</w:t>
            </w:r>
          </w:p>
        </w:tc>
        <w:tc>
          <w:tcPr>
            <w:tcW w:w="0" w:type="dxa"/>
            <w:vAlign w:val="bottom"/>
          </w:tcPr>
          <w:p>
            <w:pPr>
              <w:spacing w:after="0"/>
              <w:rPr>
                <w:sz w:val="1"/>
                <w:szCs w:val="1"/>
                <w:color w:val="auto"/>
              </w:rPr>
            </w:pPr>
          </w:p>
        </w:tc>
      </w:tr>
      <w:tr>
        <w:trPr>
          <w:trHeight w:val="219"/>
        </w:trPr>
        <w:tc>
          <w:tcPr>
            <w:tcW w:w="6400" w:type="dxa"/>
            <w:vAlign w:val="bottom"/>
          </w:tcPr>
          <w:p>
            <w:pPr>
              <w:ind w:left="40"/>
              <w:spacing w:after="0"/>
              <w:rPr>
                <w:sz w:val="20"/>
                <w:szCs w:val="20"/>
                <w:color w:val="auto"/>
              </w:rPr>
            </w:pPr>
            <w:r>
              <w:rPr>
                <w:rFonts w:ascii="Arial" w:cs="Arial" w:eastAsia="Arial" w:hAnsi="Arial"/>
                <w:sz w:val="16"/>
                <w:szCs w:val="16"/>
                <w:color w:val="auto"/>
              </w:rPr>
              <w:t>5⅛%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June 2022</w:t>
            </w:r>
          </w:p>
        </w:tc>
        <w:tc>
          <w:tcPr>
            <w:tcW w:w="160" w:type="dxa"/>
            <w:vAlign w:val="bottom"/>
          </w:tcPr>
          <w:p>
            <w:pPr>
              <w:spacing w:after="0"/>
              <w:rPr>
                <w:sz w:val="19"/>
                <w:szCs w:val="19"/>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5½%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April 2023</w:t>
            </w:r>
          </w:p>
        </w:tc>
        <w:tc>
          <w:tcPr>
            <w:tcW w:w="16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674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rPr>
                <w:sz w:val="20"/>
                <w:szCs w:val="20"/>
                <w:color w:val="auto"/>
              </w:rPr>
            </w:pPr>
            <w:r>
              <w:rPr>
                <w:rFonts w:ascii="Arial" w:cs="Arial" w:eastAsia="Arial" w:hAnsi="Arial"/>
                <w:sz w:val="16"/>
                <w:szCs w:val="16"/>
                <w:color w:val="auto"/>
              </w:rPr>
              <w:t>5¼% Senior Notes</w:t>
            </w:r>
          </w:p>
        </w:tc>
        <w:tc>
          <w:tcPr>
            <w:tcW w:w="1960" w:type="dxa"/>
            <w:vAlign w:val="bottom"/>
            <w:gridSpan w:val="2"/>
          </w:tcPr>
          <w:p>
            <w:pPr>
              <w:jc w:val="right"/>
              <w:ind w:right="140"/>
              <w:spacing w:after="0"/>
              <w:rPr>
                <w:sz w:val="20"/>
                <w:szCs w:val="20"/>
                <w:color w:val="auto"/>
              </w:rPr>
            </w:pPr>
            <w:r>
              <w:rPr>
                <w:rFonts w:ascii="Arial" w:cs="Arial" w:eastAsia="Arial" w:hAnsi="Arial"/>
                <w:sz w:val="16"/>
                <w:szCs w:val="16"/>
                <w:color w:val="auto"/>
              </w:rPr>
              <w:t>March 2025</w:t>
            </w:r>
          </w:p>
        </w:tc>
        <w:tc>
          <w:tcPr>
            <w:tcW w:w="160" w:type="dxa"/>
            <w:vAlign w:val="bottom"/>
          </w:tcPr>
          <w:p>
            <w:pPr>
              <w:spacing w:after="0"/>
              <w:rPr>
                <w:sz w:val="23"/>
                <w:szCs w:val="23"/>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9"/>
        </w:trPr>
        <w:tc>
          <w:tcPr>
            <w:tcW w:w="6400" w:type="dxa"/>
            <w:vAlign w:val="bottom"/>
          </w:tcPr>
          <w:p>
            <w:pPr>
              <w:ind w:left="40"/>
              <w:spacing w:after="0"/>
              <w:rPr>
                <w:sz w:val="20"/>
                <w:szCs w:val="20"/>
                <w:color w:val="auto"/>
              </w:rPr>
            </w:pPr>
            <w:r>
              <w:rPr>
                <w:rFonts w:ascii="Arial" w:cs="Arial" w:eastAsia="Arial" w:hAnsi="Arial"/>
                <w:sz w:val="16"/>
                <w:szCs w:val="16"/>
                <w:color w:val="auto"/>
              </w:rPr>
              <w:t>Other</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41"/>
        </w:trPr>
        <w:tc>
          <w:tcPr>
            <w:tcW w:w="6400" w:type="dxa"/>
            <w:vAlign w:val="bottom"/>
          </w:tcPr>
          <w:p>
            <w:pPr>
              <w:ind w:left="40"/>
              <w:spacing w:after="0"/>
              <w:rPr>
                <w:sz w:val="20"/>
                <w:szCs w:val="20"/>
                <w:color w:val="auto"/>
              </w:rPr>
            </w:pPr>
            <w:r>
              <w:rPr>
                <w:rFonts w:ascii="Arial" w:cs="Arial" w:eastAsia="Arial" w:hAnsi="Arial"/>
                <w:sz w:val="16"/>
                <w:szCs w:val="16"/>
                <w:color w:val="auto"/>
              </w:rPr>
              <w:t>Total</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3,532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3,420</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400" w:type="dxa"/>
            <w:vAlign w:val="bottom"/>
            <w:vMerge w:val="continue"/>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right="140" w:hanging="332"/>
        <w:spacing w:after="0" w:line="214" w:lineRule="auto"/>
        <w:tabs>
          <w:tab w:leader="none" w:pos="34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The interest rate on these notes is equal to three-month LIBOR plus 275 basis points, for an aggregate rate of 3.07% at September 30, 2015; the Company has entered into an interest rate swap to hedge its interest rate exposure related to these notes at an aggregate rate of 3.58%.</w:t>
      </w:r>
    </w:p>
    <w:p>
      <w:pPr>
        <w:spacing w:after="0" w:line="1" w:lineRule="exact"/>
        <w:rPr>
          <w:rFonts w:ascii="Arial" w:cs="Arial" w:eastAsia="Arial" w:hAnsi="Arial"/>
          <w:sz w:val="18"/>
          <w:szCs w:val="18"/>
          <w:color w:val="auto"/>
          <w:vertAlign w:val="superscript"/>
        </w:rPr>
      </w:pPr>
    </w:p>
    <w:p>
      <w:pPr>
        <w:ind w:left="340" w:right="80" w:hanging="332"/>
        <w:spacing w:after="0" w:line="225" w:lineRule="auto"/>
        <w:tabs>
          <w:tab w:leader="none" w:pos="34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September 30, 2015, the floating rate term loan due 2019 bears interest at the greater of three-month LIBOR or 0.75%, plus 225 basis points, for an aggregate rate of 3.00%. The Company has entered into a swap to hedge $600 million of its interest rate exposure related to the floating rate term loan at an aggregate rate of 3.96%.</w:t>
      </w:r>
    </w:p>
    <w:p>
      <w:pPr>
        <w:spacing w:after="0" w:line="1" w:lineRule="exact"/>
        <w:rPr>
          <w:rFonts w:ascii="Arial" w:cs="Arial" w:eastAsia="Arial" w:hAnsi="Arial"/>
          <w:sz w:val="18"/>
          <w:szCs w:val="18"/>
          <w:color w:val="auto"/>
          <w:vertAlign w:val="superscript"/>
        </w:rPr>
      </w:pPr>
    </w:p>
    <w:p>
      <w:pPr>
        <w:ind w:left="340" w:hanging="332"/>
        <w:spacing w:after="0" w:line="204" w:lineRule="auto"/>
        <w:tabs>
          <w:tab w:leader="none" w:pos="340" w:val="left"/>
        </w:tabs>
        <w:numPr>
          <w:ilvl w:val="0"/>
          <w:numId w:val="49"/>
        </w:numPr>
        <w:rPr>
          <w:rFonts w:ascii="Arial" w:cs="Arial" w:eastAsia="Arial" w:hAnsi="Arial"/>
          <w:sz w:val="18"/>
          <w:szCs w:val="18"/>
          <w:color w:val="auto"/>
          <w:vertAlign w:val="superscript"/>
        </w:rPr>
      </w:pPr>
      <w:r>
        <w:rPr>
          <w:rFonts w:ascii="Arial" w:cs="Arial" w:eastAsia="Arial" w:hAnsi="Arial"/>
          <w:sz w:val="14"/>
          <w:szCs w:val="14"/>
          <w:color w:val="auto"/>
        </w:rPr>
        <w:t>The reduction in the balance principally reflects currency translation adjustments.</w:t>
      </w:r>
    </w:p>
    <w:p>
      <w:pPr>
        <w:spacing w:after="0" w:line="175" w:lineRule="exact"/>
        <w:rPr>
          <w:sz w:val="20"/>
          <w:szCs w:val="20"/>
          <w:color w:val="auto"/>
        </w:rPr>
      </w:pPr>
    </w:p>
    <w:p>
      <w:pPr>
        <w:ind w:right="320"/>
        <w:spacing w:after="0" w:line="292" w:lineRule="auto"/>
        <w:rPr>
          <w:sz w:val="20"/>
          <w:szCs w:val="20"/>
          <w:color w:val="auto"/>
        </w:rPr>
      </w:pPr>
      <w:r>
        <w:rPr>
          <w:rFonts w:ascii="Arial" w:cs="Arial" w:eastAsia="Arial" w:hAnsi="Arial"/>
          <w:sz w:val="18"/>
          <w:szCs w:val="18"/>
          <w:color w:val="auto"/>
        </w:rPr>
        <w:t>The following table summarizes the components of our debt under vehicle programs, including related party debt due to Avis Budget Rental Car Funding (AESOP) LLC (“Avis Budget Rental Car Funding”):</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As of</w:t>
            </w:r>
          </w:p>
        </w:tc>
        <w:tc>
          <w:tcPr>
            <w:tcW w:w="220" w:type="dxa"/>
            <w:vAlign w:val="bottom"/>
          </w:tcPr>
          <w:p>
            <w:pPr>
              <w:spacing w:after="0"/>
              <w:rPr>
                <w:sz w:val="19"/>
                <w:szCs w:val="19"/>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As of</w:t>
            </w:r>
          </w:p>
        </w:tc>
        <w:tc>
          <w:tcPr>
            <w:tcW w:w="0" w:type="dxa"/>
            <w:vAlign w:val="bottom"/>
          </w:tcPr>
          <w:p>
            <w:pPr>
              <w:spacing w:after="0"/>
              <w:rPr>
                <w:sz w:val="1"/>
                <w:szCs w:val="1"/>
                <w:color w:val="auto"/>
              </w:rPr>
            </w:pPr>
          </w:p>
        </w:tc>
      </w:tr>
      <w:tr>
        <w:trPr>
          <w:trHeight w:val="270"/>
        </w:trPr>
        <w:tc>
          <w:tcPr>
            <w:tcW w:w="79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Pr>
          <w:p>
            <w:pPr>
              <w:spacing w:after="0"/>
              <w:rPr>
                <w:sz w:val="23"/>
                <w:szCs w:val="23"/>
                <w:color w:val="auto"/>
              </w:rPr>
            </w:pPr>
          </w:p>
        </w:tc>
        <w:tc>
          <w:tcPr>
            <w:tcW w:w="1480" w:type="dxa"/>
            <w:vAlign w:val="bottom"/>
          </w:tcPr>
          <w:p>
            <w:pPr>
              <w:jc w:val="center"/>
              <w:ind w:right="13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74"/>
        </w:trPr>
        <w:tc>
          <w:tcPr>
            <w:tcW w:w="79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rPr>
              <w:t>2014</w:t>
            </w:r>
          </w:p>
        </w:tc>
        <w:tc>
          <w:tcPr>
            <w:tcW w:w="0" w:type="dxa"/>
            <w:vAlign w:val="bottom"/>
          </w:tcPr>
          <w:p>
            <w:pPr>
              <w:spacing w:after="0"/>
              <w:rPr>
                <w:sz w:val="1"/>
                <w:szCs w:val="1"/>
                <w:color w:val="auto"/>
              </w:rPr>
            </w:pPr>
          </w:p>
        </w:tc>
      </w:tr>
      <w:tr>
        <w:trPr>
          <w:trHeight w:val="290"/>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Americas - Debt due to Avis Budget Rental Car Funding </w:t>
            </w:r>
            <w:r>
              <w:rPr>
                <w:rFonts w:ascii="Arial" w:cs="Arial" w:eastAsia="Arial" w:hAnsi="Arial"/>
                <w:sz w:val="21"/>
                <w:szCs w:val="21"/>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7,239</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6,340</w:t>
            </w:r>
          </w:p>
        </w:tc>
        <w:tc>
          <w:tcPr>
            <w:tcW w:w="0" w:type="dxa"/>
            <w:vAlign w:val="bottom"/>
          </w:tcPr>
          <w:p>
            <w:pPr>
              <w:spacing w:after="0"/>
              <w:rPr>
                <w:sz w:val="1"/>
                <w:szCs w:val="1"/>
                <w:color w:val="auto"/>
              </w:rPr>
            </w:pPr>
          </w:p>
        </w:tc>
      </w:tr>
      <w:tr>
        <w:trPr>
          <w:trHeight w:val="219"/>
        </w:trPr>
        <w:tc>
          <w:tcPr>
            <w:tcW w:w="7900" w:type="dxa"/>
            <w:vAlign w:val="bottom"/>
          </w:tcPr>
          <w:p>
            <w:pPr>
              <w:ind w:left="40"/>
              <w:spacing w:after="0"/>
              <w:rPr>
                <w:sz w:val="20"/>
                <w:szCs w:val="20"/>
                <w:color w:val="auto"/>
              </w:rPr>
            </w:pPr>
            <w:r>
              <w:rPr>
                <w:rFonts w:ascii="Arial" w:cs="Arial" w:eastAsia="Arial" w:hAnsi="Arial"/>
                <w:sz w:val="16"/>
                <w:szCs w:val="16"/>
                <w:color w:val="auto"/>
              </w:rPr>
              <w:t>Americas - Debt borrowings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766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322"/>
        </w:trPr>
        <w:tc>
          <w:tcPr>
            <w:tcW w:w="7900" w:type="dxa"/>
            <w:vAlign w:val="bottom"/>
          </w:tcPr>
          <w:p>
            <w:pPr>
              <w:ind w:left="40"/>
              <w:spacing w:after="0"/>
              <w:rPr>
                <w:sz w:val="20"/>
                <w:szCs w:val="20"/>
                <w:color w:val="auto"/>
              </w:rPr>
            </w:pPr>
            <w:r>
              <w:rPr>
                <w:rFonts w:ascii="Arial" w:cs="Arial" w:eastAsia="Arial" w:hAnsi="Arial"/>
                <w:sz w:val="16"/>
                <w:szCs w:val="16"/>
                <w:color w:val="auto"/>
              </w:rPr>
              <w:t xml:space="preserve">International - Debt borrowings </w:t>
            </w:r>
            <w:r>
              <w:rPr>
                <w:rFonts w:ascii="Arial" w:cs="Arial" w:eastAsia="Arial" w:hAnsi="Arial"/>
                <w:sz w:val="21"/>
                <w:szCs w:val="21"/>
                <w:color w:val="auto"/>
                <w:vertAlign w:val="superscript"/>
              </w:rPr>
              <w:t>(a) (b)</w:t>
            </w:r>
          </w:p>
        </w:tc>
        <w:tc>
          <w:tcPr>
            <w:tcW w:w="200" w:type="dxa"/>
            <w:vAlign w:val="bottom"/>
          </w:tcPr>
          <w:p>
            <w:pPr>
              <w:spacing w:after="0"/>
              <w:rPr>
                <w:sz w:val="24"/>
                <w:szCs w:val="24"/>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1,689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685</w:t>
            </w:r>
          </w:p>
        </w:tc>
        <w:tc>
          <w:tcPr>
            <w:tcW w:w="0" w:type="dxa"/>
            <w:vAlign w:val="bottom"/>
          </w:tcPr>
          <w:p>
            <w:pPr>
              <w:spacing w:after="0"/>
              <w:rPr>
                <w:sz w:val="1"/>
                <w:szCs w:val="1"/>
                <w:color w:val="auto"/>
              </w:rPr>
            </w:pPr>
          </w:p>
        </w:tc>
      </w:tr>
      <w:tr>
        <w:trPr>
          <w:trHeight w:val="219"/>
        </w:trPr>
        <w:tc>
          <w:tcPr>
            <w:tcW w:w="7900" w:type="dxa"/>
            <w:vAlign w:val="bottom"/>
          </w:tcPr>
          <w:p>
            <w:pPr>
              <w:ind w:left="40"/>
              <w:spacing w:after="0"/>
              <w:rPr>
                <w:sz w:val="20"/>
                <w:szCs w:val="20"/>
                <w:color w:val="auto"/>
              </w:rPr>
            </w:pPr>
            <w:r>
              <w:rPr>
                <w:rFonts w:ascii="Arial" w:cs="Arial" w:eastAsia="Arial" w:hAnsi="Arial"/>
                <w:sz w:val="16"/>
                <w:szCs w:val="16"/>
                <w:color w:val="auto"/>
              </w:rPr>
              <w:t>International - Capital leases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314</w:t>
            </w:r>
          </w:p>
        </w:tc>
        <w:tc>
          <w:tcPr>
            <w:tcW w:w="0" w:type="dxa"/>
            <w:vAlign w:val="bottom"/>
          </w:tcPr>
          <w:p>
            <w:pPr>
              <w:spacing w:after="0"/>
              <w:rPr>
                <w:sz w:val="1"/>
                <w:szCs w:val="1"/>
                <w:color w:val="auto"/>
              </w:rPr>
            </w:pPr>
          </w:p>
        </w:tc>
      </w:tr>
      <w:tr>
        <w:trPr>
          <w:trHeight w:val="279"/>
        </w:trPr>
        <w:tc>
          <w:tcPr>
            <w:tcW w:w="7900" w:type="dxa"/>
            <w:vAlign w:val="bottom"/>
          </w:tcPr>
          <w:p>
            <w:pPr>
              <w:ind w:left="4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41"/>
        </w:trPr>
        <w:tc>
          <w:tcPr>
            <w:tcW w:w="7900" w:type="dxa"/>
            <w:vAlign w:val="bottom"/>
          </w:tcPr>
          <w:p>
            <w:pPr>
              <w:ind w:left="4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9,996</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8,116</w:t>
            </w:r>
          </w:p>
        </w:tc>
        <w:tc>
          <w:tcPr>
            <w:tcW w:w="0" w:type="dxa"/>
            <w:vAlign w:val="bottom"/>
          </w:tcPr>
          <w:p>
            <w:pPr>
              <w:spacing w:after="0"/>
              <w:rPr>
                <w:sz w:val="1"/>
                <w:szCs w:val="1"/>
                <w:color w:val="auto"/>
              </w:rPr>
            </w:pPr>
          </w:p>
        </w:tc>
      </w:tr>
      <w:tr>
        <w:trPr>
          <w:trHeight w:val="20"/>
        </w:trPr>
        <w:tc>
          <w:tcPr>
            <w:tcW w:w="79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90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line="193" w:lineRule="auto"/>
        <w:tabs>
          <w:tab w:leader="none" w:pos="3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The increase reflects additional borrowings principally to fund increases in the Company’s car rental fleet.</w:t>
      </w:r>
    </w:p>
    <w:p>
      <w:pPr>
        <w:ind w:left="340" w:hanging="332"/>
        <w:spacing w:after="0" w:line="204" w:lineRule="auto"/>
        <w:tabs>
          <w:tab w:leader="none" w:pos="340" w:val="left"/>
        </w:tabs>
        <w:numPr>
          <w:ilvl w:val="0"/>
          <w:numId w:val="50"/>
        </w:numPr>
        <w:rPr>
          <w:rFonts w:ascii="Arial" w:cs="Arial" w:eastAsia="Arial" w:hAnsi="Arial"/>
          <w:sz w:val="18"/>
          <w:szCs w:val="18"/>
          <w:color w:val="auto"/>
          <w:vertAlign w:val="superscript"/>
        </w:rPr>
      </w:pPr>
      <w:r>
        <w:rPr>
          <w:rFonts w:ascii="Arial" w:cs="Arial" w:eastAsia="Arial" w:hAnsi="Arial"/>
          <w:sz w:val="14"/>
          <w:szCs w:val="14"/>
          <w:color w:val="auto"/>
        </w:rPr>
        <w:t>The increase also includes additional borrowings related to the acquisition of Maggiore.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2015, the committed corporate credit facilities available to us and/or our subsidiaries included: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Arial" w:cs="Arial" w:eastAsia="Arial" w:hAnsi="Arial"/>
                <w:sz w:val="16"/>
                <w:szCs w:val="16"/>
                <w:b w:val="1"/>
                <w:bCs w:val="1"/>
                <w:color w:val="auto"/>
              </w:rPr>
              <w:t>Total</w:t>
            </w:r>
          </w:p>
        </w:tc>
        <w:tc>
          <w:tcPr>
            <w:tcW w:w="200" w:type="dxa"/>
            <w:vAlign w:val="bottom"/>
          </w:tcPr>
          <w:p>
            <w:pPr>
              <w:spacing w:after="0"/>
              <w:rPr>
                <w:sz w:val="16"/>
                <w:szCs w:val="16"/>
                <w:color w:val="auto"/>
              </w:rPr>
            </w:pPr>
          </w:p>
        </w:tc>
        <w:tc>
          <w:tcPr>
            <w:tcW w:w="156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rPr>
              <w:t>Outstanding</w:t>
            </w:r>
          </w:p>
        </w:tc>
        <w:tc>
          <w:tcPr>
            <w:tcW w:w="1400" w:type="dxa"/>
            <w:vAlign w:val="bottom"/>
            <w:gridSpan w:val="2"/>
          </w:tcPr>
          <w:p>
            <w:pPr>
              <w:ind w:left="200"/>
              <w:spacing w:after="0"/>
              <w:rPr>
                <w:sz w:val="20"/>
                <w:szCs w:val="20"/>
                <w:color w:val="auto"/>
              </w:rPr>
            </w:pPr>
            <w:r>
              <w:rPr>
                <w:rFonts w:ascii="Arial" w:cs="Arial" w:eastAsia="Arial" w:hAnsi="Arial"/>
                <w:sz w:val="16"/>
                <w:szCs w:val="16"/>
                <w:b w:val="1"/>
                <w:bCs w:val="1"/>
                <w:color w:val="auto"/>
              </w:rPr>
              <w:t>Letters of</w:t>
            </w:r>
          </w:p>
        </w:tc>
        <w:tc>
          <w:tcPr>
            <w:tcW w:w="260" w:type="dxa"/>
            <w:vAlign w:val="bottom"/>
          </w:tcPr>
          <w:p>
            <w:pPr>
              <w:spacing w:after="0"/>
              <w:rPr>
                <w:sz w:val="16"/>
                <w:szCs w:val="16"/>
                <w:color w:val="auto"/>
              </w:rPr>
            </w:pPr>
          </w:p>
        </w:tc>
        <w:tc>
          <w:tcPr>
            <w:tcW w:w="1220" w:type="dxa"/>
            <w:vAlign w:val="bottom"/>
          </w:tcPr>
          <w:p>
            <w:pPr>
              <w:jc w:val="right"/>
              <w:ind w:right="299"/>
              <w:spacing w:after="0"/>
              <w:rPr>
                <w:sz w:val="20"/>
                <w:szCs w:val="20"/>
                <w:color w:val="auto"/>
              </w:rPr>
            </w:pPr>
            <w:r>
              <w:rPr>
                <w:rFonts w:ascii="Arial" w:cs="Arial" w:eastAsia="Arial" w:hAnsi="Arial"/>
                <w:sz w:val="16"/>
                <w:szCs w:val="16"/>
                <w:b w:val="1"/>
                <w:bCs w:val="1"/>
                <w:color w:val="auto"/>
              </w:rPr>
              <w:t>Available</w:t>
            </w:r>
          </w:p>
        </w:tc>
      </w:tr>
      <w:tr>
        <w:trPr>
          <w:trHeight w:val="232"/>
        </w:trPr>
        <w:tc>
          <w:tcPr>
            <w:tcW w:w="5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Credit Issued</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Capacity</w:t>
            </w:r>
          </w:p>
        </w:tc>
      </w:tr>
      <w:tr>
        <w:trPr>
          <w:trHeight w:val="290"/>
        </w:trPr>
        <w:tc>
          <w:tcPr>
            <w:tcW w:w="5160" w:type="dxa"/>
            <w:vAlign w:val="bottom"/>
          </w:tcPr>
          <w:p>
            <w:pPr>
              <w:ind w:left="40"/>
              <w:spacing w:after="0"/>
              <w:rPr>
                <w:sz w:val="20"/>
                <w:szCs w:val="20"/>
                <w:color w:val="auto"/>
              </w:rPr>
            </w:pPr>
            <w:r>
              <w:rPr>
                <w:rFonts w:ascii="Arial" w:cs="Arial" w:eastAsia="Arial" w:hAnsi="Arial"/>
                <w:sz w:val="16"/>
                <w:szCs w:val="16"/>
                <w:color w:val="auto"/>
              </w:rPr>
              <w:t xml:space="preserve">Senior revolving credit facility maturing 2018 </w:t>
            </w:r>
            <w:r>
              <w:rPr>
                <w:rFonts w:ascii="Arial" w:cs="Arial" w:eastAsia="Arial" w:hAnsi="Arial"/>
                <w:sz w:val="21"/>
                <w:szCs w:val="21"/>
                <w:color w:val="auto"/>
                <w:vertAlign w:val="superscript"/>
              </w:rPr>
              <w:t>(a)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6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725</w:t>
            </w:r>
          </w:p>
        </w:tc>
        <w:tc>
          <w:tcPr>
            <w:tcW w:w="100" w:type="dxa"/>
            <w:vAlign w:val="bottom"/>
          </w:tcPr>
          <w:p>
            <w:pPr>
              <w:spacing w:after="0"/>
              <w:rPr>
                <w:sz w:val="24"/>
                <w:szCs w:val="24"/>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1,075</w:t>
            </w:r>
          </w:p>
        </w:tc>
      </w:tr>
      <w:tr>
        <w:trPr>
          <w:trHeight w:val="216"/>
        </w:trPr>
        <w:tc>
          <w:tcPr>
            <w:tcW w:w="5160" w:type="dxa"/>
            <w:vAlign w:val="bottom"/>
          </w:tcPr>
          <w:p>
            <w:pPr>
              <w:ind w:left="40"/>
              <w:spacing w:after="0" w:line="216" w:lineRule="exact"/>
              <w:rPr>
                <w:sz w:val="20"/>
                <w:szCs w:val="20"/>
                <w:color w:val="auto"/>
              </w:rPr>
            </w:pPr>
            <w:r>
              <w:rPr>
                <w:rFonts w:ascii="Arial" w:cs="Arial" w:eastAsia="Arial" w:hAnsi="Arial"/>
                <w:sz w:val="16"/>
                <w:szCs w:val="16"/>
                <w:color w:val="auto"/>
              </w:rPr>
              <w:t xml:space="preserve">Other facilities </w:t>
            </w:r>
            <w:r>
              <w:rPr>
                <w:rFonts w:ascii="Arial" w:cs="Arial" w:eastAsia="Arial" w:hAnsi="Arial"/>
                <w:sz w:val="21"/>
                <w:szCs w:val="21"/>
                <w:color w:val="auto"/>
                <w:vertAlign w:val="superscript"/>
              </w:rPr>
              <w:t>(b)</w:t>
            </w:r>
          </w:p>
        </w:tc>
        <w:tc>
          <w:tcPr>
            <w:tcW w:w="260" w:type="dxa"/>
            <w:vAlign w:val="bottom"/>
          </w:tcPr>
          <w:p>
            <w:pPr>
              <w:spacing w:after="0"/>
              <w:rPr>
                <w:sz w:val="18"/>
                <w:szCs w:val="18"/>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6</w:t>
            </w:r>
          </w:p>
        </w:tc>
      </w:tr>
      <w:tr>
        <w:trPr>
          <w:trHeight w:val="207"/>
        </w:trPr>
        <w:tc>
          <w:tcPr>
            <w:tcW w:w="5160" w:type="dxa"/>
            <w:vAlign w:val="bottom"/>
          </w:tcPr>
          <w:p>
            <w:pPr>
              <w:jc w:val="right"/>
              <w:ind w:right="4179"/>
              <w:spacing w:after="0"/>
              <w:rPr>
                <w:sz w:val="20"/>
                <w:szCs w:val="20"/>
                <w:color w:val="auto"/>
              </w:rPr>
            </w:pPr>
            <w:r>
              <w:rPr>
                <w:rFonts w:ascii="Arial" w:cs="Arial" w:eastAsia="Arial" w:hAnsi="Arial"/>
                <w:sz w:val="16"/>
                <w:szCs w:val="16"/>
                <w:color w:val="auto"/>
                <w:w w:val="98"/>
              </w:rPr>
              <w:t>__________</w:t>
            </w: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bl>
    <w:p>
      <w:pPr>
        <w:ind w:left="340" w:right="140" w:hanging="332"/>
        <w:spacing w:after="0" w:line="214"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spacing w:after="0" w:line="1" w:lineRule="exact"/>
        <w:rPr>
          <w:rFonts w:ascii="Arial" w:cs="Arial" w:eastAsia="Arial" w:hAnsi="Arial"/>
          <w:sz w:val="18"/>
          <w:szCs w:val="18"/>
          <w:color w:val="auto"/>
          <w:vertAlign w:val="superscript"/>
        </w:rPr>
      </w:pPr>
    </w:p>
    <w:p>
      <w:pPr>
        <w:ind w:left="340" w:hanging="332"/>
        <w:spacing w:after="0" w:line="204"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These facilities encompass bank overdraft lines of credit, bearing interest of 1.50% to 4.50%.</w:t>
      </w:r>
    </w:p>
    <w:p>
      <w:pPr>
        <w:spacing w:after="0" w:line="175"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At September 30, 2015, we had various uncommitted credit facilities available, under which we had drawn approximately $1 million, which bear interest at rates between 0.23% and 2.84%.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6"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available funding under our debt arrangements related to our vehicle programs at September 30, 2015: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Total</w:t>
            </w:r>
          </w:p>
        </w:tc>
        <w:tc>
          <w:tcPr>
            <w:tcW w:w="26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Outstanding</w:t>
            </w:r>
          </w:p>
        </w:tc>
        <w:tc>
          <w:tcPr>
            <w:tcW w:w="300" w:type="dxa"/>
            <w:vAlign w:val="bottom"/>
          </w:tcPr>
          <w:p>
            <w:pPr>
              <w:spacing w:after="0"/>
              <w:rPr>
                <w:sz w:val="16"/>
                <w:szCs w:val="16"/>
                <w:color w:val="auto"/>
              </w:rPr>
            </w:pPr>
          </w:p>
        </w:tc>
        <w:tc>
          <w:tcPr>
            <w:tcW w:w="1400" w:type="dxa"/>
            <w:vAlign w:val="bottom"/>
          </w:tcPr>
          <w:p>
            <w:pPr>
              <w:jc w:val="right"/>
              <w:ind w:right="419"/>
              <w:spacing w:after="0"/>
              <w:rPr>
                <w:sz w:val="20"/>
                <w:szCs w:val="20"/>
                <w:color w:val="auto"/>
              </w:rPr>
            </w:pPr>
            <w:r>
              <w:rPr>
                <w:rFonts w:ascii="Arial" w:cs="Arial" w:eastAsia="Arial" w:hAnsi="Arial"/>
                <w:sz w:val="16"/>
                <w:szCs w:val="16"/>
                <w:b w:val="1"/>
                <w:bCs w:val="1"/>
                <w:color w:val="auto"/>
              </w:rPr>
              <w:t>Available</w:t>
            </w:r>
          </w:p>
        </w:tc>
        <w:tc>
          <w:tcPr>
            <w:tcW w:w="0" w:type="dxa"/>
            <w:vAlign w:val="bottom"/>
          </w:tcPr>
          <w:p>
            <w:pPr>
              <w:spacing w:after="0"/>
              <w:rPr>
                <w:sz w:val="1"/>
                <w:szCs w:val="1"/>
                <w:color w:val="auto"/>
              </w:rPr>
            </w:pPr>
          </w:p>
        </w:tc>
      </w:tr>
      <w:tr>
        <w:trPr>
          <w:trHeight w:val="236"/>
        </w:trPr>
        <w:tc>
          <w:tcPr>
            <w:tcW w:w="6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60" w:type="dxa"/>
            <w:vAlign w:val="bottom"/>
            <w:gridSpan w:val="2"/>
          </w:tcPr>
          <w:p>
            <w:pPr>
              <w:jc w:val="center"/>
              <w:ind w:right="380"/>
              <w:spacing w:after="0" w:line="236" w:lineRule="exact"/>
              <w:rPr>
                <w:sz w:val="20"/>
                <w:szCs w:val="20"/>
                <w:color w:val="auto"/>
              </w:rPr>
            </w:pPr>
            <w:r>
              <w:rPr>
                <w:rFonts w:ascii="Arial" w:cs="Arial" w:eastAsia="Arial" w:hAnsi="Arial"/>
                <w:sz w:val="16"/>
                <w:szCs w:val="16"/>
                <w:b w:val="1"/>
                <w:bCs w:val="1"/>
                <w:color w:val="auto"/>
                <w:w w:val="97"/>
              </w:rPr>
              <w:t xml:space="preserve">Capacity </w:t>
            </w:r>
            <w:r>
              <w:rPr>
                <w:rFonts w:ascii="Arial" w:cs="Arial" w:eastAsia="Arial" w:hAnsi="Arial"/>
                <w:sz w:val="21"/>
                <w:szCs w:val="21"/>
                <w:b w:val="1"/>
                <w:bCs w:val="1"/>
                <w:color w:val="auto"/>
                <w:w w:val="97"/>
                <w:vertAlign w:val="superscript"/>
              </w:rPr>
              <w:t>(a)</w:t>
            </w:r>
          </w:p>
        </w:tc>
        <w:tc>
          <w:tcPr>
            <w:tcW w:w="260" w:type="dxa"/>
            <w:vAlign w:val="bottom"/>
          </w:tcPr>
          <w:p>
            <w:pPr>
              <w:spacing w:after="0"/>
              <w:rPr>
                <w:sz w:val="20"/>
                <w:szCs w:val="20"/>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Borrowings</w:t>
            </w:r>
          </w:p>
        </w:tc>
        <w:tc>
          <w:tcPr>
            <w:tcW w:w="300" w:type="dxa"/>
            <w:vAlign w:val="bottom"/>
          </w:tcPr>
          <w:p>
            <w:pPr>
              <w:spacing w:after="0"/>
              <w:rPr>
                <w:sz w:val="20"/>
                <w:szCs w:val="20"/>
                <w:color w:val="auto"/>
              </w:rPr>
            </w:pPr>
          </w:p>
        </w:tc>
        <w:tc>
          <w:tcPr>
            <w:tcW w:w="1400" w:type="dxa"/>
            <w:vAlign w:val="bottom"/>
          </w:tcPr>
          <w:p>
            <w:pPr>
              <w:jc w:val="right"/>
              <w:ind w:right="439"/>
              <w:spacing w:after="0"/>
              <w:rPr>
                <w:sz w:val="20"/>
                <w:szCs w:val="20"/>
                <w:color w:val="auto"/>
              </w:rPr>
            </w:pPr>
            <w:r>
              <w:rPr>
                <w:rFonts w:ascii="Arial" w:cs="Arial" w:eastAsia="Arial" w:hAnsi="Arial"/>
                <w:sz w:val="16"/>
                <w:szCs w:val="16"/>
                <w:b w:val="1"/>
                <w:bCs w:val="1"/>
                <w:color w:val="auto"/>
              </w:rPr>
              <w:t>Capacity</w:t>
            </w:r>
          </w:p>
        </w:tc>
        <w:tc>
          <w:tcPr>
            <w:tcW w:w="0" w:type="dxa"/>
            <w:vAlign w:val="bottom"/>
          </w:tcPr>
          <w:p>
            <w:pPr>
              <w:spacing w:after="0"/>
              <w:rPr>
                <w:sz w:val="1"/>
                <w:szCs w:val="1"/>
                <w:color w:val="auto"/>
              </w:rPr>
            </w:pPr>
          </w:p>
        </w:tc>
      </w:tr>
      <w:tr>
        <w:trPr>
          <w:trHeight w:val="286"/>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Americas - Debt due to Avis Budget Rental Car Funding </w:t>
            </w:r>
            <w:r>
              <w:rPr>
                <w:rFonts w:ascii="Arial" w:cs="Arial" w:eastAsia="Arial" w:hAnsi="Arial"/>
                <w:sz w:val="21"/>
                <w:szCs w:val="21"/>
                <w:color w:val="auto"/>
                <w:vertAlign w:val="superscript"/>
              </w:rPr>
              <w:t>(b)</w:t>
            </w: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9,489</w:t>
            </w:r>
          </w:p>
        </w:tc>
        <w:tc>
          <w:tcPr>
            <w:tcW w:w="100" w:type="dxa"/>
            <w:vAlign w:val="bottom"/>
          </w:tcPr>
          <w:p>
            <w:pPr>
              <w:spacing w:after="0"/>
              <w:rPr>
                <w:sz w:val="24"/>
                <w:szCs w:val="24"/>
                <w:color w:val="auto"/>
              </w:rPr>
            </w:pPr>
          </w:p>
        </w:tc>
        <w:tc>
          <w:tcPr>
            <w:tcW w:w="2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7,239</w:t>
            </w:r>
          </w:p>
        </w:tc>
        <w:tc>
          <w:tcPr>
            <w:tcW w:w="100" w:type="dxa"/>
            <w:vAlign w:val="bottom"/>
          </w:tcPr>
          <w:p>
            <w:pPr>
              <w:spacing w:after="0"/>
              <w:rPr>
                <w:sz w:val="24"/>
                <w:szCs w:val="24"/>
                <w:color w:val="auto"/>
              </w:rPr>
            </w:pP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2,250</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Americas - Debt borrowings </w:t>
            </w:r>
            <w:r>
              <w:rPr>
                <w:rFonts w:ascii="Arial" w:cs="Arial" w:eastAsia="Arial" w:hAnsi="Arial"/>
                <w:sz w:val="21"/>
                <w:szCs w:val="21"/>
                <w:color w:val="auto"/>
                <w:vertAlign w:val="superscript"/>
              </w:rPr>
              <w:t>(c)</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766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International - Debt borrowings </w:t>
            </w:r>
            <w:r>
              <w:rPr>
                <w:rFonts w:ascii="Arial" w:cs="Arial" w:eastAsia="Arial" w:hAnsi="Arial"/>
                <w:sz w:val="21"/>
                <w:szCs w:val="21"/>
                <w:color w:val="auto"/>
                <w:vertAlign w:val="superscript"/>
              </w:rPr>
              <w:t>(d)</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2,166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1,689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rPr>
                <w:sz w:val="20"/>
                <w:szCs w:val="20"/>
                <w:color w:val="auto"/>
              </w:rPr>
            </w:pPr>
            <w:r>
              <w:rPr>
                <w:rFonts w:ascii="Arial" w:cs="Arial" w:eastAsia="Arial" w:hAnsi="Arial"/>
                <w:sz w:val="16"/>
                <w:szCs w:val="16"/>
                <w:color w:val="auto"/>
              </w:rPr>
              <w:t xml:space="preserve">International - Capital leases </w:t>
            </w:r>
            <w:r>
              <w:rPr>
                <w:rFonts w:ascii="Arial" w:cs="Arial" w:eastAsia="Arial" w:hAnsi="Arial"/>
                <w:sz w:val="21"/>
                <w:szCs w:val="21"/>
                <w:color w:val="auto"/>
                <w:vertAlign w:val="superscript"/>
              </w:rPr>
              <w:t>(e)</w:t>
            </w:r>
          </w:p>
        </w:tc>
        <w:tc>
          <w:tcPr>
            <w:tcW w:w="28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296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28"/>
        </w:trPr>
        <w:tc>
          <w:tcPr>
            <w:tcW w:w="6060" w:type="dxa"/>
            <w:vAlign w:val="bottom"/>
          </w:tcPr>
          <w:p>
            <w:pPr>
              <w:ind w:left="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1"/>
        </w:trPr>
        <w:tc>
          <w:tcPr>
            <w:tcW w:w="6060" w:type="dxa"/>
            <w:vAlign w:val="bottom"/>
          </w:tcPr>
          <w:p>
            <w:pPr>
              <w:ind w:left="4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13,004</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9,996</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3,008</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line="193" w:lineRule="auto"/>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Capacity is subject to maintaining sufficient assets to collateralize debt.</w:t>
      </w:r>
    </w:p>
    <w:p>
      <w:pPr>
        <w:ind w:left="340" w:hanging="332"/>
        <w:spacing w:after="0" w:line="187" w:lineRule="auto"/>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$8.8 billion of underlying vehicles and related assets.</w:t>
      </w:r>
    </w:p>
    <w:p>
      <w:pPr>
        <w:ind w:left="340" w:hanging="332"/>
        <w:spacing w:after="0" w:line="187" w:lineRule="auto"/>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$1.1 billion of underlying vehicles and related assets.</w:t>
      </w:r>
    </w:p>
    <w:p>
      <w:pPr>
        <w:ind w:left="340" w:hanging="332"/>
        <w:spacing w:after="0" w:line="187" w:lineRule="auto"/>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$2.2 billion of underlying vehicles and related assets.</w:t>
      </w:r>
    </w:p>
    <w:p>
      <w:pPr>
        <w:ind w:left="340" w:hanging="332"/>
        <w:spacing w:after="0" w:line="204" w:lineRule="auto"/>
        <w:tabs>
          <w:tab w:leader="none" w:pos="34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approximately $0.3 billion of underlying vehicles and related assets.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27" w:lineRule="exact"/>
        <w:rPr>
          <w:sz w:val="20"/>
          <w:szCs w:val="20"/>
          <w:color w:val="auto"/>
        </w:rPr>
      </w:pPr>
    </w:p>
    <w:p>
      <w:pPr>
        <w:ind w:right="120"/>
        <w:spacing w:after="0" w:line="260" w:lineRule="auto"/>
        <w:rPr>
          <w:sz w:val="20"/>
          <w:szCs w:val="20"/>
          <w:color w:val="auto"/>
        </w:rPr>
      </w:pPr>
      <w:r>
        <w:rPr>
          <w:rFonts w:ascii="Arial" w:cs="Arial" w:eastAsia="Arial" w:hAnsi="Arial"/>
          <w:sz w:val="18"/>
          <w:szCs w:val="18"/>
          <w:color w:val="auto"/>
        </w:rPr>
        <w:t>Our primary liquidity needs include the payment of operating expenses, servicing of corporate and vehicle related debt and procurement of rental vehicles to be used in our operations. The present intention of management is to reinvest the undistributed earnings of our foreign subsidiaries indefinitely into our foreign operations. We do not anticipate the need to repatriate foreign earnings to the United States to service corporate debt or for other U.S. needs. Our primary sources of funding are operating revenue, cash received upon the sale of vehicles, borrowings under our vehicle-backed borrowing arrangements and our senior revolving credit facility, and other financing activities.</w:t>
      </w:r>
    </w:p>
    <w:p>
      <w:pPr>
        <w:spacing w:after="0" w:line="175"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As discussed above, as of September 30, 2015, we have cash and cash equivalents of $585 million, available borrowing capacity under our committed credit facilities of approximately $1.1 billion and available capacity under our vehicle programs of approximately $3.0 billion. In August 2015, the Company’s Board of Directors authorized a $250 million increase in the Company’s share repurchase program.</w:t>
      </w:r>
    </w:p>
    <w:p>
      <w:pPr>
        <w:spacing w:after="0" w:line="16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liquidity position could be negatively affected by financial market disruptions or a downturn in the U.S. and worldwide economies, which may result in unfavorable conditions in the vehicle rental industry, in the asset-backed financing market, and in the credit markets generally. We believe these factors have in the past affected and could in the future affect the debt ratings assigned to us by credit rating agencies and the cost of our borrowings. Additionally, a downturn in the worldwide economy or a disruption in the credit markets could impact our liquidity due to</w:t>
      </w:r>
    </w:p>
    <w:p>
      <w:pPr>
        <w:ind w:right="300" w:firstLine="8"/>
        <w:spacing w:after="0" w:line="254" w:lineRule="auto"/>
        <w:tabs>
          <w:tab w:leader="none" w:pos="21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decreased demand and pricing for vehicles in the used-vehicle market, (ii) increased costs associated with, and/or reduced capacity or increased collateral needs under, our financings, (iii) the adverse impact of vehicle manufacturers, including Ford, General Motors, Chrysler, Peugeot, Volkswagen, Kia, Fiat, Toyota, Mercedes, Volvo and BMW,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1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financial and other covenants associated with our senior credit facility and other borrowings including a maximum leverage ratio. As of September 30, 2015, we are in compliance with the financial covenants governing our indebtedness. For additional information regarding our liquidity risks, see Part I, Item 1A, “Risk Factors” of our 2014 Form 10-K.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7"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2014 Form 10-K with the exception of our commitment to purchase vehicles, which increased by approximately $0.7 billion from December 31, 2014, to approximately $7.4 billion at September 30, 2015. Changes to our obligations related to corporate indebtedness and debt under vehicle programs are presented above within the section titled “Liquidity and Capital Resources—Debt and Financing Arrangements” and also within Notes 9 and 10 to our Consolidated Condensed Financial Statements.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6"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2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we are required to make estimates and assumptions that affect the amounts reported therein. Several of the estimates and assumptions that we are required to make pertain to matters that are inherently uncertain as they relate to future events. Presented within the section titled “Critical Accounting Policies” of our 2014 Form 10-K are the accounting policies (related to goodwill and other indefinite-lived intangible assets, vehicles, income taxes and public liability, property damage and other insurance liabilities) that we believe require subjective and/or complex judgments that could potentially affect 2015 reported results. There have been no significant changes to those accounting policies or our assessment of which accounting policies we would consider to be critical accounting policies.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25" w:lineRule="exact"/>
        <w:rPr>
          <w:sz w:val="20"/>
          <w:szCs w:val="20"/>
          <w:color w:val="auto"/>
        </w:rPr>
      </w:pPr>
    </w:p>
    <w:p>
      <w:pPr>
        <w:ind w:right="360"/>
        <w:spacing w:after="0" w:line="292"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to our Consolidated Condensed Financial Statements.</w:t>
      </w:r>
    </w:p>
    <w:p>
      <w:pPr>
        <w:spacing w:after="0" w:line="14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September 30, 2015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September 30, 2015. For additional information regarding our long-term borrowings and financial instruments, see Notes 9, 10 and 14 to our Consolidated Condensed Financial Statements.</w:t>
      </w:r>
    </w:p>
    <w:p>
      <w:pPr>
        <w:spacing w:after="0" w:line="17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7" w:lineRule="exact"/>
        <w:rPr>
          <w:sz w:val="20"/>
          <w:szCs w:val="20"/>
          <w:color w:val="auto"/>
        </w:rPr>
      </w:pPr>
    </w:p>
    <w:p>
      <w:pPr>
        <w:ind w:left="340" w:hanging="332"/>
        <w:spacing w:after="0" w:line="260"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September 30, 2015.</w:t>
      </w:r>
    </w:p>
    <w:p>
      <w:pPr>
        <w:spacing w:after="0" w:line="175" w:lineRule="exact"/>
        <w:rPr>
          <w:rFonts w:ascii="Arial" w:cs="Arial" w:eastAsia="Arial" w:hAnsi="Arial"/>
          <w:sz w:val="18"/>
          <w:szCs w:val="18"/>
          <w:color w:val="auto"/>
        </w:rPr>
      </w:pPr>
    </w:p>
    <w:p>
      <w:pPr>
        <w:ind w:left="340" w:right="20" w:hanging="332"/>
        <w:spacing w:after="0" w:line="271"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fiscal quarter to which this report relates, there has been no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1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During the quarter ended September 30, 2015, the Company had no material developments to report with respect to its legal proceedings. For additional information regarding the Company’s legal proceedings, please refer to the Company’s 2014 Form 10-K and Quarterly Report on Form 10-Q for the quarter ended March 31, 2015.</w:t>
      </w:r>
    </w:p>
    <w:p>
      <w:pPr>
        <w:spacing w:after="0" w:line="37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common stock repurchases by month for the quarter ended September 30, 2015:</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 Purchased as</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Value of Shares That</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Part of Publicly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7"/>
              </w:rPr>
              <w:t>May Yet Be</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7"/>
                <w:szCs w:val="17"/>
                <w:color w:val="auto"/>
              </w:rPr>
            </w:pPr>
          </w:p>
        </w:tc>
        <w:tc>
          <w:tcPr>
            <w:tcW w:w="1940" w:type="dxa"/>
            <w:vAlign w:val="bottom"/>
            <w:gridSpan w:val="3"/>
          </w:tcPr>
          <w:p>
            <w:pPr>
              <w:jc w:val="right"/>
              <w:ind w:right="220"/>
              <w:spacing w:after="0" w:line="202" w:lineRule="exact"/>
              <w:rPr>
                <w:sz w:val="20"/>
                <w:szCs w:val="20"/>
                <w:color w:val="auto"/>
              </w:rPr>
            </w:pPr>
            <w:r>
              <w:rPr>
                <w:rFonts w:ascii="Arial" w:cs="Arial" w:eastAsia="Arial" w:hAnsi="Arial"/>
                <w:sz w:val="18"/>
                <w:szCs w:val="18"/>
                <w:b w:val="1"/>
                <w:bCs w:val="1"/>
                <w:color w:val="auto"/>
              </w:rPr>
              <w:t>Average Price Paid</w:t>
            </w: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Announced Plans or</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Purchased Under the</w:t>
            </w:r>
          </w:p>
        </w:tc>
        <w:tc>
          <w:tcPr>
            <w:tcW w:w="0" w:type="dxa"/>
            <w:vAlign w:val="bottom"/>
          </w:tcPr>
          <w:p>
            <w:pPr>
              <w:spacing w:after="0"/>
              <w:rPr>
                <w:sz w:val="1"/>
                <w:szCs w:val="1"/>
                <w:color w:val="auto"/>
              </w:rPr>
            </w:pPr>
          </w:p>
        </w:tc>
      </w:tr>
      <w:tr>
        <w:trPr>
          <w:trHeight w:val="306"/>
        </w:trPr>
        <w:tc>
          <w:tcPr>
            <w:tcW w:w="3440" w:type="dxa"/>
            <w:vAlign w:val="bottom"/>
          </w:tcPr>
          <w:p>
            <w:pPr>
              <w:spacing w:after="0"/>
              <w:rPr>
                <w:sz w:val="24"/>
                <w:szCs w:val="24"/>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 Purchased</w:t>
            </w:r>
            <w:r>
              <w:rPr>
                <w:rFonts w:ascii="Arial" w:cs="Arial" w:eastAsia="Arial" w:hAnsi="Arial"/>
                <w:sz w:val="21"/>
                <w:szCs w:val="21"/>
                <w:b w:val="1"/>
                <w:bCs w:val="1"/>
                <w:color w:val="auto"/>
                <w:vertAlign w:val="superscript"/>
              </w:rPr>
              <w:t>(a)</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 Share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Plans or Programs</w:t>
            </w:r>
          </w:p>
        </w:tc>
        <w:tc>
          <w:tcPr>
            <w:tcW w:w="0" w:type="dxa"/>
            <w:vAlign w:val="bottom"/>
          </w:tcPr>
          <w:p>
            <w:pPr>
              <w:spacing w:after="0"/>
              <w:rPr>
                <w:sz w:val="1"/>
                <w:szCs w:val="1"/>
                <w:color w:val="auto"/>
              </w:rPr>
            </w:pPr>
          </w:p>
        </w:tc>
      </w:tr>
      <w:tr>
        <w:trPr>
          <w:trHeight w:val="29"/>
        </w:trPr>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July 1-31, 2015</w:t>
            </w: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3440" w:type="dxa"/>
            <w:vAlign w:val="bottom"/>
            <w:vMerge w:val="continue"/>
          </w:tcPr>
          <w:p>
            <w:pPr>
              <w:spacing w:after="0"/>
              <w:rPr>
                <w:sz w:val="20"/>
                <w:szCs w:val="20"/>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1,032,552</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42.61</w:t>
            </w:r>
          </w:p>
        </w:tc>
        <w:tc>
          <w:tcPr>
            <w:tcW w:w="120" w:type="dxa"/>
            <w:vAlign w:val="bottom"/>
          </w:tcPr>
          <w:p>
            <w:pPr>
              <w:spacing w:after="0"/>
              <w:rPr>
                <w:sz w:val="20"/>
                <w:szCs w:val="20"/>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1,032,552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124,815,594</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8"/>
                <w:szCs w:val="18"/>
                <w:color w:val="auto"/>
              </w:rPr>
              <w:t>August 1-31, 2015</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1,181,520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43.20</w:t>
            </w:r>
          </w:p>
        </w:tc>
        <w:tc>
          <w:tcPr>
            <w:tcW w:w="12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1,181,520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323,775,470</w:t>
            </w:r>
          </w:p>
        </w:tc>
        <w:tc>
          <w:tcPr>
            <w:tcW w:w="0" w:type="dxa"/>
            <w:vAlign w:val="bottom"/>
          </w:tcPr>
          <w:p>
            <w:pPr>
              <w:spacing w:after="0"/>
              <w:rPr>
                <w:sz w:val="1"/>
                <w:szCs w:val="1"/>
                <w:color w:val="auto"/>
              </w:rPr>
            </w:pPr>
          </w:p>
        </w:tc>
      </w:tr>
      <w:tr>
        <w:trPr>
          <w:trHeight w:val="275"/>
        </w:trPr>
        <w:tc>
          <w:tcPr>
            <w:tcW w:w="3440" w:type="dxa"/>
            <w:vAlign w:val="bottom"/>
          </w:tcPr>
          <w:p>
            <w:pPr>
              <w:ind w:left="40"/>
              <w:spacing w:after="0"/>
              <w:rPr>
                <w:sz w:val="20"/>
                <w:szCs w:val="20"/>
                <w:color w:val="auto"/>
              </w:rPr>
            </w:pPr>
            <w:r>
              <w:rPr>
                <w:rFonts w:ascii="Arial" w:cs="Arial" w:eastAsia="Arial" w:hAnsi="Arial"/>
                <w:sz w:val="18"/>
                <w:szCs w:val="18"/>
                <w:color w:val="auto"/>
              </w:rPr>
              <w:t>September 1-30, 2015</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1,518,167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43.61</w:t>
            </w:r>
          </w:p>
        </w:tc>
        <w:tc>
          <w:tcPr>
            <w:tcW w:w="120" w:type="dxa"/>
            <w:vAlign w:val="bottom"/>
          </w:tcPr>
          <w:p>
            <w:pPr>
              <w:spacing w:after="0"/>
              <w:rPr>
                <w:sz w:val="23"/>
                <w:szCs w:val="23"/>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1,518,167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257,566,918</w:t>
            </w:r>
          </w:p>
        </w:tc>
        <w:tc>
          <w:tcPr>
            <w:tcW w:w="0" w:type="dxa"/>
            <w:vAlign w:val="bottom"/>
          </w:tcPr>
          <w:p>
            <w:pPr>
              <w:spacing w:after="0"/>
              <w:rPr>
                <w:sz w:val="1"/>
                <w:szCs w:val="1"/>
                <w:color w:val="auto"/>
              </w:rPr>
            </w:pPr>
          </w:p>
        </w:tc>
      </w:tr>
      <w:tr>
        <w:trPr>
          <w:trHeight w:val="255"/>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3,732,239</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43.20</w:t>
            </w:r>
          </w:p>
        </w:tc>
        <w:tc>
          <w:tcPr>
            <w:tcW w:w="120" w:type="dxa"/>
            <w:vAlign w:val="bottom"/>
          </w:tcPr>
          <w:p>
            <w:pPr>
              <w:spacing w:after="0"/>
              <w:rPr>
                <w:sz w:val="22"/>
                <w:szCs w:val="22"/>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3,732,239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257,566,918</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440" w:type="dxa"/>
            <w:vAlign w:val="bottom"/>
            <w:vMerge w:val="continue"/>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right="220" w:hanging="332"/>
        <w:spacing w:after="0" w:line="238" w:lineRule="auto"/>
        <w:tabs>
          <w:tab w:leader="none" w:pos="340" w:val="left"/>
        </w:tabs>
        <w:numPr>
          <w:ilvl w:val="0"/>
          <w:numId w:val="55"/>
        </w:numPr>
        <w:rPr>
          <w:rFonts w:ascii="Arial" w:cs="Arial" w:eastAsia="Arial" w:hAnsi="Arial"/>
          <w:sz w:val="22"/>
          <w:szCs w:val="22"/>
          <w:color w:val="auto"/>
          <w:vertAlign w:val="superscript"/>
        </w:rPr>
      </w:pPr>
      <w:r>
        <w:rPr>
          <w:rFonts w:ascii="Arial" w:cs="Arial" w:eastAsia="Arial" w:hAnsi="Arial"/>
          <w:sz w:val="16"/>
          <w:szCs w:val="16"/>
          <w:color w:val="auto"/>
        </w:rPr>
        <w:t>Excludes, for the three months ended September 30, 2015, 507 shares which were withheld by the Company to satisfy employees</w:t>
      </w:r>
      <w:r>
        <w:rPr>
          <w:rFonts w:ascii="Arial" w:cs="Arial" w:eastAsia="Arial" w:hAnsi="Arial"/>
          <w:sz w:val="18"/>
          <w:szCs w:val="18"/>
          <w:color w:val="auto"/>
        </w:rPr>
        <w:t>’</w:t>
      </w:r>
      <w:r>
        <w:rPr>
          <w:rFonts w:ascii="Arial" w:cs="Arial" w:eastAsia="Arial" w:hAnsi="Arial"/>
          <w:sz w:val="16"/>
          <w:szCs w:val="16"/>
          <w:color w:val="auto"/>
        </w:rPr>
        <w:t xml:space="preserve"> income tax liabilities attributable to the vesting of restricted stock unit awards.</w:t>
      </w:r>
    </w:p>
    <w:p>
      <w:pPr>
        <w:spacing w:after="0" w:line="195"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262626"/>
        </w:rPr>
        <w:t>The Company</w:t>
      </w:r>
      <w:r>
        <w:rPr>
          <w:rFonts w:ascii="Arial" w:cs="Arial" w:eastAsia="Arial" w:hAnsi="Arial"/>
          <w:sz w:val="18"/>
          <w:szCs w:val="18"/>
          <w:color w:val="000000"/>
        </w:rPr>
        <w:t>’</w:t>
      </w:r>
      <w:r>
        <w:rPr>
          <w:rFonts w:ascii="Arial" w:cs="Arial" w:eastAsia="Arial" w:hAnsi="Arial"/>
          <w:sz w:val="18"/>
          <w:szCs w:val="18"/>
          <w:color w:val="262626"/>
        </w:rPr>
        <w:t xml:space="preserve">s Board of Directors has authorized the repurchase of up to $885 million of its common stock under a plan originally approved in August 2013 and subsequently expanded in April and October 2014 and </w:t>
      </w:r>
      <w:r>
        <w:rPr>
          <w:rFonts w:ascii="Arial" w:cs="Arial" w:eastAsia="Arial" w:hAnsi="Arial"/>
          <w:sz w:val="18"/>
          <w:szCs w:val="18"/>
          <w:color w:val="000000"/>
        </w:rPr>
        <w:t>August 2015.</w:t>
      </w:r>
      <w:r>
        <w:rPr>
          <w:rFonts w:ascii="Arial" w:cs="Arial" w:eastAsia="Arial" w:hAnsi="Arial"/>
          <w:sz w:val="18"/>
          <w:szCs w:val="18"/>
          <w:color w:val="262626"/>
        </w:rPr>
        <w:t xml:space="preserve"> 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or trading plans pursuant to Rule 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w:t>
      </w:r>
    </w:p>
    <w:p>
      <w:pPr>
        <w:spacing w:after="0" w:line="17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6"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AVIS BUDGET GROUP, INC.</w:t>
      </w:r>
    </w:p>
    <w:p>
      <w:pPr>
        <w:spacing w:after="0" w:line="38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3, 2015</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37465</wp:posOffset>
            </wp:positionV>
            <wp:extent cx="49225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David B. Wyshner</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Executive Vice President and</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November 3, 2015</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37465</wp:posOffset>
            </wp:positionV>
            <wp:extent cx="49225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David T. Calabria</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Chief Accounting Officer</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240" w:top="116" w:right="5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300" w:type="dxa"/>
            <w:vAlign w:val="bottom"/>
            <w:gridSpan w:val="3"/>
          </w:tcPr>
          <w:p>
            <w:pPr>
              <w:ind w:left="4060"/>
              <w:spacing w:after="0"/>
              <w:rPr>
                <w:sz w:val="20"/>
                <w:szCs w:val="20"/>
                <w:color w:val="auto"/>
              </w:rPr>
            </w:pPr>
            <w:r>
              <w:rPr>
                <w:rFonts w:ascii="Arial" w:cs="Arial" w:eastAsia="Arial" w:hAnsi="Arial"/>
                <w:sz w:val="18"/>
                <w:szCs w:val="18"/>
                <w:b w:val="1"/>
                <w:bCs w:val="1"/>
                <w:color w:val="auto"/>
              </w:rPr>
              <w:t>Exhibit Index</w:t>
            </w:r>
          </w:p>
        </w:tc>
      </w:tr>
      <w:tr>
        <w:trPr>
          <w:trHeight w:val="312"/>
        </w:trPr>
        <w:tc>
          <w:tcPr>
            <w:tcW w:w="104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4820" w:type="dxa"/>
            <w:vAlign w:val="bottom"/>
          </w:tcPr>
          <w:p>
            <w:pPr>
              <w:spacing w:after="0"/>
              <w:rPr>
                <w:sz w:val="24"/>
                <w:szCs w:val="24"/>
                <w:color w:val="auto"/>
              </w:rPr>
            </w:pPr>
          </w:p>
        </w:tc>
        <w:tc>
          <w:tcPr>
            <w:tcW w:w="5480" w:type="dxa"/>
            <w:vAlign w:val="bottom"/>
            <w:gridSpan w:val="2"/>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r>
      <w:tr>
        <w:trPr>
          <w:trHeight w:val="241"/>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0"/>
                <w:szCs w:val="20"/>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Amended and Restated By-Laws of Avis Budget Group, Inc. as of September 15, 2015 (incorporated by reference to Exhibit</w:t>
            </w:r>
          </w:p>
        </w:tc>
      </w:tr>
      <w:tr>
        <w:trPr>
          <w:trHeight w:val="243"/>
        </w:trPr>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3.2 to the Company’s Current Report on Form 8-K dated September 18, 2015).</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Avis Budget Car Rental 2016 Model Year Program Letter dated August 14, 2015 between Avis Budget Car Rental, LLC and</w:t>
            </w:r>
          </w:p>
        </w:tc>
      </w:tr>
      <w:tr>
        <w:trPr>
          <w:trHeight w:val="203"/>
        </w:trPr>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30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Ford Motor Company (incorporated by reference to Exhibit 10.1 to the Company’s Current Report on Form 8-K dated August</w:t>
            </w:r>
          </w:p>
        </w:tc>
      </w:tr>
      <w:tr>
        <w:trPr>
          <w:trHeight w:val="243"/>
        </w:trPr>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20" w:type="dxa"/>
            <w:vAlign w:val="bottom"/>
          </w:tcPr>
          <w:p>
            <w:pPr>
              <w:ind w:left="220"/>
              <w:spacing w:after="0"/>
              <w:rPr>
                <w:sz w:val="20"/>
                <w:szCs w:val="20"/>
                <w:color w:val="auto"/>
              </w:rPr>
            </w:pPr>
            <w:r>
              <w:rPr>
                <w:rFonts w:ascii="Arial" w:cs="Arial" w:eastAsia="Arial" w:hAnsi="Arial"/>
                <w:sz w:val="18"/>
                <w:szCs w:val="18"/>
                <w:color w:val="auto"/>
              </w:rPr>
              <w:t>20, 2015).*</w:t>
            </w:r>
          </w:p>
        </w:tc>
        <w:tc>
          <w:tcPr>
            <w:tcW w:w="880" w:type="dxa"/>
            <w:vAlign w:val="bottom"/>
          </w:tcPr>
          <w:p>
            <w:pPr>
              <w:spacing w:after="0"/>
              <w:rPr>
                <w:sz w:val="21"/>
                <w:szCs w:val="21"/>
                <w:color w:val="auto"/>
              </w:rPr>
            </w:pPr>
          </w:p>
        </w:tc>
        <w:tc>
          <w:tcPr>
            <w:tcW w:w="4600" w:type="dxa"/>
            <w:vAlign w:val="bottom"/>
          </w:tcPr>
          <w:p>
            <w:pPr>
              <w:spacing w:after="0"/>
              <w:rPr>
                <w:sz w:val="21"/>
                <w:szCs w:val="21"/>
                <w:color w:val="auto"/>
              </w:rPr>
            </w:pP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Agreement dated August 14, 2015 between Avis Budget Car Rental, LLC and General Motors LLC (incorporated by reference</w:t>
            </w:r>
          </w:p>
        </w:tc>
      </w:tr>
      <w:tr>
        <w:trPr>
          <w:trHeight w:val="243"/>
        </w:trPr>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to Exhibit 10.2 to the Company’s Current Report on Form 8-K dated August 20, 2015).*</w:t>
            </w:r>
          </w:p>
        </w:tc>
      </w:tr>
      <w:tr>
        <w:trPr>
          <w:trHeight w:val="419"/>
        </w:trPr>
        <w:tc>
          <w:tcPr>
            <w:tcW w:w="840" w:type="dxa"/>
            <w:vAlign w:val="bottom"/>
          </w:tcPr>
          <w:p>
            <w:pPr>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w w:val="99"/>
              </w:rPr>
              <w:t>Employment Agreement between Avis Budget Group, Inc. and Larry D. DeShon dated as of September 15, 2015 (incorporated</w:t>
            </w:r>
          </w:p>
        </w:tc>
      </w:tr>
      <w:tr>
        <w:trPr>
          <w:trHeight w:val="243"/>
        </w:trPr>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by reference to Exhibit 10.1 to the Company’s Current Report on Form 8-K dated September 18, 2015).</w:t>
            </w:r>
          </w:p>
        </w:tc>
      </w:tr>
      <w:tr>
        <w:trPr>
          <w:trHeight w:val="459"/>
        </w:trPr>
        <w:tc>
          <w:tcPr>
            <w:tcW w:w="840" w:type="dxa"/>
            <w:vAlign w:val="bottom"/>
          </w:tcPr>
          <w:p>
            <w:pPr>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4"/>
                <w:szCs w:val="24"/>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18"/>
                <w:szCs w:val="18"/>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Certification of Chief Executive Officer pursuant to Rules 13(a)-14(a) and 15(d)-14(a) promulgated under the Securities</w:t>
            </w:r>
          </w:p>
        </w:tc>
      </w:tr>
      <w:tr>
        <w:trPr>
          <w:trHeight w:val="243"/>
        </w:trPr>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Exchange Act of 1934, as amended.</w:t>
            </w:r>
          </w:p>
        </w:tc>
      </w:t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18"/>
                <w:szCs w:val="18"/>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Certification of Chief Financial Officer pursuant to Rules 13(a)-14(a) and 15(d)-14(a) promulgated under the Securities</w:t>
            </w:r>
          </w:p>
        </w:tc>
      </w:tr>
      <w:tr>
        <w:trPr>
          <w:trHeight w:val="243"/>
        </w:trPr>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Exchange Act of 1934, as amended.</w:t>
            </w:r>
          </w:p>
        </w:tc>
      </w:tr>
      <w:tr>
        <w:trPr>
          <w:trHeight w:val="257"/>
        </w:trPr>
        <w:tc>
          <w:tcPr>
            <w:tcW w:w="840" w:type="dxa"/>
            <w:vAlign w:val="bottom"/>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2"/>
                <w:szCs w:val="22"/>
                <w:color w:val="auto"/>
              </w:rPr>
            </w:pP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XBRL Instance Document.</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10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300" w:type="dxa"/>
            <w:vAlign w:val="bottom"/>
            <w:gridSpan w:val="3"/>
          </w:tcPr>
          <w:p>
            <w:pPr>
              <w:ind w:left="22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03" w:lineRule="exact"/>
        <w:rPr>
          <w:sz w:val="20"/>
          <w:szCs w:val="20"/>
          <w:color w:val="auto"/>
        </w:rPr>
      </w:pPr>
    </w:p>
    <w:p>
      <w:pPr>
        <w:ind w:right="180"/>
        <w:spacing w:after="0" w:line="292" w:lineRule="auto"/>
        <w:rPr>
          <w:sz w:val="20"/>
          <w:szCs w:val="20"/>
          <w:color w:val="auto"/>
        </w:rPr>
      </w:pPr>
      <w:r>
        <w:rPr>
          <w:rFonts w:ascii="Arial" w:cs="Arial" w:eastAsia="Arial" w:hAnsi="Arial"/>
          <w:sz w:val="18"/>
          <w:szCs w:val="18"/>
          <w:color w:val="auto"/>
        </w:rPr>
        <w:t>*Confidential treatment has been requested for certain portions of this exhibit pursuant to Rule 24b-2 of the Securities Exchange Act of 1934, as amended, which portions have been omitted and filed separately with the Securities and Exchange Commission.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116" w:right="27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363" w:lineRule="exact"/>
        <w:rPr>
          <w:sz w:val="20"/>
          <w:szCs w:val="20"/>
          <w:color w:val="auto"/>
        </w:rPr>
      </w:pPr>
    </w:p>
    <w:p>
      <w:pPr>
        <w:ind w:left="8980"/>
        <w:spacing w:after="0"/>
        <w:rPr>
          <w:sz w:val="20"/>
          <w:szCs w:val="20"/>
          <w:color w:val="auto"/>
        </w:rPr>
      </w:pPr>
      <w:r>
        <w:rPr>
          <w:rFonts w:ascii="Arial" w:cs="Arial" w:eastAsia="Arial" w:hAnsi="Arial"/>
          <w:sz w:val="18"/>
          <w:szCs w:val="18"/>
          <w:b w:val="1"/>
          <w:bCs w:val="1"/>
          <w:color w:val="auto"/>
        </w:rPr>
        <w:t>Nine Months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9"/>
              </w:rPr>
              <w:t>September 30,</w:t>
            </w:r>
          </w:p>
        </w:tc>
        <w:tc>
          <w:tcPr>
            <w:tcW w:w="5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2"/>
        </w:trPr>
        <w:tc>
          <w:tcPr>
            <w:tcW w:w="828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5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280" w:type="dxa"/>
            <w:vAlign w:val="bottom"/>
          </w:tcPr>
          <w:p>
            <w:pPr>
              <w:ind w:left="60"/>
              <w:spacing w:after="0"/>
              <w:rPr>
                <w:sz w:val="20"/>
                <w:szCs w:val="20"/>
                <w:color w:val="auto"/>
              </w:rPr>
            </w:pPr>
            <w:r>
              <w:rPr>
                <w:rFonts w:ascii="Arial" w:cs="Arial" w:eastAsia="Arial" w:hAnsi="Arial"/>
                <w:sz w:val="18"/>
                <w:szCs w:val="18"/>
                <w:b w:val="1"/>
                <w:bCs w:val="1"/>
                <w:color w:val="auto"/>
              </w:rPr>
              <w:t>Earnings available to cover fixed charges:</w:t>
            </w:r>
          </w:p>
        </w:tc>
        <w:tc>
          <w:tcPr>
            <w:tcW w:w="9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8280" w:type="dxa"/>
            <w:vAlign w:val="bottom"/>
          </w:tcPr>
          <w:p>
            <w:pPr>
              <w:ind w:left="60"/>
              <w:spacing w:after="0"/>
              <w:rPr>
                <w:sz w:val="20"/>
                <w:szCs w:val="20"/>
                <w:color w:val="auto"/>
              </w:rPr>
            </w:pPr>
            <w:r>
              <w:rPr>
                <w:rFonts w:ascii="Arial" w:cs="Arial" w:eastAsia="Arial" w:hAnsi="Arial"/>
                <w:sz w:val="18"/>
                <w:szCs w:val="18"/>
                <w:color w:val="auto"/>
              </w:rPr>
              <w:t>Income from continuing operations before income taxes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378</w:t>
            </w:r>
          </w:p>
        </w:tc>
        <w:tc>
          <w:tcPr>
            <w:tcW w:w="120" w:type="dxa"/>
            <w:vAlign w:val="bottom"/>
          </w:tcPr>
          <w:p>
            <w:pPr>
              <w:spacing w:after="0"/>
              <w:rPr>
                <w:sz w:val="22"/>
                <w:szCs w:val="22"/>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5"/>
        </w:trPr>
        <w:tc>
          <w:tcPr>
            <w:tcW w:w="8280" w:type="dxa"/>
            <w:vAlign w:val="bottom"/>
          </w:tcPr>
          <w:p>
            <w:pPr>
              <w:ind w:left="60"/>
              <w:spacing w:after="0"/>
              <w:rPr>
                <w:sz w:val="20"/>
                <w:szCs w:val="20"/>
                <w:color w:val="auto"/>
              </w:rPr>
            </w:pPr>
            <w:r>
              <w:rPr>
                <w:rFonts w:ascii="Arial" w:cs="Arial" w:eastAsia="Arial" w:hAnsi="Arial"/>
                <w:sz w:val="18"/>
                <w:szCs w:val="18"/>
                <w:color w:val="auto"/>
              </w:rPr>
              <w:t>Plus: Fixed charges</w:t>
            </w:r>
          </w:p>
        </w:tc>
        <w:tc>
          <w:tcPr>
            <w:tcW w:w="9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55"/>
        </w:trPr>
        <w:tc>
          <w:tcPr>
            <w:tcW w:w="8280" w:type="dxa"/>
            <w:vAlign w:val="bottom"/>
          </w:tcPr>
          <w:p>
            <w:pPr>
              <w:ind w:left="60"/>
              <w:spacing w:after="0"/>
              <w:rPr>
                <w:sz w:val="20"/>
                <w:szCs w:val="20"/>
                <w:color w:val="auto"/>
              </w:rPr>
            </w:pPr>
            <w:r>
              <w:rPr>
                <w:rFonts w:ascii="Arial" w:cs="Arial" w:eastAsia="Arial" w:hAnsi="Arial"/>
                <w:sz w:val="18"/>
                <w:szCs w:val="18"/>
                <w:color w:val="auto"/>
              </w:rPr>
              <w:t>Earnings available to cover fixed charges</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21"/>
                <w:szCs w:val="21"/>
                <w:color w:val="auto"/>
                <w:vertAlign w:val="superscript"/>
              </w:rPr>
              <w:t>(a)</w:t>
            </w:r>
            <w:r>
              <w:rPr>
                <w:rFonts w:ascii="Arial" w:cs="Arial" w:eastAsia="Arial" w:hAnsi="Arial"/>
                <w:sz w:val="18"/>
                <w:szCs w:val="18"/>
                <w:b w:val="1"/>
                <w:bCs w:val="1"/>
                <w:color w:val="auto"/>
              </w:rPr>
              <w:t>:</w:t>
            </w: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82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280" w:type="dxa"/>
            <w:vAlign w:val="bottom"/>
          </w:tcPr>
          <w:p>
            <w:pPr>
              <w:ind w:left="60"/>
              <w:spacing w:after="0"/>
              <w:rPr>
                <w:sz w:val="20"/>
                <w:szCs w:val="20"/>
                <w:color w:val="auto"/>
              </w:rPr>
            </w:pPr>
            <w:r>
              <w:rPr>
                <w:rFonts w:ascii="Arial" w:cs="Arial" w:eastAsia="Arial" w:hAnsi="Arial"/>
                <w:sz w:val="18"/>
                <w:szCs w:val="18"/>
                <w:color w:val="auto"/>
              </w:rPr>
              <w:t>Interest, including amortization of deferred financing costs</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5"/>
        </w:trPr>
        <w:tc>
          <w:tcPr>
            <w:tcW w:w="8280" w:type="dxa"/>
            <w:vAlign w:val="bottom"/>
          </w:tcPr>
          <w:p>
            <w:pPr>
              <w:ind w:left="60"/>
              <w:spacing w:after="0"/>
              <w:rPr>
                <w:sz w:val="20"/>
                <w:szCs w:val="20"/>
                <w:color w:val="auto"/>
              </w:rPr>
            </w:pPr>
            <w:r>
              <w:rPr>
                <w:rFonts w:ascii="Arial" w:cs="Arial" w:eastAsia="Arial" w:hAnsi="Arial"/>
                <w:sz w:val="18"/>
                <w:szCs w:val="18"/>
                <w:color w:val="auto"/>
              </w:rPr>
              <w:t>Interest portion of rental payment</w:t>
            </w:r>
          </w:p>
        </w:tc>
        <w:tc>
          <w:tcPr>
            <w:tcW w:w="9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5"/>
        </w:trPr>
        <w:tc>
          <w:tcPr>
            <w:tcW w:w="8280" w:type="dxa"/>
            <w:vAlign w:val="bottom"/>
          </w:tcPr>
          <w:p>
            <w:pPr>
              <w:ind w:left="60"/>
              <w:spacing w:after="0"/>
              <w:rPr>
                <w:sz w:val="20"/>
                <w:szCs w:val="20"/>
                <w:color w:val="auto"/>
              </w:rPr>
            </w:pPr>
            <w:r>
              <w:rPr>
                <w:rFonts w:ascii="Arial" w:cs="Arial" w:eastAsia="Arial" w:hAnsi="Arial"/>
                <w:sz w:val="18"/>
                <w:szCs w:val="18"/>
                <w:color w:val="auto"/>
              </w:rPr>
              <w:t>Total fixed charges</w:t>
            </w:r>
          </w:p>
        </w:tc>
        <w:tc>
          <w:tcPr>
            <w:tcW w:w="9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471</w:t>
            </w: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ind w:right="7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8280" w:type="dxa"/>
            <w:vAlign w:val="bottom"/>
          </w:tcPr>
          <w:p>
            <w:pPr>
              <w:ind w:left="60"/>
              <w:spacing w:after="0"/>
              <w:rPr>
                <w:sz w:val="20"/>
                <w:szCs w:val="20"/>
                <w:color w:val="auto"/>
              </w:rPr>
            </w:pPr>
            <w:r>
              <w:rPr>
                <w:rFonts w:ascii="Arial" w:cs="Arial" w:eastAsia="Arial" w:hAnsi="Arial"/>
                <w:sz w:val="18"/>
                <w:szCs w:val="18"/>
                <w:b w:val="1"/>
                <w:bCs w:val="1"/>
                <w:color w:val="auto"/>
              </w:rPr>
              <w:t>Ratio of earnings to fixed charges</w:t>
            </w:r>
          </w:p>
        </w:tc>
        <w:tc>
          <w:tcPr>
            <w:tcW w:w="960" w:type="dxa"/>
            <w:vAlign w:val="bottom"/>
          </w:tcPr>
          <w:p>
            <w:pPr>
              <w:spacing w:after="0"/>
              <w:rPr>
                <w:sz w:val="24"/>
                <w:szCs w:val="24"/>
                <w:color w:val="auto"/>
              </w:rPr>
            </w:pPr>
          </w:p>
        </w:tc>
        <w:tc>
          <w:tcPr>
            <w:tcW w:w="660" w:type="dxa"/>
            <w:vAlign w:val="bottom"/>
            <w:gridSpan w:val="2"/>
          </w:tcPr>
          <w:p>
            <w:pPr>
              <w:ind w:left="60"/>
              <w:spacing w:after="0"/>
              <w:rPr>
                <w:sz w:val="20"/>
                <w:szCs w:val="20"/>
                <w:color w:val="auto"/>
              </w:rPr>
            </w:pPr>
            <w:r>
              <w:rPr>
                <w:rFonts w:ascii="Arial" w:cs="Arial" w:eastAsia="Arial" w:hAnsi="Arial"/>
                <w:sz w:val="18"/>
                <w:szCs w:val="18"/>
                <w:color w:val="auto"/>
              </w:rPr>
              <w:t>1.80x</w:t>
            </w:r>
          </w:p>
        </w:tc>
        <w:tc>
          <w:tcPr>
            <w:tcW w:w="9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1.71x</w:t>
            </w:r>
          </w:p>
        </w:tc>
        <w:tc>
          <w:tcPr>
            <w:tcW w:w="0" w:type="dxa"/>
            <w:vAlign w:val="bottom"/>
          </w:tcPr>
          <w:p>
            <w:pPr>
              <w:spacing w:after="0"/>
              <w:rPr>
                <w:sz w:val="1"/>
                <w:szCs w:val="1"/>
                <w:color w:val="auto"/>
              </w:rPr>
            </w:pPr>
          </w:p>
        </w:tc>
      </w:tr>
      <w:tr>
        <w:trPr>
          <w:trHeight w:val="20"/>
        </w:trPr>
        <w:tc>
          <w:tcPr>
            <w:tcW w:w="8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80" w:type="dxa"/>
            <w:vAlign w:val="bottom"/>
            <w:vMerge w:val="continue"/>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1540" w:right="1140" w:hanging="168"/>
        <w:spacing w:after="0" w:line="463" w:lineRule="auto"/>
        <w:tabs>
          <w:tab w:leader="none" w:pos="1540" w:val="left"/>
        </w:tabs>
        <w:numPr>
          <w:ilvl w:val="0"/>
          <w:numId w:val="56"/>
        </w:numPr>
        <w:rPr>
          <w:rFonts w:ascii="Arial" w:cs="Arial" w:eastAsia="Arial" w:hAnsi="Arial"/>
          <w:sz w:val="19"/>
          <w:szCs w:val="19"/>
          <w:color w:val="auto"/>
          <w:vertAlign w:val="superscript"/>
        </w:rPr>
      </w:pPr>
      <w:r>
        <w:rPr>
          <w:rFonts w:ascii="Arial" w:cs="Arial" w:eastAsia="Arial" w:hAnsi="Arial"/>
          <w:sz w:val="15"/>
          <w:szCs w:val="15"/>
          <w:color w:val="auto"/>
        </w:rPr>
        <w:t>Consists of interest expense on all indebtedness (including amortization of deferred financing costs) and the portion of operating lease rental expense that is representative of the interest factor. Interest expense on all indebtedness is detailed as follows:</w:t>
      </w:r>
    </w:p>
    <w:p>
      <w:pPr>
        <w:ind w:left="9100"/>
        <w:spacing w:after="0"/>
        <w:rPr>
          <w:sz w:val="20"/>
          <w:szCs w:val="20"/>
          <w:color w:val="auto"/>
        </w:rPr>
      </w:pPr>
      <w:r>
        <w:rPr>
          <w:rFonts w:ascii="Arial" w:cs="Arial" w:eastAsia="Arial" w:hAnsi="Arial"/>
          <w:sz w:val="16"/>
          <w:szCs w:val="16"/>
          <w:b w:val="1"/>
          <w:bCs w:val="1"/>
          <w:color w:val="auto"/>
        </w:rPr>
        <w:t>Nine Months Ended</w:t>
      </w:r>
    </w:p>
    <w:p>
      <w:pPr>
        <w:spacing w:after="0" w:line="27" w:lineRule="exact"/>
        <w:rPr>
          <w:sz w:val="20"/>
          <w:szCs w:val="20"/>
          <w:color w:val="auto"/>
        </w:rPr>
      </w:pPr>
    </w:p>
    <w:tbl>
      <w:tblPr>
        <w:tblLayout w:type="fixed"/>
        <w:tblInd w:w="320" w:type="dxa"/>
        <w:tblCellMar>
          <w:top w:w="0" w:type="dxa"/>
          <w:left w:w="0" w:type="dxa"/>
          <w:bottom w:w="0" w:type="dxa"/>
          <w:right w:w="0" w:type="dxa"/>
        </w:tblCellMar>
      </w:tblPr>
      <w:tr>
        <w:trPr>
          <w:trHeight w:val="214"/>
        </w:trPr>
        <w:tc>
          <w:tcPr>
            <w:tcW w:w="80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260"/>
        </w:trPr>
        <w:tc>
          <w:tcPr>
            <w:tcW w:w="8020" w:type="dxa"/>
            <w:vAlign w:val="bottom"/>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5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2014</w:t>
            </w:r>
          </w:p>
        </w:tc>
      </w:tr>
      <w:tr>
        <w:trPr>
          <w:trHeight w:val="238"/>
        </w:trPr>
        <w:tc>
          <w:tcPr>
            <w:tcW w:w="8020" w:type="dxa"/>
            <w:vAlign w:val="bottom"/>
          </w:tcPr>
          <w:p>
            <w:pPr>
              <w:spacing w:after="0"/>
              <w:rPr>
                <w:sz w:val="20"/>
                <w:szCs w:val="20"/>
                <w:color w:val="auto"/>
              </w:rPr>
            </w:pPr>
            <w:r>
              <w:rPr>
                <w:rFonts w:ascii="Arial" w:cs="Arial" w:eastAsia="Arial" w:hAnsi="Arial"/>
                <w:sz w:val="16"/>
                <w:szCs w:val="16"/>
                <w:color w:val="auto"/>
              </w:rPr>
              <w:t>Related to debt under vehicle programs</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227</w:t>
            </w:r>
          </w:p>
        </w:tc>
        <w:tc>
          <w:tcPr>
            <w:tcW w:w="100" w:type="dxa"/>
            <w:vAlign w:val="bottom"/>
          </w:tcPr>
          <w:p>
            <w:pPr>
              <w:spacing w:after="0"/>
              <w:rPr>
                <w:sz w:val="20"/>
                <w:szCs w:val="20"/>
                <w:color w:val="auto"/>
              </w:rPr>
            </w:pPr>
          </w:p>
        </w:tc>
        <w:tc>
          <w:tcPr>
            <w:tcW w:w="54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218</w:t>
            </w:r>
          </w:p>
        </w:tc>
      </w:tr>
      <w:tr>
        <w:trPr>
          <w:trHeight w:val="279"/>
        </w:trPr>
        <w:tc>
          <w:tcPr>
            <w:tcW w:w="8020" w:type="dxa"/>
            <w:vAlign w:val="bottom"/>
          </w:tcPr>
          <w:p>
            <w:pPr>
              <w:spacing w:after="0"/>
              <w:rPr>
                <w:sz w:val="20"/>
                <w:szCs w:val="20"/>
                <w:color w:val="auto"/>
              </w:rPr>
            </w:pPr>
            <w:r>
              <w:rPr>
                <w:rFonts w:ascii="Arial" w:cs="Arial" w:eastAsia="Arial" w:hAnsi="Arial"/>
                <w:sz w:val="16"/>
                <w:szCs w:val="16"/>
                <w:color w:val="auto"/>
              </w:rPr>
              <w:t>All other</w:t>
            </w:r>
          </w:p>
        </w:tc>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211</w:t>
            </w:r>
          </w:p>
        </w:tc>
      </w:tr>
      <w:tr>
        <w:trPr>
          <w:trHeight w:val="237"/>
        </w:trPr>
        <w:tc>
          <w:tcPr>
            <w:tcW w:w="8020" w:type="dxa"/>
            <w:vAlign w:val="bottom"/>
          </w:tcPr>
          <w:p>
            <w:pPr>
              <w:spacing w:after="0"/>
              <w:rPr>
                <w:sz w:val="20"/>
                <w:szCs w:val="20"/>
                <w:color w:val="auto"/>
              </w:rPr>
            </w:pP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387</w:t>
            </w:r>
          </w:p>
        </w:tc>
        <w:tc>
          <w:tcPr>
            <w:tcW w:w="100" w:type="dxa"/>
            <w:vAlign w:val="bottom"/>
          </w:tcPr>
          <w:p>
            <w:pPr>
              <w:spacing w:after="0"/>
              <w:rPr>
                <w:sz w:val="20"/>
                <w:szCs w:val="20"/>
                <w:color w:val="auto"/>
              </w:rPr>
            </w:pPr>
          </w:p>
        </w:tc>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429</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74"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I, Ronald L. Nelson, certify that:</w:t>
      </w:r>
    </w:p>
    <w:p>
      <w:pPr>
        <w:spacing w:after="0" w:line="171"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71"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660" w:right="20" w:hanging="328"/>
        <w:spacing w:after="0" w:line="323"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7"/>
          <w:szCs w:val="17"/>
          <w:color w:val="auto"/>
        </w:rPr>
      </w:pPr>
    </w:p>
    <w:p>
      <w:pPr>
        <w:ind w:left="660" w:right="300" w:hanging="328"/>
        <w:spacing w:after="0" w:line="271"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Arial" w:cs="Arial" w:eastAsia="Arial" w:hAnsi="Arial"/>
          <w:sz w:val="18"/>
          <w:szCs w:val="18"/>
          <w:color w:val="auto"/>
        </w:rPr>
      </w:pPr>
    </w:p>
    <w:p>
      <w:pPr>
        <w:ind w:left="1300" w:right="180" w:hanging="320"/>
        <w:spacing w:after="0" w:line="271"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1300" w:right="160" w:hanging="320"/>
        <w:spacing w:after="0" w:line="271"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jc w:val="both"/>
        <w:ind w:left="1300" w:right="100" w:hanging="320"/>
        <w:spacing w:after="0" w:line="271"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8"/>
          <w:szCs w:val="18"/>
          <w:color w:val="auto"/>
        </w:rPr>
      </w:pPr>
    </w:p>
    <w:p>
      <w:pPr>
        <w:ind w:left="1300" w:right="240" w:hanging="320"/>
        <w:spacing w:after="0" w:line="271"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660" w:right="520" w:hanging="328"/>
        <w:spacing w:after="0" w:line="271"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9" w:lineRule="exact"/>
        <w:rPr>
          <w:rFonts w:ascii="Arial" w:cs="Arial" w:eastAsia="Arial" w:hAnsi="Arial"/>
          <w:sz w:val="18"/>
          <w:szCs w:val="18"/>
          <w:color w:val="auto"/>
        </w:rPr>
      </w:pPr>
    </w:p>
    <w:p>
      <w:pPr>
        <w:jc w:val="both"/>
        <w:ind w:left="1300" w:right="100" w:hanging="320"/>
        <w:spacing w:after="0" w:line="271"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Arial" w:cs="Arial" w:eastAsia="Arial" w:hAnsi="Arial"/>
          <w:sz w:val="18"/>
          <w:szCs w:val="18"/>
          <w:color w:val="auto"/>
        </w:rPr>
      </w:pPr>
    </w:p>
    <w:p>
      <w:pPr>
        <w:ind w:left="1300" w:right="20" w:hanging="320"/>
        <w:spacing w:after="0" w:line="292"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2015</w:t>
      </w:r>
    </w:p>
    <w:p>
      <w:pPr>
        <w:spacing w:after="0" w:line="38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Ronald L.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28575</wp:posOffset>
            </wp:positionV>
            <wp:extent cx="19037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43"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74"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I, David B. Wyshner, certify that:</w:t>
      </w:r>
    </w:p>
    <w:p>
      <w:pPr>
        <w:spacing w:after="0" w:line="171"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71"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8"/>
          <w:szCs w:val="18"/>
          <w:color w:val="auto"/>
        </w:rPr>
      </w:pPr>
    </w:p>
    <w:p>
      <w:pPr>
        <w:ind w:left="660" w:right="20" w:hanging="328"/>
        <w:spacing w:after="0" w:line="323"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Arial" w:cs="Arial" w:eastAsia="Arial" w:hAnsi="Arial"/>
          <w:sz w:val="17"/>
          <w:szCs w:val="17"/>
          <w:color w:val="auto"/>
        </w:rPr>
      </w:pPr>
    </w:p>
    <w:p>
      <w:pPr>
        <w:ind w:left="660" w:right="300" w:hanging="328"/>
        <w:spacing w:after="0" w:line="271"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9" w:lineRule="exact"/>
        <w:rPr>
          <w:rFonts w:ascii="Arial" w:cs="Arial" w:eastAsia="Arial" w:hAnsi="Arial"/>
          <w:sz w:val="18"/>
          <w:szCs w:val="18"/>
          <w:color w:val="auto"/>
        </w:rPr>
      </w:pPr>
    </w:p>
    <w:p>
      <w:pPr>
        <w:ind w:left="1300" w:right="180" w:hanging="320"/>
        <w:spacing w:after="0" w:line="271"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8"/>
          <w:szCs w:val="18"/>
          <w:color w:val="auto"/>
        </w:rPr>
      </w:pPr>
    </w:p>
    <w:p>
      <w:pPr>
        <w:ind w:left="1300" w:right="160" w:hanging="320"/>
        <w:spacing w:after="0" w:line="271"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8"/>
          <w:szCs w:val="18"/>
          <w:color w:val="auto"/>
        </w:rPr>
      </w:pPr>
    </w:p>
    <w:p>
      <w:pPr>
        <w:jc w:val="both"/>
        <w:ind w:left="1300" w:right="100" w:hanging="320"/>
        <w:spacing w:after="0" w:line="271"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8"/>
          <w:szCs w:val="18"/>
          <w:color w:val="auto"/>
        </w:rPr>
      </w:pPr>
    </w:p>
    <w:p>
      <w:pPr>
        <w:ind w:left="1300" w:right="240" w:hanging="320"/>
        <w:spacing w:after="0" w:line="271"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8"/>
          <w:szCs w:val="18"/>
          <w:color w:val="auto"/>
        </w:rPr>
      </w:pPr>
    </w:p>
    <w:p>
      <w:pPr>
        <w:ind w:left="660" w:right="520" w:hanging="328"/>
        <w:spacing w:after="0" w:line="271"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9" w:lineRule="exact"/>
        <w:rPr>
          <w:rFonts w:ascii="Arial" w:cs="Arial" w:eastAsia="Arial" w:hAnsi="Arial"/>
          <w:sz w:val="18"/>
          <w:szCs w:val="18"/>
          <w:color w:val="auto"/>
        </w:rPr>
      </w:pPr>
    </w:p>
    <w:p>
      <w:pPr>
        <w:jc w:val="both"/>
        <w:ind w:left="1300" w:right="100" w:hanging="320"/>
        <w:spacing w:after="0" w:line="271"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Arial" w:cs="Arial" w:eastAsia="Arial" w:hAnsi="Arial"/>
          <w:sz w:val="18"/>
          <w:szCs w:val="18"/>
          <w:color w:val="auto"/>
        </w:rPr>
      </w:pPr>
    </w:p>
    <w:p>
      <w:pPr>
        <w:ind w:left="1300" w:right="20" w:hanging="320"/>
        <w:spacing w:after="0" w:line="292"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2015</w:t>
      </w:r>
    </w:p>
    <w:p>
      <w:pPr>
        <w:spacing w:after="0" w:line="387"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 David B.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28575</wp:posOffset>
            </wp:positionV>
            <wp:extent cx="42449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spacing w:after="0" w:line="4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Senior Executive Vice President and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74"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4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September 30, 2015, as filed with the Securities and Exchange Commission on the date hereof (the “Report”), Ronald L. Nelson, as Chief Executive Officer of the Company, and David B. Wyshner, as Chief Financial Officer of the Company, each hereby certifies, pursuant to 18 U.S.C. Section 1350, as adopted pursuant to Section 906 of the Sarbanes-Oxley Act of 2002, that, to the best of his knowledge:</w:t>
      </w:r>
    </w:p>
    <w:p>
      <w:pPr>
        <w:spacing w:after="0" w:line="116" w:lineRule="exact"/>
        <w:rPr>
          <w:sz w:val="20"/>
          <w:szCs w:val="20"/>
          <w:color w:val="auto"/>
        </w:rPr>
      </w:pPr>
    </w:p>
    <w:p>
      <w:pPr>
        <w:ind w:left="660" w:hanging="328"/>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180" w:hanging="328"/>
        <w:spacing w:after="0" w:line="292"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Ronald L. Nelson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Ronald L. Nelson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3, 2015</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David B. Wyshner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B. Wyshner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Executive Vice President and</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3, 2015</w:t>
      </w:r>
    </w:p>
    <w:sectPr>
      <w:pgSz w:w="11900" w:h="16838" w:orient="portrait"/>
      <w:cols w:equalWidth="0" w:num="1">
        <w:col w:w="11420"/>
      </w:cols>
      <w:pgMar w:left="240" w:top="5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decimal"/>
      <w:start w:val="1"/>
    </w:lvl>
    <w:lvl w:ilvl="1">
      <w:lvlJc w:val="left"/>
      <w:lvlText w:val="•"/>
      <w:numFmt w:val="bullet"/>
      <w:start w:val="1"/>
    </w:lvl>
  </w:abstractNum>
  <w:abstractNum w:abstractNumId="3">
    <w:nsid w:val="737B8DDC"/>
    <w:multiLevelType w:val="hybridMultilevel"/>
    <w:lvl w:ilvl="0">
      <w:lvlJc w:val="left"/>
      <w:lvlText w:val="%1."/>
      <w:numFmt w:val="decimal"/>
      <w:start w:val="2"/>
    </w:lvl>
  </w:abstractNum>
  <w:abstractNum w:abstractNumId="4">
    <w:nsid w:val="6CEAF087"/>
    <w:multiLevelType w:val="hybridMultilevel"/>
    <w:lvl w:ilvl="0">
      <w:lvlJc w:val="left"/>
      <w:lvlText w:val="%1."/>
      <w:numFmt w:val="decimal"/>
      <w:start w:val="3"/>
    </w:lvl>
  </w:abstractNum>
  <w:abstractNum w:abstractNumId="5">
    <w:nsid w:val="22221A70"/>
    <w:multiLevelType w:val="hybridMultilevel"/>
    <w:lvl w:ilvl="0">
      <w:lvlJc w:val="left"/>
      <w:lvlText w:val="%1"/>
      <w:numFmt w:val="decimal"/>
      <w:start w:val="1"/>
    </w:lvl>
    <w:lvl w:ilvl="1">
      <w:lvlJc w:val="left"/>
      <w:lvlText w:val="(%2)"/>
      <w:numFmt w:val="lowerLetter"/>
      <w:start w:val="1"/>
    </w:lvl>
  </w:abstractNum>
  <w:abstractNum w:abstractNumId="6">
    <w:nsid w:val="4516DDE9"/>
    <w:multiLevelType w:val="hybridMultilevel"/>
    <w:lvl w:ilvl="0">
      <w:lvlJc w:val="left"/>
      <w:lvlText w:val="%1."/>
      <w:numFmt w:val="decimal"/>
      <w:start w:val="4"/>
    </w:lvl>
    <w:lvl w:ilvl="1">
      <w:lvlJc w:val="left"/>
      <w:lvlText w:val="%2"/>
      <w:numFmt w:val="lowerLetter"/>
      <w:start w:val="1"/>
    </w:lvl>
  </w:abstractNum>
  <w:abstractNum w:abstractNumId="7">
    <w:nsid w:val="3006C83E"/>
    <w:multiLevelType w:val="hybridMultilevel"/>
    <w:lvl w:ilvl="0">
      <w:lvlJc w:val="left"/>
      <w:lvlText w:val="%1."/>
      <w:numFmt w:val="decimal"/>
      <w:start w:val="5"/>
    </w:lvl>
  </w:abstractNum>
  <w:abstractNum w:abstractNumId="8">
    <w:nsid w:val="614FD4A1"/>
    <w:multiLevelType w:val="hybridMultilevel"/>
    <w:lvl w:ilvl="0">
      <w:lvlJc w:val="left"/>
      <w:lvlText w:val="%1."/>
      <w:numFmt w:val="decimal"/>
      <w:start w:val="6"/>
    </w:lvl>
  </w:abstractNum>
  <w:abstractNum w:abstractNumId="9">
    <w:nsid w:val="419AC241"/>
    <w:multiLevelType w:val="hybridMultilevel"/>
    <w:lvl w:ilvl="0">
      <w:lvlJc w:val="left"/>
      <w:lvlText w:val="(%1)"/>
      <w:numFmt w:val="lowerLetter"/>
      <w:start w:val="1"/>
    </w:lvl>
  </w:abstractNum>
  <w:abstractNum w:abstractNumId="10">
    <w:nsid w:val="5577F8E1"/>
    <w:multiLevelType w:val="hybridMultilevel"/>
    <w:lvl w:ilvl="0">
      <w:lvlJc w:val="left"/>
      <w:lvlText w:val="%1."/>
      <w:numFmt w:val="decimal"/>
      <w:start w:val="7"/>
    </w:lvl>
  </w:abstractNum>
  <w:abstractNum w:abstractNumId="11">
    <w:nsid w:val="440BADFC"/>
    <w:multiLevelType w:val="hybridMultilevel"/>
    <w:lvl w:ilvl="0">
      <w:lvlJc w:val="left"/>
      <w:lvlText w:val="%1"/>
      <w:numFmt w:val="decimal"/>
      <w:start w:val="120"/>
    </w:lvl>
    <w:lvl w:ilvl="1">
      <w:lvlJc w:val="left"/>
      <w:lvlText w:val="(%2)"/>
      <w:numFmt w:val="decimal"/>
      <w:start w:val="58"/>
    </w:lvl>
  </w:abstractNum>
  <w:abstractNum w:abstractNumId="12">
    <w:nsid w:val="5072367"/>
    <w:multiLevelType w:val="hybridMultilevel"/>
    <w:lvl w:ilvl="0">
      <w:lvlJc w:val="left"/>
      <w:lvlText w:val="%1."/>
      <w:numFmt w:val="decimal"/>
      <w:start w:val="8"/>
    </w:lvl>
  </w:abstractNum>
  <w:abstractNum w:abstractNumId="13">
    <w:nsid w:val="3804823E"/>
    <w:multiLevelType w:val="hybridMultilevel"/>
    <w:lvl w:ilvl="0">
      <w:lvlJc w:val="left"/>
      <w:lvlText w:val="(%1)"/>
      <w:numFmt w:val="lowerLetter"/>
      <w:start w:val="1"/>
    </w:lvl>
  </w:abstractNum>
  <w:abstractNum w:abstractNumId="14">
    <w:nsid w:val="77465F01"/>
    <w:multiLevelType w:val="hybridMultilevel"/>
    <w:lvl w:ilvl="0">
      <w:lvlJc w:val="left"/>
      <w:lvlText w:val="(%1)"/>
      <w:numFmt w:val="lowerLetter"/>
      <w:start w:val="1"/>
    </w:lvl>
  </w:abstractNum>
  <w:abstractNum w:abstractNumId="15">
    <w:nsid w:val="7724C67E"/>
    <w:multiLevelType w:val="hybridMultilevel"/>
    <w:lvl w:ilvl="0">
      <w:lvlJc w:val="left"/>
      <w:lvlText w:val="%1."/>
      <w:numFmt w:val="decimal"/>
      <w:start w:val="10"/>
    </w:lvl>
  </w:abstractNum>
  <w:abstractNum w:abstractNumId="16">
    <w:nsid w:val="5C482A97"/>
    <w:multiLevelType w:val="hybridMultilevel"/>
    <w:lvl w:ilvl="0">
      <w:lvlJc w:val="left"/>
      <w:lvlText w:val="(%1)"/>
      <w:numFmt w:val="lowerLetter"/>
      <w:start w:val="1"/>
    </w:lvl>
  </w:abstractNum>
  <w:abstractNum w:abstractNumId="17">
    <w:nsid w:val="2463B9EA"/>
    <w:multiLevelType w:val="hybridMultilevel"/>
    <w:lvl w:ilvl="0">
      <w:lvlJc w:val="left"/>
      <w:lvlText w:val="(%1)"/>
      <w:numFmt w:val="lowerLetter"/>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1."/>
      <w:numFmt w:val="decimal"/>
      <w:start w:val="11"/>
    </w:lvl>
  </w:abstractNum>
  <w:abstractNum w:abstractNumId="21">
    <w:nsid w:val="580BD78F"/>
    <w:multiLevelType w:val="hybridMultilevel"/>
    <w:lvl w:ilvl="0">
      <w:lvlJc w:val="left"/>
      <w:lvlText w:val="%1."/>
      <w:numFmt w:val="decimal"/>
      <w:start w:val="12"/>
    </w:lvl>
  </w:abstractNum>
  <w:abstractNum w:abstractNumId="22">
    <w:nsid w:val="153EA438"/>
    <w:multiLevelType w:val="hybridMultilevel"/>
    <w:lvl w:ilvl="0">
      <w:lvlJc w:val="left"/>
      <w:lvlText w:val="(%1)"/>
      <w:numFmt w:val="lowerLetter"/>
      <w:start w:val="1"/>
    </w:lvl>
  </w:abstractNum>
  <w:abstractNum w:abstractNumId="23">
    <w:nsid w:val="3855585C"/>
    <w:multiLevelType w:val="hybridMultilevel"/>
    <w:lvl w:ilvl="0">
      <w:lvlJc w:val="left"/>
      <w:lvlText w:val="%1."/>
      <w:numFmt w:val="decimal"/>
      <w:start w:val="13"/>
    </w:lvl>
  </w:abstractNum>
  <w:abstractNum w:abstractNumId="24">
    <w:nsid w:val="70A64E2A"/>
    <w:multiLevelType w:val="hybridMultilevel"/>
    <w:lvl w:ilvl="0">
      <w:lvlJc w:val="left"/>
      <w:lvlText w:val="(%1)"/>
      <w:numFmt w:val="lowerLetter"/>
      <w:start w:val="1"/>
    </w:lvl>
  </w:abstractNum>
  <w:abstractNum w:abstractNumId="25">
    <w:nsid w:val="6A2342EC"/>
    <w:multiLevelType w:val="hybridMultilevel"/>
    <w:lvl w:ilvl="0">
      <w:lvlJc w:val="left"/>
      <w:lvlText w:val="%1."/>
      <w:numFmt w:val="decimal"/>
      <w:start w:val="14"/>
    </w:lvl>
  </w:abstractNum>
  <w:abstractNum w:abstractNumId="26">
    <w:nsid w:val="2A487CB0"/>
    <w:multiLevelType w:val="hybridMultilevel"/>
    <w:lvl w:ilvl="0">
      <w:lvlJc w:val="left"/>
      <w:lvlText w:val="(%1)"/>
      <w:numFmt w:val="lowerLetter"/>
      <w:start w:val="1"/>
    </w:lvl>
  </w:abstractNum>
  <w:abstractNum w:abstractNumId="27">
    <w:nsid w:val="1D4ED43B"/>
    <w:multiLevelType w:val="hybridMultilevel"/>
    <w:lvl w:ilvl="0">
      <w:lvlJc w:val="left"/>
      <w:lvlText w:val="(%1)"/>
      <w:numFmt w:val="lowerLetter"/>
      <w:start w:val="1"/>
    </w:lvl>
  </w:abstractNum>
  <w:abstractNum w:abstractNumId="28">
    <w:nsid w:val="725A06FB"/>
    <w:multiLevelType w:val="hybridMultilevel"/>
    <w:lvl w:ilvl="0">
      <w:lvlJc w:val="left"/>
      <w:lvlText w:val="(%1)"/>
      <w:numFmt w:val="lowerLetter"/>
      <w:start w:val="1"/>
    </w:lvl>
  </w:abstractNum>
  <w:abstractNum w:abstractNumId="29">
    <w:nsid w:val="2CD89A32"/>
    <w:multiLevelType w:val="hybridMultilevel"/>
    <w:lvl w:ilvl="0">
      <w:lvlJc w:val="left"/>
      <w:lvlText w:val="%1"/>
      <w:numFmt w:val="decimal"/>
      <w:start w:val="1"/>
    </w:lvl>
    <w:lvl w:ilvl="1">
      <w:lvlJc w:val="left"/>
      <w:lvlText w:val="(%2)"/>
      <w:numFmt w:val="lowerLetter"/>
      <w:start w:val="1"/>
    </w:lvl>
  </w:abstractNum>
  <w:abstractNum w:abstractNumId="30">
    <w:nsid w:val="57E4CCAF"/>
    <w:multiLevelType w:val="hybridMultilevel"/>
    <w:lvl w:ilvl="0">
      <w:lvlJc w:val="left"/>
      <w:lvlText w:val="%1."/>
      <w:numFmt w:val="decimal"/>
      <w:start w:val="15"/>
    </w:lvl>
    <w:lvl w:ilvl="1">
      <w:lvlJc w:val="left"/>
      <w:lvlText w:val="%2"/>
      <w:numFmt w:val="lowerLetter"/>
      <w:start w:val="1"/>
    </w:lvl>
  </w:abstractNum>
  <w:abstractNum w:abstractNumId="31">
    <w:nsid w:val="7A6D8D3C"/>
    <w:multiLevelType w:val="hybridMultilevel"/>
    <w:lvl w:ilvl="0">
      <w:lvlJc w:val="left"/>
      <w:lvlText w:val="(%1)"/>
      <w:numFmt w:val="lowerLetter"/>
      <w:start w:val="1"/>
    </w:lvl>
  </w:abstractNum>
  <w:abstractNum w:abstractNumId="32">
    <w:nsid w:val="4B588F54"/>
    <w:multiLevelType w:val="hybridMultilevel"/>
    <w:lvl w:ilvl="0">
      <w:lvlJc w:val="left"/>
      <w:lvlText w:val="(%1)"/>
      <w:numFmt w:val="lowerLetter"/>
      <w:start w:val="1"/>
    </w:lvl>
  </w:abstractNum>
  <w:abstractNum w:abstractNumId="33">
    <w:nsid w:val="542289EC"/>
    <w:multiLevelType w:val="hybridMultilevel"/>
    <w:lvl w:ilvl="0">
      <w:lvlJc w:val="left"/>
      <w:lvlText w:val="%1."/>
      <w:numFmt w:val="decimal"/>
      <w:start w:val="16"/>
    </w:lvl>
  </w:abstractNum>
  <w:abstractNum w:abstractNumId="34">
    <w:nsid w:val="6DE91B18"/>
    <w:multiLevelType w:val="hybridMultilevel"/>
    <w:lvl w:ilvl="0">
      <w:lvlJc w:val="left"/>
      <w:lvlText w:val="%1."/>
      <w:numFmt w:val="decimal"/>
      <w:start w:val="17"/>
    </w:lvl>
    <w:lvl w:ilvl="1">
      <w:lvlJc w:val="left"/>
      <w:lvlText w:val="*"/>
      <w:numFmt w:val="bullet"/>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1)"/>
      <w:numFmt w:val="lowerLetter"/>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
      <w:numFmt w:val="bullet"/>
      <w:start w:val="1"/>
    </w:lvl>
  </w:abstractNum>
  <w:abstractNum w:abstractNumId="45">
    <w:nsid w:val="12E685FB"/>
    <w:multiLevelType w:val="hybridMultilevel"/>
    <w:lvl w:ilvl="0">
      <w:lvlJc w:val="left"/>
      <w:lvlText w:val="(%1)"/>
      <w:numFmt w:val="lowerLetter"/>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
      <w:numFmt w:val="bullet"/>
      <w:start w:val="1"/>
    </w:lvl>
  </w:abstractNum>
  <w:abstractNum w:abstractNumId="48">
    <w:nsid w:val="374A3FE6"/>
    <w:multiLevelType w:val="hybridMultilevel"/>
    <w:lvl w:ilvl="0">
      <w:lvlJc w:val="left"/>
      <w:lvlText w:val="(%1)"/>
      <w:numFmt w:val="lowerLetter"/>
      <w:start w:val="1"/>
    </w:lvl>
  </w:abstractNum>
  <w:abstractNum w:abstractNumId="49">
    <w:nsid w:val="4F4EF005"/>
    <w:multiLevelType w:val="hybridMultilevel"/>
    <w:lvl w:ilvl="0">
      <w:lvlJc w:val="left"/>
      <w:lvlText w:val="(%1)"/>
      <w:numFmt w:val="lowerLetter"/>
      <w:start w:val="1"/>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1)"/>
      <w:numFmt w:val="lowerLetter"/>
      <w:start w:val="1"/>
    </w:lvl>
  </w:abstractNum>
  <w:abstractNum w:abstractNumId="52">
    <w:nsid w:val="275AC794"/>
    <w:multiLevelType w:val="hybridMultilevel"/>
    <w:lvl w:ilvl="0">
      <w:lvlJc w:val="left"/>
      <w:lvlText w:val="(%1)"/>
      <w:numFmt w:val="lowerRoman"/>
      <w:start w:val="1"/>
    </w:lvl>
  </w:abstractNum>
  <w:abstractNum w:abstractNumId="53">
    <w:nsid w:val="39386575"/>
    <w:multiLevelType w:val="hybridMultilevel"/>
    <w:lvl w:ilvl="0">
      <w:lvlJc w:val="left"/>
      <w:lvlText w:val="(%1)"/>
      <w:numFmt w:val="lowerLetter"/>
      <w:start w:val="1"/>
    </w:lvl>
  </w:abstractNum>
  <w:abstractNum w:abstractNumId="54">
    <w:nsid w:val="1CF10FD8"/>
    <w:multiLevelType w:val="hybridMultilevel"/>
    <w:lvl w:ilvl="0">
      <w:lvlJc w:val="left"/>
      <w:lvlText w:val="(%1)"/>
      <w:numFmt w:val="lowerLetter"/>
      <w:start w:val="1"/>
    </w:lvl>
  </w:abstractNum>
  <w:abstractNum w:abstractNumId="55">
    <w:nsid w:val="180115BE"/>
    <w:multiLevelType w:val="hybridMultilevel"/>
    <w:lvl w:ilvl="0">
      <w:lvlJc w:val="left"/>
      <w:lvlText w:val="(%1)"/>
      <w:numFmt w:val="lowerLetter"/>
      <w:start w:val="1"/>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2019-12-29T15:11:11Z</dcterms:created>
  <dcterms:modified xsi:type="dcterms:W3CDTF">2019-12-29T15:11:11Z</dcterms:modified>
</cp:coreProperties>
</file>