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323850</wp:posOffset>
            </wp:positionV>
            <wp:extent cx="72034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340995</wp:posOffset>
            </wp:positionV>
            <wp:extent cx="7203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3"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386715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9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46355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340"/>
          </w:cols>
          <w:pgMar w:left="240" w:top="247" w:right="319" w:bottom="1440" w:gutter="0" w:footer="0" w:header="0"/>
        </w:sectPr>
      </w:pPr>
    </w:p>
    <w:p>
      <w:pPr>
        <w:spacing w:after="0" w:line="200" w:lineRule="exact"/>
        <w:rPr>
          <w:sz w:val="24"/>
          <w:szCs w:val="24"/>
          <w:color w:val="auto"/>
        </w:rPr>
      </w:pPr>
    </w:p>
    <w:p>
      <w:pPr>
        <w:spacing w:after="0" w:line="311" w:lineRule="exact"/>
        <w:rPr>
          <w:sz w:val="24"/>
          <w:szCs w:val="24"/>
          <w:color w:val="auto"/>
        </w:rPr>
      </w:pPr>
    </w:p>
    <w:p>
      <w:pPr>
        <w:ind w:left="1120"/>
        <w:spacing w:after="0"/>
        <w:rPr>
          <w:sz w:val="20"/>
          <w:szCs w:val="20"/>
          <w:color w:val="auto"/>
        </w:rPr>
      </w:pPr>
      <w:r>
        <w:rPr>
          <w:rFonts w:ascii="Arial" w:cs="Arial" w:eastAsia="Arial" w:hAnsi="Arial"/>
          <w:sz w:val="22"/>
          <w:szCs w:val="22"/>
          <w:color w:val="auto"/>
        </w:rPr>
        <w:t>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left="1120"/>
        <w:spacing w:after="0"/>
        <w:rPr>
          <w:sz w:val="20"/>
          <w:szCs w:val="20"/>
          <w:color w:val="auto"/>
        </w:rPr>
      </w:pPr>
      <w:r>
        <w:rPr>
          <w:rFonts w:ascii="Arial" w:cs="Arial" w:eastAsia="Arial" w:hAnsi="Arial"/>
          <w:sz w:val="21"/>
          <w:szCs w:val="21"/>
          <w:color w:val="auto"/>
        </w:rPr>
        <w:t>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325" w:lineRule="exact"/>
        <w:rPr>
          <w:sz w:val="24"/>
          <w:szCs w:val="24"/>
          <w:color w:val="auto"/>
        </w:rPr>
      </w:pPr>
    </w:p>
    <w:p>
      <w:pPr>
        <w:ind w:left="2520"/>
        <w:spacing w:after="0"/>
        <w:rPr>
          <w:sz w:val="20"/>
          <w:szCs w:val="20"/>
          <w:color w:val="auto"/>
        </w:rPr>
      </w:pPr>
      <w:r>
        <w:rPr>
          <w:rFonts w:ascii="Arial" w:cs="Arial" w:eastAsia="Arial" w:hAnsi="Arial"/>
          <w:sz w:val="14"/>
          <w:szCs w:val="14"/>
          <w:b w:val="1"/>
          <w:bCs w:val="1"/>
          <w:color w:val="auto"/>
        </w:rPr>
        <w:t>For the quarterly period ended June 30, 2018</w:t>
      </w:r>
    </w:p>
    <w:p>
      <w:pPr>
        <w:spacing w:after="0" w:line="258" w:lineRule="exact"/>
        <w:rPr>
          <w:sz w:val="24"/>
          <w:szCs w:val="24"/>
          <w:color w:val="auto"/>
        </w:rPr>
      </w:pPr>
    </w:p>
    <w:p>
      <w:pPr>
        <w:ind w:left="3940"/>
        <w:spacing w:after="0"/>
        <w:rPr>
          <w:sz w:val="20"/>
          <w:szCs w:val="20"/>
          <w:color w:val="auto"/>
        </w:rPr>
      </w:pPr>
      <w:r>
        <w:rPr>
          <w:rFonts w:ascii="Arial" w:cs="Arial" w:eastAsia="Arial" w:hAnsi="Arial"/>
          <w:sz w:val="14"/>
          <w:szCs w:val="14"/>
          <w:b w:val="1"/>
          <w:bCs w:val="1"/>
          <w:color w:val="auto"/>
        </w:rPr>
        <w:t>OR</w:t>
      </w:r>
    </w:p>
    <w:p>
      <w:pPr>
        <w:spacing w:after="0" w:line="217" w:lineRule="exact"/>
        <w:rPr>
          <w:sz w:val="24"/>
          <w:szCs w:val="24"/>
          <w:color w:val="auto"/>
        </w:rPr>
      </w:pPr>
    </w:p>
    <w:p>
      <w:pPr>
        <w:ind w:left="2520" w:right="2300" w:hanging="2504"/>
        <w:spacing w:after="0" w:line="506" w:lineRule="auto"/>
        <w:rPr>
          <w:sz w:val="20"/>
          <w:szCs w:val="20"/>
          <w:color w:val="auto"/>
        </w:rPr>
      </w:pPr>
      <w:r>
        <w:rPr>
          <w:rFonts w:ascii="Arial" w:cs="Arial" w:eastAsia="Arial" w:hAnsi="Arial"/>
          <w:sz w:val="14"/>
          <w:szCs w:val="14"/>
          <w:b w:val="1"/>
          <w:bCs w:val="1"/>
          <w:color w:val="auto"/>
        </w:rPr>
        <w:t>TRANSITION REPORT PURSUANT TO SECTION 13 OR 15(d) OF THE SECURITIES EXCHANGE ACT OF 1934 For the transition period from _____ to _____</w:t>
      </w:r>
    </w:p>
    <w:p>
      <w:pPr>
        <w:spacing w:after="0" w:line="10" w:lineRule="exact"/>
        <w:rPr>
          <w:sz w:val="24"/>
          <w:szCs w:val="24"/>
          <w:color w:val="auto"/>
        </w:rPr>
      </w:pPr>
    </w:p>
    <w:p>
      <w:pPr>
        <w:ind w:left="2980"/>
        <w:spacing w:after="0"/>
        <w:rPr>
          <w:sz w:val="20"/>
          <w:szCs w:val="20"/>
          <w:color w:val="auto"/>
        </w:rPr>
      </w:pPr>
      <w:r>
        <w:rPr>
          <w:rFonts w:ascii="Arial" w:cs="Arial" w:eastAsia="Arial" w:hAnsi="Arial"/>
          <w:sz w:val="14"/>
          <w:szCs w:val="14"/>
          <w:b w:val="1"/>
          <w:bCs w:val="1"/>
          <w:color w:val="auto"/>
        </w:rPr>
        <w:t>Commission File No. 001-10308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1840865</wp:posOffset>
            </wp:positionH>
            <wp:positionV relativeFrom="paragraph">
              <wp:posOffset>360680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1240" w:space="420"/>
            <w:col w:w="9680"/>
          </w:cols>
          <w:pgMar w:left="240" w:top="247" w:right="31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tbl>
      <w:tblPr>
        <w:tblLayout w:type="fixed"/>
        <w:tblInd w:w="520" w:type="dxa"/>
        <w:tblCellMar>
          <w:top w:w="0" w:type="dxa"/>
          <w:left w:w="0" w:type="dxa"/>
          <w:bottom w:w="0" w:type="dxa"/>
          <w:right w:w="0" w:type="dxa"/>
        </w:tblCellMar>
      </w:tblPr>
      <w:tr>
        <w:trPr>
          <w:trHeight w:val="336"/>
        </w:trPr>
        <w:tc>
          <w:tcPr>
            <w:tcW w:w="2940" w:type="dxa"/>
            <w:vAlign w:val="bottom"/>
          </w:tcPr>
          <w:p>
            <w:pPr>
              <w:spacing w:after="0"/>
              <w:rPr>
                <w:sz w:val="24"/>
                <w:szCs w:val="24"/>
                <w:color w:val="auto"/>
              </w:rPr>
            </w:pPr>
          </w:p>
        </w:tc>
        <w:tc>
          <w:tcPr>
            <w:tcW w:w="6840" w:type="dxa"/>
            <w:vAlign w:val="bottom"/>
          </w:tcPr>
          <w:p>
            <w:pPr>
              <w:jc w:val="center"/>
              <w:ind w:right="2262"/>
              <w:spacing w:after="0"/>
              <w:rPr>
                <w:sz w:val="20"/>
                <w:szCs w:val="20"/>
                <w:color w:val="auto"/>
              </w:rPr>
            </w:pPr>
            <w:r>
              <w:rPr>
                <w:rFonts w:ascii="Arial" w:cs="Arial" w:eastAsia="Arial" w:hAnsi="Arial"/>
                <w:sz w:val="25"/>
                <w:szCs w:val="25"/>
                <w:b w:val="1"/>
                <w:bCs w:val="1"/>
                <w:color w:val="auto"/>
              </w:rPr>
              <w:t>Avis Budget Group, Inc.</w:t>
            </w:r>
          </w:p>
        </w:tc>
      </w:tr>
      <w:tr>
        <w:trPr>
          <w:trHeight w:val="385"/>
        </w:trPr>
        <w:tc>
          <w:tcPr>
            <w:tcW w:w="2940" w:type="dxa"/>
            <w:vAlign w:val="bottom"/>
          </w:tcPr>
          <w:p>
            <w:pPr>
              <w:spacing w:after="0"/>
              <w:rPr>
                <w:sz w:val="24"/>
                <w:szCs w:val="24"/>
                <w:color w:val="auto"/>
              </w:rPr>
            </w:pPr>
          </w:p>
        </w:tc>
        <w:tc>
          <w:tcPr>
            <w:tcW w:w="6840" w:type="dxa"/>
            <w:vAlign w:val="bottom"/>
          </w:tcPr>
          <w:p>
            <w:pPr>
              <w:ind w:left="460"/>
              <w:spacing w:after="0"/>
              <w:rPr>
                <w:sz w:val="20"/>
                <w:szCs w:val="20"/>
                <w:color w:val="auto"/>
              </w:rPr>
            </w:pPr>
            <w:r>
              <w:rPr>
                <w:rFonts w:ascii="Arial" w:cs="Arial" w:eastAsia="Arial" w:hAnsi="Arial"/>
                <w:sz w:val="14"/>
                <w:szCs w:val="14"/>
                <w:b w:val="1"/>
                <w:bCs w:val="1"/>
                <w:i w:val="1"/>
                <w:iCs w:val="1"/>
                <w:color w:val="auto"/>
              </w:rPr>
              <w:t>(Exact name of registrant as specified in its charter)</w:t>
            </w:r>
          </w:p>
        </w:tc>
      </w:tr>
      <w:tr>
        <w:trPr>
          <w:trHeight w:val="405"/>
        </w:trPr>
        <w:tc>
          <w:tcPr>
            <w:tcW w:w="2940" w:type="dxa"/>
            <w:vAlign w:val="bottom"/>
          </w:tcPr>
          <w:p>
            <w:pPr>
              <w:jc w:val="center"/>
              <w:ind w:right="388"/>
              <w:spacing w:after="0"/>
              <w:rPr>
                <w:sz w:val="20"/>
                <w:szCs w:val="20"/>
                <w:color w:val="auto"/>
              </w:rPr>
            </w:pPr>
            <w:r>
              <w:rPr>
                <w:rFonts w:ascii="Arial" w:cs="Arial" w:eastAsia="Arial" w:hAnsi="Arial"/>
                <w:sz w:val="14"/>
                <w:szCs w:val="14"/>
                <w:b w:val="1"/>
                <w:bCs w:val="1"/>
                <w:color w:val="auto"/>
              </w:rPr>
              <w:t>Delaware</w:t>
            </w:r>
          </w:p>
        </w:tc>
        <w:tc>
          <w:tcPr>
            <w:tcW w:w="6840" w:type="dxa"/>
            <w:vAlign w:val="bottom"/>
          </w:tcPr>
          <w:p>
            <w:pPr>
              <w:jc w:val="right"/>
              <w:ind w:right="242"/>
              <w:spacing w:after="0"/>
              <w:rPr>
                <w:sz w:val="20"/>
                <w:szCs w:val="20"/>
                <w:color w:val="auto"/>
              </w:rPr>
            </w:pPr>
            <w:r>
              <w:rPr>
                <w:rFonts w:ascii="Arial" w:cs="Arial" w:eastAsia="Arial" w:hAnsi="Arial"/>
                <w:sz w:val="14"/>
                <w:szCs w:val="14"/>
                <w:b w:val="1"/>
                <w:bCs w:val="1"/>
                <w:color w:val="auto"/>
              </w:rPr>
              <w:t>06-0918165</w:t>
            </w:r>
          </w:p>
        </w:tc>
      </w:tr>
      <w:tr>
        <w:trPr>
          <w:trHeight w:val="192"/>
        </w:trPr>
        <w:tc>
          <w:tcPr>
            <w:tcW w:w="2940" w:type="dxa"/>
            <w:vAlign w:val="bottom"/>
          </w:tcPr>
          <w:p>
            <w:pPr>
              <w:jc w:val="center"/>
              <w:ind w:right="388"/>
              <w:spacing w:after="0"/>
              <w:rPr>
                <w:sz w:val="20"/>
                <w:szCs w:val="20"/>
                <w:color w:val="auto"/>
              </w:rPr>
            </w:pPr>
            <w:r>
              <w:rPr>
                <w:rFonts w:ascii="Arial" w:cs="Arial" w:eastAsia="Arial" w:hAnsi="Arial"/>
                <w:sz w:val="14"/>
                <w:szCs w:val="14"/>
                <w:i w:val="1"/>
                <w:iCs w:val="1"/>
                <w:color w:val="auto"/>
              </w:rPr>
              <w:t>(State or other jurisdiction of</w:t>
            </w:r>
          </w:p>
        </w:tc>
        <w:tc>
          <w:tcPr>
            <w:tcW w:w="6840" w:type="dxa"/>
            <w:vAlign w:val="bottom"/>
          </w:tcPr>
          <w:p>
            <w:pPr>
              <w:jc w:val="center"/>
              <w:ind w:left="5342"/>
              <w:spacing w:after="0"/>
              <w:rPr>
                <w:sz w:val="20"/>
                <w:szCs w:val="20"/>
                <w:color w:val="auto"/>
              </w:rPr>
            </w:pPr>
            <w:r>
              <w:rPr>
                <w:rFonts w:ascii="Arial" w:cs="Arial" w:eastAsia="Arial" w:hAnsi="Arial"/>
                <w:sz w:val="14"/>
                <w:szCs w:val="14"/>
                <w:i w:val="1"/>
                <w:iCs w:val="1"/>
                <w:color w:val="auto"/>
              </w:rPr>
              <w:t>(I.R.S. Employer</w:t>
            </w:r>
          </w:p>
        </w:tc>
      </w:tr>
      <w:tr>
        <w:trPr>
          <w:trHeight w:val="186"/>
        </w:trPr>
        <w:tc>
          <w:tcPr>
            <w:tcW w:w="2940" w:type="dxa"/>
            <w:vAlign w:val="bottom"/>
          </w:tcPr>
          <w:p>
            <w:pPr>
              <w:jc w:val="center"/>
              <w:ind w:right="388"/>
              <w:spacing w:after="0"/>
              <w:rPr>
                <w:sz w:val="20"/>
                <w:szCs w:val="20"/>
                <w:color w:val="auto"/>
              </w:rPr>
            </w:pPr>
            <w:r>
              <w:rPr>
                <w:rFonts w:ascii="Arial" w:cs="Arial" w:eastAsia="Arial" w:hAnsi="Arial"/>
                <w:sz w:val="14"/>
                <w:szCs w:val="14"/>
                <w:i w:val="1"/>
                <w:iCs w:val="1"/>
                <w:color w:val="auto"/>
              </w:rPr>
              <w:t>incorporation or organization)</w:t>
            </w:r>
          </w:p>
        </w:tc>
        <w:tc>
          <w:tcPr>
            <w:tcW w:w="6840" w:type="dxa"/>
            <w:vAlign w:val="bottom"/>
          </w:tcPr>
          <w:p>
            <w:pPr>
              <w:jc w:val="center"/>
              <w:ind w:left="5362"/>
              <w:spacing w:after="0"/>
              <w:rPr>
                <w:sz w:val="20"/>
                <w:szCs w:val="20"/>
                <w:color w:val="auto"/>
              </w:rPr>
            </w:pPr>
            <w:r>
              <w:rPr>
                <w:rFonts w:ascii="Arial" w:cs="Arial" w:eastAsia="Arial" w:hAnsi="Arial"/>
                <w:sz w:val="14"/>
                <w:szCs w:val="14"/>
                <w:i w:val="1"/>
                <w:iCs w:val="1"/>
                <w:color w:val="auto"/>
              </w:rPr>
              <w:t>Identification Number)</w:t>
            </w:r>
          </w:p>
        </w:tc>
      </w:tr>
      <w:tr>
        <w:trPr>
          <w:trHeight w:val="188"/>
        </w:trPr>
        <w:tc>
          <w:tcPr>
            <w:tcW w:w="2940" w:type="dxa"/>
            <w:vAlign w:val="bottom"/>
          </w:tcPr>
          <w:p>
            <w:pPr>
              <w:jc w:val="center"/>
              <w:ind w:right="388"/>
              <w:spacing w:after="0"/>
              <w:rPr>
                <w:sz w:val="20"/>
                <w:szCs w:val="20"/>
                <w:color w:val="auto"/>
              </w:rPr>
            </w:pPr>
            <w:r>
              <w:rPr>
                <w:rFonts w:ascii="Arial" w:cs="Arial" w:eastAsia="Arial" w:hAnsi="Arial"/>
                <w:sz w:val="14"/>
                <w:szCs w:val="14"/>
                <w:b w:val="1"/>
                <w:bCs w:val="1"/>
                <w:color w:val="auto"/>
              </w:rPr>
              <w:t>6 Sylvan Way</w:t>
            </w:r>
          </w:p>
        </w:tc>
        <w:tc>
          <w:tcPr>
            <w:tcW w:w="6840" w:type="dxa"/>
            <w:vAlign w:val="bottom"/>
          </w:tcPr>
          <w:p>
            <w:pPr>
              <w:spacing w:after="0"/>
              <w:rPr>
                <w:sz w:val="16"/>
                <w:szCs w:val="16"/>
                <w:color w:val="auto"/>
              </w:rPr>
            </w:pPr>
          </w:p>
        </w:tc>
      </w:tr>
      <w:tr>
        <w:trPr>
          <w:trHeight w:val="190"/>
        </w:trPr>
        <w:tc>
          <w:tcPr>
            <w:tcW w:w="2940" w:type="dxa"/>
            <w:vAlign w:val="bottom"/>
          </w:tcPr>
          <w:p>
            <w:pPr>
              <w:jc w:val="center"/>
              <w:ind w:right="388"/>
              <w:spacing w:after="0"/>
              <w:rPr>
                <w:sz w:val="20"/>
                <w:szCs w:val="20"/>
                <w:color w:val="auto"/>
              </w:rPr>
            </w:pPr>
            <w:r>
              <w:rPr>
                <w:rFonts w:ascii="Arial" w:cs="Arial" w:eastAsia="Arial" w:hAnsi="Arial"/>
                <w:sz w:val="14"/>
                <w:szCs w:val="14"/>
                <w:b w:val="1"/>
                <w:bCs w:val="1"/>
                <w:color w:val="auto"/>
              </w:rPr>
              <w:t>Parsippany, NJ</w:t>
            </w:r>
          </w:p>
        </w:tc>
        <w:tc>
          <w:tcPr>
            <w:tcW w:w="6840" w:type="dxa"/>
            <w:vAlign w:val="bottom"/>
          </w:tcPr>
          <w:p>
            <w:pPr>
              <w:jc w:val="right"/>
              <w:ind w:right="422"/>
              <w:spacing w:after="0"/>
              <w:rPr>
                <w:sz w:val="20"/>
                <w:szCs w:val="20"/>
                <w:color w:val="auto"/>
              </w:rPr>
            </w:pPr>
            <w:r>
              <w:rPr>
                <w:rFonts w:ascii="Arial" w:cs="Arial" w:eastAsia="Arial" w:hAnsi="Arial"/>
                <w:sz w:val="14"/>
                <w:szCs w:val="14"/>
                <w:b w:val="1"/>
                <w:bCs w:val="1"/>
                <w:color w:val="auto"/>
              </w:rPr>
              <w:t>07054</w:t>
            </w:r>
          </w:p>
        </w:tc>
      </w:tr>
      <w:tr>
        <w:trPr>
          <w:trHeight w:val="270"/>
        </w:trPr>
        <w:tc>
          <w:tcPr>
            <w:tcW w:w="2940" w:type="dxa"/>
            <w:vAlign w:val="bottom"/>
          </w:tcPr>
          <w:p>
            <w:pPr>
              <w:jc w:val="center"/>
              <w:ind w:right="408"/>
              <w:spacing w:after="0"/>
              <w:rPr>
                <w:sz w:val="20"/>
                <w:szCs w:val="20"/>
                <w:color w:val="auto"/>
              </w:rPr>
            </w:pPr>
            <w:r>
              <w:rPr>
                <w:rFonts w:ascii="Arial" w:cs="Arial" w:eastAsia="Arial" w:hAnsi="Arial"/>
                <w:sz w:val="14"/>
                <w:szCs w:val="14"/>
                <w:i w:val="1"/>
                <w:iCs w:val="1"/>
                <w:color w:val="auto"/>
              </w:rPr>
              <w:t>(Address of principal executive offices)</w:t>
            </w:r>
          </w:p>
        </w:tc>
        <w:tc>
          <w:tcPr>
            <w:tcW w:w="6840" w:type="dxa"/>
            <w:vAlign w:val="bottom"/>
          </w:tcPr>
          <w:p>
            <w:pPr>
              <w:jc w:val="center"/>
              <w:ind w:left="5362"/>
              <w:spacing w:after="0"/>
              <w:rPr>
                <w:sz w:val="20"/>
                <w:szCs w:val="20"/>
                <w:color w:val="auto"/>
              </w:rPr>
            </w:pPr>
            <w:r>
              <w:rPr>
                <w:rFonts w:ascii="Arial" w:cs="Arial" w:eastAsia="Arial" w:hAnsi="Arial"/>
                <w:sz w:val="14"/>
                <w:szCs w:val="14"/>
                <w:i w:val="1"/>
                <w:iCs w:val="1"/>
                <w:color w:val="auto"/>
              </w:rPr>
              <w:t>(Zip Code)</w:t>
            </w:r>
          </w:p>
        </w:tc>
      </w:tr>
      <w:tr>
        <w:trPr>
          <w:trHeight w:val="192"/>
        </w:trPr>
        <w:tc>
          <w:tcPr>
            <w:tcW w:w="2940" w:type="dxa"/>
            <w:vAlign w:val="bottom"/>
          </w:tcPr>
          <w:p>
            <w:pPr>
              <w:spacing w:after="0"/>
              <w:rPr>
                <w:sz w:val="16"/>
                <w:szCs w:val="16"/>
                <w:color w:val="auto"/>
              </w:rPr>
            </w:pPr>
          </w:p>
        </w:tc>
        <w:tc>
          <w:tcPr>
            <w:tcW w:w="6840" w:type="dxa"/>
            <w:vAlign w:val="bottom"/>
          </w:tcPr>
          <w:p>
            <w:pPr>
              <w:jc w:val="center"/>
              <w:ind w:right="2262"/>
              <w:spacing w:after="0"/>
              <w:rPr>
                <w:sz w:val="20"/>
                <w:szCs w:val="20"/>
                <w:color w:val="auto"/>
              </w:rPr>
            </w:pPr>
            <w:r>
              <w:rPr>
                <w:rFonts w:ascii="Arial" w:cs="Arial" w:eastAsia="Arial" w:hAnsi="Arial"/>
                <w:sz w:val="14"/>
                <w:szCs w:val="14"/>
                <w:b w:val="1"/>
                <w:bCs w:val="1"/>
                <w:color w:val="auto"/>
              </w:rPr>
              <w:t>(973) 496-4700</w:t>
            </w:r>
          </w:p>
        </w:tc>
      </w:tr>
      <w:tr>
        <w:trPr>
          <w:trHeight w:val="186"/>
        </w:trPr>
        <w:tc>
          <w:tcPr>
            <w:tcW w:w="2940" w:type="dxa"/>
            <w:vAlign w:val="bottom"/>
          </w:tcPr>
          <w:p>
            <w:pPr>
              <w:spacing w:after="0"/>
              <w:rPr>
                <w:sz w:val="16"/>
                <w:szCs w:val="16"/>
                <w:color w:val="auto"/>
              </w:rPr>
            </w:pPr>
          </w:p>
        </w:tc>
        <w:tc>
          <w:tcPr>
            <w:tcW w:w="6840" w:type="dxa"/>
            <w:vAlign w:val="bottom"/>
          </w:tcPr>
          <w:p>
            <w:pPr>
              <w:jc w:val="center"/>
              <w:ind w:right="2262"/>
              <w:spacing w:after="0"/>
              <w:rPr>
                <w:sz w:val="20"/>
                <w:szCs w:val="20"/>
                <w:color w:val="auto"/>
              </w:rPr>
            </w:pPr>
            <w:r>
              <w:rPr>
                <w:rFonts w:ascii="Arial" w:cs="Arial" w:eastAsia="Arial" w:hAnsi="Arial"/>
                <w:sz w:val="14"/>
                <w:szCs w:val="14"/>
                <w:i w:val="1"/>
                <w:iCs w:val="1"/>
                <w:color w:val="auto"/>
              </w:rPr>
              <w:t>(Registrant’s telephone number, including area code)</w:t>
            </w:r>
          </w:p>
        </w:tc>
      </w:tr>
    </w:tbl>
    <w:p>
      <w:pPr>
        <w:spacing w:after="0" w:line="98" w:lineRule="exact"/>
        <w:rPr>
          <w:sz w:val="24"/>
          <w:szCs w:val="24"/>
          <w:color w:val="auto"/>
        </w:rPr>
      </w:pPr>
    </w:p>
    <w:p>
      <w:pPr>
        <w:ind w:right="80"/>
        <w:spacing w:after="0" w:line="269" w:lineRule="auto"/>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6"/>
          <w:szCs w:val="16"/>
          <w:color w:val="auto"/>
        </w:rPr>
        <w:t>x</w:t>
      </w:r>
      <w:r>
        <w:rPr>
          <w:rFonts w:ascii="Arial" w:cs="Arial" w:eastAsia="Arial" w:hAnsi="Arial"/>
          <w:sz w:val="14"/>
          <w:szCs w:val="14"/>
          <w:color w:val="auto"/>
        </w:rPr>
        <w:t xml:space="preserve"> No </w:t>
      </w:r>
      <w:r>
        <w:rPr>
          <w:rFonts w:ascii="Arial" w:cs="Arial" w:eastAsia="Arial" w:hAnsi="Arial"/>
          <w:sz w:val="16"/>
          <w:szCs w:val="16"/>
          <w:color w:val="auto"/>
        </w:rPr>
        <w:t>o</w:t>
      </w:r>
    </w:p>
    <w:p>
      <w:pPr>
        <w:spacing w:after="0" w:line="154" w:lineRule="exact"/>
        <w:rPr>
          <w:sz w:val="24"/>
          <w:szCs w:val="24"/>
          <w:color w:val="auto"/>
        </w:rPr>
      </w:pPr>
    </w:p>
    <w:p>
      <w:pPr>
        <w:spacing w:after="0" w:line="275" w:lineRule="auto"/>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Arial" w:cs="Arial" w:eastAsia="Arial" w:hAnsi="Arial"/>
          <w:sz w:val="16"/>
          <w:szCs w:val="16"/>
          <w:color w:val="auto"/>
        </w:rPr>
        <w:t>x</w:t>
      </w:r>
      <w:r>
        <w:rPr>
          <w:rFonts w:ascii="Arial" w:cs="Arial" w:eastAsia="Arial" w:hAnsi="Arial"/>
          <w:sz w:val="14"/>
          <w:szCs w:val="14"/>
          <w:color w:val="auto"/>
        </w:rPr>
        <w:t xml:space="preserve"> No </w:t>
      </w:r>
      <w:r>
        <w:rPr>
          <w:rFonts w:ascii="Arial" w:cs="Arial" w:eastAsia="Arial" w:hAnsi="Arial"/>
          <w:sz w:val="16"/>
          <w:szCs w:val="16"/>
          <w:color w:val="auto"/>
        </w:rPr>
        <w:t>o</w:t>
      </w:r>
    </w:p>
    <w:p>
      <w:pPr>
        <w:spacing w:after="0" w:line="136"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40" w:type="dxa"/>
        <w:tblCellMar>
          <w:top w:w="0" w:type="dxa"/>
          <w:left w:w="0" w:type="dxa"/>
          <w:bottom w:w="0" w:type="dxa"/>
          <w:right w:w="0" w:type="dxa"/>
        </w:tblCellMar>
      </w:tblPr>
      <w:tr>
        <w:trPr>
          <w:trHeight w:val="227"/>
        </w:trPr>
        <w:tc>
          <w:tcPr>
            <w:tcW w:w="26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100" w:type="dxa"/>
            <w:vAlign w:val="bottom"/>
          </w:tcPr>
          <w:p>
            <w:pPr>
              <w:ind w:left="940"/>
              <w:spacing w:after="0"/>
              <w:rPr>
                <w:sz w:val="20"/>
                <w:szCs w:val="20"/>
                <w:color w:val="auto"/>
              </w:rPr>
            </w:pPr>
            <w:r>
              <w:rPr>
                <w:rFonts w:ascii="Arial" w:cs="Arial" w:eastAsia="Arial" w:hAnsi="Arial"/>
                <w:sz w:val="16"/>
                <w:szCs w:val="16"/>
                <w:color w:val="auto"/>
              </w:rPr>
              <w:t>x</w:t>
            </w:r>
          </w:p>
        </w:tc>
        <w:tc>
          <w:tcPr>
            <w:tcW w:w="2680" w:type="dxa"/>
            <w:vAlign w:val="bottom"/>
          </w:tcPr>
          <w:p>
            <w:pPr>
              <w:ind w:left="80"/>
              <w:spacing w:after="0"/>
              <w:rPr>
                <w:sz w:val="20"/>
                <w:szCs w:val="20"/>
                <w:color w:val="auto"/>
              </w:rPr>
            </w:pPr>
            <w:r>
              <w:rPr>
                <w:rFonts w:ascii="Arial" w:cs="Arial" w:eastAsia="Arial" w:hAnsi="Arial"/>
                <w:sz w:val="14"/>
                <w:szCs w:val="14"/>
                <w:color w:val="auto"/>
              </w:rPr>
              <w:t>Accelerated filer</w:t>
            </w:r>
          </w:p>
        </w:tc>
        <w:tc>
          <w:tcPr>
            <w:tcW w:w="1040" w:type="dxa"/>
            <w:vAlign w:val="bottom"/>
          </w:tcPr>
          <w:p>
            <w:pPr>
              <w:ind w:left="880"/>
              <w:spacing w:after="0"/>
              <w:rPr>
                <w:sz w:val="20"/>
                <w:szCs w:val="20"/>
                <w:color w:val="auto"/>
              </w:rPr>
            </w:pPr>
            <w:r>
              <w:rPr>
                <w:rFonts w:ascii="Arial" w:cs="Arial" w:eastAsia="Arial" w:hAnsi="Arial"/>
                <w:sz w:val="16"/>
                <w:szCs w:val="16"/>
                <w:color w:val="auto"/>
              </w:rPr>
              <w:t>o</w:t>
            </w:r>
          </w:p>
        </w:tc>
        <w:tc>
          <w:tcPr>
            <w:tcW w:w="2480" w:type="dxa"/>
            <w:vAlign w:val="bottom"/>
          </w:tcPr>
          <w:p>
            <w:pPr>
              <w:ind w:left="80"/>
              <w:spacing w:after="0"/>
              <w:rPr>
                <w:sz w:val="20"/>
                <w:szCs w:val="20"/>
                <w:color w:val="auto"/>
              </w:rPr>
            </w:pPr>
            <w:r>
              <w:rPr>
                <w:rFonts w:ascii="Arial" w:cs="Arial" w:eastAsia="Arial" w:hAnsi="Arial"/>
                <w:sz w:val="14"/>
                <w:szCs w:val="14"/>
                <w:color w:val="auto"/>
              </w:rPr>
              <w:t>Non-accelerated filer</w:t>
            </w:r>
          </w:p>
        </w:tc>
        <w:tc>
          <w:tcPr>
            <w:tcW w:w="1160" w:type="dxa"/>
            <w:vAlign w:val="bottom"/>
          </w:tcPr>
          <w:p>
            <w:pPr>
              <w:ind w:left="1080"/>
              <w:spacing w:after="0"/>
              <w:rPr>
                <w:sz w:val="20"/>
                <w:szCs w:val="20"/>
                <w:color w:val="auto"/>
              </w:rPr>
            </w:pPr>
            <w:r>
              <w:rPr>
                <w:rFonts w:ascii="Arial" w:cs="Arial" w:eastAsia="Arial" w:hAnsi="Arial"/>
                <w:sz w:val="15"/>
                <w:szCs w:val="15"/>
                <w:color w:val="auto"/>
                <w:w w:val="71"/>
              </w:rPr>
              <w:t>o</w:t>
            </w:r>
          </w:p>
        </w:tc>
      </w:tr>
      <w:tr>
        <w:trPr>
          <w:trHeight w:val="270"/>
        </w:trPr>
        <w:tc>
          <w:tcPr>
            <w:tcW w:w="2660" w:type="dxa"/>
            <w:vAlign w:val="bottom"/>
          </w:tcPr>
          <w:p>
            <w:pPr>
              <w:spacing w:after="0"/>
              <w:rPr>
                <w:sz w:val="20"/>
                <w:szCs w:val="20"/>
                <w:color w:val="auto"/>
              </w:rPr>
            </w:pPr>
            <w:r>
              <w:rPr>
                <w:rFonts w:ascii="Arial" w:cs="Arial" w:eastAsia="Arial" w:hAnsi="Arial"/>
                <w:sz w:val="14"/>
                <w:szCs w:val="14"/>
                <w:color w:val="auto"/>
              </w:rPr>
              <w:t>Smaller reporting company</w:t>
            </w:r>
          </w:p>
        </w:tc>
        <w:tc>
          <w:tcPr>
            <w:tcW w:w="1100" w:type="dxa"/>
            <w:vAlign w:val="bottom"/>
          </w:tcPr>
          <w:p>
            <w:pPr>
              <w:ind w:left="940"/>
              <w:spacing w:after="0"/>
              <w:rPr>
                <w:sz w:val="20"/>
                <w:szCs w:val="20"/>
                <w:color w:val="auto"/>
              </w:rPr>
            </w:pPr>
            <w:r>
              <w:rPr>
                <w:rFonts w:ascii="Arial" w:cs="Arial" w:eastAsia="Arial" w:hAnsi="Arial"/>
                <w:sz w:val="16"/>
                <w:szCs w:val="16"/>
                <w:color w:val="auto"/>
              </w:rPr>
              <w:t>o</w:t>
            </w:r>
          </w:p>
        </w:tc>
        <w:tc>
          <w:tcPr>
            <w:tcW w:w="2680" w:type="dxa"/>
            <w:vAlign w:val="bottom"/>
          </w:tcPr>
          <w:p>
            <w:pPr>
              <w:ind w:left="80"/>
              <w:spacing w:after="0"/>
              <w:rPr>
                <w:sz w:val="20"/>
                <w:szCs w:val="20"/>
                <w:color w:val="auto"/>
              </w:rPr>
            </w:pPr>
            <w:r>
              <w:rPr>
                <w:rFonts w:ascii="Arial" w:cs="Arial" w:eastAsia="Arial" w:hAnsi="Arial"/>
                <w:sz w:val="14"/>
                <w:szCs w:val="14"/>
                <w:color w:val="auto"/>
              </w:rPr>
              <w:t>Emerging growth company</w:t>
            </w:r>
          </w:p>
        </w:tc>
        <w:tc>
          <w:tcPr>
            <w:tcW w:w="1040" w:type="dxa"/>
            <w:vAlign w:val="bottom"/>
          </w:tcPr>
          <w:p>
            <w:pPr>
              <w:ind w:left="880"/>
              <w:spacing w:after="0"/>
              <w:rPr>
                <w:sz w:val="20"/>
                <w:szCs w:val="20"/>
                <w:color w:val="auto"/>
              </w:rPr>
            </w:pPr>
            <w:r>
              <w:rPr>
                <w:rFonts w:ascii="Arial" w:cs="Arial" w:eastAsia="Arial" w:hAnsi="Arial"/>
                <w:sz w:val="16"/>
                <w:szCs w:val="16"/>
                <w:color w:val="auto"/>
              </w:rPr>
              <w:t>o</w:t>
            </w:r>
          </w:p>
        </w:tc>
        <w:tc>
          <w:tcPr>
            <w:tcW w:w="2480" w:type="dxa"/>
            <w:vAlign w:val="bottom"/>
          </w:tcPr>
          <w:p>
            <w:pPr>
              <w:spacing w:after="0"/>
              <w:rPr>
                <w:sz w:val="23"/>
                <w:szCs w:val="23"/>
                <w:color w:val="auto"/>
              </w:rPr>
            </w:pPr>
          </w:p>
        </w:tc>
        <w:tc>
          <w:tcPr>
            <w:tcW w:w="1160" w:type="dxa"/>
            <w:vAlign w:val="bottom"/>
          </w:tcPr>
          <w:p>
            <w:pPr>
              <w:spacing w:after="0"/>
              <w:rPr>
                <w:sz w:val="23"/>
                <w:szCs w:val="23"/>
                <w:color w:val="auto"/>
              </w:rPr>
            </w:pPr>
          </w:p>
        </w:tc>
      </w:tr>
    </w:tbl>
    <w:p>
      <w:pPr>
        <w:spacing w:after="0" w:line="219" w:lineRule="exact"/>
        <w:rPr>
          <w:sz w:val="24"/>
          <w:szCs w:val="24"/>
          <w:color w:val="auto"/>
        </w:rPr>
      </w:pPr>
    </w:p>
    <w:p>
      <w:pPr>
        <w:ind w:right="400"/>
        <w:spacing w:after="0" w:line="269" w:lineRule="auto"/>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6"/>
          <w:szCs w:val="16"/>
          <w:color w:val="auto"/>
        </w:rPr>
        <w:t>o</w:t>
      </w:r>
    </w:p>
    <w:p>
      <w:pPr>
        <w:spacing w:after="0" w:line="125" w:lineRule="exact"/>
        <w:rPr>
          <w:sz w:val="24"/>
          <w:szCs w:val="24"/>
          <w:color w:val="auto"/>
        </w:rPr>
      </w:pPr>
    </w:p>
    <w:p>
      <w:pPr>
        <w:spacing w:after="0"/>
        <w:tabs>
          <w:tab w:leader="none" w:pos="7340" w:val="left"/>
          <w:tab w:leader="none" w:pos="790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Arial" w:cs="Arial" w:eastAsia="Arial" w:hAnsi="Arial"/>
          <w:sz w:val="16"/>
          <w:szCs w:val="16"/>
          <w:color w:val="auto"/>
        </w:rPr>
        <w:t>o</w:t>
      </w:r>
      <w:r>
        <w:rPr>
          <w:rFonts w:ascii="Arial" w:cs="Arial" w:eastAsia="Arial" w:hAnsi="Arial"/>
          <w:sz w:val="14"/>
          <w:szCs w:val="14"/>
          <w:color w:val="auto"/>
        </w:rPr>
        <w:tab/>
        <w:t xml:space="preserve">No </w:t>
      </w:r>
      <w:r>
        <w:rPr>
          <w:rFonts w:ascii="Arial" w:cs="Arial" w:eastAsia="Arial" w:hAnsi="Arial"/>
          <w:sz w:val="16"/>
          <w:szCs w:val="16"/>
          <w:color w:val="auto"/>
        </w:rPr>
        <w:t>x</w:t>
      </w:r>
    </w:p>
    <w:p>
      <w:pPr>
        <w:spacing w:after="0" w:line="236"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outstanding of the issuer’s common stock was 79,194,210 shares as of July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03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03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ectPr>
          <w:pgSz w:w="11900" w:h="16838" w:orient="portrait"/>
          <w:cols w:equalWidth="0" w:num="1">
            <w:col w:w="11340"/>
          </w:cols>
          <w:pgMar w:left="240" w:top="247" w:right="31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Table of Contents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Page</w:t>
            </w:r>
          </w:p>
        </w:tc>
      </w:tr>
      <w:tr>
        <w:trPr>
          <w:trHeight w:val="223"/>
        </w:trPr>
        <w:tc>
          <w:tcPr>
            <w:tcW w:w="10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1680" w:type="dxa"/>
            <w:vAlign w:val="bottom"/>
            <w:tcBorders>
              <w:bottom w:val="single" w:sz="8" w:color="0000FF"/>
            </w:tcBorders>
            <w:gridSpan w:val="7"/>
          </w:tcPr>
          <w:p>
            <w:pP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Financial Information</w:t>
              </w:r>
            </w:hyperlink>
          </w:p>
        </w:tc>
        <w:tc>
          <w:tcPr>
            <w:tcW w:w="7880" w:type="dxa"/>
            <w:vAlign w:val="bottom"/>
            <w:gridSpan w:val="10"/>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9560" w:type="dxa"/>
            <w:vAlign w:val="bottom"/>
            <w:gridSpan w:val="17"/>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Financial Statements</w:t>
              </w:r>
            </w:hyperlink>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020" w:type="dxa"/>
            <w:vAlign w:val="bottom"/>
          </w:tcPr>
          <w:p>
            <w:pPr>
              <w:spacing w:after="0"/>
              <w:rPr>
                <w:sz w:val="21"/>
                <w:szCs w:val="21"/>
                <w:color w:val="auto"/>
              </w:rPr>
            </w:pPr>
          </w:p>
        </w:tc>
        <w:tc>
          <w:tcPr>
            <w:tcW w:w="8820" w:type="dxa"/>
            <w:vAlign w:val="bottom"/>
            <w:gridSpan w:val="16"/>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Consolidated Condensed Statements of Comprehensive Income for the Three and Six Months Ended June 30,</w:t>
              </w:r>
            </w:hyperlink>
          </w:p>
        </w:tc>
        <w:tc>
          <w:tcPr>
            <w:tcW w:w="740" w:type="dxa"/>
            <w:vAlign w:val="bottom"/>
          </w:tcPr>
          <w:p>
            <w:pPr>
              <w:spacing w:after="0"/>
              <w:rPr>
                <w:sz w:val="21"/>
                <w:szCs w:val="21"/>
                <w:color w:val="auto"/>
              </w:rPr>
            </w:pPr>
          </w:p>
        </w:tc>
        <w:tc>
          <w:tcPr>
            <w:tcW w:w="720" w:type="dxa"/>
            <w:vAlign w:val="bottom"/>
            <w:gridSpan w:val="4"/>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3</w:t>
              </w:r>
            </w:hyperlink>
          </w:p>
        </w:tc>
      </w:tr>
      <w:tr>
        <w:trPr>
          <w:trHeight w:val="183"/>
        </w:trPr>
        <w:tc>
          <w:tcPr>
            <w:tcW w:w="1020" w:type="dxa"/>
            <w:vAlign w:val="bottom"/>
          </w:tcPr>
          <w:p>
            <w:pPr>
              <w:spacing w:after="0"/>
              <w:rPr>
                <w:sz w:val="15"/>
                <w:szCs w:val="15"/>
                <w:color w:val="auto"/>
              </w:rPr>
            </w:pPr>
          </w:p>
        </w:tc>
        <w:tc>
          <w:tcPr>
            <w:tcW w:w="220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2018 and 2017 (Unaudited)</w:t>
              </w:r>
            </w:hyperlink>
          </w:p>
        </w:tc>
        <w:tc>
          <w:tcPr>
            <w:tcW w:w="6620" w:type="dxa"/>
            <w:vAlign w:val="bottom"/>
            <w:tcBorders>
              <w:top w:val="single" w:sz="8" w:color="0000EE"/>
            </w:tcBorders>
            <w:gridSpan w:val="7"/>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r>
      <w:tr>
        <w:trPr>
          <w:trHeight w:val="237"/>
        </w:trPr>
        <w:tc>
          <w:tcPr>
            <w:tcW w:w="1020" w:type="dxa"/>
            <w:vAlign w:val="bottom"/>
          </w:tcPr>
          <w:p>
            <w:pPr>
              <w:spacing w:after="0"/>
              <w:rPr>
                <w:sz w:val="20"/>
                <w:szCs w:val="20"/>
                <w:color w:val="auto"/>
              </w:rPr>
            </w:pPr>
          </w:p>
        </w:tc>
        <w:tc>
          <w:tcPr>
            <w:tcW w:w="7940" w:type="dxa"/>
            <w:vAlign w:val="bottom"/>
            <w:gridSpan w:val="14"/>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Consolidated Condensed Balance Sheets as of June 30, 2018 and December 31, 2017 (Unaudited)</w:t>
              </w:r>
            </w:hyperlink>
          </w:p>
        </w:tc>
        <w:tc>
          <w:tcPr>
            <w:tcW w:w="1620" w:type="dxa"/>
            <w:vAlign w:val="bottom"/>
            <w:gridSpan w:val="3"/>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4</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020" w:type="dxa"/>
            <w:vAlign w:val="bottom"/>
          </w:tcPr>
          <w:p>
            <w:pPr>
              <w:spacing w:after="0"/>
              <w:rPr>
                <w:sz w:val="21"/>
                <w:szCs w:val="21"/>
                <w:color w:val="auto"/>
              </w:rPr>
            </w:pPr>
          </w:p>
        </w:tc>
        <w:tc>
          <w:tcPr>
            <w:tcW w:w="8240" w:type="dxa"/>
            <w:vAlign w:val="bottom"/>
            <w:gridSpan w:val="15"/>
          </w:tcPr>
          <w:p>
            <w:pP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Consolidated Condensed Statements of Cash Flows for the Six Months Ended June 30, 2018 and 2017</w:t>
              </w:r>
            </w:hyperlink>
          </w:p>
        </w:tc>
        <w:tc>
          <w:tcPr>
            <w:tcW w:w="1320" w:type="dxa"/>
            <w:vAlign w:val="bottom"/>
            <w:gridSpan w:val="2"/>
          </w:tcPr>
          <w:p>
            <w:pPr>
              <w:spacing w:after="0"/>
              <w:rPr>
                <w:sz w:val="21"/>
                <w:szCs w:val="21"/>
                <w:color w:val="auto"/>
              </w:rPr>
            </w:pPr>
          </w:p>
        </w:tc>
        <w:tc>
          <w:tcPr>
            <w:tcW w:w="720" w:type="dxa"/>
            <w:vAlign w:val="bottom"/>
            <w:gridSpan w:val="4"/>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5</w:t>
              </w:r>
            </w:hyperlink>
          </w:p>
        </w:tc>
      </w:tr>
      <w:tr>
        <w:trPr>
          <w:trHeight w:val="183"/>
        </w:trPr>
        <w:tc>
          <w:tcPr>
            <w:tcW w:w="1020" w:type="dxa"/>
            <w:vAlign w:val="bottom"/>
          </w:tcPr>
          <w:p>
            <w:pPr>
              <w:spacing w:after="0"/>
              <w:rPr>
                <w:sz w:val="15"/>
                <w:szCs w:val="15"/>
                <w:color w:val="auto"/>
              </w:rPr>
            </w:pPr>
          </w:p>
        </w:tc>
        <w:tc>
          <w:tcPr>
            <w:tcW w:w="824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(Unaudited)</w:t>
              </w:r>
            </w:hyperlink>
          </w:p>
        </w:tc>
        <w:tc>
          <w:tcPr>
            <w:tcW w:w="132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9560" w:type="dxa"/>
            <w:vAlign w:val="bottom"/>
            <w:gridSpan w:val="17"/>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Notes to Consolidated Condensed Financial Statements (Unaudited)</w:t>
              </w:r>
            </w:hyperlink>
          </w:p>
        </w:tc>
        <w:tc>
          <w:tcPr>
            <w:tcW w:w="720" w:type="dxa"/>
            <w:vAlign w:val="bottom"/>
            <w:gridSpan w:val="4"/>
          </w:tcPr>
          <w:p>
            <w:pPr>
              <w:jc w:val="right"/>
              <w:spacing w:after="0"/>
              <w:rPr>
                <w:rFonts w:ascii="Arial" w:cs="Arial" w:eastAsia="Arial" w:hAnsi="Arial"/>
                <w:sz w:val="18"/>
                <w:szCs w:val="18"/>
                <w:color w:val="0000FF"/>
              </w:rPr>
            </w:pPr>
            <w:hyperlink w:anchor="page9">
              <w:r>
                <w:rPr>
                  <w:rFonts w:ascii="Arial" w:cs="Arial" w:eastAsia="Arial" w:hAnsi="Arial"/>
                  <w:sz w:val="18"/>
                  <w:szCs w:val="18"/>
                  <w:color w:val="0000FF"/>
                </w:rPr>
                <w:t>7</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9560" w:type="dxa"/>
            <w:vAlign w:val="bottom"/>
            <w:gridSpan w:val="17"/>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Management’s Discussion and Analysis of Financial Condition and Results of Operations</w:t>
              </w:r>
            </w:hyperlink>
          </w:p>
        </w:tc>
        <w:tc>
          <w:tcPr>
            <w:tcW w:w="720" w:type="dxa"/>
            <w:vAlign w:val="bottom"/>
            <w:gridSpan w:val="4"/>
          </w:tcPr>
          <w:p>
            <w:pPr>
              <w:jc w:val="right"/>
              <w:spacing w:after="0"/>
              <w:rPr>
                <w:rFonts w:ascii="Arial" w:cs="Arial" w:eastAsia="Arial" w:hAnsi="Arial"/>
                <w:sz w:val="18"/>
                <w:szCs w:val="18"/>
                <w:color w:val="0000FF"/>
              </w:rPr>
            </w:pPr>
            <w:hyperlink w:anchor="page39">
              <w:r>
                <w:rPr>
                  <w:rFonts w:ascii="Arial" w:cs="Arial" w:eastAsia="Arial" w:hAnsi="Arial"/>
                  <w:sz w:val="18"/>
                  <w:szCs w:val="18"/>
                  <w:color w:val="0000FF"/>
                </w:rPr>
                <w:t>37</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4700" w:type="dxa"/>
            <w:vAlign w:val="bottom"/>
            <w:gridSpan w:val="10"/>
          </w:tcPr>
          <w:p>
            <w:pPr>
              <w:spacing w:after="0"/>
              <w:rPr>
                <w:rFonts w:ascii="Arial" w:cs="Arial" w:eastAsia="Arial" w:hAnsi="Arial"/>
                <w:sz w:val="18"/>
                <w:szCs w:val="18"/>
                <w:color w:val="0000FF"/>
                <w:w w:val="99"/>
              </w:rPr>
            </w:pPr>
            <w:hyperlink w:anchor="page49">
              <w:r>
                <w:rPr>
                  <w:rFonts w:ascii="Arial" w:cs="Arial" w:eastAsia="Arial" w:hAnsi="Arial"/>
                  <w:sz w:val="18"/>
                  <w:szCs w:val="18"/>
                  <w:color w:val="0000FF"/>
                  <w:w w:val="99"/>
                </w:rPr>
                <w:t>Quantitative and Qualitative Disclosures about Market Risk</w:t>
              </w:r>
            </w:hyperlink>
          </w:p>
        </w:tc>
        <w:tc>
          <w:tcPr>
            <w:tcW w:w="2380" w:type="dxa"/>
            <w:vAlign w:val="bottom"/>
            <w:gridSpan w:val="3"/>
          </w:tcPr>
          <w:p>
            <w:pPr>
              <w:spacing w:after="0"/>
              <w:rPr>
                <w:sz w:val="20"/>
                <w:szCs w:val="20"/>
                <w:color w:val="auto"/>
              </w:rPr>
            </w:pPr>
          </w:p>
        </w:tc>
        <w:tc>
          <w:tcPr>
            <w:tcW w:w="2480" w:type="dxa"/>
            <w:vAlign w:val="bottom"/>
            <w:gridSpan w:val="4"/>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EE"/>
              </w:rPr>
            </w:pPr>
            <w:hyperlink w:anchor="page49">
              <w:r>
                <w:rPr>
                  <w:rFonts w:ascii="Arial" w:cs="Arial" w:eastAsia="Arial" w:hAnsi="Arial"/>
                  <w:sz w:val="18"/>
                  <w:szCs w:val="18"/>
                  <w:color w:val="0000EE"/>
                </w:rPr>
                <w:t>47</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2000" w:type="dxa"/>
            <w:vAlign w:val="bottom"/>
            <w:gridSpan w:val="8"/>
          </w:tcPr>
          <w:p>
            <w:pPr>
              <w:spacing w:after="0"/>
              <w:rPr>
                <w:rFonts w:ascii="Arial" w:cs="Arial" w:eastAsia="Arial" w:hAnsi="Arial"/>
                <w:sz w:val="18"/>
                <w:szCs w:val="18"/>
                <w:color w:val="0000FF"/>
                <w:w w:val="99"/>
              </w:rPr>
            </w:pPr>
            <w:hyperlink w:anchor="page49">
              <w:r>
                <w:rPr>
                  <w:rFonts w:ascii="Arial" w:cs="Arial" w:eastAsia="Arial" w:hAnsi="Arial"/>
                  <w:sz w:val="18"/>
                  <w:szCs w:val="18"/>
                  <w:color w:val="0000FF"/>
                  <w:w w:val="99"/>
                </w:rPr>
                <w:t>Controls and Procedures</w:t>
              </w:r>
            </w:hyperlink>
          </w:p>
        </w:tc>
        <w:tc>
          <w:tcPr>
            <w:tcW w:w="2700" w:type="dxa"/>
            <w:vAlign w:val="bottom"/>
            <w:gridSpan w:val="2"/>
          </w:tcPr>
          <w:p>
            <w:pPr>
              <w:spacing w:after="0"/>
              <w:rPr>
                <w:sz w:val="20"/>
                <w:szCs w:val="20"/>
                <w:color w:val="auto"/>
              </w:rPr>
            </w:pPr>
          </w:p>
        </w:tc>
        <w:tc>
          <w:tcPr>
            <w:tcW w:w="4860" w:type="dxa"/>
            <w:vAlign w:val="bottom"/>
            <w:gridSpan w:val="7"/>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FF"/>
              </w:rPr>
            </w:pPr>
            <w:hyperlink w:anchor="page49">
              <w:r>
                <w:rPr>
                  <w:rFonts w:ascii="Arial" w:cs="Arial" w:eastAsia="Arial" w:hAnsi="Arial"/>
                  <w:sz w:val="18"/>
                  <w:szCs w:val="18"/>
                  <w:color w:val="0000FF"/>
                </w:rPr>
                <w:t>47</w:t>
              </w:r>
            </w:hyperlink>
          </w:p>
        </w:tc>
      </w:tr>
      <w:tr>
        <w:trPr>
          <w:trHeight w:val="237"/>
        </w:trPr>
        <w:tc>
          <w:tcPr>
            <w:tcW w:w="10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2000" w:type="dxa"/>
            <w:vAlign w:val="bottom"/>
            <w:tcBorders>
              <w:top w:val="single" w:sz="8" w:color="0000FF"/>
            </w:tcBorders>
            <w:gridSpan w:val="8"/>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Other Information</w:t>
              </w:r>
            </w:hyperlink>
          </w:p>
        </w:tc>
        <w:tc>
          <w:tcPr>
            <w:tcW w:w="7560" w:type="dxa"/>
            <w:vAlign w:val="bottom"/>
            <w:gridSpan w:val="9"/>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1500" w:type="dxa"/>
            <w:vAlign w:val="bottom"/>
            <w:gridSpan w:val="6"/>
          </w:tcPr>
          <w:p>
            <w:pPr>
              <w:spacing w:after="0"/>
              <w:rPr>
                <w:rFonts w:ascii="Arial" w:cs="Arial" w:eastAsia="Arial" w:hAnsi="Arial"/>
                <w:sz w:val="18"/>
                <w:szCs w:val="18"/>
                <w:color w:val="0000FF"/>
                <w:w w:val="99"/>
              </w:rPr>
            </w:pPr>
            <w:hyperlink w:anchor="page50">
              <w:r>
                <w:rPr>
                  <w:rFonts w:ascii="Arial" w:cs="Arial" w:eastAsia="Arial" w:hAnsi="Arial"/>
                  <w:sz w:val="18"/>
                  <w:szCs w:val="18"/>
                  <w:color w:val="0000FF"/>
                  <w:w w:val="99"/>
                </w:rPr>
                <w:t>Legal Proceedings</w:t>
              </w:r>
            </w:hyperlink>
          </w:p>
        </w:tc>
        <w:tc>
          <w:tcPr>
            <w:tcW w:w="8060" w:type="dxa"/>
            <w:vAlign w:val="bottom"/>
            <w:gridSpan w:val="11"/>
          </w:tcPr>
          <w:p>
            <w:pPr>
              <w:spacing w:after="0"/>
              <w:rPr>
                <w:sz w:val="21"/>
                <w:szCs w:val="21"/>
                <w:color w:val="auto"/>
              </w:rPr>
            </w:pPr>
          </w:p>
        </w:tc>
        <w:tc>
          <w:tcPr>
            <w:tcW w:w="720" w:type="dxa"/>
            <w:vAlign w:val="bottom"/>
            <w:gridSpan w:val="4"/>
          </w:tcPr>
          <w:p>
            <w:pPr>
              <w:jc w:val="right"/>
              <w:spacing w:after="0"/>
              <w:rPr>
                <w:rFonts w:ascii="Arial" w:cs="Arial" w:eastAsia="Arial" w:hAnsi="Arial"/>
                <w:sz w:val="18"/>
                <w:szCs w:val="18"/>
                <w:color w:val="0000FF"/>
              </w:rPr>
            </w:pPr>
            <w:hyperlink w:anchor="page50">
              <w:r>
                <w:rPr>
                  <w:rFonts w:ascii="Arial" w:cs="Arial" w:eastAsia="Arial" w:hAnsi="Arial"/>
                  <w:sz w:val="18"/>
                  <w:szCs w:val="18"/>
                  <w:color w:val="0000FF"/>
                </w:rPr>
                <w:t>48</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Item 1A.</w:t>
            </w:r>
          </w:p>
        </w:tc>
        <w:tc>
          <w:tcPr>
            <w:tcW w:w="1500" w:type="dxa"/>
            <w:vAlign w:val="bottom"/>
            <w:gridSpan w:val="6"/>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Risk Factors</w:t>
              </w:r>
            </w:hyperlink>
          </w:p>
        </w:tc>
        <w:tc>
          <w:tcPr>
            <w:tcW w:w="8060" w:type="dxa"/>
            <w:vAlign w:val="bottom"/>
            <w:gridSpan w:val="11"/>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48</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860" w:type="dxa"/>
            <w:vAlign w:val="bottom"/>
            <w:gridSpan w:val="7"/>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4860" w:type="dxa"/>
            <w:vAlign w:val="bottom"/>
            <w:gridSpan w:val="11"/>
          </w:tcPr>
          <w:p>
            <w:pPr>
              <w:spacing w:after="0"/>
              <w:rPr>
                <w:rFonts w:ascii="Arial" w:cs="Arial" w:eastAsia="Arial" w:hAnsi="Arial"/>
                <w:sz w:val="18"/>
                <w:szCs w:val="18"/>
                <w:color w:val="0000EE"/>
                <w:w w:val="99"/>
              </w:rPr>
            </w:pPr>
            <w:hyperlink w:anchor="page50">
              <w:r>
                <w:rPr>
                  <w:rFonts w:ascii="Arial" w:cs="Arial" w:eastAsia="Arial" w:hAnsi="Arial"/>
                  <w:sz w:val="18"/>
                  <w:szCs w:val="18"/>
                  <w:color w:val="0000EE"/>
                  <w:w w:val="99"/>
                </w:rPr>
                <w:t>Unregistered Sales of Equity Securities and Use of Proceeds</w:t>
              </w:r>
            </w:hyperlink>
          </w:p>
        </w:tc>
        <w:tc>
          <w:tcPr>
            <w:tcW w:w="4700" w:type="dxa"/>
            <w:vAlign w:val="bottom"/>
            <w:gridSpan w:val="6"/>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48</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0" w:type="dxa"/>
            <w:vAlign w:val="bottom"/>
            <w:gridSpan w:val="9"/>
            <w:shd w:val="clear" w:color="auto" w:fill="0000EE"/>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Item 6.</w:t>
            </w:r>
          </w:p>
        </w:tc>
        <w:tc>
          <w:tcPr>
            <w:tcW w:w="640" w:type="dxa"/>
            <w:vAlign w:val="bottom"/>
          </w:tcPr>
          <w:p>
            <w:pPr>
              <w:spacing w:after="0"/>
              <w:rPr>
                <w:rFonts w:ascii="Arial" w:cs="Arial" w:eastAsia="Arial" w:hAnsi="Arial"/>
                <w:sz w:val="18"/>
                <w:szCs w:val="18"/>
                <w:color w:val="0000FF"/>
                <w:w w:val="98"/>
              </w:rPr>
            </w:pPr>
            <w:hyperlink w:anchor="page50">
              <w:r>
                <w:rPr>
                  <w:rFonts w:ascii="Arial" w:cs="Arial" w:eastAsia="Arial" w:hAnsi="Arial"/>
                  <w:sz w:val="18"/>
                  <w:szCs w:val="18"/>
                  <w:color w:val="0000FF"/>
                  <w:w w:val="98"/>
                </w:rPr>
                <w:t>Exhibits</w:t>
              </w:r>
            </w:hyperlink>
          </w:p>
        </w:tc>
        <w:tc>
          <w:tcPr>
            <w:tcW w:w="4220" w:type="dxa"/>
            <w:vAlign w:val="bottom"/>
            <w:gridSpan w:val="10"/>
          </w:tcPr>
          <w:p>
            <w:pPr>
              <w:spacing w:after="0"/>
              <w:rPr>
                <w:sz w:val="20"/>
                <w:szCs w:val="20"/>
                <w:color w:val="auto"/>
              </w:rPr>
            </w:pPr>
          </w:p>
        </w:tc>
        <w:tc>
          <w:tcPr>
            <w:tcW w:w="4700" w:type="dxa"/>
            <w:vAlign w:val="bottom"/>
            <w:gridSpan w:val="6"/>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FF"/>
              </w:rPr>
            </w:pPr>
            <w:hyperlink w:anchor="page50">
              <w:r>
                <w:rPr>
                  <w:rFonts w:ascii="Arial" w:cs="Arial" w:eastAsia="Arial" w:hAnsi="Arial"/>
                  <w:sz w:val="18"/>
                  <w:szCs w:val="18"/>
                  <w:color w:val="0000FF"/>
                </w:rPr>
                <w:t>48</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700" w:type="dxa"/>
            <w:vAlign w:val="bottom"/>
            <w:gridSpan w:val="15"/>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9560" w:type="dxa"/>
            <w:vAlign w:val="bottom"/>
            <w:gridSpan w:val="17"/>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Signatures</w:t>
              </w:r>
            </w:hyperlink>
          </w:p>
        </w:tc>
        <w:tc>
          <w:tcPr>
            <w:tcW w:w="720" w:type="dxa"/>
            <w:vAlign w:val="bottom"/>
            <w:gridSpan w:val="4"/>
          </w:tcPr>
          <w:p>
            <w:pPr>
              <w:jc w:val="right"/>
              <w:spacing w:after="0"/>
              <w:rPr>
                <w:rFonts w:ascii="Arial" w:cs="Arial" w:eastAsia="Arial" w:hAnsi="Arial"/>
                <w:sz w:val="18"/>
                <w:szCs w:val="18"/>
                <w:color w:val="0000FF"/>
              </w:rPr>
            </w:pPr>
            <w:hyperlink w:anchor="page51">
              <w:r>
                <w:rPr>
                  <w:rFonts w:ascii="Arial" w:cs="Arial" w:eastAsia="Arial" w:hAnsi="Arial"/>
                  <w:sz w:val="18"/>
                  <w:szCs w:val="18"/>
                  <w:color w:val="0000FF"/>
                </w:rPr>
                <w:t>49</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ectPr>
          <w:pgSz w:w="11900" w:h="16838" w:orient="portrait"/>
          <w:cols w:equalWidth="0" w:num="1">
            <w:col w:w="11340"/>
          </w:cols>
          <w:pgMar w:left="240" w:top="140" w:right="3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4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Certain statements contained in this Quarterly Report on Form 10-Q may be considered “forward-looking statements” as that term is defined in the Private Securities Litigation Reform Act of 1995. The forward-looking statements contained herein are subject to known and unknown risks, uncertainties, assumptions and other factors that may cause our actual results, performance or achievements to be materially different from those expressed or implied by any such forward-looking statements. Forward-looking statements include information concerning our future financial performance, business strategy, projected plans and objectives. These statements may be identified by the fact that they do not relate to historical or current facts and may use words such as “believes,” “expects,” “anticipates,” “will,” “should,” “could,” “may,” “would,” “intends,” “projects,” “estimates,” “plans,” and similar words, expressions or phrases. The following important factors and assumptions could affect our future results and could cause actual results to differ materially from those expressed in such forward-looking statements:</w:t>
      </w:r>
    </w:p>
    <w:p>
      <w:pPr>
        <w:spacing w:after="0" w:line="206"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high level of competition in the vehicle rental industry and the impact such competition may have on pricing and rental volume;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change in travel demand, including changes or disruptions in airline passenger traffic;</w:t>
      </w:r>
    </w:p>
    <w:p>
      <w:pPr>
        <w:spacing w:after="0" w:line="225" w:lineRule="exact"/>
        <w:rPr>
          <w:rFonts w:ascii="Arial" w:cs="Arial" w:eastAsia="Arial" w:hAnsi="Arial"/>
          <w:sz w:val="18"/>
          <w:szCs w:val="18"/>
          <w:color w:val="auto"/>
        </w:rPr>
      </w:pPr>
    </w:p>
    <w:p>
      <w:pPr>
        <w:ind w:left="660" w:right="260" w:hanging="328"/>
        <w:spacing w:after="0" w:line="25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change in our fleet costs as a result of a change in the cost of new vehicles, manufacturer recalls, disruption in the supply of new vehicles, and/or a change in the price at which we dispose of used vehicles either in the used vehicle market or under repurchase or guaranteed depreciation programs;</w:t>
      </w:r>
    </w:p>
    <w:p>
      <w:pPr>
        <w:spacing w:after="0" w:line="201" w:lineRule="exact"/>
        <w:rPr>
          <w:rFonts w:ascii="Arial" w:cs="Arial" w:eastAsia="Arial" w:hAnsi="Arial"/>
          <w:sz w:val="18"/>
          <w:szCs w:val="18"/>
          <w:color w:val="auto"/>
        </w:rPr>
      </w:pPr>
    </w:p>
    <w:p>
      <w:pPr>
        <w:ind w:left="660" w:hanging="328"/>
        <w:spacing w:after="0" w:line="25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results of operations or financial condition of the manufacturers of our cars, which could impact their ability to perform their payment obligations under our agreements with them, including repurchase and/or guaranteed depreciation arrangements, and/or their willingness or ability to make cars available to us or the rental car industry as a whole on commercially reasonable terms or at all;</w:t>
      </w:r>
    </w:p>
    <w:p>
      <w:pPr>
        <w:spacing w:after="0" w:line="20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change in economic conditions generally, particularly during our peak season or in key market segments;</w:t>
      </w:r>
    </w:p>
    <w:p>
      <w:pPr>
        <w:spacing w:after="0" w:line="225" w:lineRule="exact"/>
        <w:rPr>
          <w:rFonts w:ascii="Arial" w:cs="Arial" w:eastAsia="Arial" w:hAnsi="Arial"/>
          <w:sz w:val="18"/>
          <w:szCs w:val="18"/>
          <w:color w:val="auto"/>
        </w:rPr>
      </w:pPr>
    </w:p>
    <w:p>
      <w:pPr>
        <w:ind w:left="660" w:right="100" w:hanging="328"/>
        <w:spacing w:after="0" w:line="26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continue to successfully implement our business strategies, achieve and maintain cost savings and adapt our business to changes in mobility;</w:t>
      </w:r>
    </w:p>
    <w:p>
      <w:pPr>
        <w:spacing w:after="0" w:line="196"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obtain financing for our global operations, including the funding of our vehicle fleet through the issuance of asset-backed securities and use of the global lending markets;</w:t>
      </w:r>
    </w:p>
    <w:p>
      <w:pPr>
        <w:spacing w:after="0" w:line="196" w:lineRule="exact"/>
        <w:rPr>
          <w:rFonts w:ascii="Arial" w:cs="Arial" w:eastAsia="Arial" w:hAnsi="Arial"/>
          <w:sz w:val="18"/>
          <w:szCs w:val="18"/>
          <w:color w:val="auto"/>
        </w:rPr>
      </w:pPr>
    </w:p>
    <w:p>
      <w:pPr>
        <w:ind w:left="660" w:right="600" w:hanging="328"/>
        <w:spacing w:after="0" w:line="26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 occurrence or threat of terrorism, pandemic disease, natural disasters, military conflict, civil unrest or political instability in the locations in which we operate;</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conform to multiple and conflicting laws or regulations in the countries in which we operate;</w:t>
      </w:r>
    </w:p>
    <w:p>
      <w:pPr>
        <w:spacing w:after="0" w:line="225" w:lineRule="exact"/>
        <w:rPr>
          <w:rFonts w:ascii="Arial" w:cs="Arial" w:eastAsia="Arial" w:hAnsi="Arial"/>
          <w:sz w:val="18"/>
          <w:szCs w:val="18"/>
          <w:color w:val="auto"/>
        </w:rPr>
      </w:pPr>
    </w:p>
    <w:p>
      <w:pPr>
        <w:ind w:left="660" w:right="240" w:hanging="328"/>
        <w:spacing w:after="0" w:line="26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dependence on third-party distribution channels, third-party suppliers of other services and co-marketing arrangements with third parties;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dependence on the performance and retention of our senior management and key employees;</w:t>
      </w:r>
    </w:p>
    <w:p>
      <w:pPr>
        <w:spacing w:after="0" w:line="225"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utilize derivative instruments, and the impact of derivative instruments we utilize, which can be affected by fluctuations in interest rates, gasoline prices and exchange rates, changes in government regulations and other factors;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accurately estimate our future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major disruptions in our communication networks or information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exposure to uninsured or unpaid claims in excess of historical levels;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40"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660" w:right="360" w:hanging="328"/>
        <w:spacing w:after="0" w:line="256"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associated with litigation, governmental or regulatory inquiries, or any failure or inability to comply with laws, regulations or contractual obligations or any changes in laws, regulations or contractual obligations, including with respect to personal identifiable information and consumer privacy, labor and employment, and tax;</w:t>
      </w:r>
    </w:p>
    <w:p>
      <w:pPr>
        <w:spacing w:after="0" w:line="20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impact on us from the actions of our licensees, dealers, third party vendors and independent contractors;</w:t>
      </w:r>
    </w:p>
    <w:p>
      <w:pPr>
        <w:spacing w:after="0" w:line="225"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substantial changes in the cost or supply of fuel, vehicle parts, energy, labor or other resources on which we depend to operate our business;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our indebtedness, including our substantial outstanding debt obligations and our ability to incur substantially more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meet the financial and other covenants contained in the agreements governing our indebtedness;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tax obligations and the effect of future changes in tax laws and accounting standards;</w:t>
      </w:r>
    </w:p>
    <w:p>
      <w:pPr>
        <w:spacing w:after="0" w:line="225" w:lineRule="exact"/>
        <w:rPr>
          <w:rFonts w:ascii="Arial" w:cs="Arial" w:eastAsia="Arial" w:hAnsi="Arial"/>
          <w:sz w:val="18"/>
          <w:szCs w:val="18"/>
          <w:color w:val="auto"/>
        </w:rPr>
      </w:pPr>
    </w:p>
    <w:p>
      <w:pPr>
        <w:ind w:left="660" w:right="140" w:hanging="328"/>
        <w:spacing w:after="0" w:line="256"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completed or future acquisitions or investments that we may pursue, including the incurrence of incremental indebtedness to help fund such transactions and our ability to promptly and effectively integrate any acquired businesses or capitalize on joint ventures, partnerships and other investments;</w:t>
      </w:r>
    </w:p>
    <w:p>
      <w:pPr>
        <w:spacing w:after="0" w:line="201" w:lineRule="exact"/>
        <w:rPr>
          <w:rFonts w:ascii="Arial" w:cs="Arial" w:eastAsia="Arial" w:hAnsi="Arial"/>
          <w:sz w:val="18"/>
          <w:szCs w:val="18"/>
          <w:color w:val="auto"/>
        </w:rPr>
      </w:pPr>
    </w:p>
    <w:p>
      <w:pPr>
        <w:jc w:val="both"/>
        <w:ind w:left="660" w:right="220" w:hanging="328"/>
        <w:spacing w:after="0" w:line="256"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protecting the integrity of, and preventing unauthorized access to, our information technology systems or those of our third party vendors, and protecting the confidential information of our employees and customers against security breaches, including physical or cyber-security breaches, attacks, or other disruptions; and</w:t>
      </w:r>
    </w:p>
    <w:p>
      <w:pPr>
        <w:spacing w:after="0" w:line="201" w:lineRule="exact"/>
        <w:rPr>
          <w:rFonts w:ascii="Arial" w:cs="Arial" w:eastAsia="Arial" w:hAnsi="Arial"/>
          <w:sz w:val="18"/>
          <w:szCs w:val="18"/>
          <w:color w:val="auto"/>
        </w:rPr>
      </w:pPr>
    </w:p>
    <w:p>
      <w:pPr>
        <w:ind w:left="660" w:right="24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business, economic, competitive, governmental, regulatory, political or technological factors affecting our operations, pricing or services.</w:t>
      </w:r>
    </w:p>
    <w:p>
      <w:pPr>
        <w:spacing w:after="0" w:line="196"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operate in a continuously changing business environment and new risk factors emerge from time to time. New risk factors, factors beyond our control, or changes in the impact of identified risk factors may cause actual results to differ materially from those set forth in any forward-looking statements. Accordingly, forward-looking statements should not be relied upon as a prediction of actual results. Moreover, we do not assume responsibility for the accuracy and completeness of those statements. Other factors and assumptions not identified above, including those discussed in “Management’s Discussion and Analysis of Financial Condition and Results of Operations,” “Risk Factors” and other portions of our 2017 Annual Report on Form 10-K filed with the Securities and Exchange Commission on February 22, 2018 (the “2017 Form 10-K”), could cause actual results to differ materially from those projected in any forward-looking statements.</w:t>
      </w:r>
    </w:p>
    <w:p>
      <w:pPr>
        <w:spacing w:after="0" w:line="20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Although we believe that our assumptions are reasonable, any or all of our forward-looking statements may prove to be inaccurate and we can make no guarantees about our future performance. Should unknown risks or uncertainties materialize or underlying assumptions prove inaccurate, actual results could differ materially from past results and/or those anticipated, estimated or projected. We undertake no obligation to release any revisions to any forward-looking statements, to report events or to report the occurrence of unanticipated events. For any forward-looking statements contained in any document,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40"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9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7"/>
                <w:szCs w:val="17"/>
                <w:color w:val="auto"/>
              </w:rPr>
            </w:pPr>
          </w:p>
        </w:tc>
        <w:tc>
          <w:tcPr>
            <w:tcW w:w="256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6"/>
        </w:trPr>
        <w:tc>
          <w:tcPr>
            <w:tcW w:w="55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5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50"/>
        </w:trPr>
        <w:tc>
          <w:tcPr>
            <w:tcW w:w="554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2,328</w:t>
            </w:r>
          </w:p>
        </w:tc>
        <w:tc>
          <w:tcPr>
            <w:tcW w:w="120" w:type="dxa"/>
            <w:vAlign w:val="bottom"/>
          </w:tcPr>
          <w:p>
            <w:pPr>
              <w:spacing w:after="0"/>
              <w:rPr>
                <w:sz w:val="21"/>
                <w:szCs w:val="21"/>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2,238</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4,296</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4,077</w:t>
            </w:r>
          </w:p>
        </w:tc>
        <w:tc>
          <w:tcPr>
            <w:tcW w:w="0" w:type="dxa"/>
            <w:vAlign w:val="bottom"/>
          </w:tcPr>
          <w:p>
            <w:pPr>
              <w:spacing w:after="0"/>
              <w:rPr>
                <w:sz w:val="1"/>
                <w:szCs w:val="1"/>
                <w:color w:val="auto"/>
              </w:rPr>
            </w:pPr>
          </w:p>
        </w:tc>
      </w:tr>
      <w:tr>
        <w:trPr>
          <w:trHeight w:val="473"/>
        </w:trPr>
        <w:tc>
          <w:tcPr>
            <w:tcW w:w="554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540" w:type="dxa"/>
            <w:vAlign w:val="bottom"/>
          </w:tcPr>
          <w:p>
            <w:pPr>
              <w:ind w:left="120"/>
              <w:spacing w:after="0"/>
              <w:rPr>
                <w:sz w:val="20"/>
                <w:szCs w:val="20"/>
                <w:color w:val="auto"/>
              </w:rPr>
            </w:pPr>
            <w:r>
              <w:rPr>
                <w:rFonts w:ascii="Arial" w:cs="Arial" w:eastAsia="Arial" w:hAnsi="Arial"/>
                <w:sz w:val="18"/>
                <w:szCs w:val="18"/>
                <w:color w:val="auto"/>
              </w:rPr>
              <w:t>Operating</w:t>
            </w:r>
          </w:p>
        </w:tc>
        <w:tc>
          <w:tcPr>
            <w:tcW w:w="3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1,175</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1,108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2,267</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2,157</w:t>
            </w:r>
          </w:p>
        </w:tc>
        <w:tc>
          <w:tcPr>
            <w:tcW w:w="0" w:type="dxa"/>
            <w:vAlign w:val="bottom"/>
          </w:tcPr>
          <w:p>
            <w:pPr>
              <w:spacing w:after="0"/>
              <w:rPr>
                <w:sz w:val="1"/>
                <w:szCs w:val="1"/>
                <w:color w:val="auto"/>
              </w:rPr>
            </w:pPr>
          </w:p>
        </w:tc>
      </w:tr>
      <w:tr>
        <w:trPr>
          <w:trHeight w:val="270"/>
        </w:trPr>
        <w:tc>
          <w:tcPr>
            <w:tcW w:w="5540" w:type="dxa"/>
            <w:vAlign w:val="bottom"/>
          </w:tcPr>
          <w:p>
            <w:pPr>
              <w:ind w:left="120"/>
              <w:spacing w:after="0"/>
              <w:rPr>
                <w:sz w:val="20"/>
                <w:szCs w:val="20"/>
                <w:color w:val="auto"/>
              </w:rPr>
            </w:pPr>
            <w:r>
              <w:rPr>
                <w:rFonts w:ascii="Arial" w:cs="Arial" w:eastAsia="Arial" w:hAnsi="Arial"/>
                <w:sz w:val="18"/>
                <w:szCs w:val="18"/>
                <w:color w:val="auto"/>
              </w:rPr>
              <w:t>Vehicle depreciation and lease charges, net</w:t>
            </w: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591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597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1,106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70"/>
        </w:trPr>
        <w:tc>
          <w:tcPr>
            <w:tcW w:w="554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70"/>
        </w:trPr>
        <w:tc>
          <w:tcPr>
            <w:tcW w:w="5540" w:type="dxa"/>
            <w:vAlign w:val="bottom"/>
          </w:tcPr>
          <w:p>
            <w:pPr>
              <w:ind w:left="120"/>
              <w:spacing w:after="0"/>
              <w:rPr>
                <w:sz w:val="20"/>
                <w:szCs w:val="20"/>
                <w:color w:val="auto"/>
              </w:rPr>
            </w:pPr>
            <w:r>
              <w:rPr>
                <w:rFonts w:ascii="Arial" w:cs="Arial" w:eastAsia="Arial" w:hAnsi="Arial"/>
                <w:sz w:val="18"/>
                <w:szCs w:val="18"/>
                <w:color w:val="auto"/>
              </w:rPr>
              <w:t>Vehicle interest, net</w:t>
            </w: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0"/>
        </w:trPr>
        <w:tc>
          <w:tcPr>
            <w:tcW w:w="5540" w:type="dxa"/>
            <w:vAlign w:val="bottom"/>
          </w:tcPr>
          <w:p>
            <w:pPr>
              <w:ind w:left="120"/>
              <w:spacing w:after="0"/>
              <w:rPr>
                <w:sz w:val="20"/>
                <w:szCs w:val="20"/>
                <w:color w:val="auto"/>
              </w:rPr>
            </w:pPr>
            <w:r>
              <w:rPr>
                <w:rFonts w:ascii="Arial" w:cs="Arial" w:eastAsia="Arial" w:hAnsi="Arial"/>
                <w:sz w:val="18"/>
                <w:szCs w:val="18"/>
                <w:color w:val="auto"/>
              </w:rPr>
              <w:t>Non-vehicle related depreciation and amortization</w:t>
            </w: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57"/>
        </w:trPr>
        <w:tc>
          <w:tcPr>
            <w:tcW w:w="5540" w:type="dxa"/>
            <w:vAlign w:val="bottom"/>
          </w:tcPr>
          <w:p>
            <w:pPr>
              <w:ind w:left="120"/>
              <w:spacing w:after="0"/>
              <w:rPr>
                <w:sz w:val="20"/>
                <w:szCs w:val="20"/>
                <w:color w:val="auto"/>
              </w:rPr>
            </w:pPr>
            <w:r>
              <w:rPr>
                <w:rFonts w:ascii="Arial" w:cs="Arial" w:eastAsia="Arial" w:hAnsi="Arial"/>
                <w:sz w:val="18"/>
                <w:szCs w:val="18"/>
                <w:color w:val="auto"/>
              </w:rPr>
              <w:t>Interest expense related to corporate debt, net:</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554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0"/>
        </w:trPr>
        <w:tc>
          <w:tcPr>
            <w:tcW w:w="5540" w:type="dxa"/>
            <w:vAlign w:val="bottom"/>
          </w:tcPr>
          <w:p>
            <w:pPr>
              <w:ind w:left="360"/>
              <w:spacing w:after="0"/>
              <w:rPr>
                <w:sz w:val="20"/>
                <w:szCs w:val="20"/>
                <w:color w:val="auto"/>
              </w:rPr>
            </w:pPr>
            <w:r>
              <w:rPr>
                <w:rFonts w:ascii="Arial" w:cs="Arial" w:eastAsia="Arial" w:hAnsi="Arial"/>
                <w:sz w:val="18"/>
                <w:szCs w:val="18"/>
                <w:color w:val="auto"/>
              </w:rPr>
              <w:t>Early extinguishment of debt</w:t>
            </w:r>
          </w:p>
        </w:tc>
        <w:tc>
          <w:tcPr>
            <w:tcW w:w="32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5540" w:type="dxa"/>
            <w:vAlign w:val="bottom"/>
          </w:tcPr>
          <w:p>
            <w:pPr>
              <w:ind w:left="120"/>
              <w:spacing w:after="0"/>
              <w:rPr>
                <w:sz w:val="20"/>
                <w:szCs w:val="20"/>
                <w:color w:val="auto"/>
              </w:rPr>
            </w:pPr>
            <w:r>
              <w:rPr>
                <w:rFonts w:ascii="Arial" w:cs="Arial" w:eastAsia="Arial" w:hAnsi="Arial"/>
                <w:sz w:val="18"/>
                <w:szCs w:val="18"/>
                <w:color w:val="auto"/>
              </w:rPr>
              <w:t>Restructuring and other related charges</w:t>
            </w: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7"/>
        </w:trPr>
        <w:tc>
          <w:tcPr>
            <w:tcW w:w="5540" w:type="dxa"/>
            <w:vAlign w:val="bottom"/>
          </w:tcPr>
          <w:p>
            <w:pPr>
              <w:ind w:left="120"/>
              <w:spacing w:after="0"/>
              <w:rPr>
                <w:sz w:val="20"/>
                <w:szCs w:val="20"/>
                <w:color w:val="auto"/>
              </w:rPr>
            </w:pPr>
            <w:r>
              <w:rPr>
                <w:rFonts w:ascii="Arial" w:cs="Arial" w:eastAsia="Arial" w:hAnsi="Arial"/>
                <w:sz w:val="18"/>
                <w:szCs w:val="18"/>
                <w:color w:val="auto"/>
              </w:rPr>
              <w:t>Transaction-related costs, net</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50"/>
        </w:trPr>
        <w:tc>
          <w:tcPr>
            <w:tcW w:w="5540" w:type="dxa"/>
            <w:vAlign w:val="bottom"/>
          </w:tcPr>
          <w:p>
            <w:pPr>
              <w:spacing w:after="0"/>
              <w:rPr>
                <w:sz w:val="20"/>
                <w:szCs w:val="20"/>
                <w:color w:val="auto"/>
              </w:rPr>
            </w:pPr>
            <w:r>
              <w:rPr>
                <w:rFonts w:ascii="Arial" w:cs="Arial" w:eastAsia="Arial" w:hAnsi="Arial"/>
                <w:sz w:val="18"/>
                <w:szCs w:val="18"/>
                <w:color w:val="auto"/>
              </w:rPr>
              <w:t>Total expenses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2,290</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2,227</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4,387</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4,231</w:t>
            </w:r>
          </w:p>
        </w:tc>
        <w:tc>
          <w:tcPr>
            <w:tcW w:w="0" w:type="dxa"/>
            <w:vAlign w:val="bottom"/>
          </w:tcPr>
          <w:p>
            <w:pPr>
              <w:spacing w:after="0"/>
              <w:rPr>
                <w:sz w:val="1"/>
                <w:szCs w:val="1"/>
                <w:color w:val="auto"/>
              </w:rPr>
            </w:pPr>
          </w:p>
        </w:tc>
      </w:tr>
      <w:tr>
        <w:trPr>
          <w:trHeight w:val="486"/>
        </w:trPr>
        <w:tc>
          <w:tcPr>
            <w:tcW w:w="5540" w:type="dxa"/>
            <w:vAlign w:val="bottom"/>
          </w:tcPr>
          <w:p>
            <w:pPr>
              <w:spacing w:after="0"/>
              <w:rPr>
                <w:sz w:val="20"/>
                <w:szCs w:val="20"/>
                <w:color w:val="auto"/>
              </w:rPr>
            </w:pPr>
            <w:r>
              <w:rPr>
                <w:rFonts w:ascii="Arial" w:cs="Arial" w:eastAsia="Arial" w:hAnsi="Arial"/>
                <w:sz w:val="18"/>
                <w:szCs w:val="18"/>
                <w:b w:val="1"/>
                <w:bCs w:val="1"/>
                <w:color w:val="auto"/>
              </w:rPr>
              <w:t>Income (loss) before income taxes</w:t>
            </w:r>
          </w:p>
        </w:tc>
        <w:tc>
          <w:tcPr>
            <w:tcW w:w="3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7"/>
        </w:trPr>
        <w:tc>
          <w:tcPr>
            <w:tcW w:w="554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480"/>
        </w:trPr>
        <w:tc>
          <w:tcPr>
            <w:tcW w:w="554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8"/>
                <w:szCs w:val="18"/>
                <w:b w:val="1"/>
                <w:bCs w:val="1"/>
                <w:color w:val="auto"/>
              </w:rPr>
              <w:t>Comprehensive income (loss)</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540" w:type="dxa"/>
            <w:vAlign w:val="bottom"/>
            <w:vMerge w:val="continue"/>
          </w:tcPr>
          <w:p>
            <w:pPr>
              <w:spacing w:after="0"/>
              <w:rPr>
                <w:sz w:val="24"/>
                <w:szCs w:val="24"/>
                <w:color w:val="auto"/>
              </w:rPr>
            </w:pP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73"/>
        </w:trPr>
        <w:tc>
          <w:tcPr>
            <w:tcW w:w="5540" w:type="dxa"/>
            <w:vAlign w:val="bottom"/>
          </w:tcPr>
          <w:p>
            <w:pPr>
              <w:spacing w:after="0"/>
              <w:rPr>
                <w:sz w:val="20"/>
                <w:szCs w:val="20"/>
                <w:color w:val="auto"/>
              </w:rPr>
            </w:pPr>
            <w:r>
              <w:rPr>
                <w:rFonts w:ascii="Arial" w:cs="Arial" w:eastAsia="Arial" w:hAnsi="Arial"/>
                <w:sz w:val="18"/>
                <w:szCs w:val="18"/>
                <w:b w:val="1"/>
                <w:bCs w:val="1"/>
                <w:color w:val="auto"/>
              </w:rPr>
              <w:t>Earnings (loss) per share</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540" w:type="dxa"/>
            <w:vAlign w:val="bottom"/>
          </w:tcPr>
          <w:p>
            <w:pPr>
              <w:ind w:left="12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(0.75)</w:t>
            </w:r>
          </w:p>
        </w:tc>
        <w:tc>
          <w:tcPr>
            <w:tcW w:w="10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0"/>
        </w:trPr>
        <w:tc>
          <w:tcPr>
            <w:tcW w:w="5540" w:type="dxa"/>
            <w:vAlign w:val="bottom"/>
          </w:tcPr>
          <w:p>
            <w:pPr>
              <w:ind w:left="12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0.32</w:t>
            </w:r>
          </w:p>
        </w:tc>
        <w:tc>
          <w:tcPr>
            <w:tcW w:w="12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(0.75)</w:t>
            </w:r>
          </w:p>
        </w:tc>
        <w:tc>
          <w:tcPr>
            <w:tcW w:w="10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 (Unaudited).</w:t>
      </w:r>
    </w:p>
    <w:p>
      <w:pPr>
        <w:sectPr>
          <w:pgSz w:w="11900" w:h="16838" w:orient="portrait"/>
          <w:cols w:equalWidth="0" w:num="1">
            <w:col w:w="11420"/>
          </w:cols>
          <w:pgMar w:left="240" w:top="140" w:right="239" w:bottom="1138"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40" w:right="239" w:bottom="1138"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8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7"/>
        </w:trPr>
        <w:tc>
          <w:tcPr>
            <w:tcW w:w="1400" w:type="dxa"/>
            <w:vAlign w:val="bottom"/>
            <w:tcBorders>
              <w:top w:val="single" w:sz="8" w:color="0000EE"/>
            </w:tcBorders>
          </w:tcPr>
          <w:p>
            <w:pPr>
              <w:spacing w:after="0"/>
              <w:rPr>
                <w:sz w:val="24"/>
                <w:szCs w:val="24"/>
                <w:color w:val="auto"/>
              </w:rPr>
            </w:pPr>
          </w:p>
        </w:tc>
        <w:tc>
          <w:tcPr>
            <w:tcW w:w="6480" w:type="dxa"/>
            <w:vAlign w:val="bottom"/>
          </w:tcPr>
          <w:p>
            <w:pPr>
              <w:jc w:val="center"/>
              <w:ind w:left="2070"/>
              <w:spacing w:after="0"/>
              <w:rPr>
                <w:sz w:val="20"/>
                <w:szCs w:val="20"/>
                <w:color w:val="auto"/>
              </w:rPr>
            </w:pPr>
            <w:r>
              <w:rPr>
                <w:rFonts w:ascii="Arial" w:cs="Arial" w:eastAsia="Arial" w:hAnsi="Arial"/>
                <w:sz w:val="18"/>
                <w:szCs w:val="18"/>
                <w:b w:val="1"/>
                <w:bCs w:val="1"/>
                <w:color w:val="auto"/>
                <w:w w:val="99"/>
              </w:rPr>
              <w:t>Avis Budget Group, Inc.</w:t>
            </w: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6480" w:type="dxa"/>
            <w:vAlign w:val="bottom"/>
          </w:tcPr>
          <w:p>
            <w:pPr>
              <w:jc w:val="center"/>
              <w:ind w:left="2070"/>
              <w:spacing w:after="0"/>
              <w:rPr>
                <w:sz w:val="20"/>
                <w:szCs w:val="20"/>
                <w:color w:val="auto"/>
              </w:rPr>
            </w:pPr>
            <w:r>
              <w:rPr>
                <w:rFonts w:ascii="Arial" w:cs="Arial" w:eastAsia="Arial" w:hAnsi="Arial"/>
                <w:sz w:val="18"/>
                <w:szCs w:val="18"/>
                <w:b w:val="1"/>
                <w:bCs w:val="1"/>
                <w:color w:val="auto"/>
                <w:w w:val="99"/>
              </w:rPr>
              <w:t>CONSOLIDATED CONDENSED BALANCE SHEETS</w:t>
            </w: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6480" w:type="dxa"/>
            <w:vAlign w:val="bottom"/>
          </w:tcPr>
          <w:p>
            <w:pPr>
              <w:jc w:val="center"/>
              <w:ind w:left="2070"/>
              <w:spacing w:after="0"/>
              <w:rPr>
                <w:sz w:val="20"/>
                <w:szCs w:val="20"/>
                <w:color w:val="auto"/>
              </w:rPr>
            </w:pPr>
            <w:r>
              <w:rPr>
                <w:rFonts w:ascii="Arial" w:cs="Arial" w:eastAsia="Arial" w:hAnsi="Arial"/>
                <w:sz w:val="18"/>
                <w:szCs w:val="18"/>
                <w:b w:val="1"/>
                <w:bCs w:val="1"/>
                <w:color w:val="auto"/>
                <w:w w:val="99"/>
              </w:rPr>
              <w:t>(In millions, except par value)</w:t>
            </w: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400" w:type="dxa"/>
            <w:vAlign w:val="bottom"/>
          </w:tcPr>
          <w:p>
            <w:pPr>
              <w:spacing w:after="0"/>
              <w:rPr>
                <w:sz w:val="20"/>
                <w:szCs w:val="20"/>
                <w:color w:val="auto"/>
              </w:rPr>
            </w:pPr>
          </w:p>
        </w:tc>
        <w:tc>
          <w:tcPr>
            <w:tcW w:w="6480" w:type="dxa"/>
            <w:vAlign w:val="bottom"/>
          </w:tcPr>
          <w:p>
            <w:pPr>
              <w:jc w:val="center"/>
              <w:ind w:left="2070"/>
              <w:spacing w:after="0"/>
              <w:rPr>
                <w:sz w:val="20"/>
                <w:szCs w:val="20"/>
                <w:color w:val="auto"/>
              </w:rPr>
            </w:pPr>
            <w:r>
              <w:rPr>
                <w:rFonts w:ascii="Arial" w:cs="Arial" w:eastAsia="Arial" w:hAnsi="Arial"/>
                <w:sz w:val="18"/>
                <w:szCs w:val="18"/>
                <w:b w:val="1"/>
                <w:bCs w:val="1"/>
                <w:color w:val="auto"/>
                <w:w w:val="99"/>
              </w:rPr>
              <w:t>(Unaudited)</w:t>
            </w: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140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24"/>
                <w:szCs w:val="24"/>
                <w:color w:val="auto"/>
              </w:rPr>
            </w:pPr>
          </w:p>
        </w:tc>
        <w:tc>
          <w:tcPr>
            <w:tcW w:w="1540" w:type="dxa"/>
            <w:vAlign w:val="bottom"/>
          </w:tcPr>
          <w:p>
            <w:pPr>
              <w:jc w:val="right"/>
              <w:ind w:right="23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6"/>
        </w:trPr>
        <w:tc>
          <w:tcPr>
            <w:tcW w:w="1400" w:type="dxa"/>
            <w:vAlign w:val="bottom"/>
          </w:tcPr>
          <w:p>
            <w:pPr>
              <w:spacing w:after="0"/>
              <w:rPr>
                <w:sz w:val="21"/>
                <w:szCs w:val="21"/>
                <w:color w:val="auto"/>
              </w:rPr>
            </w:pPr>
          </w:p>
        </w:tc>
        <w:tc>
          <w:tcPr>
            <w:tcW w:w="64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30"/>
        </w:trPr>
        <w:tc>
          <w:tcPr>
            <w:tcW w:w="788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70"/>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Receivables, net</w:t>
            </w:r>
          </w:p>
        </w:tc>
        <w:tc>
          <w:tcPr>
            <w:tcW w:w="300" w:type="dxa"/>
            <w:vAlign w:val="bottom"/>
          </w:tcPr>
          <w:p>
            <w:pPr>
              <w:spacing w:after="0"/>
              <w:rPr>
                <w:sz w:val="23"/>
                <w:szCs w:val="23"/>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77"/>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832</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43"/>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2,223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2,066</w:t>
            </w:r>
          </w:p>
        </w:tc>
        <w:tc>
          <w:tcPr>
            <w:tcW w:w="0" w:type="dxa"/>
            <w:vAlign w:val="bottom"/>
          </w:tcPr>
          <w:p>
            <w:pPr>
              <w:spacing w:after="0"/>
              <w:rPr>
                <w:sz w:val="1"/>
                <w:szCs w:val="1"/>
                <w:color w:val="auto"/>
              </w:rPr>
            </w:pPr>
          </w:p>
        </w:tc>
      </w:tr>
      <w:tr>
        <w:trPr>
          <w:trHeight w:val="459"/>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24"/>
                <w:szCs w:val="24"/>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70"/>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23"/>
                <w:szCs w:val="23"/>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70"/>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3"/>
                <w:szCs w:val="23"/>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1,049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270"/>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Other intangibles, net</w:t>
            </w:r>
          </w:p>
        </w:tc>
        <w:tc>
          <w:tcPr>
            <w:tcW w:w="300" w:type="dxa"/>
            <w:vAlign w:val="bottom"/>
          </w:tcPr>
          <w:p>
            <w:pPr>
              <w:spacing w:after="0"/>
              <w:rPr>
                <w:sz w:val="23"/>
                <w:szCs w:val="23"/>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77"/>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Other non-current assets</w:t>
            </w: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50"/>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Total assets exclusive of assets under vehicle programs</w:t>
            </w:r>
          </w:p>
        </w:tc>
        <w:tc>
          <w:tcPr>
            <w:tcW w:w="3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6,193</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5,820</w:t>
            </w:r>
          </w:p>
        </w:tc>
        <w:tc>
          <w:tcPr>
            <w:tcW w:w="0" w:type="dxa"/>
            <w:vAlign w:val="bottom"/>
          </w:tcPr>
          <w:p>
            <w:pPr>
              <w:spacing w:after="0"/>
              <w:rPr>
                <w:sz w:val="1"/>
                <w:szCs w:val="1"/>
                <w:color w:val="auto"/>
              </w:rPr>
            </w:pPr>
          </w:p>
        </w:tc>
      </w:tr>
      <w:tr>
        <w:trPr>
          <w:trHeight w:val="432"/>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Assets under vehicle programs:</w:t>
            </w: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Program cash</w:t>
            </w:r>
          </w:p>
        </w:tc>
        <w:tc>
          <w:tcPr>
            <w:tcW w:w="300" w:type="dxa"/>
            <w:vAlign w:val="bottom"/>
          </w:tcPr>
          <w:p>
            <w:pPr>
              <w:spacing w:after="0"/>
              <w:rPr>
                <w:sz w:val="24"/>
                <w:szCs w:val="24"/>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70"/>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Vehicles, net</w:t>
            </w:r>
          </w:p>
        </w:tc>
        <w:tc>
          <w:tcPr>
            <w:tcW w:w="300" w:type="dxa"/>
            <w:vAlign w:val="bottom"/>
          </w:tcPr>
          <w:p>
            <w:pPr>
              <w:spacing w:after="0"/>
              <w:rPr>
                <w:sz w:val="23"/>
                <w:szCs w:val="23"/>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13,867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10,626</w:t>
            </w:r>
          </w:p>
        </w:tc>
        <w:tc>
          <w:tcPr>
            <w:tcW w:w="0" w:type="dxa"/>
            <w:vAlign w:val="bottom"/>
          </w:tcPr>
          <w:p>
            <w:pPr>
              <w:spacing w:after="0"/>
              <w:rPr>
                <w:sz w:val="1"/>
                <w:szCs w:val="1"/>
                <w:color w:val="auto"/>
              </w:rPr>
            </w:pPr>
          </w:p>
        </w:tc>
      </w:tr>
      <w:tr>
        <w:trPr>
          <w:trHeight w:val="270"/>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Receivables from vehicle manufacturers and other</w:t>
            </w:r>
          </w:p>
        </w:tc>
        <w:tc>
          <w:tcPr>
            <w:tcW w:w="300" w:type="dxa"/>
            <w:vAlign w:val="bottom"/>
          </w:tcPr>
          <w:p>
            <w:pPr>
              <w:spacing w:after="0"/>
              <w:rPr>
                <w:sz w:val="23"/>
                <w:szCs w:val="23"/>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77"/>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Investment in Avis Budget Rental Car Funding (AESOP) LLC—related party</w:t>
            </w: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50"/>
        </w:trPr>
        <w:tc>
          <w:tcPr>
            <w:tcW w:w="1400" w:type="dxa"/>
            <w:vAlign w:val="bottom"/>
          </w:tcPr>
          <w:p>
            <w:pPr>
              <w:spacing w:after="0"/>
              <w:rPr>
                <w:sz w:val="21"/>
                <w:szCs w:val="21"/>
                <w:color w:val="auto"/>
              </w:rPr>
            </w:pPr>
          </w:p>
        </w:tc>
        <w:tc>
          <w:tcPr>
            <w:tcW w:w="64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14,726</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11,879</w:t>
            </w:r>
          </w:p>
        </w:tc>
        <w:tc>
          <w:tcPr>
            <w:tcW w:w="0" w:type="dxa"/>
            <w:vAlign w:val="bottom"/>
          </w:tcPr>
          <w:p>
            <w:pPr>
              <w:spacing w:after="0"/>
              <w:rPr>
                <w:sz w:val="1"/>
                <w:szCs w:val="1"/>
                <w:color w:val="auto"/>
              </w:rPr>
            </w:pPr>
          </w:p>
        </w:tc>
      </w:tr>
      <w:tr>
        <w:trPr>
          <w:trHeight w:val="250"/>
        </w:trPr>
        <w:tc>
          <w:tcPr>
            <w:tcW w:w="788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20,919</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17,699</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8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Accounts payable and other current liabilities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1,832</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77"/>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Short-term debt and current portion of long-term debt</w:t>
            </w: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1,856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459"/>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24"/>
                <w:szCs w:val="24"/>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3,544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3,573</w:t>
            </w:r>
          </w:p>
        </w:tc>
        <w:tc>
          <w:tcPr>
            <w:tcW w:w="0" w:type="dxa"/>
            <w:vAlign w:val="bottom"/>
          </w:tcPr>
          <w:p>
            <w:pPr>
              <w:spacing w:after="0"/>
              <w:rPr>
                <w:sz w:val="1"/>
                <w:szCs w:val="1"/>
                <w:color w:val="auto"/>
              </w:rPr>
            </w:pPr>
          </w:p>
        </w:tc>
      </w:tr>
      <w:tr>
        <w:trPr>
          <w:trHeight w:val="277"/>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Other non-current liabilities</w:t>
            </w: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50"/>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Total liabilities exclusive of liabilities under vehicle programs</w:t>
            </w:r>
          </w:p>
        </w:tc>
        <w:tc>
          <w:tcPr>
            <w:tcW w:w="3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6,145</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5,935</w:t>
            </w:r>
          </w:p>
        </w:tc>
        <w:tc>
          <w:tcPr>
            <w:tcW w:w="0" w:type="dxa"/>
            <w:vAlign w:val="bottom"/>
          </w:tcPr>
          <w:p>
            <w:pPr>
              <w:spacing w:after="0"/>
              <w:rPr>
                <w:sz w:val="1"/>
                <w:szCs w:val="1"/>
                <w:color w:val="auto"/>
              </w:rPr>
            </w:pPr>
          </w:p>
        </w:tc>
      </w:tr>
      <w:tr>
        <w:trPr>
          <w:trHeight w:val="432"/>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Liabilities under vehicle programs:</w:t>
            </w: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Debt</w:t>
            </w:r>
          </w:p>
        </w:tc>
        <w:tc>
          <w:tcPr>
            <w:tcW w:w="300" w:type="dxa"/>
            <w:vAlign w:val="bottom"/>
          </w:tcPr>
          <w:p>
            <w:pPr>
              <w:spacing w:after="0"/>
              <w:rPr>
                <w:sz w:val="24"/>
                <w:szCs w:val="24"/>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3,511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2,741</w:t>
            </w:r>
          </w:p>
        </w:tc>
        <w:tc>
          <w:tcPr>
            <w:tcW w:w="0" w:type="dxa"/>
            <w:vAlign w:val="bottom"/>
          </w:tcPr>
          <w:p>
            <w:pPr>
              <w:spacing w:after="0"/>
              <w:rPr>
                <w:sz w:val="1"/>
                <w:szCs w:val="1"/>
                <w:color w:val="auto"/>
              </w:rPr>
            </w:pPr>
          </w:p>
        </w:tc>
      </w:tr>
      <w:tr>
        <w:trPr>
          <w:trHeight w:val="270"/>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Debt due to Avis Budget Rental Car Funding (AESOP) LLC—related party</w:t>
            </w:r>
          </w:p>
        </w:tc>
        <w:tc>
          <w:tcPr>
            <w:tcW w:w="300" w:type="dxa"/>
            <w:vAlign w:val="bottom"/>
          </w:tcPr>
          <w:p>
            <w:pPr>
              <w:spacing w:after="0"/>
              <w:rPr>
                <w:sz w:val="23"/>
                <w:szCs w:val="23"/>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8,265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6,480</w:t>
            </w:r>
          </w:p>
        </w:tc>
        <w:tc>
          <w:tcPr>
            <w:tcW w:w="0" w:type="dxa"/>
            <w:vAlign w:val="bottom"/>
          </w:tcPr>
          <w:p>
            <w:pPr>
              <w:spacing w:after="0"/>
              <w:rPr>
                <w:sz w:val="1"/>
                <w:szCs w:val="1"/>
                <w:color w:val="auto"/>
              </w:rPr>
            </w:pPr>
          </w:p>
        </w:tc>
      </w:tr>
      <w:tr>
        <w:trPr>
          <w:trHeight w:val="270"/>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23"/>
                <w:szCs w:val="23"/>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1,727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1,594</w:t>
            </w:r>
          </w:p>
        </w:tc>
        <w:tc>
          <w:tcPr>
            <w:tcW w:w="0" w:type="dxa"/>
            <w:vAlign w:val="bottom"/>
          </w:tcPr>
          <w:p>
            <w:pPr>
              <w:spacing w:after="0"/>
              <w:rPr>
                <w:sz w:val="1"/>
                <w:szCs w:val="1"/>
                <w:color w:val="auto"/>
              </w:rPr>
            </w:pPr>
          </w:p>
        </w:tc>
      </w:tr>
      <w:tr>
        <w:trPr>
          <w:trHeight w:val="277"/>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899</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50"/>
        </w:trPr>
        <w:tc>
          <w:tcPr>
            <w:tcW w:w="1400" w:type="dxa"/>
            <w:vAlign w:val="bottom"/>
          </w:tcPr>
          <w:p>
            <w:pPr>
              <w:spacing w:after="0"/>
              <w:rPr>
                <w:sz w:val="21"/>
                <w:szCs w:val="21"/>
                <w:color w:val="auto"/>
              </w:rPr>
            </w:pPr>
          </w:p>
        </w:tc>
        <w:tc>
          <w:tcPr>
            <w:tcW w:w="64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14,402</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11,191</w:t>
            </w:r>
          </w:p>
        </w:tc>
        <w:tc>
          <w:tcPr>
            <w:tcW w:w="0" w:type="dxa"/>
            <w:vAlign w:val="bottom"/>
          </w:tcPr>
          <w:p>
            <w:pPr>
              <w:spacing w:after="0"/>
              <w:rPr>
                <w:sz w:val="1"/>
                <w:szCs w:val="1"/>
                <w:color w:val="auto"/>
              </w:rPr>
            </w:pPr>
          </w:p>
        </w:tc>
      </w:tr>
      <w:tr>
        <w:trPr>
          <w:trHeight w:val="230"/>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(Note 13)</w:t>
            </w: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Preferred stock, $0.01 par value—authorized 10 shares; none issued and outstanding, at each</w:t>
            </w:r>
          </w:p>
        </w:tc>
        <w:tc>
          <w:tcPr>
            <w:tcW w:w="3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7880" w:type="dxa"/>
            <w:vAlign w:val="bottom"/>
            <w:gridSpan w:val="2"/>
          </w:tcPr>
          <w:p>
            <w:pPr>
              <w:ind w:left="320"/>
              <w:spacing w:after="0"/>
              <w:rPr>
                <w:sz w:val="20"/>
                <w:szCs w:val="20"/>
                <w:color w:val="auto"/>
              </w:rPr>
            </w:pPr>
            <w:r>
              <w:rPr>
                <w:rFonts w:ascii="Arial" w:cs="Arial" w:eastAsia="Arial" w:hAnsi="Arial"/>
                <w:sz w:val="18"/>
                <w:szCs w:val="18"/>
                <w:color w:val="auto"/>
              </w:rPr>
              <w:t>date</w:t>
            </w:r>
          </w:p>
        </w:tc>
        <w:tc>
          <w:tcPr>
            <w:tcW w:w="30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Common stock, $0.01 par value—authorized 250 shares; issued 137 shares, at each date</w:t>
            </w:r>
          </w:p>
        </w:tc>
        <w:tc>
          <w:tcPr>
            <w:tcW w:w="300" w:type="dxa"/>
            <w:vAlign w:val="bottom"/>
          </w:tcPr>
          <w:p>
            <w:pPr>
              <w:spacing w:after="0"/>
              <w:rPr>
                <w:sz w:val="23"/>
                <w:szCs w:val="23"/>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23"/>
                <w:szCs w:val="23"/>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6,779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6,820</w:t>
            </w:r>
          </w:p>
        </w:tc>
        <w:tc>
          <w:tcPr>
            <w:tcW w:w="0" w:type="dxa"/>
            <w:vAlign w:val="bottom"/>
          </w:tcPr>
          <w:p>
            <w:pPr>
              <w:spacing w:after="0"/>
              <w:rPr>
                <w:sz w:val="1"/>
                <w:szCs w:val="1"/>
                <w:color w:val="auto"/>
              </w:rPr>
            </w:pPr>
          </w:p>
        </w:tc>
      </w:tr>
      <w:tr>
        <w:trPr>
          <w:trHeight w:val="270"/>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Accumulated deficit</w:t>
            </w:r>
          </w:p>
        </w:tc>
        <w:tc>
          <w:tcPr>
            <w:tcW w:w="3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(1,316)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70"/>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7"/>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Treasury stock, at cost—57 and 56 shares, respectively</w:t>
            </w: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(5,020)</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(5,002)</w:t>
            </w:r>
          </w:p>
        </w:tc>
        <w:tc>
          <w:tcPr>
            <w:tcW w:w="0" w:type="dxa"/>
            <w:vAlign w:val="bottom"/>
          </w:tcPr>
          <w:p>
            <w:pPr>
              <w:spacing w:after="0"/>
              <w:rPr>
                <w:sz w:val="1"/>
                <w:szCs w:val="1"/>
                <w:color w:val="auto"/>
              </w:rPr>
            </w:pPr>
          </w:p>
        </w:tc>
      </w:tr>
      <w:tr>
        <w:trPr>
          <w:trHeight w:val="250"/>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50"/>
        </w:trPr>
        <w:tc>
          <w:tcPr>
            <w:tcW w:w="788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20,919</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17,699</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 (Unaudited).</w:t>
      </w:r>
    </w:p>
    <w:p>
      <w:pPr>
        <w:sectPr>
          <w:pgSz w:w="11900" w:h="16838" w:orient="portrait"/>
          <w:cols w:equalWidth="0" w:num="1">
            <w:col w:w="11420"/>
          </w:cols>
          <w:pgMar w:left="240" w:top="108" w:right="239" w:bottom="125"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08" w:right="239" w:bottom="125"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3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57"/>
        </w:trPr>
        <w:tc>
          <w:tcPr>
            <w:tcW w:w="1400" w:type="dxa"/>
            <w:vAlign w:val="bottom"/>
            <w:tcBorders>
              <w:top w:val="single" w:sz="8" w:color="0000EE"/>
            </w:tcBorders>
          </w:tcPr>
          <w:p>
            <w:pPr>
              <w:spacing w:after="0"/>
              <w:rPr>
                <w:sz w:val="24"/>
                <w:szCs w:val="24"/>
                <w:color w:val="auto"/>
              </w:rPr>
            </w:pPr>
          </w:p>
        </w:tc>
        <w:tc>
          <w:tcPr>
            <w:tcW w:w="6940" w:type="dxa"/>
            <w:vAlign w:val="bottom"/>
          </w:tcPr>
          <w:p>
            <w:pPr>
              <w:jc w:val="center"/>
              <w:ind w:left="1610"/>
              <w:spacing w:after="0"/>
              <w:rPr>
                <w:sz w:val="20"/>
                <w:szCs w:val="20"/>
                <w:color w:val="auto"/>
              </w:rPr>
            </w:pPr>
            <w:r>
              <w:rPr>
                <w:rFonts w:ascii="Arial" w:cs="Arial" w:eastAsia="Arial" w:hAnsi="Arial"/>
                <w:sz w:val="18"/>
                <w:szCs w:val="18"/>
                <w:b w:val="1"/>
                <w:bCs w:val="1"/>
                <w:color w:val="auto"/>
                <w:w w:val="99"/>
              </w:rPr>
              <w:t>Avis Budget Group, Inc.</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1400" w:type="dxa"/>
            <w:vAlign w:val="bottom"/>
          </w:tcPr>
          <w:p>
            <w:pPr>
              <w:spacing w:after="0"/>
              <w:rPr>
                <w:sz w:val="18"/>
                <w:szCs w:val="18"/>
                <w:color w:val="auto"/>
              </w:rPr>
            </w:pPr>
          </w:p>
        </w:tc>
        <w:tc>
          <w:tcPr>
            <w:tcW w:w="7280" w:type="dxa"/>
            <w:vAlign w:val="bottom"/>
            <w:gridSpan w:val="2"/>
          </w:tcPr>
          <w:p>
            <w:pPr>
              <w:jc w:val="center"/>
              <w:ind w:left="1250"/>
              <w:spacing w:after="0"/>
              <w:rPr>
                <w:sz w:val="20"/>
                <w:szCs w:val="20"/>
                <w:color w:val="auto"/>
              </w:rPr>
            </w:pPr>
            <w:r>
              <w:rPr>
                <w:rFonts w:ascii="Arial" w:cs="Arial" w:eastAsia="Arial" w:hAnsi="Arial"/>
                <w:sz w:val="18"/>
                <w:szCs w:val="18"/>
                <w:b w:val="1"/>
                <w:bCs w:val="1"/>
                <w:color w:val="auto"/>
                <w:w w:val="99"/>
              </w:rPr>
              <w:t>CONSOLIDATED CONDENSED STATEMENTS OF CASH FLOWS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400" w:type="dxa"/>
            <w:vAlign w:val="bottom"/>
          </w:tcPr>
          <w:p>
            <w:pPr>
              <w:spacing w:after="0"/>
              <w:rPr>
                <w:sz w:val="18"/>
                <w:szCs w:val="18"/>
                <w:color w:val="auto"/>
              </w:rPr>
            </w:pPr>
          </w:p>
        </w:tc>
        <w:tc>
          <w:tcPr>
            <w:tcW w:w="6940" w:type="dxa"/>
            <w:vAlign w:val="bottom"/>
          </w:tcPr>
          <w:p>
            <w:pPr>
              <w:jc w:val="center"/>
              <w:ind w:left="1590"/>
              <w:spacing w:after="0"/>
              <w:rPr>
                <w:sz w:val="20"/>
                <w:szCs w:val="20"/>
                <w:color w:val="auto"/>
              </w:rPr>
            </w:pPr>
            <w:r>
              <w:rPr>
                <w:rFonts w:ascii="Arial" w:cs="Arial" w:eastAsia="Arial" w:hAnsi="Arial"/>
                <w:sz w:val="18"/>
                <w:szCs w:val="18"/>
                <w:b w:val="1"/>
                <w:bCs w:val="1"/>
                <w:color w:val="auto"/>
              </w:rPr>
              <w:t>(In millions)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9"/>
        </w:trPr>
        <w:tc>
          <w:tcPr>
            <w:tcW w:w="1400" w:type="dxa"/>
            <w:vAlign w:val="bottom"/>
          </w:tcPr>
          <w:p>
            <w:pPr>
              <w:spacing w:after="0"/>
              <w:rPr>
                <w:sz w:val="20"/>
                <w:szCs w:val="20"/>
                <w:color w:val="auto"/>
              </w:rPr>
            </w:pPr>
          </w:p>
        </w:tc>
        <w:tc>
          <w:tcPr>
            <w:tcW w:w="694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(Unaudited)</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42"/>
        </w:trPr>
        <w:tc>
          <w:tcPr>
            <w:tcW w:w="140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4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Six Months Ended</w:t>
            </w:r>
          </w:p>
        </w:tc>
      </w:tr>
      <w:tr>
        <w:trPr>
          <w:trHeight w:val="246"/>
        </w:trPr>
        <w:tc>
          <w:tcPr>
            <w:tcW w:w="140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21"/>
                <w:szCs w:val="21"/>
                <w:color w:val="auto"/>
              </w:rPr>
            </w:pPr>
          </w:p>
        </w:tc>
      </w:tr>
      <w:tr>
        <w:trPr>
          <w:trHeight w:val="264"/>
        </w:trPr>
        <w:tc>
          <w:tcPr>
            <w:tcW w:w="1400" w:type="dxa"/>
            <w:vAlign w:val="bottom"/>
          </w:tcPr>
          <w:p>
            <w:pPr>
              <w:spacing w:after="0"/>
              <w:rPr>
                <w:sz w:val="22"/>
                <w:szCs w:val="22"/>
                <w:color w:val="auto"/>
              </w:rPr>
            </w:pPr>
          </w:p>
        </w:tc>
        <w:tc>
          <w:tcPr>
            <w:tcW w:w="69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r>
      <w:tr>
        <w:trPr>
          <w:trHeight w:val="23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9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5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84"/>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Vehicle depreciation</w:t>
            </w: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996</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953</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(Gain) loss on sale of vehicles, net</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51</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Non-vehicle related depreciation and amortization</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128</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Amortization of debt financing fees</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Early extinguishment of debt costs</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57"/>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Net change in assets and liabilities:</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84"/>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Receivables</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0"/>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Income taxes and deferred income taxes</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70"/>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Accounts payable and other current liabilities</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112</w:t>
            </w:r>
          </w:p>
        </w:tc>
      </w:tr>
      <w:tr>
        <w:trPr>
          <w:trHeight w:val="277"/>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99</w:t>
            </w:r>
          </w:p>
        </w:tc>
      </w:tr>
      <w:tr>
        <w:trPr>
          <w:trHeight w:val="25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1,121</w:t>
            </w:r>
          </w:p>
        </w:tc>
        <w:tc>
          <w:tcPr>
            <w:tcW w:w="1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1,139</w:t>
            </w:r>
          </w:p>
        </w:tc>
      </w:tr>
      <w:tr>
        <w:trPr>
          <w:trHeight w:val="527"/>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84"/>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Property and equipment additions</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7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Proceeds received on asset sales</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Net assets acquired (net of cash acquired)</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used in investing activities exclusive of vehicle programs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r>
      <w:tr>
        <w:trPr>
          <w:trHeight w:val="527"/>
        </w:trPr>
        <w:tc>
          <w:tcPr>
            <w:tcW w:w="8340" w:type="dxa"/>
            <w:vAlign w:val="bottom"/>
            <w:gridSpan w:val="2"/>
          </w:tcPr>
          <w:p>
            <w:pPr>
              <w:ind w:left="40"/>
              <w:spacing w:after="0"/>
              <w:rPr>
                <w:sz w:val="20"/>
                <w:szCs w:val="20"/>
                <w:color w:val="auto"/>
              </w:rPr>
            </w:pPr>
            <w:r>
              <w:rPr>
                <w:rFonts w:ascii="Arial" w:cs="Arial" w:eastAsia="Arial" w:hAnsi="Arial"/>
                <w:sz w:val="18"/>
                <w:szCs w:val="18"/>
                <w:i w:val="1"/>
                <w:iCs w:val="1"/>
                <w:color w:val="auto"/>
              </w:rPr>
              <w:t>Vehicle programs: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84"/>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Investment in vehicles</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(8,359)</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(8,116)</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Proceeds received on disposition of vehicles</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4,807</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5,059</w:t>
            </w:r>
          </w:p>
        </w:tc>
      </w:tr>
      <w:tr>
        <w:trPr>
          <w:trHeight w:val="277"/>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Investment in debt securities of Avis Budget Rental Car Funding (AESOP) LLC—related party</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50"/>
        </w:trPr>
        <w:tc>
          <w:tcPr>
            <w:tcW w:w="140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(3,574)</w:t>
            </w:r>
          </w:p>
        </w:tc>
        <w:tc>
          <w:tcPr>
            <w:tcW w:w="1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(3,090)</w:t>
            </w:r>
          </w:p>
        </w:tc>
      </w:tr>
      <w:tr>
        <w:trPr>
          <w:trHeight w:val="25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(3,748)</w:t>
            </w:r>
          </w:p>
        </w:tc>
        <w:tc>
          <w:tcPr>
            <w:tcW w:w="1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(3,186)</w:t>
            </w:r>
          </w:p>
        </w:tc>
      </w:tr>
      <w:tr>
        <w:trPr>
          <w:trHeight w:val="675"/>
        </w:trPr>
        <w:tc>
          <w:tcPr>
            <w:tcW w:w="8340" w:type="dxa"/>
            <w:vAlign w:val="bottom"/>
            <w:gridSpan w:val="2"/>
          </w:tcPr>
          <w:p>
            <w:pPr>
              <w:jc w:val="center"/>
              <w:ind w:left="2990"/>
              <w:spacing w:after="0"/>
              <w:rPr>
                <w:sz w:val="20"/>
                <w:szCs w:val="20"/>
                <w:color w:val="auto"/>
              </w:rPr>
            </w:pPr>
            <w:r>
              <w:rPr>
                <w:rFonts w:ascii="Arial" w:cs="Arial" w:eastAsia="Arial" w:hAnsi="Arial"/>
                <w:sz w:val="18"/>
                <w:szCs w:val="18"/>
                <w:color w:val="auto"/>
                <w:w w:val="99"/>
              </w:rPr>
              <w:t>5</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646"/>
        </w:trPr>
        <w:tc>
          <w:tcPr>
            <w:tcW w:w="1400" w:type="dxa"/>
            <w:vAlign w:val="bottom"/>
            <w:tcBorders>
              <w:top w:val="single" w:sz="8" w:color="0000EE"/>
            </w:tcBorders>
          </w:tcPr>
          <w:p>
            <w:pPr>
              <w:spacing w:after="0"/>
              <w:rPr>
                <w:sz w:val="24"/>
                <w:szCs w:val="24"/>
                <w:color w:val="auto"/>
              </w:rPr>
            </w:pPr>
          </w:p>
        </w:tc>
        <w:tc>
          <w:tcPr>
            <w:tcW w:w="6940" w:type="dxa"/>
            <w:vAlign w:val="bottom"/>
          </w:tcPr>
          <w:p>
            <w:pPr>
              <w:jc w:val="center"/>
              <w:ind w:left="1610"/>
              <w:spacing w:after="0"/>
              <w:rPr>
                <w:sz w:val="20"/>
                <w:szCs w:val="20"/>
                <w:color w:val="auto"/>
              </w:rPr>
            </w:pPr>
            <w:r>
              <w:rPr>
                <w:rFonts w:ascii="Arial" w:cs="Arial" w:eastAsia="Arial" w:hAnsi="Arial"/>
                <w:sz w:val="18"/>
                <w:szCs w:val="18"/>
                <w:b w:val="1"/>
                <w:bCs w:val="1"/>
                <w:color w:val="auto"/>
                <w:w w:val="99"/>
              </w:rPr>
              <w:t>Avis Budget Group, Inc.</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1400" w:type="dxa"/>
            <w:vAlign w:val="bottom"/>
          </w:tcPr>
          <w:p>
            <w:pPr>
              <w:spacing w:after="0"/>
              <w:rPr>
                <w:sz w:val="18"/>
                <w:szCs w:val="18"/>
                <w:color w:val="auto"/>
              </w:rPr>
            </w:pPr>
          </w:p>
        </w:tc>
        <w:tc>
          <w:tcPr>
            <w:tcW w:w="85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CONSOLIDATED CONDENSED STATEMENTS OF CASH FLOWS (Continued)</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400" w:type="dxa"/>
            <w:vAlign w:val="bottom"/>
          </w:tcPr>
          <w:p>
            <w:pPr>
              <w:spacing w:after="0"/>
              <w:rPr>
                <w:sz w:val="18"/>
                <w:szCs w:val="18"/>
                <w:color w:val="auto"/>
              </w:rPr>
            </w:pPr>
          </w:p>
        </w:tc>
        <w:tc>
          <w:tcPr>
            <w:tcW w:w="6940" w:type="dxa"/>
            <w:vAlign w:val="bottom"/>
          </w:tcPr>
          <w:p>
            <w:pPr>
              <w:jc w:val="center"/>
              <w:ind w:left="1590"/>
              <w:spacing w:after="0"/>
              <w:rPr>
                <w:sz w:val="20"/>
                <w:szCs w:val="20"/>
                <w:color w:val="auto"/>
              </w:rPr>
            </w:pPr>
            <w:r>
              <w:rPr>
                <w:rFonts w:ascii="Arial" w:cs="Arial" w:eastAsia="Arial" w:hAnsi="Arial"/>
                <w:sz w:val="18"/>
                <w:szCs w:val="18"/>
                <w:b w:val="1"/>
                <w:bCs w:val="1"/>
                <w:color w:val="auto"/>
              </w:rPr>
              <w:t>(In millions)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9"/>
        </w:trPr>
        <w:tc>
          <w:tcPr>
            <w:tcW w:w="1400" w:type="dxa"/>
            <w:vAlign w:val="bottom"/>
          </w:tcPr>
          <w:p>
            <w:pPr>
              <w:spacing w:after="0"/>
              <w:rPr>
                <w:sz w:val="20"/>
                <w:szCs w:val="20"/>
                <w:color w:val="auto"/>
              </w:rPr>
            </w:pPr>
          </w:p>
        </w:tc>
        <w:tc>
          <w:tcPr>
            <w:tcW w:w="6940" w:type="dxa"/>
            <w:vAlign w:val="bottom"/>
          </w:tcPr>
          <w:p>
            <w:pPr>
              <w:jc w:val="center"/>
              <w:ind w:left="1610"/>
              <w:spacing w:after="0"/>
              <w:rPr>
                <w:sz w:val="20"/>
                <w:szCs w:val="20"/>
                <w:color w:val="auto"/>
              </w:rPr>
            </w:pPr>
            <w:r>
              <w:rPr>
                <w:rFonts w:ascii="Arial" w:cs="Arial" w:eastAsia="Arial" w:hAnsi="Arial"/>
                <w:sz w:val="18"/>
                <w:szCs w:val="18"/>
                <w:b w:val="1"/>
                <w:bCs w:val="1"/>
                <w:color w:val="auto"/>
                <w:w w:val="99"/>
              </w:rPr>
              <w:t>(Unaudited)</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61"/>
        </w:trPr>
        <w:tc>
          <w:tcPr>
            <w:tcW w:w="1400" w:type="dxa"/>
            <w:vAlign w:val="bottom"/>
          </w:tcPr>
          <w:p>
            <w:pPr>
              <w:spacing w:after="0"/>
              <w:rPr>
                <w:sz w:val="22"/>
                <w:szCs w:val="22"/>
                <w:color w:val="auto"/>
              </w:rPr>
            </w:pPr>
          </w:p>
        </w:tc>
        <w:tc>
          <w:tcPr>
            <w:tcW w:w="69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74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Six Months Ended</w:t>
            </w:r>
          </w:p>
        </w:tc>
      </w:tr>
      <w:tr>
        <w:trPr>
          <w:trHeight w:val="246"/>
        </w:trPr>
        <w:tc>
          <w:tcPr>
            <w:tcW w:w="140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21"/>
                <w:szCs w:val="21"/>
                <w:color w:val="auto"/>
              </w:rPr>
            </w:pPr>
          </w:p>
        </w:tc>
      </w:tr>
      <w:tr>
        <w:trPr>
          <w:trHeight w:val="264"/>
        </w:trPr>
        <w:tc>
          <w:tcPr>
            <w:tcW w:w="1400" w:type="dxa"/>
            <w:vAlign w:val="bottom"/>
          </w:tcPr>
          <w:p>
            <w:pPr>
              <w:spacing w:after="0"/>
              <w:rPr>
                <w:sz w:val="22"/>
                <w:szCs w:val="22"/>
                <w:color w:val="auto"/>
              </w:rPr>
            </w:pPr>
          </w:p>
        </w:tc>
        <w:tc>
          <w:tcPr>
            <w:tcW w:w="69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r>
      <w:tr>
        <w:trPr>
          <w:trHeight w:val="23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9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Proceeds from long-term borrowings</w:t>
            </w: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589</w:t>
            </w:r>
          </w:p>
        </w:tc>
      </w:tr>
      <w:tr>
        <w:trPr>
          <w:trHeight w:val="27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Payments on long-term borrowings</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(591)</w:t>
            </w:r>
          </w:p>
        </w:tc>
      </w:tr>
      <w:tr>
        <w:trPr>
          <w:trHeight w:val="27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Net change in short-term borrowings</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Repurchases of common stock</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7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Debt financing fees</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used in financing activities exclusive of vehicle programs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r>
      <w:tr>
        <w:trPr>
          <w:trHeight w:val="527"/>
        </w:trPr>
        <w:tc>
          <w:tcPr>
            <w:tcW w:w="8340" w:type="dxa"/>
            <w:vAlign w:val="bottom"/>
            <w:gridSpan w:val="2"/>
          </w:tcPr>
          <w:p>
            <w:pPr>
              <w:ind w:left="40"/>
              <w:spacing w:after="0"/>
              <w:rPr>
                <w:sz w:val="20"/>
                <w:szCs w:val="20"/>
                <w:color w:val="auto"/>
              </w:rPr>
            </w:pPr>
            <w:r>
              <w:rPr>
                <w:rFonts w:ascii="Arial" w:cs="Arial" w:eastAsia="Arial" w:hAnsi="Arial"/>
                <w:sz w:val="18"/>
                <w:szCs w:val="18"/>
                <w:i w:val="1"/>
                <w:iCs w:val="1"/>
                <w:color w:val="auto"/>
              </w:rPr>
              <w:t>Vehicle programs: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84"/>
        </w:trPr>
        <w:tc>
          <w:tcPr>
            <w:tcW w:w="8340" w:type="dxa"/>
            <w:vAlign w:val="bottom"/>
            <w:gridSpan w:val="2"/>
          </w:tcPr>
          <w:p>
            <w:pPr>
              <w:ind w:left="140"/>
              <w:spacing w:after="0"/>
              <w:rPr>
                <w:sz w:val="20"/>
                <w:szCs w:val="20"/>
                <w:color w:val="auto"/>
              </w:rPr>
            </w:pPr>
            <w:r>
              <w:rPr>
                <w:rFonts w:ascii="Arial" w:cs="Arial" w:eastAsia="Arial" w:hAnsi="Arial"/>
                <w:sz w:val="18"/>
                <w:szCs w:val="18"/>
                <w:color w:val="auto"/>
              </w:rPr>
              <w:t>Proceeds from borrowings</w:t>
            </w: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10,145</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11,255</w:t>
            </w:r>
          </w:p>
        </w:tc>
      </w:tr>
      <w:tr>
        <w:trPr>
          <w:trHeight w:val="270"/>
        </w:trPr>
        <w:tc>
          <w:tcPr>
            <w:tcW w:w="8340" w:type="dxa"/>
            <w:vAlign w:val="bottom"/>
            <w:gridSpan w:val="2"/>
          </w:tcPr>
          <w:p>
            <w:pPr>
              <w:ind w:left="140"/>
              <w:spacing w:after="0"/>
              <w:rPr>
                <w:sz w:val="20"/>
                <w:szCs w:val="20"/>
                <w:color w:val="auto"/>
              </w:rPr>
            </w:pPr>
            <w:r>
              <w:rPr>
                <w:rFonts w:ascii="Arial" w:cs="Arial" w:eastAsia="Arial" w:hAnsi="Arial"/>
                <w:sz w:val="18"/>
                <w:szCs w:val="18"/>
                <w:color w:val="auto"/>
              </w:rPr>
              <w:t>Payments on borrowings</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(7,643)</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(8,988)</w:t>
            </w:r>
          </w:p>
        </w:tc>
      </w:tr>
      <w:tr>
        <w:trPr>
          <w:trHeight w:val="277"/>
        </w:trPr>
        <w:tc>
          <w:tcPr>
            <w:tcW w:w="8340" w:type="dxa"/>
            <w:vAlign w:val="bottom"/>
            <w:gridSpan w:val="2"/>
          </w:tcPr>
          <w:p>
            <w:pPr>
              <w:ind w:left="140"/>
              <w:spacing w:after="0"/>
              <w:rPr>
                <w:sz w:val="20"/>
                <w:szCs w:val="20"/>
                <w:color w:val="auto"/>
              </w:rPr>
            </w:pPr>
            <w:r>
              <w:rPr>
                <w:rFonts w:ascii="Arial" w:cs="Arial" w:eastAsia="Arial" w:hAnsi="Arial"/>
                <w:sz w:val="18"/>
                <w:szCs w:val="18"/>
                <w:color w:val="auto"/>
              </w:rPr>
              <w:t>Debt financing fees</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50"/>
        </w:trPr>
        <w:tc>
          <w:tcPr>
            <w:tcW w:w="140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2,489</w:t>
            </w:r>
          </w:p>
        </w:tc>
        <w:tc>
          <w:tcPr>
            <w:tcW w:w="1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2,259</w:t>
            </w:r>
          </w:p>
        </w:tc>
      </w:tr>
      <w:tr>
        <w:trPr>
          <w:trHeight w:val="25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provided by financing activities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2,389</w:t>
            </w:r>
          </w:p>
        </w:tc>
        <w:tc>
          <w:tcPr>
            <w:tcW w:w="1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2,139</w:t>
            </w:r>
          </w:p>
        </w:tc>
      </w:tr>
      <w:tr>
        <w:trPr>
          <w:trHeight w:val="54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Effect of changes in exchange rates on cash and cash equivalents, program and restricted cash</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w:t>
            </w:r>
          </w:p>
        </w:tc>
      </w:tr>
      <w:tr>
        <w:trPr>
          <w:trHeight w:val="54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Net (decrease) increase in cash and cash equivalents, program and restricted cash</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128</w:t>
            </w:r>
          </w:p>
        </w:tc>
      </w:tr>
      <w:tr>
        <w:trPr>
          <w:trHeight w:val="27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program and restricted cash, beginning of period</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901</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720</w:t>
            </w:r>
          </w:p>
        </w:tc>
      </w:tr>
      <w:tr>
        <w:trPr>
          <w:trHeight w:val="25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and cash equivalents, program and restricted cash, end of period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661</w:t>
            </w:r>
          </w:p>
        </w:tc>
        <w:tc>
          <w:tcPr>
            <w:tcW w:w="120" w:type="dxa"/>
            <w:vAlign w:val="bottom"/>
          </w:tcPr>
          <w:p>
            <w:pPr>
              <w:spacing w:after="0"/>
              <w:rPr>
                <w:sz w:val="21"/>
                <w:szCs w:val="21"/>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848</w:t>
            </w:r>
          </w:p>
        </w:tc>
      </w:tr>
      <w:tr>
        <w:trPr>
          <w:trHeight w:val="20"/>
        </w:trPr>
        <w:tc>
          <w:tcPr>
            <w:tcW w:w="140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 (Unaudited).</w:t>
      </w:r>
    </w:p>
    <w:p>
      <w:pPr>
        <w:sectPr>
          <w:pgSz w:w="11900" w:h="16838" w:orient="portrait"/>
          <w:cols w:equalWidth="0" w:num="1">
            <w:col w:w="11420"/>
          </w:cols>
          <w:pgMar w:left="240" w:top="10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08" w:right="2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CONDENSED FINANCIAL STATEMENTS (Unaudited)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(Unless otherwise noted, all dollar amounts in tables are in millions, except per share amounts)</w:t>
      </w:r>
    </w:p>
    <w:p>
      <w:pPr>
        <w:spacing w:after="0" w:line="203"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47" w:lineRule="exact"/>
        <w:rPr>
          <w:rFonts w:ascii="Arial" w:cs="Arial" w:eastAsia="Arial" w:hAnsi="Arial"/>
          <w:sz w:val="18"/>
          <w:szCs w:val="18"/>
          <w:b w:val="1"/>
          <w:bCs w:val="1"/>
          <w:color w:val="auto"/>
        </w:rPr>
      </w:pPr>
    </w:p>
    <w:p>
      <w:pPr>
        <w:ind w:left="50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Avis Budget Group, Inc. provides vehicle rental and other mobility solutions to businesses and consumers worldwide. The accompanying unaudited Consolidated Condensed Financial Statements include the accounts and transactions of Avis Budget Group, Inc. and its subsidiaries, as well as entities in which Avis Budget Group, Inc. directly or indirectly has a controlling financial interest (collectively, the “Company”), and have been prepared pursuant to the rules and regulations of the U.S. Securities and Exchange Commission for interim financial reporting.</w:t>
      </w:r>
    </w:p>
    <w:p>
      <w:pPr>
        <w:spacing w:after="0" w:line="15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Company operates the following reportable business segments:</w:t>
      </w:r>
    </w:p>
    <w:p>
      <w:pPr>
        <w:spacing w:after="0" w:line="203" w:lineRule="exact"/>
        <w:rPr>
          <w:rFonts w:ascii="Arial" w:cs="Arial" w:eastAsia="Arial" w:hAnsi="Arial"/>
          <w:sz w:val="18"/>
          <w:szCs w:val="18"/>
          <w:b w:val="1"/>
          <w:bCs w:val="1"/>
          <w:color w:val="auto"/>
        </w:rPr>
      </w:pPr>
    </w:p>
    <w:p>
      <w:pPr>
        <w:ind w:left="1300" w:right="200" w:hanging="482"/>
        <w:spacing w:after="0" w:line="269"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t>Americas</w:t>
      </w:r>
      <w:r>
        <w:rPr>
          <w:rFonts w:ascii="Arial" w:cs="Arial" w:eastAsia="Arial" w:hAnsi="Arial"/>
          <w:sz w:val="18"/>
          <w:szCs w:val="18"/>
          <w:color w:val="auto"/>
        </w:rPr>
        <w:t>—consisting primarily of (i) vehicle rental operations in North America, South America, Central America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Caribbean, (ii) car sharing operations in certain of these markets, and (iii) licensees in the areas in which the Company does not operate directly.</w:t>
      </w:r>
    </w:p>
    <w:p>
      <w:pPr>
        <w:spacing w:after="0" w:line="168" w:lineRule="exact"/>
        <w:rPr>
          <w:rFonts w:ascii="Arial" w:cs="Arial" w:eastAsia="Arial" w:hAnsi="Arial"/>
          <w:sz w:val="18"/>
          <w:szCs w:val="18"/>
          <w:color w:val="auto"/>
        </w:rPr>
      </w:pPr>
    </w:p>
    <w:p>
      <w:pPr>
        <w:ind w:left="1300" w:right="100" w:hanging="482"/>
        <w:spacing w:after="0" w:line="269"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t>International</w:t>
      </w:r>
      <w:r>
        <w:rPr>
          <w:rFonts w:ascii="Arial" w:cs="Arial" w:eastAsia="Arial" w:hAnsi="Arial"/>
          <w:sz w:val="18"/>
          <w:szCs w:val="18"/>
          <w:color w:val="auto"/>
        </w:rPr>
        <w:t>—consisting primarily of (i) vehicle rental operations in Europe, the Middle East, Africa, Asia and Australasia, (ii)</w:t>
      </w:r>
      <w:r>
        <w:rPr>
          <w:rFonts w:ascii="Arial" w:cs="Arial" w:eastAsia="Arial" w:hAnsi="Arial"/>
          <w:sz w:val="18"/>
          <w:szCs w:val="18"/>
          <w:b w:val="1"/>
          <w:bCs w:val="1"/>
          <w:color w:val="auto"/>
        </w:rPr>
        <w:t xml:space="preserve"> </w:t>
      </w:r>
      <w:r>
        <w:rPr>
          <w:rFonts w:ascii="Arial" w:cs="Arial" w:eastAsia="Arial" w:hAnsi="Arial"/>
          <w:sz w:val="18"/>
          <w:szCs w:val="18"/>
          <w:color w:val="auto"/>
        </w:rPr>
        <w:t>car sharing operations in certain of these markets, and (iii) licensees in the areas in which the Company does not operate directly.</w:t>
      </w:r>
    </w:p>
    <w:p>
      <w:pPr>
        <w:spacing w:after="0" w:line="190" w:lineRule="exact"/>
        <w:rPr>
          <w:sz w:val="20"/>
          <w:szCs w:val="20"/>
          <w:color w:val="auto"/>
        </w:rPr>
      </w:pPr>
    </w:p>
    <w:p>
      <w:pPr>
        <w:ind w:left="500" w:right="40"/>
        <w:spacing w:after="0" w:line="254" w:lineRule="auto"/>
        <w:rPr>
          <w:sz w:val="20"/>
          <w:szCs w:val="20"/>
          <w:color w:val="auto"/>
        </w:rPr>
      </w:pPr>
      <w:r>
        <w:rPr>
          <w:rFonts w:ascii="Arial" w:cs="Arial" w:eastAsia="Arial" w:hAnsi="Arial"/>
          <w:sz w:val="18"/>
          <w:szCs w:val="18"/>
          <w:color w:val="auto"/>
        </w:rPr>
        <w:t>The operating results of acquired businesses are included in the accompanying Consolidated Condensed Financial Statements from the dates of acquisition. The fair value of the assets acquired and liabilities assumed in connection with the Company’s fourth quarter 2017 acquisitions of ACL Hire Limited and various licensees in Europe and North America have not yet been finalized; however, there have been no significant changes to the preliminary allocation of the purchase price during the six months ended June 30, 2018.</w:t>
      </w:r>
    </w:p>
    <w:p>
      <w:pPr>
        <w:spacing w:after="0" w:line="204" w:lineRule="exact"/>
        <w:rPr>
          <w:sz w:val="20"/>
          <w:szCs w:val="20"/>
          <w:color w:val="auto"/>
        </w:rPr>
      </w:pPr>
    </w:p>
    <w:p>
      <w:pPr>
        <w:ind w:left="500" w:right="100"/>
        <w:spacing w:after="0" w:line="252" w:lineRule="auto"/>
        <w:rPr>
          <w:sz w:val="20"/>
          <w:szCs w:val="20"/>
          <w:color w:val="auto"/>
        </w:rPr>
      </w:pPr>
      <w:r>
        <w:rPr>
          <w:rFonts w:ascii="Arial" w:cs="Arial" w:eastAsia="Arial" w:hAnsi="Arial"/>
          <w:sz w:val="18"/>
          <w:szCs w:val="18"/>
          <w:color w:val="auto"/>
        </w:rPr>
        <w:t>In presenting the Consolidated Condensed Financial Statements in accordance with accounting principles generally accepted in the United States of America (“GAAP”), management makes estimates and assumptions that affect the amounts reported and related disclosures. Estimates, by their nature, are based on judgment and available information. Accordingly, actual results could differ from those estimates. In management’s opinion, the Consolidated Condensed Financial Statements contain all adjustments necessary for a fair presentation of interim results reported. The results of operations reported for interim periods are not necessarily indicative of the results of operations for the entire year or any subsequent interim period. These financial statements should be read in conjunction with the Company’s 2017 Form 10-K.</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247" w:lineRule="exact"/>
        <w:rPr>
          <w:sz w:val="20"/>
          <w:szCs w:val="20"/>
          <w:color w:val="auto"/>
        </w:rPr>
      </w:pPr>
    </w:p>
    <w:p>
      <w:pPr>
        <w:ind w:left="500" w:right="680"/>
        <w:spacing w:after="0" w:line="262" w:lineRule="auto"/>
        <w:rPr>
          <w:sz w:val="20"/>
          <w:szCs w:val="20"/>
          <w:color w:val="auto"/>
        </w:rPr>
      </w:pPr>
      <w:r>
        <w:rPr>
          <w:rFonts w:ascii="Arial" w:cs="Arial" w:eastAsia="Arial" w:hAnsi="Arial"/>
          <w:sz w:val="18"/>
          <w:szCs w:val="18"/>
          <w:color w:val="auto"/>
        </w:rPr>
        <w:t>The Company’s significant accounting policies are fully described in Note 2, “Summary of Significant Accounting Policies,” in the Company’s Annual Report on Form 10-K for fiscal year 2017.</w:t>
      </w:r>
    </w:p>
    <w:p>
      <w:pPr>
        <w:spacing w:after="0" w:line="178" w:lineRule="exact"/>
        <w:rPr>
          <w:sz w:val="20"/>
          <w:szCs w:val="20"/>
          <w:color w:val="auto"/>
        </w:rPr>
      </w:pPr>
    </w:p>
    <w:p>
      <w:pPr>
        <w:ind w:left="500" w:right="100"/>
        <w:spacing w:after="0" w:line="266" w:lineRule="auto"/>
        <w:rPr>
          <w:sz w:val="20"/>
          <w:szCs w:val="20"/>
          <w:color w:val="auto"/>
        </w:rPr>
      </w:pPr>
      <w:r>
        <w:rPr>
          <w:rFonts w:ascii="Arial" w:cs="Arial" w:eastAsia="Arial" w:hAnsi="Arial"/>
          <w:sz w:val="18"/>
          <w:szCs w:val="18"/>
          <w:i w:val="1"/>
          <w:iCs w:val="1"/>
          <w:color w:val="auto"/>
        </w:rPr>
        <w:t xml:space="preserve">Reclassifications. </w:t>
      </w:r>
      <w:r>
        <w:rPr>
          <w:rFonts w:ascii="Arial" w:cs="Arial" w:eastAsia="Arial" w:hAnsi="Arial"/>
          <w:sz w:val="18"/>
          <w:szCs w:val="18"/>
          <w:color w:val="auto"/>
        </w:rPr>
        <w:t>Certain reclassifications have been made to prior years’ Consolidated Condensed Financial Statements to conform to</w:t>
      </w:r>
      <w:r>
        <w:rPr>
          <w:rFonts w:ascii="Arial" w:cs="Arial" w:eastAsia="Arial" w:hAnsi="Arial"/>
          <w:sz w:val="18"/>
          <w:szCs w:val="18"/>
          <w:i w:val="1"/>
          <w:iCs w:val="1"/>
          <w:color w:val="auto"/>
        </w:rPr>
        <w:t xml:space="preserve"> </w:t>
      </w:r>
      <w:r>
        <w:rPr>
          <w:rFonts w:ascii="Arial" w:cs="Arial" w:eastAsia="Arial" w:hAnsi="Arial"/>
          <w:sz w:val="18"/>
          <w:szCs w:val="18"/>
          <w:color w:val="auto"/>
        </w:rPr>
        <w:t>the current year presentation. These reclassifications have no impact on reported net income (loss) (see “Adoption of New Accounting Pronouncements” below).</w:t>
      </w:r>
    </w:p>
    <w:p>
      <w:pPr>
        <w:spacing w:after="0" w:line="194" w:lineRule="exact"/>
        <w:rPr>
          <w:sz w:val="20"/>
          <w:szCs w:val="20"/>
          <w:color w:val="auto"/>
        </w:rPr>
      </w:pPr>
    </w:p>
    <w:p>
      <w:pPr>
        <w:ind w:left="500" w:right="40"/>
        <w:spacing w:after="0" w:line="254" w:lineRule="auto"/>
        <w:rPr>
          <w:sz w:val="20"/>
          <w:szCs w:val="20"/>
          <w:color w:val="auto"/>
        </w:rPr>
      </w:pPr>
      <w:r>
        <w:rPr>
          <w:rFonts w:ascii="Arial" w:cs="Arial" w:eastAsia="Arial" w:hAnsi="Arial"/>
          <w:sz w:val="18"/>
          <w:szCs w:val="18"/>
          <w:color w:val="auto"/>
        </w:rPr>
        <w:t>As of December 31, 2017, the Company elected to adopt the provisions of ASU 2016-18, “Statement of Cash Flows (Topic 230): Restricted Cash,” early on a retrospective basis. ASU 2016-18 clarifies guidance on the classification and presentation of restricted cash in the statement of cash flows. The following table provides the impact of adoption on the Company’s Consolidated Condensed Statements of Cash Flows for the six months ended June 30, 2017.</w:t>
      </w: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140" w:right="299" w:bottom="1440" w:gutter="0" w:footer="0" w:header="0"/>
        </w:sectPr>
      </w:pPr>
    </w:p>
    <w:bookmarkStart w:id="9" w:name="page10"/>
    <w:bookmarkEnd w:id="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253365</wp:posOffset>
            </wp:positionV>
            <wp:extent cx="26670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ectPr>
          <w:pgSz w:w="11900" w:h="16838" w:orient="portrait"/>
          <w:cols w:equalWidth="0" w:num="1">
            <w:col w:w="11400"/>
          </w:cols>
          <w:pgMar w:left="240" w:top="140"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60"/>
        <w:spacing w:after="0"/>
        <w:rPr>
          <w:sz w:val="20"/>
          <w:szCs w:val="20"/>
          <w:color w:val="auto"/>
        </w:rPr>
      </w:pPr>
      <w:r>
        <w:rPr>
          <w:rFonts w:ascii="Arial" w:cs="Arial" w:eastAsia="Arial" w:hAnsi="Arial"/>
          <w:sz w:val="14"/>
          <w:szCs w:val="14"/>
          <w:color w:val="auto"/>
        </w:rPr>
        <w:t>Decrease in program cash</w:t>
      </w:r>
    </w:p>
    <w:p>
      <w:pPr>
        <w:spacing w:after="0" w:line="109" w:lineRule="exact"/>
        <w:rPr>
          <w:sz w:val="20"/>
          <w:szCs w:val="20"/>
          <w:color w:val="auto"/>
        </w:rPr>
      </w:pPr>
    </w:p>
    <w:p>
      <w:pPr>
        <w:ind w:left="860"/>
        <w:spacing w:after="0"/>
        <w:rPr>
          <w:sz w:val="20"/>
          <w:szCs w:val="20"/>
          <w:color w:val="auto"/>
        </w:rPr>
      </w:pPr>
      <w:r>
        <w:rPr>
          <w:rFonts w:ascii="Arial" w:cs="Arial" w:eastAsia="Arial" w:hAnsi="Arial"/>
          <w:sz w:val="14"/>
          <w:szCs w:val="14"/>
          <w:color w:val="auto"/>
        </w:rPr>
        <w:t>Other, net</w:t>
      </w:r>
    </w:p>
    <w:p>
      <w:pPr>
        <w:spacing w:after="0" w:line="91"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Net cash used in investing activities</w:t>
      </w:r>
    </w:p>
    <w:p>
      <w:pPr>
        <w:spacing w:after="0" w:line="397" w:lineRule="exact"/>
        <w:rPr>
          <w:sz w:val="20"/>
          <w:szCs w:val="20"/>
          <w:color w:val="auto"/>
        </w:rPr>
      </w:pPr>
    </w:p>
    <w:p>
      <w:pPr>
        <w:ind w:left="1020" w:hanging="161"/>
        <w:spacing w:after="0" w:line="258" w:lineRule="auto"/>
        <w:rPr>
          <w:sz w:val="20"/>
          <w:szCs w:val="20"/>
          <w:color w:val="auto"/>
        </w:rPr>
      </w:pPr>
      <w:r>
        <w:rPr>
          <w:rFonts w:ascii="Arial" w:cs="Arial" w:eastAsia="Arial" w:hAnsi="Arial"/>
          <w:sz w:val="14"/>
          <w:szCs w:val="14"/>
          <w:color w:val="auto"/>
        </w:rPr>
        <w:t>Effect of changes in exchange rates on cash and cash equivalents, program and restricted cash</w:t>
      </w:r>
    </w:p>
    <w:p>
      <w:pPr>
        <w:spacing w:after="0" w:line="302" w:lineRule="exact"/>
        <w:rPr>
          <w:sz w:val="20"/>
          <w:szCs w:val="20"/>
          <w:color w:val="auto"/>
        </w:rPr>
      </w:pPr>
    </w:p>
    <w:p>
      <w:pPr>
        <w:ind w:left="860" w:right="840"/>
        <w:spacing w:after="0" w:line="389" w:lineRule="auto"/>
        <w:rPr>
          <w:sz w:val="20"/>
          <w:szCs w:val="20"/>
          <w:color w:val="auto"/>
        </w:rPr>
      </w:pPr>
      <w:r>
        <w:rPr>
          <w:rFonts w:ascii="Arial" w:cs="Arial" w:eastAsia="Arial" w:hAnsi="Arial"/>
          <w:sz w:val="14"/>
          <w:szCs w:val="14"/>
          <w:color w:val="auto"/>
        </w:rPr>
        <w:t>Net increase in cash and cash equivalents, program and restricted cash Cash and cash equivalents, program and restricted cash, beginning of period</w:t>
      </w:r>
    </w:p>
    <w:p>
      <w:pPr>
        <w:ind w:left="860"/>
        <w:spacing w:after="0"/>
        <w:rPr>
          <w:sz w:val="20"/>
          <w:szCs w:val="20"/>
          <w:color w:val="auto"/>
        </w:rPr>
      </w:pPr>
      <w:r>
        <w:rPr>
          <w:rFonts w:ascii="Arial" w:cs="Arial" w:eastAsia="Arial" w:hAnsi="Arial"/>
          <w:sz w:val="14"/>
          <w:szCs w:val="14"/>
          <w:b w:val="1"/>
          <w:bCs w:val="1"/>
          <w:color w:val="auto"/>
        </w:rPr>
        <w:t>Cash and cash equivalents, program and restricted cash,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7"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Six Months Ended June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wp:posOffset>
            </wp:positionV>
            <wp:extent cx="26670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As Previously</w:t>
            </w: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96"/>
        </w:trPr>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Reported</w:t>
            </w:r>
          </w:p>
        </w:tc>
        <w:tc>
          <w:tcPr>
            <w:tcW w:w="1440" w:type="dxa"/>
            <w:vAlign w:val="bottom"/>
            <w:gridSpan w:val="3"/>
          </w:tcPr>
          <w:p>
            <w:pPr>
              <w:ind w:left="100"/>
              <w:spacing w:after="0"/>
              <w:rPr>
                <w:sz w:val="20"/>
                <w:szCs w:val="20"/>
                <w:color w:val="auto"/>
              </w:rPr>
            </w:pPr>
            <w:r>
              <w:rPr>
                <w:rFonts w:ascii="Arial" w:cs="Arial" w:eastAsia="Arial" w:hAnsi="Arial"/>
                <w:sz w:val="14"/>
                <w:szCs w:val="14"/>
                <w:b w:val="1"/>
                <w:bCs w:val="1"/>
                <w:color w:val="auto"/>
              </w:rPr>
              <w:t>Effect of Change</w:t>
            </w:r>
          </w:p>
        </w:tc>
        <w:tc>
          <w:tcPr>
            <w:tcW w:w="180" w:type="dxa"/>
            <w:vAlign w:val="bottom"/>
          </w:tcPr>
          <w:p>
            <w:pPr>
              <w:spacing w:after="0"/>
              <w:rPr>
                <w:sz w:val="17"/>
                <w:szCs w:val="17"/>
                <w:color w:val="auto"/>
              </w:rPr>
            </w:pPr>
          </w:p>
        </w:tc>
        <w:tc>
          <w:tcPr>
            <w:tcW w:w="1140" w:type="dxa"/>
            <w:vAlign w:val="bottom"/>
          </w:tcPr>
          <w:p>
            <w:pPr>
              <w:jc w:val="right"/>
              <w:ind w:right="168"/>
              <w:spacing w:after="0"/>
              <w:rPr>
                <w:sz w:val="20"/>
                <w:szCs w:val="20"/>
                <w:color w:val="auto"/>
              </w:rPr>
            </w:pPr>
            <w:r>
              <w:rPr>
                <w:rFonts w:ascii="Arial" w:cs="Arial" w:eastAsia="Arial" w:hAnsi="Arial"/>
                <w:sz w:val="14"/>
                <w:szCs w:val="14"/>
                <w:b w:val="1"/>
                <w:bCs w:val="1"/>
                <w:color w:val="auto"/>
              </w:rPr>
              <w:t>As Adjusted</w:t>
            </w:r>
          </w:p>
        </w:tc>
      </w:tr>
      <w:tr>
        <w:trPr>
          <w:trHeight w:val="244"/>
        </w:trPr>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21"/>
                <w:szCs w:val="21"/>
                <w:color w:val="auto"/>
              </w:rPr>
            </w:pPr>
          </w:p>
        </w:tc>
        <w:tc>
          <w:tcPr>
            <w:tcW w:w="540" w:type="dxa"/>
            <w:vAlign w:val="bottom"/>
            <w:tcBorders>
              <w:top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1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1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(3,019)</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(3,186)</w:t>
            </w:r>
          </w:p>
        </w:tc>
      </w:tr>
      <w:tr>
        <w:trPr>
          <w:trHeight w:val="648"/>
        </w:trPr>
        <w:tc>
          <w:tcPr>
            <w:tcW w:w="160" w:type="dxa"/>
            <w:vAlign w:val="bottom"/>
          </w:tcPr>
          <w:p>
            <w:pPr>
              <w:spacing w:after="0"/>
              <w:rPr>
                <w:sz w:val="24"/>
                <w:szCs w:val="24"/>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36</w:t>
            </w:r>
          </w:p>
        </w:tc>
      </w:tr>
      <w:tr>
        <w:trPr>
          <w:trHeight w:val="540"/>
        </w:trPr>
        <w:tc>
          <w:tcPr>
            <w:tcW w:w="160" w:type="dxa"/>
            <w:vAlign w:val="bottom"/>
          </w:tcPr>
          <w:p>
            <w:pPr>
              <w:spacing w:after="0"/>
              <w:rPr>
                <w:sz w:val="24"/>
                <w:szCs w:val="24"/>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286</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128</w:t>
            </w:r>
          </w:p>
        </w:tc>
      </w:tr>
      <w:tr>
        <w:trPr>
          <w:trHeight w:val="276"/>
        </w:trPr>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490</w:t>
            </w:r>
          </w:p>
        </w:tc>
        <w:tc>
          <w:tcPr>
            <w:tcW w:w="1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230</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720</w:t>
            </w:r>
          </w:p>
        </w:tc>
      </w:tr>
      <w:tr>
        <w:trPr>
          <w:trHeight w:val="237"/>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776</w:t>
            </w:r>
          </w:p>
        </w:tc>
        <w:tc>
          <w:tcPr>
            <w:tcW w:w="100" w:type="dxa"/>
            <w:vAlign w:val="bottom"/>
          </w:tcPr>
          <w:p>
            <w:pPr>
              <w:spacing w:after="0"/>
              <w:rPr>
                <w:sz w:val="20"/>
                <w:szCs w:val="20"/>
                <w:color w:val="auto"/>
              </w:rPr>
            </w:pPr>
          </w:p>
        </w:tc>
        <w:tc>
          <w:tcPr>
            <w:tcW w:w="5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848</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ectPr>
          <w:pgSz w:w="11900" w:h="16838" w:orient="portrait"/>
          <w:cols w:equalWidth="0" w:num="2">
            <w:col w:w="6600" w:space="280"/>
            <w:col w:w="4520"/>
          </w:cols>
          <w:pgMar w:left="240" w:top="140" w:right="259" w:bottom="1440" w:gutter="0" w:footer="0" w:header="0"/>
          <w:type w:val="continuous"/>
        </w:sectPr>
      </w:pPr>
    </w:p>
    <w:p>
      <w:pPr>
        <w:ind w:left="500" w:right="120"/>
        <w:spacing w:after="0" w:line="261" w:lineRule="auto"/>
        <w:rPr>
          <w:sz w:val="20"/>
          <w:szCs w:val="20"/>
          <w:color w:val="auto"/>
        </w:rPr>
      </w:pPr>
      <w:r>
        <w:rPr>
          <w:rFonts w:ascii="Arial" w:cs="Arial" w:eastAsia="Arial" w:hAnsi="Arial"/>
          <w:sz w:val="18"/>
          <w:szCs w:val="18"/>
          <w:i w:val="1"/>
          <w:iCs w:val="1"/>
          <w:color w:val="auto"/>
        </w:rPr>
        <w:t xml:space="preserve">Restricted Cash. </w:t>
      </w:r>
      <w:r>
        <w:rPr>
          <w:rFonts w:ascii="Arial" w:cs="Arial" w:eastAsia="Arial" w:hAnsi="Arial"/>
          <w:sz w:val="18"/>
          <w:szCs w:val="18"/>
          <w:color w:val="auto"/>
        </w:rPr>
        <w:t>Program cash primarily represents amounts specifically designated to purchase assets under vehicle programs and/or</w:t>
      </w:r>
      <w:r>
        <w:rPr>
          <w:rFonts w:ascii="Arial" w:cs="Arial" w:eastAsia="Arial" w:hAnsi="Arial"/>
          <w:sz w:val="18"/>
          <w:szCs w:val="18"/>
          <w:i w:val="1"/>
          <w:iCs w:val="1"/>
          <w:color w:val="auto"/>
        </w:rPr>
        <w:t xml:space="preserve"> </w:t>
      </w:r>
      <w:r>
        <w:rPr>
          <w:rFonts w:ascii="Arial" w:cs="Arial" w:eastAsia="Arial" w:hAnsi="Arial"/>
          <w:sz w:val="18"/>
          <w:szCs w:val="18"/>
          <w:color w:val="auto"/>
        </w:rPr>
        <w:t>to repay the related debt, as such the Company considers it a restricted cash equivalent. The following table provides a reconciliation of cash and cash equivalents, program and restricted cash reported within the Consolidated Condensed Balance Sheets to the amounts shown in the Consolidated Condensed Statements of Cash Flows.</w:t>
      </w:r>
    </w:p>
    <w:p>
      <w:pPr>
        <w:spacing w:after="0" w:line="136" w:lineRule="exact"/>
        <w:rPr>
          <w:sz w:val="20"/>
          <w:szCs w:val="20"/>
          <w:color w:val="auto"/>
        </w:rPr>
      </w:pPr>
    </w:p>
    <w:tbl>
      <w:tblPr>
        <w:tblLayout w:type="fixed"/>
        <w:tblInd w:w="860" w:type="dxa"/>
        <w:tblCellMar>
          <w:top w:w="0" w:type="dxa"/>
          <w:left w:w="0" w:type="dxa"/>
          <w:bottom w:w="0" w:type="dxa"/>
          <w:right w:w="0" w:type="dxa"/>
        </w:tblCellMar>
      </w:tblPr>
      <w:tr>
        <w:trPr>
          <w:trHeight w:val="246"/>
        </w:trPr>
        <w:tc>
          <w:tcPr>
            <w:tcW w:w="7200" w:type="dxa"/>
            <w:vAlign w:val="bottom"/>
          </w:tcPr>
          <w:p>
            <w:pPr>
              <w:spacing w:after="0"/>
              <w:rPr>
                <w:sz w:val="21"/>
                <w:szCs w:val="21"/>
                <w:color w:val="auto"/>
              </w:rPr>
            </w:pPr>
          </w:p>
        </w:tc>
        <w:tc>
          <w:tcPr>
            <w:tcW w:w="256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rPr>
              <w:t>As of June 30,</w:t>
            </w:r>
          </w:p>
        </w:tc>
        <w:tc>
          <w:tcPr>
            <w:tcW w:w="460" w:type="dxa"/>
            <w:vAlign w:val="bottom"/>
            <w:tcBorders>
              <w:bottom w:val="single" w:sz="8" w:color="auto"/>
            </w:tcBorders>
          </w:tcPr>
          <w:p>
            <w:pPr>
              <w:spacing w:after="0"/>
              <w:rPr>
                <w:sz w:val="21"/>
                <w:szCs w:val="21"/>
                <w:color w:val="auto"/>
              </w:rPr>
            </w:pPr>
          </w:p>
        </w:tc>
      </w:tr>
      <w:tr>
        <w:trPr>
          <w:trHeight w:val="264"/>
        </w:trPr>
        <w:tc>
          <w:tcPr>
            <w:tcW w:w="720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460" w:type="dxa"/>
            <w:vAlign w:val="bottom"/>
            <w:tcBorders>
              <w:bottom w:val="single" w:sz="8" w:color="auto"/>
            </w:tcBorders>
          </w:tcPr>
          <w:p>
            <w:pPr>
              <w:spacing w:after="0"/>
              <w:rPr>
                <w:sz w:val="22"/>
                <w:szCs w:val="22"/>
                <w:color w:val="auto"/>
              </w:rPr>
            </w:pPr>
          </w:p>
        </w:tc>
      </w:tr>
      <w:tr>
        <w:trPr>
          <w:trHeight w:val="243"/>
        </w:trPr>
        <w:tc>
          <w:tcPr>
            <w:tcW w:w="72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21"/>
                <w:szCs w:val="21"/>
                <w:color w:val="auto"/>
              </w:rPr>
            </w:pPr>
          </w:p>
        </w:tc>
        <w:tc>
          <w:tcPr>
            <w:tcW w:w="100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776</w:t>
            </w:r>
          </w:p>
        </w:tc>
      </w:tr>
      <w:tr>
        <w:trPr>
          <w:trHeight w:val="270"/>
        </w:trPr>
        <w:tc>
          <w:tcPr>
            <w:tcW w:w="7200" w:type="dxa"/>
            <w:vAlign w:val="bottom"/>
          </w:tcPr>
          <w:p>
            <w:pPr>
              <w:spacing w:after="0"/>
              <w:rPr>
                <w:sz w:val="20"/>
                <w:szCs w:val="20"/>
                <w:color w:val="auto"/>
              </w:rPr>
            </w:pPr>
            <w:r>
              <w:rPr>
                <w:rFonts w:ascii="Arial" w:cs="Arial" w:eastAsia="Arial" w:hAnsi="Arial"/>
                <w:sz w:val="18"/>
                <w:szCs w:val="18"/>
                <w:color w:val="auto"/>
              </w:rPr>
              <w:t>Program cash</w:t>
            </w:r>
          </w:p>
        </w:tc>
        <w:tc>
          <w:tcPr>
            <w:tcW w:w="1000" w:type="dxa"/>
            <w:vAlign w:val="bottom"/>
          </w:tcPr>
          <w:p>
            <w:pPr>
              <w:spacing w:after="0"/>
              <w:rPr>
                <w:sz w:val="23"/>
                <w:szCs w:val="23"/>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65</w:t>
            </w:r>
          </w:p>
        </w:tc>
      </w:tr>
      <w:tr>
        <w:trPr>
          <w:trHeight w:val="277"/>
        </w:trPr>
        <w:tc>
          <w:tcPr>
            <w:tcW w:w="7200" w:type="dxa"/>
            <w:vAlign w:val="bottom"/>
          </w:tcPr>
          <w:p>
            <w:pPr>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18"/>
                <w:szCs w:val="18"/>
                <w:color w:val="auto"/>
                <w:vertAlign w:val="superscript"/>
              </w:rPr>
              <w:t>(a)</w:t>
            </w:r>
          </w:p>
        </w:tc>
        <w:tc>
          <w:tcPr>
            <w:tcW w:w="10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r>
      <w:tr>
        <w:trPr>
          <w:trHeight w:val="243"/>
        </w:trPr>
        <w:tc>
          <w:tcPr>
            <w:tcW w:w="7200" w:type="dxa"/>
            <w:vAlign w:val="bottom"/>
          </w:tcPr>
          <w:p>
            <w:pPr>
              <w:spacing w:after="0"/>
              <w:rPr>
                <w:sz w:val="20"/>
                <w:szCs w:val="20"/>
                <w:color w:val="auto"/>
              </w:rPr>
            </w:pPr>
            <w:r>
              <w:rPr>
                <w:rFonts w:ascii="Arial" w:cs="Arial" w:eastAsia="Arial" w:hAnsi="Arial"/>
                <w:sz w:val="18"/>
                <w:szCs w:val="18"/>
                <w:color w:val="auto"/>
              </w:rPr>
              <w:t>Total cash and cash equivalents, program and restricted cash</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21"/>
                <w:szCs w:val="21"/>
                <w:color w:val="auto"/>
              </w:rPr>
            </w:pPr>
          </w:p>
        </w:tc>
        <w:tc>
          <w:tcPr>
            <w:tcW w:w="100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848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5116195</wp:posOffset>
            </wp:positionH>
            <wp:positionV relativeFrom="paragraph">
              <wp:posOffset>8890</wp:posOffset>
            </wp:positionV>
            <wp:extent cx="192087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20875" cy="26035"/>
                    </a:xfrm>
                    <a:prstGeom prst="rect">
                      <a:avLst/>
                    </a:prstGeom>
                    <a:noFill/>
                  </pic:spPr>
                </pic:pic>
              </a:graphicData>
            </a:graphic>
          </wp:anchor>
        </w:drawing>
      </w:r>
    </w:p>
    <w:p>
      <w:pPr>
        <w:spacing w:after="0" w:line="3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w:t>
      </w:r>
    </w:p>
    <w:p>
      <w:pPr>
        <w:ind w:left="820" w:hanging="326"/>
        <w:spacing w:after="0" w:line="209" w:lineRule="auto"/>
        <w:tabs>
          <w:tab w:leader="none" w:pos="82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Included within other current assets.</w:t>
      </w:r>
    </w:p>
    <w:p>
      <w:pPr>
        <w:spacing w:after="0" w:line="182" w:lineRule="exact"/>
        <w:rPr>
          <w:sz w:val="20"/>
          <w:szCs w:val="20"/>
          <w:color w:val="auto"/>
        </w:rPr>
      </w:pPr>
    </w:p>
    <w:p>
      <w:pPr>
        <w:ind w:left="500" w:right="140"/>
        <w:spacing w:after="0" w:line="257" w:lineRule="auto"/>
        <w:rPr>
          <w:sz w:val="20"/>
          <w:szCs w:val="20"/>
          <w:color w:val="auto"/>
        </w:rPr>
      </w:pPr>
      <w:r>
        <w:rPr>
          <w:rFonts w:ascii="Arial" w:cs="Arial" w:eastAsia="Arial" w:hAnsi="Arial"/>
          <w:sz w:val="18"/>
          <w:szCs w:val="18"/>
          <w:i w:val="1"/>
          <w:iCs w:val="1"/>
          <w:color w:val="auto"/>
        </w:rPr>
        <w:t xml:space="preserve">Vehicle Programs. </w:t>
      </w:r>
      <w:r>
        <w:rPr>
          <w:rFonts w:ascii="Arial" w:cs="Arial" w:eastAsia="Arial" w:hAnsi="Arial"/>
          <w:sz w:val="18"/>
          <w:szCs w:val="18"/>
          <w:color w:val="auto"/>
        </w:rPr>
        <w:t>The Company presents separately the financial data of its vehicle programs. These programs are distinct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other activities since the assets under vehicle programs are generally funded through the issuance of debt that is collateralized by such assets. The income generated by these assets is used, in part, to repay the principal and interest associated with the debt. Cash inflows and outflows relating to the acquisition of such assets and the principal debt repayment or financing of such assets are classified as activities of the Company’s vehicle programs. The Company believes it is appropriate to segregate the financial data of its vehicle programs because, ultimately, the source of repayment of such debt is the realization of such assets.</w:t>
      </w:r>
    </w:p>
    <w:p>
      <w:pPr>
        <w:spacing w:after="0" w:line="183" w:lineRule="exact"/>
        <w:rPr>
          <w:sz w:val="20"/>
          <w:szCs w:val="20"/>
          <w:color w:val="auto"/>
        </w:rPr>
      </w:pPr>
    </w:p>
    <w:p>
      <w:pPr>
        <w:ind w:left="500"/>
        <w:spacing w:after="0" w:line="258" w:lineRule="auto"/>
        <w:rPr>
          <w:sz w:val="20"/>
          <w:szCs w:val="20"/>
          <w:color w:val="auto"/>
        </w:rPr>
      </w:pPr>
      <w:r>
        <w:rPr>
          <w:rFonts w:ascii="Arial" w:cs="Arial" w:eastAsia="Arial" w:hAnsi="Arial"/>
          <w:sz w:val="18"/>
          <w:szCs w:val="18"/>
          <w:i w:val="1"/>
          <w:iCs w:val="1"/>
          <w:color w:val="auto"/>
        </w:rPr>
        <w:t xml:space="preserve">Transaction-related costs, net. </w:t>
      </w:r>
      <w:r>
        <w:rPr>
          <w:rFonts w:ascii="Arial" w:cs="Arial" w:eastAsia="Arial" w:hAnsi="Arial"/>
          <w:sz w:val="18"/>
          <w:szCs w:val="18"/>
          <w:color w:val="auto"/>
        </w:rPr>
        <w:t>Transaction-related costs, net are classified separately in the Consolidated Condensed Statements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These costs are comprised of expenses related to acquisition-related activities such as due diligence and other advisory costs, expenses related to the integration of the acquiree’s operations with those of the Company, including the implementation of best practices and process improvements, non-cash gains and losses related to re-acquired rights, expenses related to pre-acquisition contingencies and contingent consideration related to acquisitions.</w:t>
      </w:r>
    </w:p>
    <w:p>
      <w:pPr>
        <w:spacing w:after="0" w:line="184" w:lineRule="exact"/>
        <w:rPr>
          <w:sz w:val="20"/>
          <w:szCs w:val="20"/>
          <w:color w:val="auto"/>
        </w:rPr>
      </w:pPr>
    </w:p>
    <w:p>
      <w:pPr>
        <w:ind w:left="500" w:right="120"/>
        <w:spacing w:after="0" w:line="266" w:lineRule="auto"/>
        <w:rPr>
          <w:sz w:val="20"/>
          <w:szCs w:val="20"/>
          <w:color w:val="auto"/>
        </w:rPr>
      </w:pPr>
      <w:r>
        <w:rPr>
          <w:rFonts w:ascii="Arial" w:cs="Arial" w:eastAsia="Arial" w:hAnsi="Arial"/>
          <w:sz w:val="18"/>
          <w:szCs w:val="18"/>
          <w:i w:val="1"/>
          <w:iCs w:val="1"/>
          <w:color w:val="auto"/>
        </w:rPr>
        <w:t xml:space="preserve">Currency Transactions. </w:t>
      </w:r>
      <w:r>
        <w:rPr>
          <w:rFonts w:ascii="Arial" w:cs="Arial" w:eastAsia="Arial" w:hAnsi="Arial"/>
          <w:sz w:val="18"/>
          <w:szCs w:val="18"/>
          <w:color w:val="auto"/>
        </w:rPr>
        <w:t>The Company records the gain or loss on foreign-currency transactions on certain intercompany loans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gain or loss on intercompany loan hedges within interest expense related to corporate debt, net. During the three and six months ended June 30, 2018 and 2017, the Company recorded an immaterial amount in each period.</w:t>
      </w:r>
    </w:p>
    <w:p>
      <w:pPr>
        <w:spacing w:after="0" w:line="17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Adoption of New Accounting Pronouncements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Reclassification of Certain Tax Effects from Accumulated Other Comprehensive Income</w:t>
      </w:r>
    </w:p>
    <w:p>
      <w:pPr>
        <w:spacing w:after="0" w:line="243" w:lineRule="exact"/>
        <w:rPr>
          <w:sz w:val="20"/>
          <w:szCs w:val="20"/>
          <w:color w:val="auto"/>
        </w:rPr>
      </w:pPr>
    </w:p>
    <w:p>
      <w:pPr>
        <w:ind w:left="500" w:right="60"/>
        <w:spacing w:after="0" w:line="274" w:lineRule="auto"/>
        <w:rPr>
          <w:sz w:val="20"/>
          <w:szCs w:val="20"/>
          <w:color w:val="auto"/>
        </w:rPr>
      </w:pPr>
      <w:r>
        <w:rPr>
          <w:rFonts w:ascii="Arial" w:cs="Arial" w:eastAsia="Arial" w:hAnsi="Arial"/>
          <w:sz w:val="17"/>
          <w:szCs w:val="17"/>
          <w:color w:val="auto"/>
        </w:rPr>
        <w:t>On January 1, 2018, as a result of a new accounting pronouncement, the Company early adopted ASU 2018-02, “Income Statement-Reporting Comprehensive Income (Topic 220): Reclassification of Certain Tax Effects from Accumulated Other Comprehensive Income,” which allows a reclassification from accumulated other comprehensive income to retained earnings for the adjustment of deferred taxes due to the reduction of the corporate income tax rate as a result of U.S. tax reform. Accordingly, the Company has reclassified $4</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40" w:right="25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spacing w:after="0" w:line="262" w:lineRule="auto"/>
        <w:rPr>
          <w:sz w:val="20"/>
          <w:szCs w:val="20"/>
          <w:color w:val="auto"/>
        </w:rPr>
      </w:pPr>
      <w:r>
        <w:rPr>
          <w:rFonts w:ascii="Arial" w:cs="Arial" w:eastAsia="Arial" w:hAnsi="Arial"/>
          <w:sz w:val="18"/>
          <w:szCs w:val="18"/>
          <w:color w:val="auto"/>
        </w:rPr>
        <w:t>million of net tax benefits from accumulated other comprehensive loss to beginning accumulated deficit related to the following (see Note 14 - Stockholders’ Equity). Prior period amounts have not been retrospectively adjusted.</w:t>
      </w:r>
    </w:p>
    <w:p>
      <w:pPr>
        <w:spacing w:after="0" w:line="130" w:lineRule="exact"/>
        <w:rPr>
          <w:sz w:val="20"/>
          <w:szCs w:val="20"/>
          <w:color w:val="auto"/>
        </w:rPr>
      </w:pPr>
    </w:p>
    <w:tbl>
      <w:tblPr>
        <w:tblLayout w:type="fixed"/>
        <w:tblInd w:w="840" w:type="dxa"/>
        <w:tblCellMar>
          <w:top w:w="0" w:type="dxa"/>
          <w:left w:w="0" w:type="dxa"/>
          <w:bottom w:w="0" w:type="dxa"/>
          <w:right w:w="0" w:type="dxa"/>
        </w:tblCellMar>
      </w:tblPr>
      <w:tr>
        <w:trPr>
          <w:trHeight w:val="162"/>
        </w:trPr>
        <w:tc>
          <w:tcPr>
            <w:tcW w:w="1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jc w:val="center"/>
              <w:ind w:left="128"/>
              <w:spacing w:after="0"/>
              <w:rPr>
                <w:sz w:val="20"/>
                <w:szCs w:val="20"/>
                <w:color w:val="auto"/>
              </w:rPr>
            </w:pPr>
            <w:r>
              <w:rPr>
                <w:rFonts w:ascii="Arial" w:cs="Arial" w:eastAsia="Arial" w:hAnsi="Arial"/>
                <w:sz w:val="14"/>
                <w:szCs w:val="14"/>
                <w:b w:val="1"/>
                <w:bCs w:val="1"/>
                <w:color w:val="auto"/>
              </w:rPr>
              <w:t>Net Unrealized Gains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Net Unrealized Gains</w:t>
            </w:r>
          </w:p>
        </w:tc>
        <w:tc>
          <w:tcPr>
            <w:tcW w:w="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tcPr>
          <w:p>
            <w:pPr>
              <w:jc w:val="center"/>
              <w:ind w:right="68"/>
              <w:spacing w:after="0"/>
              <w:rPr>
                <w:sz w:val="20"/>
                <w:szCs w:val="20"/>
                <w:color w:val="auto"/>
              </w:rPr>
            </w:pPr>
            <w:r>
              <w:rPr>
                <w:rFonts w:ascii="Arial" w:cs="Arial" w:eastAsia="Arial" w:hAnsi="Arial"/>
                <w:sz w:val="14"/>
                <w:szCs w:val="14"/>
                <w:b w:val="1"/>
                <w:bCs w:val="1"/>
                <w:color w:val="auto"/>
              </w:rPr>
              <w:t>Accumulated Other</w:t>
            </w:r>
          </w:p>
        </w:tc>
      </w:tr>
      <w:tr>
        <w:trPr>
          <w:trHeight w:val="162"/>
        </w:trPr>
        <w:tc>
          <w:tcPr>
            <w:tcW w:w="1800" w:type="dxa"/>
            <w:vAlign w:val="bottom"/>
          </w:tcPr>
          <w:p>
            <w:pPr>
              <w:jc w:val="center"/>
              <w:ind w:left="168"/>
              <w:spacing w:after="0"/>
              <w:rPr>
                <w:sz w:val="20"/>
                <w:szCs w:val="20"/>
                <w:color w:val="auto"/>
              </w:rPr>
            </w:pPr>
            <w:r>
              <w:rPr>
                <w:rFonts w:ascii="Arial" w:cs="Arial" w:eastAsia="Arial" w:hAnsi="Arial"/>
                <w:sz w:val="14"/>
                <w:szCs w:val="14"/>
                <w:b w:val="1"/>
                <w:bCs w:val="1"/>
                <w:color w:val="auto"/>
              </w:rPr>
              <w:t>Currency Translation</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jc w:val="center"/>
              <w:ind w:left="108"/>
              <w:spacing w:after="0"/>
              <w:rPr>
                <w:sz w:val="20"/>
                <w:szCs w:val="20"/>
                <w:color w:val="auto"/>
              </w:rPr>
            </w:pPr>
            <w:r>
              <w:rPr>
                <w:rFonts w:ascii="Arial" w:cs="Arial" w:eastAsia="Arial" w:hAnsi="Arial"/>
                <w:sz w:val="14"/>
                <w:szCs w:val="14"/>
                <w:b w:val="1"/>
                <w:bCs w:val="1"/>
                <w:color w:val="auto"/>
              </w:rPr>
              <w:t>(Losses) on Cash Flow</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(Losses) on Available-for</w:t>
            </w:r>
          </w:p>
        </w:tc>
        <w:tc>
          <w:tcPr>
            <w:tcW w:w="2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Minimum Pension Liability</w:t>
            </w:r>
          </w:p>
        </w:tc>
        <w:tc>
          <w:tcPr>
            <w:tcW w:w="140" w:type="dxa"/>
            <w:vAlign w:val="bottom"/>
          </w:tcPr>
          <w:p>
            <w:pPr>
              <w:spacing w:after="0"/>
              <w:rPr>
                <w:sz w:val="14"/>
                <w:szCs w:val="14"/>
                <w:color w:val="auto"/>
              </w:rPr>
            </w:pPr>
          </w:p>
        </w:tc>
        <w:tc>
          <w:tcPr>
            <w:tcW w:w="1800" w:type="dxa"/>
            <w:vAlign w:val="bottom"/>
          </w:tcPr>
          <w:p>
            <w:pPr>
              <w:jc w:val="center"/>
              <w:ind w:right="68"/>
              <w:spacing w:after="0"/>
              <w:rPr>
                <w:sz w:val="20"/>
                <w:szCs w:val="20"/>
                <w:color w:val="auto"/>
              </w:rPr>
            </w:pPr>
            <w:r>
              <w:rPr>
                <w:rFonts w:ascii="Arial" w:cs="Arial" w:eastAsia="Arial" w:hAnsi="Arial"/>
                <w:sz w:val="14"/>
                <w:szCs w:val="14"/>
                <w:b w:val="1"/>
                <w:bCs w:val="1"/>
                <w:color w:val="auto"/>
              </w:rPr>
              <w:t>Comprehensive Income</w:t>
            </w:r>
          </w:p>
        </w:tc>
      </w:tr>
      <w:tr>
        <w:trPr>
          <w:trHeight w:val="196"/>
        </w:trPr>
        <w:tc>
          <w:tcPr>
            <w:tcW w:w="180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rPr>
              <w:t>Adjustments</w:t>
            </w:r>
          </w:p>
        </w:tc>
        <w:tc>
          <w:tcPr>
            <w:tcW w:w="2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rPr>
              <w:t>Hedges</w:t>
            </w:r>
          </w:p>
        </w:tc>
        <w:tc>
          <w:tcPr>
            <w:tcW w:w="1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Sale Securities</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rPr>
              <w:t>Adjustment</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9"/>
              </w:rPr>
              <w:t>(Loss)</w:t>
            </w:r>
          </w:p>
        </w:tc>
      </w:tr>
      <w:tr>
        <w:trPr>
          <w:trHeight w:val="244"/>
        </w:trPr>
        <w:tc>
          <w:tcPr>
            <w:tcW w:w="1800" w:type="dxa"/>
            <w:vAlign w:val="bottom"/>
          </w:tcPr>
          <w:p>
            <w:pPr>
              <w:jc w:val="right"/>
              <w:ind w:right="1628"/>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1"/>
                <w:szCs w:val="21"/>
                <w:color w:val="auto"/>
              </w:rPr>
            </w:pPr>
          </w:p>
        </w:tc>
        <w:tc>
          <w:tcPr>
            <w:tcW w:w="1760" w:type="dxa"/>
            <w:vAlign w:val="bottom"/>
          </w:tcPr>
          <w:p>
            <w:pPr>
              <w:jc w:val="right"/>
              <w:ind w:right="1588"/>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1</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940" w:type="dxa"/>
            <w:vAlign w:val="bottom"/>
            <w:gridSpan w:val="2"/>
          </w:tcPr>
          <w:p>
            <w:pPr>
              <w:ind w:left="160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800" w:type="dxa"/>
            <w:vAlign w:val="bottom"/>
          </w:tcPr>
          <w:p>
            <w:pPr>
              <w:jc w:val="right"/>
              <w:spacing w:after="0"/>
              <w:rPr>
                <w:sz w:val="20"/>
                <w:szCs w:val="20"/>
                <w:color w:val="auto"/>
              </w:rPr>
            </w:pPr>
            <w:r>
              <w:rPr>
                <w:rFonts w:ascii="Arial" w:cs="Arial" w:eastAsia="Arial" w:hAnsi="Arial"/>
                <w:sz w:val="14"/>
                <w:szCs w:val="14"/>
                <w:color w:val="auto"/>
              </w:rPr>
              <w:t>(4)</w:t>
            </w:r>
          </w:p>
        </w:tc>
      </w:tr>
    </w:tbl>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Improving the Presentation of Net Periodic Pension Cost and Net Periodic Postretirement Benefit Cost</w:t>
      </w:r>
    </w:p>
    <w:p>
      <w:pPr>
        <w:spacing w:after="0" w:line="243" w:lineRule="exact"/>
        <w:rPr>
          <w:sz w:val="20"/>
          <w:szCs w:val="20"/>
          <w:color w:val="auto"/>
        </w:rPr>
      </w:pPr>
    </w:p>
    <w:p>
      <w:pPr>
        <w:ind w:left="500" w:right="20"/>
        <w:spacing w:after="0" w:line="253" w:lineRule="auto"/>
        <w:rPr>
          <w:sz w:val="20"/>
          <w:szCs w:val="20"/>
          <w:color w:val="auto"/>
        </w:rPr>
      </w:pPr>
      <w:r>
        <w:rPr>
          <w:rFonts w:ascii="Arial" w:cs="Arial" w:eastAsia="Arial" w:hAnsi="Arial"/>
          <w:sz w:val="18"/>
          <w:szCs w:val="18"/>
          <w:color w:val="auto"/>
        </w:rPr>
        <w:t>On January 1, 2018, as a result of a new accounting pronouncement, the Company adopted ASU 2017-07, “Compensation—Retirement Benefits (Topic 715): Improving the Presentation of Net Periodic Pension Costs and Net Periodic Postretirement Benefit Cost,” which requires an entity to disaggregate the components of net benefit cost recognized in its consolidated statements of operations. The adoption of this accounting pronouncement did not have a material impact on the Company’s Consolidated Condensed Financial Statements.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Recognition and Measurement of Financial Assets and Financial Liabilities</w:t>
      </w:r>
    </w:p>
    <w:p>
      <w:pPr>
        <w:spacing w:after="0" w:line="243" w:lineRule="exact"/>
        <w:rPr>
          <w:sz w:val="20"/>
          <w:szCs w:val="20"/>
          <w:color w:val="auto"/>
        </w:rPr>
      </w:pPr>
    </w:p>
    <w:p>
      <w:pPr>
        <w:ind w:left="500"/>
        <w:spacing w:after="0" w:line="251" w:lineRule="auto"/>
        <w:rPr>
          <w:sz w:val="20"/>
          <w:szCs w:val="20"/>
          <w:color w:val="auto"/>
        </w:rPr>
      </w:pPr>
      <w:r>
        <w:rPr>
          <w:rFonts w:ascii="Arial" w:cs="Arial" w:eastAsia="Arial" w:hAnsi="Arial"/>
          <w:sz w:val="18"/>
          <w:szCs w:val="18"/>
          <w:color w:val="auto"/>
        </w:rPr>
        <w:t>On January 1, 2018, as a result of a new accounting pronouncement, the Company adopted ASU 2016 -01, “Financial Instruments— Overall (Subtopic 825-10): Recognition and Measurement of Financial Assets and Financial Liabilities,” which makes limited amendments to the classification and measurement of financial instruments. The amendments supersede the guidance to classify equity securities with readily determinable fair values into different categories (trading or available-for-sale) and require equity securities (including other ownership interests, such as partnerships, unincorporated joint ventures, and limited liability companies) to be measured at fair value with changes in the fair value recognized through net income. Accordingly, the Company has reclassified $2 million of net unrealized gains associated with available for sale equity securities from accumulated other comprehensive loss to beginning accumulated deficit (see Note 14 - Stockholders’ Equity). This ASU has no impact on the Company’s accounting for equity method investments.</w:t>
      </w:r>
    </w:p>
    <w:p>
      <w:pPr>
        <w:spacing w:after="0" w:line="19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Intra-Entity Transfers of Assets Other Than Inventory</w:t>
      </w:r>
    </w:p>
    <w:p>
      <w:pPr>
        <w:spacing w:after="0" w:line="243" w:lineRule="exact"/>
        <w:rPr>
          <w:sz w:val="20"/>
          <w:szCs w:val="20"/>
          <w:color w:val="auto"/>
        </w:rPr>
      </w:pPr>
    </w:p>
    <w:p>
      <w:pPr>
        <w:ind w:left="500" w:right="140"/>
        <w:spacing w:after="0" w:line="254" w:lineRule="auto"/>
        <w:rPr>
          <w:sz w:val="20"/>
          <w:szCs w:val="20"/>
          <w:color w:val="auto"/>
        </w:rPr>
      </w:pPr>
      <w:r>
        <w:rPr>
          <w:rFonts w:ascii="Arial" w:cs="Arial" w:eastAsia="Arial" w:hAnsi="Arial"/>
          <w:sz w:val="18"/>
          <w:szCs w:val="18"/>
          <w:color w:val="auto"/>
        </w:rPr>
        <w:t>On January 1, 2018, as a result of a new accounting pronouncement, the Company adopted ASU 2016-16, “Income Taxes (Topic 740): Intra-Entity Transfers of Assets Other Than Inventory,” which removes the prohibition in Topic 740 against the immediate recognition of the current and deferred income tax effects of intra-entity transfers of assets other than inventory. The adoption of this accounting pronouncement did not have an impact on the Company’s Consolidated Condensed Financial Statements.</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243" w:lineRule="exact"/>
        <w:rPr>
          <w:sz w:val="20"/>
          <w:szCs w:val="20"/>
          <w:color w:val="auto"/>
        </w:rPr>
      </w:pPr>
    </w:p>
    <w:p>
      <w:pPr>
        <w:ind w:left="500" w:right="120"/>
        <w:spacing w:after="0" w:line="251" w:lineRule="auto"/>
        <w:rPr>
          <w:sz w:val="20"/>
          <w:szCs w:val="20"/>
          <w:color w:val="auto"/>
        </w:rPr>
      </w:pPr>
      <w:r>
        <w:rPr>
          <w:rFonts w:ascii="Arial" w:cs="Arial" w:eastAsia="Arial" w:hAnsi="Arial"/>
          <w:sz w:val="18"/>
          <w:szCs w:val="18"/>
          <w:color w:val="auto"/>
        </w:rPr>
        <w:t xml:space="preserve">On January 1, 2018, as a result of a new accounting pronouncement, the Company adopted ASU 2014 -09, “Revenue from Contracts with Customers (Topic 606),” which outlines a single model for entities to use in accounting for revenue arising from contracts with customers and supersedes current revenue recognition guidance. The new guidance applies to all contracts with customers except for leases, insurance contracts, financial instruments, certain nonmonetary exchanges and certain guarantees. Also, additional disclosures are required about the nature, amount, timing and uncertainty of revenue and cash flows arising from customer contracts, including significant judgments and changes in judgments. The Company has adopted the requirements of the new standard on a modified retrospective basis applied to all contracts. Prior periods have not been retrospectively adjusted. As discussed in </w:t>
      </w:r>
      <w:r>
        <w:rPr>
          <w:rFonts w:ascii="Arial" w:cs="Arial" w:eastAsia="Arial" w:hAnsi="Arial"/>
          <w:sz w:val="18"/>
          <w:szCs w:val="18"/>
          <w:i w:val="1"/>
          <w:iCs w:val="1"/>
          <w:color w:val="auto"/>
        </w:rPr>
        <w:t>Leases</w:t>
      </w:r>
      <w:r>
        <w:rPr>
          <w:rFonts w:ascii="Arial" w:cs="Arial" w:eastAsia="Arial" w:hAnsi="Arial"/>
          <w:sz w:val="18"/>
          <w:szCs w:val="18"/>
          <w:color w:val="auto"/>
        </w:rPr>
        <w:t xml:space="preserve"> below, the Company’s rental related revenues will be accounted for under Topic 606 until the adoption of ASU 2016-02, “Leases (Topic 842)” on January 1, 2019. Under Topic 606, each transaction that generates customer loyalty points results in the deferral of revenue generally equivalent to the estimated retail value of points expected to be redeemed. The associated revenue will be recognized at the time the customer redeems the loyalty points. Previously, the Company did not defer revenue and recorded an expense associated with the incremental cost of providing the future rental at the time when the loyalty points were earned. In the Company’s Consolidated Condensed Balance Sheet at January 1, 2018, customer loyalty program liability increased approximately $50 million related to the estimated retail value of customer loyalty points earned, with a corresponding increase to</w:t>
      </w: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140" w:right="2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spacing w:after="0" w:line="256" w:lineRule="auto"/>
        <w:rPr>
          <w:sz w:val="20"/>
          <w:szCs w:val="20"/>
          <w:color w:val="auto"/>
        </w:rPr>
      </w:pPr>
      <w:r>
        <w:rPr>
          <w:rFonts w:ascii="Arial" w:cs="Arial" w:eastAsia="Arial" w:hAnsi="Arial"/>
          <w:sz w:val="18"/>
          <w:szCs w:val="18"/>
          <w:color w:val="auto"/>
        </w:rPr>
        <w:t>accumulated deficit (approximately $40 million, net of tax) due to the cumulative impact of adopting Topic 606. Certain customers may receive cash-based rebates, which are accounted for as variable consideration under Topic 606. The Company estimates these rebates based on the expected amount to be provided to customers and reduces revenue recognized.</w:t>
      </w:r>
    </w:p>
    <w:p>
      <w:pPr>
        <w:spacing w:after="0" w:line="202" w:lineRule="exact"/>
        <w:rPr>
          <w:sz w:val="20"/>
          <w:szCs w:val="20"/>
          <w:color w:val="auto"/>
        </w:rPr>
      </w:pPr>
    </w:p>
    <w:p>
      <w:pPr>
        <w:ind w:left="500" w:right="280"/>
        <w:spacing w:after="0" w:line="254" w:lineRule="auto"/>
        <w:rPr>
          <w:sz w:val="20"/>
          <w:szCs w:val="20"/>
          <w:color w:val="auto"/>
        </w:rPr>
      </w:pPr>
      <w:r>
        <w:rPr>
          <w:rFonts w:ascii="Arial" w:cs="Arial" w:eastAsia="Arial" w:hAnsi="Arial"/>
          <w:sz w:val="18"/>
          <w:szCs w:val="18"/>
          <w:color w:val="auto"/>
        </w:rPr>
        <w:t>The impact of adoption of Topic 606 on the Company’s Consolidated Condensed Statement of Comprehensive Income for the three months ended June 30, 2018 was not material. The impact of adoption of Topic 606 on the Company’s Consolidated Condensed Statement of Comprehensive Income for the six months ended June 30, 2018 and Consolidated Condensed June 30, 2018 Balance Sheet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78740</wp:posOffset>
            </wp:positionV>
            <wp:extent cx="26670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ectPr>
          <w:pgSz w:w="11900" w:h="16838" w:orient="portrait"/>
          <w:cols w:equalWidth="0" w:num="1">
            <w:col w:w="11280"/>
          </w:cols>
          <w:pgMar w:left="240" w:top="1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20" w:right="980"/>
        <w:spacing w:after="0" w:line="466" w:lineRule="auto"/>
        <w:rPr>
          <w:sz w:val="20"/>
          <w:szCs w:val="20"/>
          <w:color w:val="auto"/>
        </w:rPr>
      </w:pPr>
      <w:r>
        <w:rPr>
          <w:rFonts w:ascii="Arial" w:cs="Arial" w:eastAsia="Arial" w:hAnsi="Arial"/>
          <w:sz w:val="14"/>
          <w:szCs w:val="14"/>
          <w:b w:val="1"/>
          <w:bCs w:val="1"/>
          <w:u w:val="single" w:color="auto"/>
          <w:color w:val="auto"/>
        </w:rPr>
        <w:t xml:space="preserve">Consolidated Condensed Statement of Comprehensive Income </w:t>
      </w:r>
      <w:r>
        <w:rPr>
          <w:rFonts w:ascii="Arial" w:cs="Arial" w:eastAsia="Arial" w:hAnsi="Arial"/>
          <w:sz w:val="14"/>
          <w:szCs w:val="14"/>
          <w:b w:val="1"/>
          <w:bCs w:val="1"/>
          <w:color w:val="auto"/>
        </w:rPr>
        <w:t>Revenues</w:t>
      </w:r>
    </w:p>
    <w:p>
      <w:pPr>
        <w:spacing w:after="0" w:line="19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Expenses</w:t>
      </w:r>
    </w:p>
    <w:p>
      <w:pPr>
        <w:spacing w:after="0" w:line="127" w:lineRule="exact"/>
        <w:rPr>
          <w:sz w:val="20"/>
          <w:szCs w:val="20"/>
          <w:color w:val="auto"/>
        </w:rPr>
      </w:pPr>
    </w:p>
    <w:p>
      <w:pPr>
        <w:ind w:left="600"/>
        <w:spacing w:after="0"/>
        <w:rPr>
          <w:sz w:val="20"/>
          <w:szCs w:val="20"/>
          <w:color w:val="auto"/>
        </w:rPr>
      </w:pPr>
      <w:r>
        <w:rPr>
          <w:rFonts w:ascii="Arial" w:cs="Arial" w:eastAsia="Arial" w:hAnsi="Arial"/>
          <w:sz w:val="14"/>
          <w:szCs w:val="14"/>
          <w:color w:val="auto"/>
        </w:rPr>
        <w:t>Operating</w:t>
      </w:r>
    </w:p>
    <w:p>
      <w:pPr>
        <w:spacing w:after="0" w:line="10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Total expenses</w:t>
      </w:r>
    </w:p>
    <w:p>
      <w:pPr>
        <w:spacing w:after="0" w:line="375"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Loss before income taxes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Benefit from income taxes</w:t>
      </w:r>
    </w:p>
    <w:p>
      <w:pPr>
        <w:spacing w:after="0" w:line="37"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Net loss</w:t>
      </w:r>
    </w:p>
    <w:p>
      <w:pPr>
        <w:spacing w:after="0" w:line="200" w:lineRule="exact"/>
        <w:rPr>
          <w:sz w:val="20"/>
          <w:szCs w:val="20"/>
          <w:color w:val="auto"/>
        </w:rPr>
      </w:pPr>
    </w:p>
    <w:p>
      <w:pPr>
        <w:spacing w:after="0" w:line="206"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20"/>
        <w:spacing w:after="0"/>
        <w:rPr>
          <w:sz w:val="20"/>
          <w:szCs w:val="20"/>
          <w:color w:val="auto"/>
        </w:rPr>
      </w:pPr>
      <w:r>
        <w:rPr>
          <w:rFonts w:ascii="Arial" w:cs="Arial" w:eastAsia="Arial" w:hAnsi="Arial"/>
          <w:sz w:val="14"/>
          <w:szCs w:val="14"/>
          <w:b w:val="1"/>
          <w:bCs w:val="1"/>
          <w:u w:val="single" w:color="auto"/>
          <w:color w:val="auto"/>
        </w:rPr>
        <w:t>Consolidated Condensed Balance Sheet</w:t>
      </w:r>
    </w:p>
    <w:p>
      <w:pPr>
        <w:spacing w:after="0" w:line="14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Deferred income taxes</w:t>
      </w:r>
    </w:p>
    <w:p>
      <w:pPr>
        <w:spacing w:after="0" w:line="109" w:lineRule="exact"/>
        <w:rPr>
          <w:sz w:val="20"/>
          <w:szCs w:val="20"/>
          <w:color w:val="auto"/>
        </w:rPr>
      </w:pPr>
    </w:p>
    <w:p>
      <w:pPr>
        <w:ind w:left="520" w:right="1740"/>
        <w:spacing w:after="0" w:line="419" w:lineRule="auto"/>
        <w:rPr>
          <w:sz w:val="20"/>
          <w:szCs w:val="20"/>
          <w:color w:val="auto"/>
        </w:rPr>
      </w:pPr>
      <w:r>
        <w:rPr>
          <w:rFonts w:ascii="Arial" w:cs="Arial" w:eastAsia="Arial" w:hAnsi="Arial"/>
          <w:sz w:val="14"/>
          <w:szCs w:val="14"/>
          <w:color w:val="auto"/>
        </w:rPr>
        <w:t>Total assets exclusive of assets under vehicle programs Total assets</w:t>
      </w:r>
    </w:p>
    <w:p>
      <w:pPr>
        <w:spacing w:after="0" w:line="26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Accounts payable and other current liabilities</w:t>
      </w:r>
    </w:p>
    <w:p>
      <w:pPr>
        <w:spacing w:after="0" w:line="10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Total current liabilities</w:t>
      </w:r>
    </w:p>
    <w:p>
      <w:pPr>
        <w:spacing w:after="0" w:line="31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Other non-current liabilities</w:t>
      </w:r>
    </w:p>
    <w:p>
      <w:pPr>
        <w:spacing w:after="0" w:line="10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Total liabilities exclusive of liabilities under vehicle programs</w:t>
      </w:r>
    </w:p>
    <w:p>
      <w:pPr>
        <w:spacing w:after="0" w:line="39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Accumulated deficit</w:t>
      </w:r>
    </w:p>
    <w:p>
      <w:pPr>
        <w:spacing w:after="0" w:line="10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Total stockholders’ equity</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Six Months Ended 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26670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Balances without</w:t>
            </w: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Adoption of Topic</w:t>
            </w: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96"/>
        </w:trPr>
        <w:tc>
          <w:tcPr>
            <w:tcW w:w="180" w:type="dxa"/>
            <w:vAlign w:val="bottom"/>
          </w:tcPr>
          <w:p>
            <w:pPr>
              <w:spacing w:after="0"/>
              <w:rPr>
                <w:sz w:val="17"/>
                <w:szCs w:val="17"/>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As Reported</w:t>
            </w:r>
          </w:p>
        </w:tc>
        <w:tc>
          <w:tcPr>
            <w:tcW w:w="160" w:type="dxa"/>
            <w:vAlign w:val="bottom"/>
          </w:tcPr>
          <w:p>
            <w:pPr>
              <w:spacing w:after="0"/>
              <w:rPr>
                <w:sz w:val="17"/>
                <w:szCs w:val="17"/>
                <w:color w:val="auto"/>
              </w:rPr>
            </w:pPr>
          </w:p>
        </w:tc>
        <w:tc>
          <w:tcPr>
            <w:tcW w:w="1180" w:type="dxa"/>
            <w:vAlign w:val="bottom"/>
          </w:tcPr>
          <w:p>
            <w:pPr>
              <w:jc w:val="center"/>
              <w:ind w:right="68"/>
              <w:spacing w:after="0"/>
              <w:rPr>
                <w:sz w:val="20"/>
                <w:szCs w:val="20"/>
                <w:color w:val="auto"/>
              </w:rPr>
            </w:pPr>
            <w:r>
              <w:rPr>
                <w:rFonts w:ascii="Arial" w:cs="Arial" w:eastAsia="Arial" w:hAnsi="Arial"/>
                <w:sz w:val="14"/>
                <w:szCs w:val="14"/>
                <w:b w:val="1"/>
                <w:bCs w:val="1"/>
                <w:color w:val="auto"/>
              </w:rPr>
              <w:t>606</w:t>
            </w:r>
          </w:p>
        </w:tc>
        <w:tc>
          <w:tcPr>
            <w:tcW w:w="100" w:type="dxa"/>
            <w:vAlign w:val="bottom"/>
          </w:tcPr>
          <w:p>
            <w:pPr>
              <w:spacing w:after="0"/>
              <w:rPr>
                <w:sz w:val="17"/>
                <w:szCs w:val="17"/>
                <w:color w:val="auto"/>
              </w:rPr>
            </w:pPr>
          </w:p>
        </w:tc>
        <w:tc>
          <w:tcPr>
            <w:tcW w:w="132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Effect of Change</w:t>
            </w:r>
          </w:p>
        </w:tc>
      </w:tr>
      <w:tr>
        <w:trPr>
          <w:trHeight w:val="528"/>
        </w:trPr>
        <w:tc>
          <w:tcPr>
            <w:tcW w:w="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4,296</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4,303</w:t>
            </w:r>
          </w:p>
        </w:tc>
        <w:tc>
          <w:tcPr>
            <w:tcW w:w="100" w:type="dxa"/>
            <w:vAlign w:val="bottom"/>
          </w:tcPr>
          <w:p>
            <w:pPr>
              <w:spacing w:after="0"/>
              <w:rPr>
                <w:sz w:val="24"/>
                <w:szCs w:val="24"/>
                <w:color w:val="auto"/>
              </w:rPr>
            </w:pPr>
          </w:p>
        </w:tc>
        <w:tc>
          <w:tcPr>
            <w:tcW w:w="560" w:type="dxa"/>
            <w:vAlign w:val="bottom"/>
            <w:tcBorders>
              <w:top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w:t>
            </w:r>
          </w:p>
        </w:tc>
      </w:tr>
      <w:tr>
        <w:trPr>
          <w:trHeight w:val="816"/>
        </w:trPr>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2,267</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2,268</w:t>
            </w:r>
          </w:p>
        </w:tc>
        <w:tc>
          <w:tcPr>
            <w:tcW w:w="1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250"/>
        </w:trPr>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4,387</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4,388</w:t>
            </w:r>
          </w:p>
        </w:tc>
        <w:tc>
          <w:tcPr>
            <w:tcW w:w="10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528"/>
        </w:trPr>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76"/>
        </w:trPr>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r>
      <w:tr>
        <w:trPr>
          <w:trHeight w:val="237"/>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20"/>
                <w:szCs w:val="20"/>
                <w:color w:val="auto"/>
              </w:rPr>
            </w:pP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521"/>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24"/>
                <w:szCs w:val="24"/>
                <w:color w:val="auto"/>
              </w:rPr>
            </w:pP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r>
      <w:tr>
        <w:trPr>
          <w:trHeight w:val="270"/>
        </w:trPr>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r>
      <w:tr>
        <w:trPr>
          <w:trHeight w:val="244"/>
        </w:trPr>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June 30, 2018</w:t>
            </w:r>
          </w:p>
        </w:tc>
        <w:tc>
          <w:tcPr>
            <w:tcW w:w="5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r>
      <w:tr>
        <w:trPr>
          <w:trHeight w:val="175"/>
        </w:trPr>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Balances without</w:t>
            </w: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62"/>
        </w:trPr>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Adoption of Topic</w:t>
            </w: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96"/>
        </w:trPr>
        <w:tc>
          <w:tcPr>
            <w:tcW w:w="180" w:type="dxa"/>
            <w:vAlign w:val="bottom"/>
          </w:tcPr>
          <w:p>
            <w:pPr>
              <w:spacing w:after="0"/>
              <w:rPr>
                <w:sz w:val="17"/>
                <w:szCs w:val="17"/>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As Reported</w:t>
            </w:r>
          </w:p>
        </w:tc>
        <w:tc>
          <w:tcPr>
            <w:tcW w:w="160" w:type="dxa"/>
            <w:vAlign w:val="bottom"/>
          </w:tcPr>
          <w:p>
            <w:pPr>
              <w:spacing w:after="0"/>
              <w:rPr>
                <w:sz w:val="17"/>
                <w:szCs w:val="17"/>
                <w:color w:val="auto"/>
              </w:rPr>
            </w:pPr>
          </w:p>
        </w:tc>
        <w:tc>
          <w:tcPr>
            <w:tcW w:w="1180" w:type="dxa"/>
            <w:vAlign w:val="bottom"/>
          </w:tcPr>
          <w:p>
            <w:pPr>
              <w:jc w:val="center"/>
              <w:ind w:right="68"/>
              <w:spacing w:after="0"/>
              <w:rPr>
                <w:sz w:val="20"/>
                <w:szCs w:val="20"/>
                <w:color w:val="auto"/>
              </w:rPr>
            </w:pPr>
            <w:r>
              <w:rPr>
                <w:rFonts w:ascii="Arial" w:cs="Arial" w:eastAsia="Arial" w:hAnsi="Arial"/>
                <w:sz w:val="14"/>
                <w:szCs w:val="14"/>
                <w:b w:val="1"/>
                <w:bCs w:val="1"/>
                <w:color w:val="auto"/>
              </w:rPr>
              <w:t>606</w:t>
            </w:r>
          </w:p>
        </w:tc>
        <w:tc>
          <w:tcPr>
            <w:tcW w:w="100" w:type="dxa"/>
            <w:vAlign w:val="bottom"/>
          </w:tcPr>
          <w:p>
            <w:pPr>
              <w:spacing w:after="0"/>
              <w:rPr>
                <w:sz w:val="17"/>
                <w:szCs w:val="17"/>
                <w:color w:val="auto"/>
              </w:rPr>
            </w:pPr>
          </w:p>
        </w:tc>
        <w:tc>
          <w:tcPr>
            <w:tcW w:w="132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Effect of Change</w:t>
            </w:r>
          </w:p>
        </w:tc>
      </w:tr>
      <w:tr>
        <w:trPr>
          <w:trHeight w:val="534"/>
        </w:trPr>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1,120</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1,108</w:t>
            </w:r>
          </w:p>
        </w:tc>
        <w:tc>
          <w:tcPr>
            <w:tcW w:w="100" w:type="dxa"/>
            <w:vAlign w:val="bottom"/>
          </w:tcPr>
          <w:p>
            <w:pPr>
              <w:spacing w:after="0"/>
              <w:rPr>
                <w:sz w:val="24"/>
                <w:szCs w:val="24"/>
                <w:color w:val="auto"/>
              </w:rPr>
            </w:pPr>
          </w:p>
        </w:tc>
        <w:tc>
          <w:tcPr>
            <w:tcW w:w="56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12</w:t>
            </w:r>
          </w:p>
        </w:tc>
      </w:tr>
      <w:tr>
        <w:trPr>
          <w:trHeight w:val="250"/>
        </w:trPr>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6,193</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6,181</w:t>
            </w:r>
          </w:p>
        </w:tc>
        <w:tc>
          <w:tcPr>
            <w:tcW w:w="10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w:t>
            </w:r>
          </w:p>
        </w:tc>
      </w:tr>
      <w:tr>
        <w:trPr>
          <w:trHeight w:val="250"/>
        </w:trPr>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20,919</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20,907</w:t>
            </w:r>
          </w:p>
        </w:tc>
        <w:tc>
          <w:tcPr>
            <w:tcW w:w="10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w:t>
            </w:r>
          </w:p>
        </w:tc>
      </w:tr>
      <w:tr>
        <w:trPr>
          <w:trHeight w:val="534"/>
        </w:trPr>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1,832</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1,826</w:t>
            </w:r>
          </w:p>
        </w:tc>
        <w:tc>
          <w:tcPr>
            <w:tcW w:w="1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w:t>
            </w:r>
          </w:p>
        </w:tc>
      </w:tr>
      <w:tr>
        <w:trPr>
          <w:trHeight w:val="250"/>
        </w:trPr>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1,856</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1,850</w:t>
            </w:r>
          </w:p>
        </w:tc>
        <w:tc>
          <w:tcPr>
            <w:tcW w:w="10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w:t>
            </w:r>
          </w:p>
        </w:tc>
      </w:tr>
      <w:tr>
        <w:trPr>
          <w:trHeight w:val="453"/>
        </w:trPr>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745</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695</w:t>
            </w:r>
          </w:p>
        </w:tc>
        <w:tc>
          <w:tcPr>
            <w:tcW w:w="1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w:t>
            </w:r>
          </w:p>
        </w:tc>
      </w:tr>
      <w:tr>
        <w:trPr>
          <w:trHeight w:val="250"/>
        </w:trPr>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6,145</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6,095</w:t>
            </w:r>
          </w:p>
        </w:tc>
        <w:tc>
          <w:tcPr>
            <w:tcW w:w="10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w:t>
            </w:r>
          </w:p>
        </w:tc>
      </w:tr>
      <w:tr>
        <w:trPr>
          <w:trHeight w:val="534"/>
        </w:trPr>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(1,316)</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(1,272)</w:t>
            </w:r>
          </w:p>
        </w:tc>
        <w:tc>
          <w:tcPr>
            <w:tcW w:w="1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r>
      <w:tr>
        <w:trPr>
          <w:trHeight w:val="237"/>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372</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416</w:t>
            </w:r>
          </w:p>
        </w:tc>
        <w:tc>
          <w:tcPr>
            <w:tcW w:w="100" w:type="dxa"/>
            <w:vAlign w:val="bottom"/>
          </w:tcPr>
          <w:p>
            <w:pPr>
              <w:spacing w:after="0"/>
              <w:rPr>
                <w:sz w:val="20"/>
                <w:szCs w:val="20"/>
                <w:color w:val="auto"/>
              </w:rPr>
            </w:pP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ectPr>
          <w:pgSz w:w="11900" w:h="16838" w:orient="portrait"/>
          <w:cols w:equalWidth="0" w:num="2">
            <w:col w:w="5820" w:space="720"/>
            <w:col w:w="4740"/>
          </w:cols>
          <w:pgMar w:left="240" w:top="140" w:right="379" w:bottom="1440" w:gutter="0" w:footer="0" w:header="0"/>
          <w:type w:val="continuous"/>
        </w:sectPr>
      </w:pPr>
    </w:p>
    <w:p>
      <w:pPr>
        <w:ind w:left="50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Nonemployee Share-Based Payment Accounting</w:t>
      </w:r>
    </w:p>
    <w:p>
      <w:pPr>
        <w:spacing w:after="0" w:line="243"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In June 2018, the Financial Accounting Standards Board (“FASB”) issued ASU 2018-07, “Stock Compensation (Topic 718): Improvements to Nonemployee Share-Based Payment Accounting,” which simplifies the accounting for share-based payments granted to nonemployees for goods and services and aligns most of the guidance on such payments to nonemployees with the requirements for share-based payments granted to employees. ASU 2018-07 becomes effective for the Company on January 1, 2019. Early adoption is permitted. The adoption of this accounting pronouncement is not expected to have an impact on the Company's Consolidated Condensed Financial Statements.</w:t>
      </w:r>
    </w:p>
    <w:p>
      <w:pPr>
        <w:sectPr>
          <w:pgSz w:w="11900" w:h="16838" w:orient="portrait"/>
          <w:cols w:equalWidth="0" w:num="1">
            <w:col w:w="11280"/>
          </w:cols>
          <w:pgMar w:left="240" w:top="140" w:right="379" w:bottom="1440" w:gutter="0" w:footer="0" w:header="0"/>
          <w:type w:val="continuous"/>
        </w:sectPr>
      </w:pPr>
    </w:p>
    <w:p>
      <w:pPr>
        <w:spacing w:after="0" w:line="200" w:lineRule="exact"/>
        <w:rPr>
          <w:sz w:val="20"/>
          <w:szCs w:val="20"/>
          <w:color w:val="auto"/>
        </w:rPr>
      </w:pPr>
    </w:p>
    <w:p>
      <w:pPr>
        <w:spacing w:after="0" w:line="252"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280"/>
          </w:cols>
          <w:pgMar w:left="240" w:top="140" w:right="37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Accounting for Hedging Activities</w:t>
      </w:r>
    </w:p>
    <w:p>
      <w:pPr>
        <w:spacing w:after="0" w:line="243" w:lineRule="exact"/>
        <w:rPr>
          <w:sz w:val="20"/>
          <w:szCs w:val="20"/>
          <w:color w:val="auto"/>
        </w:rPr>
      </w:pPr>
    </w:p>
    <w:p>
      <w:pPr>
        <w:ind w:left="500" w:right="360"/>
        <w:spacing w:after="0" w:line="253" w:lineRule="auto"/>
        <w:rPr>
          <w:sz w:val="20"/>
          <w:szCs w:val="20"/>
          <w:color w:val="auto"/>
        </w:rPr>
      </w:pPr>
      <w:r>
        <w:rPr>
          <w:rFonts w:ascii="Arial" w:cs="Arial" w:eastAsia="Arial" w:hAnsi="Arial"/>
          <w:sz w:val="18"/>
          <w:szCs w:val="18"/>
          <w:color w:val="auto"/>
        </w:rPr>
        <w:t>In August 2017, the FASB issued ASU 2017-12, “Derivatives and Hedging (Topic 815): Targeted Improvements to Accounting for Hedging Activities,” which amends the existing guidance to allow companies to more accurately present the economic results of an entity’s risk management activities in the financial statements. ASU 2017-12 becomes effective for the Company on January 1, 2019. Early adoption is permitted. The Company is currently evaluating the effect of this accounting pronouncement on its Consolidated Condensed Financial Statements.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Measurement of Credit Losses on Financial Instruments</w:t>
      </w:r>
    </w:p>
    <w:p>
      <w:pPr>
        <w:spacing w:after="0" w:line="243" w:lineRule="exact"/>
        <w:rPr>
          <w:sz w:val="20"/>
          <w:szCs w:val="20"/>
          <w:color w:val="auto"/>
        </w:rPr>
      </w:pPr>
    </w:p>
    <w:p>
      <w:pPr>
        <w:ind w:left="500" w:right="40"/>
        <w:spacing w:after="0" w:line="252" w:lineRule="auto"/>
        <w:rPr>
          <w:sz w:val="20"/>
          <w:szCs w:val="20"/>
          <w:color w:val="auto"/>
        </w:rPr>
      </w:pPr>
      <w:r>
        <w:rPr>
          <w:rFonts w:ascii="Arial" w:cs="Arial" w:eastAsia="Arial" w:hAnsi="Arial"/>
          <w:sz w:val="18"/>
          <w:szCs w:val="18"/>
          <w:color w:val="auto"/>
        </w:rPr>
        <w:t>In June 2016, the FASB issued ASU 2016-13, “Financial Instruments—Credit Losses (Topic 326): Measurement of Credit Losses on Financial Instruments,” which sets forth a current expected credit loss impairment model for financial assets that replaces the current incurred loss model. This model requires a financial asset (or group of financial assets), including trade receivables, measured at amortized cost to be presented at the net amount expected to be collected with an allowance for credit losses deducted from the amortized cost basis. The allowance for credit losses should reflect management’s current estimate of credit losses that are expected to occur over the remaining life of a financial asset. ASU 2016-13 becomes effective for the Company on January 1, 2020. Early adoption is permitted as of January 1, 2019. The adoption of this accounting pronouncement is not expected to have a material impact on the Company's Consolidated Condensed Financial Statements.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Leases</w:t>
      </w:r>
    </w:p>
    <w:p>
      <w:pPr>
        <w:spacing w:after="0" w:line="243" w:lineRule="exact"/>
        <w:rPr>
          <w:sz w:val="20"/>
          <w:szCs w:val="20"/>
          <w:color w:val="auto"/>
        </w:rPr>
      </w:pPr>
    </w:p>
    <w:p>
      <w:pPr>
        <w:ind w:left="500" w:right="60"/>
        <w:spacing w:after="0" w:line="251" w:lineRule="auto"/>
        <w:rPr>
          <w:sz w:val="20"/>
          <w:szCs w:val="20"/>
          <w:color w:val="auto"/>
        </w:rPr>
      </w:pPr>
      <w:r>
        <w:rPr>
          <w:rFonts w:ascii="Arial" w:cs="Arial" w:eastAsia="Arial" w:hAnsi="Arial"/>
          <w:sz w:val="18"/>
          <w:szCs w:val="18"/>
          <w:color w:val="auto"/>
        </w:rPr>
        <w:t xml:space="preserve">In February 2016, the FASB issued ASU 2016-02, “Leases (Topic 842),” which requires a lessee to recognize all long-term leases on its balance sheet as a liability for its lease obligation, measured at the present value of lease payments not yet paid, and a corresponding asset representing its right to use the underlying asset over the lease term and expands disclosure of key information about leasing arrangements. The ASU does not significantly change a lessee’s recognition, measurement and presentation of expenses and cash flows. Additionally, ASU 2016 -02 aligns key aspects of lessor accounting with the new revenue recognition guidance in Topic 606 (see </w:t>
      </w:r>
      <w:r>
        <w:rPr>
          <w:rFonts w:ascii="Arial" w:cs="Arial" w:eastAsia="Arial" w:hAnsi="Arial"/>
          <w:sz w:val="18"/>
          <w:szCs w:val="18"/>
          <w:i w:val="1"/>
          <w:iCs w:val="1"/>
          <w:color w:val="auto"/>
        </w:rPr>
        <w:t xml:space="preserve">Revenue from Contracts with Customers </w:t>
      </w:r>
      <w:r>
        <w:rPr>
          <w:rFonts w:ascii="Arial" w:cs="Arial" w:eastAsia="Arial" w:hAnsi="Arial"/>
          <w:sz w:val="18"/>
          <w:szCs w:val="18"/>
          <w:color w:val="auto"/>
        </w:rPr>
        <w:t>above). In transition, lessees and lessors are required to recognize and measure leases at the</w:t>
      </w:r>
      <w:r>
        <w:rPr>
          <w:rFonts w:ascii="Arial" w:cs="Arial" w:eastAsia="Arial" w:hAnsi="Arial"/>
          <w:sz w:val="18"/>
          <w:szCs w:val="18"/>
          <w:i w:val="1"/>
          <w:iCs w:val="1"/>
          <w:color w:val="auto"/>
        </w:rPr>
        <w:t xml:space="preserve"> </w:t>
      </w:r>
      <w:r>
        <w:rPr>
          <w:rFonts w:ascii="Arial" w:cs="Arial" w:eastAsia="Arial" w:hAnsi="Arial"/>
          <w:sz w:val="18"/>
          <w:szCs w:val="18"/>
          <w:color w:val="auto"/>
        </w:rPr>
        <w:t>beginning of the earliest period presented using a modified retrospective approach which includes a number of optional practical expedients that entities may elect to apply. In July 2018, the FASB issued ASU 2018-11, “Leases (Topic 842): Targeted Improvements,” which provides an additional transition method allowing entities to only apply the new lease standard in the year of adoption. Additionally, ASU 2018-11 provides a practical expedient for lessors to combine nonlease components with related lease components if certain conditions are met. These ASUs become effective for the Company on January 1, 2019. Early adoption is permitted.</w:t>
      </w:r>
    </w:p>
    <w:p>
      <w:pPr>
        <w:spacing w:after="0" w:line="212"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 xml:space="preserve">The Company is in the process of evaluating and planning for the implementation of these ASUs, including assessing its overall impact, and expects most of its operating lease commitments will be subject to the new standard and recognized as operating lease liabilities and right-of-use assets upon adoption, which will materially increase total assets and total liabilities relative to such amounts prior to adoption. The Company has determined portions of its vehicle rental contracts that convey the right to control the use of identified assets are within the scope of the accounting guidance contained in these ASUs. As discussed in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above, the Company’s rental related revenues are accounted for under the revenue accounting standard Topic 606, until the adoption of this lease accounting standard Topic 842 on January 1, 2019.</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Income Taxes</w:t>
      </w:r>
    </w:p>
    <w:p>
      <w:pPr>
        <w:spacing w:after="0" w:line="243" w:lineRule="exact"/>
        <w:rPr>
          <w:sz w:val="20"/>
          <w:szCs w:val="20"/>
          <w:color w:val="auto"/>
        </w:rPr>
      </w:pPr>
    </w:p>
    <w:p>
      <w:pPr>
        <w:ind w:left="500" w:right="40"/>
        <w:spacing w:after="0" w:line="252" w:lineRule="auto"/>
        <w:rPr>
          <w:sz w:val="20"/>
          <w:szCs w:val="20"/>
          <w:color w:val="auto"/>
        </w:rPr>
      </w:pPr>
      <w:r>
        <w:rPr>
          <w:rFonts w:ascii="Arial" w:cs="Arial" w:eastAsia="Arial" w:hAnsi="Arial"/>
          <w:sz w:val="18"/>
          <w:szCs w:val="18"/>
          <w:color w:val="auto"/>
        </w:rPr>
        <w:t>In January 2018, the FASB issued FASB Staff Question and Answer Topic 740, No. 5: Accounting for Global Intangible Low-Taxed Income (“GILTI”), which provides guidance on accounting for the GILTI provisions of the U.S. enacted tax reform legislation (“the Tax Act”). The GILTI provisions impose a tax on foreign income in excess of a deemed return on tangible assets of foreign corporations. The guidance allows accounting for tax on GILTI to be treated as a deferred tax item or as a component of current period income tax expense in the year incurred, subject to an accounting policy election. The Company will complete its analysis in a subsequent period not to exceed one year from the date of the enactment of the Tax Act and will elect an accounting policy at such time.</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40"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the Company’s revenues disaggregated by geography.</w:t>
      </w:r>
    </w:p>
    <w:p>
      <w:pPr>
        <w:spacing w:after="0" w:line="145"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5740" w:type="dxa"/>
            <w:vAlign w:val="bottom"/>
          </w:tcPr>
          <w:p>
            <w:pPr>
              <w:spacing w:after="0"/>
              <w:rPr>
                <w:sz w:val="17"/>
                <w:szCs w:val="17"/>
                <w:color w:val="auto"/>
              </w:rPr>
            </w:pPr>
          </w:p>
        </w:tc>
        <w:tc>
          <w:tcPr>
            <w:tcW w:w="25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rPr>
              <w:t>Three Months Ended June</w:t>
            </w:r>
          </w:p>
        </w:tc>
        <w:tc>
          <w:tcPr>
            <w:tcW w:w="2380" w:type="dxa"/>
            <w:vAlign w:val="bottom"/>
            <w:gridSpan w:val="2"/>
          </w:tcPr>
          <w:p>
            <w:pPr>
              <w:ind w:left="2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46"/>
        </w:trPr>
        <w:tc>
          <w:tcPr>
            <w:tcW w:w="574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center"/>
              <w:ind w:right="590"/>
              <w:spacing w:after="0"/>
              <w:rPr>
                <w:sz w:val="20"/>
                <w:szCs w:val="20"/>
                <w:color w:val="auto"/>
              </w:rPr>
            </w:pPr>
            <w:r>
              <w:rPr>
                <w:rFonts w:ascii="Arial" w:cs="Arial" w:eastAsia="Arial" w:hAnsi="Arial"/>
                <w:sz w:val="18"/>
                <w:szCs w:val="18"/>
                <w:b w:val="1"/>
                <w:bCs w:val="1"/>
                <w:color w:val="auto"/>
                <w:w w:val="99"/>
              </w:rPr>
              <w:t>30, 2018</w:t>
            </w:r>
          </w:p>
        </w:tc>
        <w:tc>
          <w:tcPr>
            <w:tcW w:w="12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43"/>
        </w:trPr>
        <w:tc>
          <w:tcPr>
            <w:tcW w:w="5740" w:type="dxa"/>
            <w:vAlign w:val="bottom"/>
          </w:tcPr>
          <w:p>
            <w:pPr>
              <w:ind w:left="320"/>
              <w:spacing w:after="0"/>
              <w:rPr>
                <w:sz w:val="20"/>
                <w:szCs w:val="20"/>
                <w:color w:val="auto"/>
              </w:rPr>
            </w:pPr>
            <w:r>
              <w:rPr>
                <w:rFonts w:ascii="Arial" w:cs="Arial" w:eastAsia="Arial" w:hAnsi="Arial"/>
                <w:sz w:val="18"/>
                <w:szCs w:val="18"/>
                <w:color w:val="auto"/>
              </w:rPr>
              <w:t>Americas</w:t>
            </w: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1,590</w:t>
            </w:r>
          </w:p>
        </w:tc>
        <w:tc>
          <w:tcPr>
            <w:tcW w:w="120" w:type="dxa"/>
            <w:vAlign w:val="bottom"/>
          </w:tcPr>
          <w:p>
            <w:pPr>
              <w:spacing w:after="0"/>
              <w:rPr>
                <w:sz w:val="21"/>
                <w:szCs w:val="21"/>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2,938</w:t>
            </w:r>
          </w:p>
        </w:tc>
        <w:tc>
          <w:tcPr>
            <w:tcW w:w="0" w:type="dxa"/>
            <w:vAlign w:val="bottom"/>
          </w:tcPr>
          <w:p>
            <w:pPr>
              <w:spacing w:after="0"/>
              <w:rPr>
                <w:sz w:val="1"/>
                <w:szCs w:val="1"/>
                <w:color w:val="auto"/>
              </w:rPr>
            </w:pPr>
          </w:p>
        </w:tc>
      </w:tr>
      <w:tr>
        <w:trPr>
          <w:trHeight w:val="270"/>
        </w:trPr>
        <w:tc>
          <w:tcPr>
            <w:tcW w:w="5740" w:type="dxa"/>
            <w:vAlign w:val="bottom"/>
          </w:tcPr>
          <w:p>
            <w:pPr>
              <w:ind w:left="320"/>
              <w:spacing w:after="0"/>
              <w:rPr>
                <w:sz w:val="20"/>
                <w:szCs w:val="20"/>
                <w:color w:val="auto"/>
              </w:rPr>
            </w:pPr>
            <w:r>
              <w:rPr>
                <w:rFonts w:ascii="Arial" w:cs="Arial" w:eastAsia="Arial" w:hAnsi="Arial"/>
                <w:sz w:val="18"/>
                <w:szCs w:val="18"/>
                <w:color w:val="auto"/>
              </w:rPr>
              <w:t>Europe, Middle East and Africa</w:t>
            </w:r>
          </w:p>
        </w:tc>
        <w:tc>
          <w:tcPr>
            <w:tcW w:w="680" w:type="dxa"/>
            <w:vAlign w:val="bottom"/>
          </w:tcPr>
          <w:p>
            <w:pPr>
              <w:spacing w:after="0"/>
              <w:rPr>
                <w:sz w:val="23"/>
                <w:szCs w:val="23"/>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77"/>
        </w:trPr>
        <w:tc>
          <w:tcPr>
            <w:tcW w:w="5740" w:type="dxa"/>
            <w:vAlign w:val="bottom"/>
          </w:tcPr>
          <w:p>
            <w:pPr>
              <w:ind w:left="320"/>
              <w:spacing w:after="0"/>
              <w:rPr>
                <w:sz w:val="20"/>
                <w:szCs w:val="20"/>
                <w:color w:val="auto"/>
              </w:rPr>
            </w:pPr>
            <w:r>
              <w:rPr>
                <w:rFonts w:ascii="Arial" w:cs="Arial" w:eastAsia="Arial" w:hAnsi="Arial"/>
                <w:sz w:val="18"/>
                <w:szCs w:val="18"/>
                <w:color w:val="auto"/>
              </w:rPr>
              <w:t>Asia and Australasia</w:t>
            </w:r>
          </w:p>
        </w:tc>
        <w:tc>
          <w:tcPr>
            <w:tcW w:w="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57"/>
        </w:trPr>
        <w:tc>
          <w:tcPr>
            <w:tcW w:w="5740" w:type="dxa"/>
            <w:vAlign w:val="bottom"/>
          </w:tcPr>
          <w:p>
            <w:pPr>
              <w:ind w:left="320"/>
              <w:spacing w:after="0"/>
              <w:rPr>
                <w:sz w:val="20"/>
                <w:szCs w:val="20"/>
                <w:color w:val="auto"/>
              </w:rPr>
            </w:pPr>
            <w:r>
              <w:rPr>
                <w:rFonts w:ascii="Arial" w:cs="Arial" w:eastAsia="Arial" w:hAnsi="Arial"/>
                <w:sz w:val="18"/>
                <w:szCs w:val="18"/>
                <w:color w:val="auto"/>
              </w:rPr>
              <w:t>Total revenues</w:t>
            </w:r>
          </w:p>
        </w:tc>
        <w:tc>
          <w:tcPr>
            <w:tcW w:w="6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2,328</w:t>
            </w:r>
          </w:p>
        </w:tc>
        <w:tc>
          <w:tcPr>
            <w:tcW w:w="120" w:type="dxa"/>
            <w:vAlign w:val="bottom"/>
          </w:tcPr>
          <w:p>
            <w:pPr>
              <w:spacing w:after="0"/>
              <w:rPr>
                <w:sz w:val="22"/>
                <w:szCs w:val="22"/>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4,296</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420" w:type="dxa"/>
            <w:vAlign w:val="bottom"/>
            <w:gridSpan w:val="2"/>
          </w:tcPr>
          <w:p>
            <w:pPr>
              <w:spacing w:after="0"/>
              <w:rPr>
                <w:sz w:val="20"/>
                <w:szCs w:val="20"/>
                <w:color w:val="auto"/>
              </w:rPr>
            </w:pPr>
            <w:r>
              <w:rPr>
                <w:rFonts w:ascii="Arial" w:cs="Arial" w:eastAsia="Arial" w:hAnsi="Arial"/>
                <w:sz w:val="18"/>
                <w:szCs w:val="18"/>
                <w:color w:val="auto"/>
              </w:rPr>
              <w:t>The following table presents the Company’s revenues disaggregated by brand.</w:t>
            </w: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5740" w:type="dxa"/>
            <w:vAlign w:val="bottom"/>
          </w:tcPr>
          <w:p>
            <w:pPr>
              <w:spacing w:after="0"/>
              <w:rPr>
                <w:sz w:val="24"/>
                <w:szCs w:val="24"/>
                <w:color w:val="auto"/>
              </w:rPr>
            </w:pPr>
          </w:p>
        </w:tc>
        <w:tc>
          <w:tcPr>
            <w:tcW w:w="25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rPr>
              <w:t>Three Months Ended June</w:t>
            </w:r>
          </w:p>
        </w:tc>
        <w:tc>
          <w:tcPr>
            <w:tcW w:w="2380" w:type="dxa"/>
            <w:vAlign w:val="bottom"/>
            <w:gridSpan w:val="2"/>
          </w:tcPr>
          <w:p>
            <w:pPr>
              <w:ind w:left="2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46"/>
        </w:trPr>
        <w:tc>
          <w:tcPr>
            <w:tcW w:w="574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center"/>
              <w:ind w:right="590"/>
              <w:spacing w:after="0"/>
              <w:rPr>
                <w:sz w:val="20"/>
                <w:szCs w:val="20"/>
                <w:color w:val="auto"/>
              </w:rPr>
            </w:pPr>
            <w:r>
              <w:rPr>
                <w:rFonts w:ascii="Arial" w:cs="Arial" w:eastAsia="Arial" w:hAnsi="Arial"/>
                <w:sz w:val="18"/>
                <w:szCs w:val="18"/>
                <w:b w:val="1"/>
                <w:bCs w:val="1"/>
                <w:color w:val="auto"/>
                <w:w w:val="99"/>
              </w:rPr>
              <w:t>30, 2018</w:t>
            </w:r>
          </w:p>
        </w:tc>
        <w:tc>
          <w:tcPr>
            <w:tcW w:w="12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43"/>
        </w:trPr>
        <w:tc>
          <w:tcPr>
            <w:tcW w:w="5740" w:type="dxa"/>
            <w:vAlign w:val="bottom"/>
          </w:tcPr>
          <w:p>
            <w:pPr>
              <w:ind w:left="320"/>
              <w:spacing w:after="0"/>
              <w:rPr>
                <w:sz w:val="20"/>
                <w:szCs w:val="20"/>
                <w:color w:val="auto"/>
              </w:rPr>
            </w:pPr>
            <w:r>
              <w:rPr>
                <w:rFonts w:ascii="Arial" w:cs="Arial" w:eastAsia="Arial" w:hAnsi="Arial"/>
                <w:sz w:val="18"/>
                <w:szCs w:val="18"/>
                <w:color w:val="auto"/>
              </w:rPr>
              <w:t>Avis</w:t>
            </w: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1,351</w:t>
            </w:r>
          </w:p>
        </w:tc>
        <w:tc>
          <w:tcPr>
            <w:tcW w:w="120" w:type="dxa"/>
            <w:vAlign w:val="bottom"/>
          </w:tcPr>
          <w:p>
            <w:pPr>
              <w:spacing w:after="0"/>
              <w:rPr>
                <w:sz w:val="21"/>
                <w:szCs w:val="21"/>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2,496</w:t>
            </w:r>
          </w:p>
        </w:tc>
        <w:tc>
          <w:tcPr>
            <w:tcW w:w="0" w:type="dxa"/>
            <w:vAlign w:val="bottom"/>
          </w:tcPr>
          <w:p>
            <w:pPr>
              <w:spacing w:after="0"/>
              <w:rPr>
                <w:sz w:val="1"/>
                <w:szCs w:val="1"/>
                <w:color w:val="auto"/>
              </w:rPr>
            </w:pPr>
          </w:p>
        </w:tc>
      </w:tr>
      <w:tr>
        <w:trPr>
          <w:trHeight w:val="270"/>
        </w:trPr>
        <w:tc>
          <w:tcPr>
            <w:tcW w:w="5740" w:type="dxa"/>
            <w:vAlign w:val="bottom"/>
          </w:tcPr>
          <w:p>
            <w:pPr>
              <w:ind w:left="320"/>
              <w:spacing w:after="0"/>
              <w:rPr>
                <w:sz w:val="20"/>
                <w:szCs w:val="20"/>
                <w:color w:val="auto"/>
              </w:rPr>
            </w:pPr>
            <w:r>
              <w:rPr>
                <w:rFonts w:ascii="Arial" w:cs="Arial" w:eastAsia="Arial" w:hAnsi="Arial"/>
                <w:sz w:val="18"/>
                <w:szCs w:val="18"/>
                <w:color w:val="auto"/>
              </w:rPr>
              <w:t>Budget</w:t>
            </w:r>
          </w:p>
        </w:tc>
        <w:tc>
          <w:tcPr>
            <w:tcW w:w="680" w:type="dxa"/>
            <w:vAlign w:val="bottom"/>
          </w:tcPr>
          <w:p>
            <w:pPr>
              <w:spacing w:after="0"/>
              <w:rPr>
                <w:sz w:val="23"/>
                <w:szCs w:val="23"/>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777</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1,419</w:t>
            </w:r>
          </w:p>
        </w:tc>
        <w:tc>
          <w:tcPr>
            <w:tcW w:w="0" w:type="dxa"/>
            <w:vAlign w:val="bottom"/>
          </w:tcPr>
          <w:p>
            <w:pPr>
              <w:spacing w:after="0"/>
              <w:rPr>
                <w:sz w:val="1"/>
                <w:szCs w:val="1"/>
                <w:color w:val="auto"/>
              </w:rPr>
            </w:pPr>
          </w:p>
        </w:tc>
      </w:tr>
      <w:tr>
        <w:trPr>
          <w:trHeight w:val="277"/>
        </w:trPr>
        <w:tc>
          <w:tcPr>
            <w:tcW w:w="5740" w:type="dxa"/>
            <w:vAlign w:val="bottom"/>
          </w:tcPr>
          <w:p>
            <w:pPr>
              <w:ind w:left="320"/>
              <w:spacing w:after="0"/>
              <w:rPr>
                <w:sz w:val="20"/>
                <w:szCs w:val="20"/>
                <w:color w:val="auto"/>
              </w:rPr>
            </w:pPr>
            <w:r>
              <w:rPr>
                <w:rFonts w:ascii="Arial" w:cs="Arial" w:eastAsia="Arial" w:hAnsi="Arial"/>
                <w:sz w:val="18"/>
                <w:szCs w:val="18"/>
                <w:color w:val="auto"/>
              </w:rPr>
              <w:t>Other</w:t>
            </w:r>
          </w:p>
        </w:tc>
        <w:tc>
          <w:tcPr>
            <w:tcW w:w="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57"/>
        </w:trPr>
        <w:tc>
          <w:tcPr>
            <w:tcW w:w="5740" w:type="dxa"/>
            <w:vAlign w:val="bottom"/>
          </w:tcPr>
          <w:p>
            <w:pPr>
              <w:ind w:left="320"/>
              <w:spacing w:after="0"/>
              <w:rPr>
                <w:sz w:val="20"/>
                <w:szCs w:val="20"/>
                <w:color w:val="auto"/>
              </w:rPr>
            </w:pPr>
            <w:r>
              <w:rPr>
                <w:rFonts w:ascii="Arial" w:cs="Arial" w:eastAsia="Arial" w:hAnsi="Arial"/>
                <w:sz w:val="18"/>
                <w:szCs w:val="18"/>
                <w:color w:val="auto"/>
              </w:rPr>
              <w:t>Total revenues</w:t>
            </w:r>
          </w:p>
        </w:tc>
        <w:tc>
          <w:tcPr>
            <w:tcW w:w="6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2,328</w:t>
            </w:r>
          </w:p>
        </w:tc>
        <w:tc>
          <w:tcPr>
            <w:tcW w:w="120" w:type="dxa"/>
            <w:vAlign w:val="bottom"/>
          </w:tcPr>
          <w:p>
            <w:pPr>
              <w:spacing w:after="0"/>
              <w:rPr>
                <w:sz w:val="22"/>
                <w:szCs w:val="22"/>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4,296</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4"/>
                <w:szCs w:val="14"/>
                <w:color w:val="auto"/>
              </w:rPr>
              <w:t>________</w:t>
            </w:r>
          </w:p>
        </w:tc>
        <w:tc>
          <w:tcPr>
            <w:tcW w:w="6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74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5740" w:type="dxa"/>
            <w:vAlign w:val="bottom"/>
          </w:tcPr>
          <w:p>
            <w:pPr>
              <w:spacing w:after="0"/>
              <w:rPr>
                <w:sz w:val="20"/>
                <w:szCs w:val="20"/>
                <w:color w:val="auto"/>
              </w:rPr>
            </w:pPr>
            <w:r>
              <w:rPr>
                <w:rFonts w:ascii="Arial" w:cs="Arial" w:eastAsia="Arial" w:hAnsi="Arial"/>
                <w:sz w:val="14"/>
                <w:szCs w:val="14"/>
                <w:color w:val="auto"/>
              </w:rPr>
              <w:t>Other includes Zipcar, Payless, Apex, Maggiore and FranceCars.</w:t>
            </w:r>
          </w:p>
        </w:tc>
        <w:tc>
          <w:tcPr>
            <w:tcW w:w="6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500"/>
        <w:spacing w:after="0" w:line="251" w:lineRule="auto"/>
        <w:rPr>
          <w:sz w:val="20"/>
          <w:szCs w:val="20"/>
          <w:color w:val="auto"/>
        </w:rPr>
      </w:pPr>
      <w:r>
        <w:rPr>
          <w:rFonts w:ascii="Arial" w:cs="Arial" w:eastAsia="Arial" w:hAnsi="Arial"/>
          <w:sz w:val="18"/>
          <w:szCs w:val="18"/>
          <w:color w:val="auto"/>
        </w:rPr>
        <w:t>The Company derives revenues primarily by providing vehicle rentals and other related products and mobility services to commercial and leisure customers, as well as through licensing of its rental systems. Other related products and mobility services include sales of collision and loss damage waivers under which a customer is relieved from financial responsibility arising from vehicle damage incurred during the rental; products and services for driving convenience such as fuel service options, chauffeur drive services, roadside safety net, electronic toll collection, tablet rentals, access to satellite radio, portable navigation units and child safety seat rentals; and rentals of other supplemental items including automobile towing equipment and other moving accessories and supplies. The Company also receives payment from customers for certain operating expenses that it incurs, including airport concession fees that are paid by the Company in exchange for the right to operate at airports and other locations, as well as vehicle licensing fees. In addition, the Company collects membership fees in connection with its car sharing business.</w:t>
      </w:r>
    </w:p>
    <w:p>
      <w:pPr>
        <w:spacing w:after="0" w:line="213" w:lineRule="exact"/>
        <w:rPr>
          <w:sz w:val="20"/>
          <w:szCs w:val="20"/>
          <w:color w:val="auto"/>
        </w:rPr>
      </w:pPr>
    </w:p>
    <w:p>
      <w:pPr>
        <w:ind w:left="500" w:right="20"/>
        <w:spacing w:after="0" w:line="251" w:lineRule="auto"/>
        <w:rPr>
          <w:sz w:val="20"/>
          <w:szCs w:val="20"/>
          <w:color w:val="auto"/>
        </w:rPr>
      </w:pPr>
      <w:r>
        <w:rPr>
          <w:rFonts w:ascii="Arial" w:cs="Arial" w:eastAsia="Arial" w:hAnsi="Arial"/>
          <w:sz w:val="18"/>
          <w:szCs w:val="18"/>
          <w:color w:val="auto"/>
        </w:rPr>
        <w:t>Revenue is recognized when obligations under the terms of a contract with the customer are satisfied; generally this occurs evenly over the contract (over time); when control of the promised products or services is transferred to the customer. Revenue is measured as the amount of consideration the Company expects to be entitled to receive in exchange for transferring products or services. Certain customers may receive cash-based rebates, which are accounted for as variable consideration. The Company estimates these rebates based on the expected amount to be provided to customers and reduces revenue recognized. Vehicle rental and rental-related revenues are recognized evenly over the period of rental. Licensing revenues principally consist of royalties paid by the Company’s licensees and are recorded as the licensees’ revenues are earned (over the rental period). The Company renews license agreements in the normal course of business and occasionally terminates, purchases or sells license agreements. In connection with ongoing fees that the Company receives from its licensees pursuant to license agreements, the Company is required to provide certain services, such as training, marketing and the operation of reservation systems. Revenues and expenses associated with gasoline, airport concessions and vehicle licensing are recorded on a gross basis within revenues and operating expenses. Membership fees related to the Company’s car sharing business are generally nonrefundable, are deferred and recognized ratably over the period of membership.</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247" w:lineRule="exact"/>
        <w:rPr>
          <w:sz w:val="20"/>
          <w:szCs w:val="20"/>
          <w:color w:val="auto"/>
        </w:rPr>
      </w:pPr>
    </w:p>
    <w:p>
      <w:pPr>
        <w:ind w:left="500" w:right="440"/>
        <w:spacing w:after="0" w:line="256" w:lineRule="auto"/>
        <w:rPr>
          <w:sz w:val="20"/>
          <w:szCs w:val="20"/>
          <w:color w:val="auto"/>
        </w:rPr>
      </w:pPr>
      <w:r>
        <w:rPr>
          <w:rFonts w:ascii="Arial" w:cs="Arial" w:eastAsia="Arial" w:hAnsi="Arial"/>
          <w:sz w:val="18"/>
          <w:szCs w:val="18"/>
          <w:color w:val="auto"/>
        </w:rPr>
        <w:t>The Company records deferred revenues when cash payments are received in advance of satisfying its performance obligations, including amounts that are refundable. In addition, certain customers earn loyalty points on rentals, for which the Company defers a portion of its rental revenues generally equivalent to the</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140" w:right="2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right="40"/>
        <w:spacing w:after="0" w:line="254" w:lineRule="auto"/>
        <w:rPr>
          <w:sz w:val="20"/>
          <w:szCs w:val="20"/>
          <w:color w:val="auto"/>
        </w:rPr>
      </w:pPr>
      <w:r>
        <w:rPr>
          <w:rFonts w:ascii="Arial" w:cs="Arial" w:eastAsia="Arial" w:hAnsi="Arial"/>
          <w:sz w:val="18"/>
          <w:szCs w:val="18"/>
          <w:color w:val="auto"/>
        </w:rPr>
        <w:t>estimated retail value of points expected to be redeemed. The Company estimates points that will never be redeemed based upon actual redemption and expiration patterns. Currently loyalty points expire at the earlier of 12 months of member inactivity or five years from when they were earned. Future changes to expiration assumptions or expiration policy, or to program rules, may result in changes to deferred revenue as well as recognized revenues from the program.</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changes in the Company’s contract liabilities during the six months ended June 30, 2018.</w:t>
      </w:r>
    </w:p>
    <w:p>
      <w:pPr>
        <w:spacing w:after="0" w:line="145"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2520" w:type="dxa"/>
            <w:vAlign w:val="bottom"/>
          </w:tcPr>
          <w:p>
            <w:pPr>
              <w:spacing w:after="0"/>
              <w:rPr>
                <w:sz w:val="17"/>
                <w:szCs w:val="17"/>
                <w:color w:val="auto"/>
              </w:rPr>
            </w:pPr>
          </w:p>
        </w:tc>
        <w:tc>
          <w:tcPr>
            <w:tcW w:w="1960" w:type="dxa"/>
            <w:vAlign w:val="bottom"/>
            <w:gridSpan w:val="3"/>
          </w:tcPr>
          <w:p>
            <w:pPr>
              <w:ind w:left="100"/>
              <w:spacing w:after="0"/>
              <w:rPr>
                <w:sz w:val="20"/>
                <w:szCs w:val="20"/>
                <w:color w:val="auto"/>
              </w:rPr>
            </w:pPr>
            <w:r>
              <w:rPr>
                <w:rFonts w:ascii="Arial" w:cs="Arial" w:eastAsia="Arial" w:hAnsi="Arial"/>
                <w:sz w:val="18"/>
                <w:szCs w:val="18"/>
                <w:b w:val="1"/>
                <w:bCs w:val="1"/>
                <w:color w:val="auto"/>
              </w:rPr>
              <w:t>Balance at January</w:t>
            </w: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jc w:val="right"/>
              <w:ind w:right="390"/>
              <w:spacing w:after="0"/>
              <w:rPr>
                <w:sz w:val="20"/>
                <w:szCs w:val="20"/>
                <w:color w:val="auto"/>
              </w:rPr>
            </w:pPr>
            <w:r>
              <w:rPr>
                <w:rFonts w:ascii="Arial" w:cs="Arial" w:eastAsia="Arial" w:hAnsi="Arial"/>
                <w:sz w:val="18"/>
                <w:szCs w:val="18"/>
                <w:b w:val="1"/>
                <w:bCs w:val="1"/>
                <w:color w:val="auto"/>
              </w:rPr>
              <w:t>Balance at</w:t>
            </w:r>
          </w:p>
        </w:tc>
      </w:tr>
      <w:tr>
        <w:trPr>
          <w:trHeight w:val="246"/>
        </w:trPr>
        <w:tc>
          <w:tcPr>
            <w:tcW w:w="2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tcPr>
          <w:p>
            <w:pPr>
              <w:jc w:val="right"/>
              <w:ind w:right="550"/>
              <w:spacing w:after="0"/>
              <w:rPr>
                <w:sz w:val="20"/>
                <w:szCs w:val="20"/>
                <w:color w:val="auto"/>
              </w:rPr>
            </w:pPr>
            <w:r>
              <w:rPr>
                <w:rFonts w:ascii="Arial" w:cs="Arial" w:eastAsia="Arial" w:hAnsi="Arial"/>
                <w:sz w:val="18"/>
                <w:szCs w:val="18"/>
                <w:b w:val="1"/>
                <w:bCs w:val="1"/>
                <w:color w:val="auto"/>
              </w:rPr>
              <w:t>1, 2018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20" w:type="dxa"/>
            <w:vAlign w:val="bottom"/>
            <w:gridSpan w:val="2"/>
          </w:tcPr>
          <w:p>
            <w:pPr>
              <w:ind w:left="20"/>
              <w:spacing w:after="0"/>
              <w:rPr>
                <w:sz w:val="20"/>
                <w:szCs w:val="20"/>
                <w:color w:val="auto"/>
              </w:rPr>
            </w:pPr>
            <w:r>
              <w:rPr>
                <w:rFonts w:ascii="Arial" w:cs="Arial" w:eastAsia="Arial" w:hAnsi="Arial"/>
                <w:sz w:val="18"/>
                <w:szCs w:val="18"/>
                <w:b w:val="1"/>
                <w:bCs w:val="1"/>
                <w:color w:val="auto"/>
              </w:rPr>
              <w:t>Revenue deferred</w:t>
            </w:r>
          </w:p>
        </w:tc>
        <w:tc>
          <w:tcPr>
            <w:tcW w:w="1980" w:type="dxa"/>
            <w:vAlign w:val="bottom"/>
            <w:gridSpan w:val="3"/>
          </w:tcPr>
          <w:p>
            <w:pPr>
              <w:ind w:left="60"/>
              <w:spacing w:after="0"/>
              <w:rPr>
                <w:sz w:val="20"/>
                <w:szCs w:val="20"/>
                <w:color w:val="auto"/>
              </w:rPr>
            </w:pPr>
            <w:r>
              <w:rPr>
                <w:rFonts w:ascii="Arial" w:cs="Arial" w:eastAsia="Arial" w:hAnsi="Arial"/>
                <w:sz w:val="18"/>
                <w:szCs w:val="18"/>
                <w:b w:val="1"/>
                <w:bCs w:val="1"/>
                <w:color w:val="auto"/>
              </w:rPr>
              <w:t>Revenue recognized</w:t>
            </w:r>
          </w:p>
        </w:tc>
        <w:tc>
          <w:tcPr>
            <w:tcW w:w="240" w:type="dxa"/>
            <w:vAlign w:val="bottom"/>
          </w:tcPr>
          <w:p>
            <w:pPr>
              <w:spacing w:after="0"/>
              <w:rPr>
                <w:sz w:val="21"/>
                <w:szCs w:val="21"/>
                <w:color w:val="auto"/>
              </w:rPr>
            </w:pPr>
          </w:p>
        </w:tc>
        <w:tc>
          <w:tcPr>
            <w:tcW w:w="1620" w:type="dxa"/>
            <w:vAlign w:val="bottom"/>
          </w:tcPr>
          <w:p>
            <w:pPr>
              <w:jc w:val="right"/>
              <w:ind w:right="250"/>
              <w:spacing w:after="0"/>
              <w:rPr>
                <w:sz w:val="20"/>
                <w:szCs w:val="20"/>
                <w:color w:val="auto"/>
              </w:rPr>
            </w:pPr>
            <w:r>
              <w:rPr>
                <w:rFonts w:ascii="Arial" w:cs="Arial" w:eastAsia="Arial" w:hAnsi="Arial"/>
                <w:sz w:val="18"/>
                <w:szCs w:val="18"/>
                <w:b w:val="1"/>
                <w:bCs w:val="1"/>
                <w:color w:val="auto"/>
              </w:rPr>
              <w:t>June 30, 2018</w:t>
            </w:r>
          </w:p>
        </w:tc>
      </w:tr>
      <w:tr>
        <w:trPr>
          <w:trHeight w:val="294"/>
        </w:trPr>
        <w:tc>
          <w:tcPr>
            <w:tcW w:w="2520" w:type="dxa"/>
            <w:vAlign w:val="bottom"/>
          </w:tcPr>
          <w:p>
            <w:pPr>
              <w:spacing w:after="0"/>
              <w:rPr>
                <w:sz w:val="20"/>
                <w:szCs w:val="20"/>
                <w:color w:val="auto"/>
              </w:rPr>
            </w:pPr>
            <w:r>
              <w:rPr>
                <w:rFonts w:ascii="Arial" w:cs="Arial" w:eastAsia="Arial" w:hAnsi="Arial"/>
                <w:sz w:val="18"/>
                <w:szCs w:val="18"/>
                <w:color w:val="auto"/>
              </w:rPr>
              <w:t>Prepaid rentals</w:t>
            </w:r>
            <w:r>
              <w:rPr>
                <w:rFonts w:ascii="Arial" w:cs="Arial" w:eastAsia="Arial" w:hAnsi="Arial"/>
                <w:sz w:val="21"/>
                <w:szCs w:val="21"/>
                <w:color w:val="auto"/>
                <w:vertAlign w:val="superscript"/>
              </w:rPr>
              <w:t>(a)</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891</w:t>
            </w:r>
          </w:p>
        </w:tc>
        <w:tc>
          <w:tcPr>
            <w:tcW w:w="120" w:type="dxa"/>
            <w:vAlign w:val="bottom"/>
          </w:tcPr>
          <w:p>
            <w:pPr>
              <w:spacing w:after="0"/>
              <w:rPr>
                <w:sz w:val="24"/>
                <w:szCs w:val="24"/>
                <w:color w:val="auto"/>
              </w:rPr>
            </w:pPr>
          </w:p>
        </w:tc>
        <w:tc>
          <w:tcPr>
            <w:tcW w:w="80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24"/>
                <w:szCs w:val="24"/>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210</w:t>
            </w:r>
          </w:p>
        </w:tc>
      </w:tr>
      <w:tr>
        <w:trPr>
          <w:trHeight w:val="233"/>
        </w:trPr>
        <w:tc>
          <w:tcPr>
            <w:tcW w:w="2520" w:type="dxa"/>
            <w:vAlign w:val="bottom"/>
          </w:tcPr>
          <w:p>
            <w:pPr>
              <w:spacing w:after="0" w:line="233" w:lineRule="exact"/>
              <w:rPr>
                <w:sz w:val="20"/>
                <w:szCs w:val="20"/>
                <w:color w:val="auto"/>
              </w:rPr>
            </w:pPr>
            <w:r>
              <w:rPr>
                <w:rFonts w:ascii="Arial" w:cs="Arial" w:eastAsia="Arial" w:hAnsi="Arial"/>
                <w:sz w:val="18"/>
                <w:szCs w:val="18"/>
                <w:color w:val="auto"/>
              </w:rPr>
              <w:t>Other deferred revenue</w:t>
            </w:r>
            <w:r>
              <w:rPr>
                <w:rFonts w:ascii="Arial" w:cs="Arial" w:eastAsia="Arial" w:hAnsi="Arial"/>
                <w:sz w:val="21"/>
                <w:szCs w:val="21"/>
                <w:color w:val="auto"/>
                <w:vertAlign w:val="superscript"/>
              </w:rPr>
              <w:t>(b)</w:t>
            </w:r>
          </w:p>
        </w:tc>
        <w:tc>
          <w:tcPr>
            <w:tcW w:w="3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w:t>
            </w:r>
          </w:p>
        </w:tc>
      </w:tr>
      <w:tr>
        <w:trPr>
          <w:trHeight w:val="250"/>
        </w:trPr>
        <w:tc>
          <w:tcPr>
            <w:tcW w:w="2520" w:type="dxa"/>
            <w:vAlign w:val="bottom"/>
          </w:tcPr>
          <w:p>
            <w:pPr>
              <w:spacing w:after="0"/>
              <w:rPr>
                <w:sz w:val="20"/>
                <w:szCs w:val="20"/>
                <w:color w:val="auto"/>
              </w:rPr>
            </w:pPr>
            <w:r>
              <w:rPr>
                <w:rFonts w:ascii="Arial" w:cs="Arial" w:eastAsia="Arial" w:hAnsi="Arial"/>
                <w:sz w:val="18"/>
                <w:szCs w:val="18"/>
                <w:color w:val="auto"/>
              </w:rPr>
              <w:t>Total deferred 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999</w:t>
            </w:r>
          </w:p>
        </w:tc>
        <w:tc>
          <w:tcPr>
            <w:tcW w:w="120" w:type="dxa"/>
            <w:vAlign w:val="bottom"/>
          </w:tcPr>
          <w:p>
            <w:pPr>
              <w:spacing w:after="0"/>
              <w:rPr>
                <w:sz w:val="21"/>
                <w:szCs w:val="21"/>
                <w:color w:val="auto"/>
              </w:rPr>
            </w:pPr>
          </w:p>
        </w:tc>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0</wp:posOffset>
            </wp:positionV>
            <wp:extent cx="494855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48555" cy="26035"/>
                    </a:xfrm>
                    <a:prstGeom prst="rect">
                      <a:avLst/>
                    </a:prstGeom>
                    <a:noFill/>
                  </pic:spPr>
                </pic:pic>
              </a:graphicData>
            </a:graphic>
          </wp:anchor>
        </w:drawing>
      </w:r>
    </w:p>
    <w:p>
      <w:pPr>
        <w:spacing w:after="0" w:line="2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w:t>
      </w:r>
    </w:p>
    <w:p>
      <w:pPr>
        <w:ind w:left="820" w:hanging="326"/>
        <w:spacing w:after="0" w:line="204" w:lineRule="auto"/>
        <w:tabs>
          <w:tab w:leader="none" w:pos="820" w:val="left"/>
        </w:tabs>
        <w:numPr>
          <w:ilvl w:val="1"/>
          <w:numId w:val="6"/>
        </w:numPr>
        <w:rPr>
          <w:rFonts w:ascii="Arial" w:cs="Arial" w:eastAsia="Arial" w:hAnsi="Arial"/>
          <w:sz w:val="18"/>
          <w:szCs w:val="18"/>
          <w:color w:val="auto"/>
          <w:vertAlign w:val="superscript"/>
        </w:rPr>
      </w:pPr>
      <w:r>
        <w:rPr>
          <w:rFonts w:ascii="Arial" w:cs="Arial" w:eastAsia="Arial" w:hAnsi="Arial"/>
          <w:sz w:val="14"/>
          <w:szCs w:val="14"/>
          <w:color w:val="auto"/>
        </w:rPr>
        <w:t>At June 30, 2018, included in accounts payable and other current liabilities.</w:t>
      </w:r>
    </w:p>
    <w:p>
      <w:pPr>
        <w:ind w:left="820" w:right="580" w:hanging="326"/>
        <w:spacing w:after="0" w:line="218" w:lineRule="auto"/>
        <w:tabs>
          <w:tab w:leader="none" w:pos="820" w:val="left"/>
        </w:tabs>
        <w:numPr>
          <w:ilvl w:val="1"/>
          <w:numId w:val="6"/>
        </w:numPr>
        <w:rPr>
          <w:rFonts w:ascii="Arial" w:cs="Arial" w:eastAsia="Arial" w:hAnsi="Arial"/>
          <w:sz w:val="18"/>
          <w:szCs w:val="18"/>
          <w:color w:val="auto"/>
          <w:vertAlign w:val="superscript"/>
        </w:rPr>
      </w:pPr>
      <w:r>
        <w:rPr>
          <w:rFonts w:ascii="Arial" w:cs="Arial" w:eastAsia="Arial" w:hAnsi="Arial"/>
          <w:sz w:val="14"/>
          <w:szCs w:val="14"/>
          <w:color w:val="auto"/>
        </w:rPr>
        <w:t>At June 30, 2018, $37 million included in accounts payable and other current liabilities and $56 million in other non-current liabilities. Non-current amounts are expected to be recognized as revenue within two to three years.</w:t>
      </w:r>
    </w:p>
    <w:p>
      <w:pPr>
        <w:spacing w:after="0" w:line="124" w:lineRule="exact"/>
        <w:rPr>
          <w:rFonts w:ascii="Arial" w:cs="Arial" w:eastAsia="Arial" w:hAnsi="Arial"/>
          <w:sz w:val="18"/>
          <w:szCs w:val="18"/>
          <w:color w:val="auto"/>
          <w:vertAlign w:val="superscript"/>
        </w:rPr>
      </w:pPr>
    </w:p>
    <w:p>
      <w:pPr>
        <w:ind w:left="500" w:right="7380" w:hanging="492"/>
        <w:spacing w:after="0" w:line="513" w:lineRule="auto"/>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Restructuring and Other Related Charges </w:t>
      </w:r>
      <w:r>
        <w:rPr>
          <w:rFonts w:ascii="Arial" w:cs="Arial" w:eastAsia="Arial" w:hAnsi="Arial"/>
          <w:sz w:val="18"/>
          <w:szCs w:val="18"/>
          <w:b w:val="1"/>
          <w:bCs w:val="1"/>
          <w:i w:val="1"/>
          <w:iCs w:val="1"/>
          <w:color w:val="auto"/>
        </w:rPr>
        <w:t>Restructuring</w:t>
      </w:r>
    </w:p>
    <w:p>
      <w:pPr>
        <w:spacing w:after="0" w:line="1" w:lineRule="exact"/>
        <w:rPr>
          <w:rFonts w:ascii="Arial" w:cs="Arial" w:eastAsia="Arial" w:hAnsi="Arial"/>
          <w:sz w:val="18"/>
          <w:szCs w:val="18"/>
          <w:b w:val="1"/>
          <w:bCs w:val="1"/>
          <w:color w:val="auto"/>
        </w:rPr>
      </w:pPr>
    </w:p>
    <w:p>
      <w:pPr>
        <w:ind w:left="500" w:right="40"/>
        <w:spacing w:after="0" w:line="250" w:lineRule="auto"/>
        <w:rPr>
          <w:rFonts w:ascii="Arial" w:cs="Arial" w:eastAsia="Arial" w:hAnsi="Arial"/>
          <w:sz w:val="18"/>
          <w:szCs w:val="18"/>
          <w:b w:val="1"/>
          <w:bCs w:val="1"/>
          <w:color w:val="auto"/>
        </w:rPr>
      </w:pPr>
      <w:r>
        <w:rPr>
          <w:rFonts w:ascii="Arial" w:cs="Arial" w:eastAsia="Arial" w:hAnsi="Arial"/>
          <w:sz w:val="18"/>
          <w:szCs w:val="18"/>
          <w:color w:val="auto"/>
        </w:rPr>
        <w:t>During first quarter 2018, the Company initiated a strategic restructuring plan to improve processes and reduce headcount in response to its new workforce planning technology that allows more effective management of staff levels (“Workforce planning”). During the six months ended June 30, 2018, as part of this process, the Company formally communicated the termination of employment</w:t>
      </w:r>
    </w:p>
    <w:p>
      <w:pPr>
        <w:spacing w:after="0" w:line="1" w:lineRule="exact"/>
        <w:rPr>
          <w:rFonts w:ascii="Arial" w:cs="Arial" w:eastAsia="Arial" w:hAnsi="Arial"/>
          <w:sz w:val="18"/>
          <w:szCs w:val="18"/>
          <w:b w:val="1"/>
          <w:bCs w:val="1"/>
          <w:color w:val="auto"/>
        </w:rPr>
      </w:pPr>
    </w:p>
    <w:p>
      <w:pPr>
        <w:ind w:left="500" w:right="1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to 91 employees, and as of June 30, 2018, the Company had terminated the employment of 87 of these employees. The costs associated with this initiative primarily represent severance, outplacement services and other costs associated with employee terminations, the majority of which have been or are expected to be settled in cash. The Company expects further restructuring expense of approximately $11 million related to this initiative to be incurred in 2018.</w:t>
      </w:r>
    </w:p>
    <w:p>
      <w:pPr>
        <w:spacing w:after="0" w:line="204" w:lineRule="exact"/>
        <w:rPr>
          <w:rFonts w:ascii="Arial" w:cs="Arial" w:eastAsia="Arial" w:hAnsi="Arial"/>
          <w:sz w:val="18"/>
          <w:szCs w:val="18"/>
          <w:b w:val="1"/>
          <w:bCs w:val="1"/>
          <w:color w:val="auto"/>
        </w:rPr>
      </w:pPr>
    </w:p>
    <w:p>
      <w:pPr>
        <w:ind w:left="500" w:right="20"/>
        <w:spacing w:after="0" w:line="250" w:lineRule="auto"/>
        <w:rPr>
          <w:rFonts w:ascii="Arial" w:cs="Arial" w:eastAsia="Arial" w:hAnsi="Arial"/>
          <w:sz w:val="18"/>
          <w:szCs w:val="18"/>
          <w:b w:val="1"/>
          <w:bCs w:val="1"/>
          <w:color w:val="auto"/>
        </w:rPr>
      </w:pPr>
      <w:r>
        <w:rPr>
          <w:rFonts w:ascii="Arial" w:cs="Arial" w:eastAsia="Arial" w:hAnsi="Arial"/>
          <w:sz w:val="18"/>
          <w:szCs w:val="18"/>
          <w:color w:val="auto"/>
        </w:rPr>
        <w:t>During fourth quarter 2017, the Company initiated a strategic restructuring initiative to better position its truck rental operations in the U.S., in which it closed certain rental locations and reduced the size of the older rental fleet, with the intent to increase fleet utilization and reduce vehicle and overhead costs (“Truck initiative”). The Company expects further restructuring expense of approximately $1</w:t>
      </w:r>
    </w:p>
    <w:p>
      <w:pPr>
        <w:spacing w:after="0" w:line="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million related to this initiative to be incurred in 2018.</w:t>
      </w:r>
    </w:p>
    <w:p>
      <w:pPr>
        <w:spacing w:after="0" w:line="225" w:lineRule="exact"/>
        <w:rPr>
          <w:rFonts w:ascii="Arial" w:cs="Arial" w:eastAsia="Arial" w:hAnsi="Arial"/>
          <w:sz w:val="18"/>
          <w:szCs w:val="18"/>
          <w:b w:val="1"/>
          <w:bCs w:val="1"/>
          <w:color w:val="auto"/>
        </w:rPr>
      </w:pPr>
    </w:p>
    <w:p>
      <w:pPr>
        <w:ind w:left="50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During first quarter 2017, the Company initiated a strategic restructuring initiative to drive operational efficiency throughout the organization by reducing headcount, improving processes and consolidating functions, closing certain rental locations and decreasing the size of its fleet (“T17”). As of June 30, 2018, the Company had terminated the employment of 673 employees related to this initiative. The costs associated with this initiative primarily represent severance, outplacement services and other costs associated with employee terminations, the majority of which have been or are expected to be settled in cash. This initiative is substantially complete.</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40"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summarize the changes to our restructuring-related liabilities and identify the amounts recorded within the</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Company’s reporting segments for restructuring charges and corresponding payments and utilizations:</w:t>
      </w:r>
    </w:p>
    <w:p>
      <w:pPr>
        <w:spacing w:after="0" w:line="181" w:lineRule="exact"/>
        <w:rPr>
          <w:sz w:val="20"/>
          <w:szCs w:val="20"/>
          <w:color w:val="auto"/>
        </w:rPr>
      </w:pPr>
    </w:p>
    <w:tbl>
      <w:tblPr>
        <w:tblLayout w:type="fixed"/>
        <w:tblInd w:w="500" w:type="dxa"/>
        <w:tblCellMar>
          <w:top w:w="0" w:type="dxa"/>
          <w:left w:w="0" w:type="dxa"/>
          <w:bottom w:w="0" w:type="dxa"/>
          <w:right w:w="0" w:type="dxa"/>
        </w:tblCellMar>
      </w:tblPr>
      <w:tr>
        <w:trPr>
          <w:trHeight w:val="228"/>
        </w:trPr>
        <w:tc>
          <w:tcPr>
            <w:tcW w:w="5740" w:type="dxa"/>
            <w:vAlign w:val="bottom"/>
          </w:tcPr>
          <w:p>
            <w:pPr>
              <w:spacing w:after="0"/>
              <w:rPr>
                <w:sz w:val="19"/>
                <w:szCs w:val="19"/>
                <w:color w:val="auto"/>
              </w:rPr>
            </w:pPr>
          </w:p>
        </w:tc>
        <w:tc>
          <w:tcPr>
            <w:tcW w:w="1140" w:type="dxa"/>
            <w:vAlign w:val="bottom"/>
          </w:tcPr>
          <w:p>
            <w:pPr>
              <w:jc w:val="center"/>
              <w:ind w:left="214"/>
              <w:spacing w:after="0"/>
              <w:rPr>
                <w:sz w:val="20"/>
                <w:szCs w:val="20"/>
                <w:color w:val="auto"/>
              </w:rPr>
            </w:pPr>
            <w:r>
              <w:rPr>
                <w:rFonts w:ascii="Arial" w:cs="Arial" w:eastAsia="Arial" w:hAnsi="Arial"/>
                <w:sz w:val="16"/>
                <w:szCs w:val="16"/>
                <w:b w:val="1"/>
                <w:bCs w:val="1"/>
                <w:color w:val="auto"/>
                <w:w w:val="99"/>
              </w:rPr>
              <w:t>Americas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ind w:left="60"/>
              <w:spacing w:after="0"/>
              <w:rPr>
                <w:sz w:val="20"/>
                <w:szCs w:val="20"/>
                <w:color w:val="auto"/>
              </w:rPr>
            </w:pPr>
            <w:r>
              <w:rPr>
                <w:rFonts w:ascii="Arial" w:cs="Arial" w:eastAsia="Arial" w:hAnsi="Arial"/>
                <w:sz w:val="16"/>
                <w:szCs w:val="16"/>
                <w:b w:val="1"/>
                <w:bCs w:val="1"/>
                <w:color w:val="auto"/>
              </w:rPr>
              <w:t>International</w:t>
            </w:r>
          </w:p>
        </w:tc>
        <w:tc>
          <w:tcPr>
            <w:tcW w:w="340" w:type="dxa"/>
            <w:vAlign w:val="bottom"/>
          </w:tcPr>
          <w:p>
            <w:pPr>
              <w:spacing w:after="0"/>
              <w:rPr>
                <w:sz w:val="19"/>
                <w:szCs w:val="19"/>
                <w:color w:val="auto"/>
              </w:rPr>
            </w:pPr>
          </w:p>
        </w:tc>
        <w:tc>
          <w:tcPr>
            <w:tcW w:w="1120" w:type="dxa"/>
            <w:vAlign w:val="bottom"/>
          </w:tcPr>
          <w:p>
            <w:pPr>
              <w:jc w:val="right"/>
              <w:ind w:right="4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43"/>
        </w:trPr>
        <w:tc>
          <w:tcPr>
            <w:tcW w:w="5740" w:type="dxa"/>
            <w:vAlign w:val="bottom"/>
          </w:tcPr>
          <w:p>
            <w:pPr>
              <w:ind w:left="20"/>
              <w:spacing w:after="0"/>
              <w:rPr>
                <w:sz w:val="20"/>
                <w:szCs w:val="20"/>
                <w:color w:val="auto"/>
              </w:rPr>
            </w:pPr>
            <w:r>
              <w:rPr>
                <w:rFonts w:ascii="Arial" w:cs="Arial" w:eastAsia="Arial" w:hAnsi="Arial"/>
                <w:sz w:val="18"/>
                <w:szCs w:val="18"/>
                <w:color w:val="auto"/>
              </w:rPr>
              <w:t>Balance as of January 1, 2018</w:t>
            </w:r>
          </w:p>
        </w:tc>
        <w:tc>
          <w:tcPr>
            <w:tcW w:w="1140" w:type="dxa"/>
            <w:vAlign w:val="bottom"/>
            <w:tcBorders>
              <w:top w:val="single" w:sz="8" w:color="auto"/>
            </w:tcBorders>
          </w:tcPr>
          <w:p>
            <w:pPr>
              <w:jc w:val="right"/>
              <w:ind w:right="934"/>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5740" w:type="dxa"/>
            <w:vAlign w:val="bottom"/>
          </w:tcPr>
          <w:p>
            <w:pPr>
              <w:ind w:left="220"/>
              <w:spacing w:after="0"/>
              <w:rPr>
                <w:sz w:val="20"/>
                <w:szCs w:val="20"/>
                <w:color w:val="auto"/>
              </w:rPr>
            </w:pPr>
            <w:r>
              <w:rPr>
                <w:rFonts w:ascii="Arial" w:cs="Arial" w:eastAsia="Arial" w:hAnsi="Arial"/>
                <w:sz w:val="18"/>
                <w:szCs w:val="18"/>
                <w:color w:val="auto"/>
              </w:rPr>
              <w:t>Restructuring expense:</w:t>
            </w:r>
          </w:p>
        </w:tc>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340"/>
              <w:spacing w:after="0"/>
              <w:rPr>
                <w:sz w:val="20"/>
                <w:szCs w:val="20"/>
                <w:color w:val="auto"/>
              </w:rPr>
            </w:pPr>
            <w:r>
              <w:rPr>
                <w:rFonts w:ascii="Arial" w:cs="Arial" w:eastAsia="Arial" w:hAnsi="Arial"/>
                <w:sz w:val="18"/>
                <w:szCs w:val="18"/>
                <w:color w:val="auto"/>
              </w:rPr>
              <w:t>Workforce planning</w:t>
            </w:r>
          </w:p>
        </w:tc>
        <w:tc>
          <w:tcPr>
            <w:tcW w:w="1140" w:type="dxa"/>
            <w:vAlign w:val="bottom"/>
          </w:tcPr>
          <w:p>
            <w:pPr>
              <w:spacing w:after="0"/>
              <w:rPr>
                <w:sz w:val="23"/>
                <w:szCs w:val="23"/>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5740" w:type="dxa"/>
            <w:vAlign w:val="bottom"/>
          </w:tcPr>
          <w:p>
            <w:pPr>
              <w:ind w:left="340"/>
              <w:spacing w:after="0"/>
              <w:rPr>
                <w:sz w:val="20"/>
                <w:szCs w:val="20"/>
                <w:color w:val="auto"/>
              </w:rPr>
            </w:pPr>
            <w:r>
              <w:rPr>
                <w:rFonts w:ascii="Arial" w:cs="Arial" w:eastAsia="Arial" w:hAnsi="Arial"/>
                <w:sz w:val="18"/>
                <w:szCs w:val="18"/>
                <w:color w:val="auto"/>
              </w:rPr>
              <w:t>Truck initiative</w:t>
            </w:r>
          </w:p>
        </w:tc>
        <w:tc>
          <w:tcPr>
            <w:tcW w:w="1140" w:type="dxa"/>
            <w:vAlign w:val="bottom"/>
          </w:tcPr>
          <w:p>
            <w:pPr>
              <w:spacing w:after="0"/>
              <w:rPr>
                <w:sz w:val="23"/>
                <w:szCs w:val="23"/>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5740" w:type="dxa"/>
            <w:vAlign w:val="bottom"/>
          </w:tcPr>
          <w:p>
            <w:pPr>
              <w:ind w:left="220"/>
              <w:spacing w:after="0"/>
              <w:rPr>
                <w:sz w:val="20"/>
                <w:szCs w:val="20"/>
                <w:color w:val="auto"/>
              </w:rPr>
            </w:pPr>
            <w:r>
              <w:rPr>
                <w:rFonts w:ascii="Arial" w:cs="Arial" w:eastAsia="Arial" w:hAnsi="Arial"/>
                <w:sz w:val="18"/>
                <w:szCs w:val="18"/>
                <w:color w:val="auto"/>
              </w:rPr>
              <w:t>Restructuring payment/utilization:</w:t>
            </w:r>
          </w:p>
        </w:tc>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340"/>
              <w:spacing w:after="0"/>
              <w:rPr>
                <w:sz w:val="20"/>
                <w:szCs w:val="20"/>
                <w:color w:val="auto"/>
              </w:rPr>
            </w:pPr>
            <w:r>
              <w:rPr>
                <w:rFonts w:ascii="Arial" w:cs="Arial" w:eastAsia="Arial" w:hAnsi="Arial"/>
                <w:sz w:val="18"/>
                <w:szCs w:val="18"/>
                <w:color w:val="auto"/>
              </w:rPr>
              <w:t>Workforce planning</w:t>
            </w:r>
          </w:p>
        </w:tc>
        <w:tc>
          <w:tcPr>
            <w:tcW w:w="114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0"/>
        </w:trPr>
        <w:tc>
          <w:tcPr>
            <w:tcW w:w="5740" w:type="dxa"/>
            <w:vAlign w:val="bottom"/>
          </w:tcPr>
          <w:p>
            <w:pPr>
              <w:ind w:left="340"/>
              <w:spacing w:after="0"/>
              <w:rPr>
                <w:sz w:val="20"/>
                <w:szCs w:val="20"/>
                <w:color w:val="auto"/>
              </w:rPr>
            </w:pPr>
            <w:r>
              <w:rPr>
                <w:rFonts w:ascii="Arial" w:cs="Arial" w:eastAsia="Arial" w:hAnsi="Arial"/>
                <w:sz w:val="18"/>
                <w:szCs w:val="18"/>
                <w:color w:val="auto"/>
              </w:rPr>
              <w:t>Truck initiative</w:t>
            </w:r>
          </w:p>
        </w:tc>
        <w:tc>
          <w:tcPr>
            <w:tcW w:w="114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7"/>
        </w:trPr>
        <w:tc>
          <w:tcPr>
            <w:tcW w:w="5740" w:type="dxa"/>
            <w:vAlign w:val="bottom"/>
          </w:tcPr>
          <w:p>
            <w:pPr>
              <w:ind w:left="340"/>
              <w:spacing w:after="0"/>
              <w:rPr>
                <w:sz w:val="20"/>
                <w:szCs w:val="20"/>
                <w:color w:val="auto"/>
              </w:rPr>
            </w:pPr>
            <w:r>
              <w:rPr>
                <w:rFonts w:ascii="Arial" w:cs="Arial" w:eastAsia="Arial" w:hAnsi="Arial"/>
                <w:sz w:val="18"/>
                <w:szCs w:val="18"/>
                <w:color w:val="auto"/>
              </w:rPr>
              <w:t>T17</w:t>
            </w:r>
          </w:p>
        </w:tc>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7"/>
        </w:trPr>
        <w:tc>
          <w:tcPr>
            <w:tcW w:w="5740" w:type="dxa"/>
            <w:vAlign w:val="bottom"/>
          </w:tcPr>
          <w:p>
            <w:pPr>
              <w:ind w:left="20"/>
              <w:spacing w:after="0"/>
              <w:rPr>
                <w:sz w:val="20"/>
                <w:szCs w:val="20"/>
                <w:color w:val="auto"/>
              </w:rPr>
            </w:pPr>
            <w:r>
              <w:rPr>
                <w:rFonts w:ascii="Arial" w:cs="Arial" w:eastAsia="Arial" w:hAnsi="Arial"/>
                <w:sz w:val="18"/>
                <w:szCs w:val="18"/>
                <w:color w:val="auto"/>
              </w:rPr>
              <w:t>Balance as of June 30, 2018</w:t>
            </w:r>
          </w:p>
        </w:tc>
        <w:tc>
          <w:tcPr>
            <w:tcW w:w="1140" w:type="dxa"/>
            <w:vAlign w:val="bottom"/>
          </w:tcPr>
          <w:p>
            <w:pPr>
              <w:jc w:val="right"/>
              <w:ind w:right="934"/>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5740" w:type="dxa"/>
            <w:vAlign w:val="bottom"/>
          </w:tcPr>
          <w:p>
            <w:pPr>
              <w:spacing w:after="0"/>
              <w:rPr>
                <w:sz w:val="24"/>
                <w:szCs w:val="24"/>
                <w:color w:val="auto"/>
              </w:rPr>
            </w:pPr>
          </w:p>
        </w:tc>
        <w:tc>
          <w:tcPr>
            <w:tcW w:w="1140" w:type="dxa"/>
            <w:vAlign w:val="bottom"/>
          </w:tcPr>
          <w:p>
            <w:pPr>
              <w:jc w:val="center"/>
              <w:ind w:left="234"/>
              <w:spacing w:after="0"/>
              <w:rPr>
                <w:sz w:val="20"/>
                <w:szCs w:val="20"/>
                <w:color w:val="auto"/>
              </w:rPr>
            </w:pPr>
            <w:r>
              <w:rPr>
                <w:rFonts w:ascii="Arial" w:cs="Arial" w:eastAsia="Arial" w:hAnsi="Arial"/>
                <w:sz w:val="16"/>
                <w:szCs w:val="16"/>
                <w:b w:val="1"/>
                <w:bCs w:val="1"/>
                <w:color w:val="auto"/>
              </w:rPr>
              <w:t>Personnel</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740" w:type="dxa"/>
            <w:vAlign w:val="bottom"/>
          </w:tcPr>
          <w:p>
            <w:pPr>
              <w:spacing w:after="0"/>
              <w:rPr>
                <w:sz w:val="20"/>
                <w:szCs w:val="20"/>
                <w:color w:val="auto"/>
              </w:rPr>
            </w:pPr>
          </w:p>
        </w:tc>
        <w:tc>
          <w:tcPr>
            <w:tcW w:w="1140" w:type="dxa"/>
            <w:vAlign w:val="bottom"/>
            <w:tcBorders>
              <w:bottom w:val="single" w:sz="8" w:color="auto"/>
            </w:tcBorders>
          </w:tcPr>
          <w:p>
            <w:pPr>
              <w:jc w:val="center"/>
              <w:ind w:left="234"/>
              <w:spacing w:after="0"/>
              <w:rPr>
                <w:sz w:val="20"/>
                <w:szCs w:val="20"/>
                <w:color w:val="auto"/>
              </w:rPr>
            </w:pPr>
            <w:r>
              <w:rPr>
                <w:rFonts w:ascii="Arial" w:cs="Arial" w:eastAsia="Arial" w:hAnsi="Arial"/>
                <w:sz w:val="16"/>
                <w:szCs w:val="16"/>
                <w:b w:val="1"/>
                <w:bCs w:val="1"/>
                <w:color w:val="auto"/>
              </w:rPr>
              <w:t>Related</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31"/>
              <w:spacing w:after="0" w:line="234" w:lineRule="exact"/>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21"/>
                <w:szCs w:val="21"/>
                <w:b w:val="1"/>
                <w:bCs w:val="1"/>
                <w:color w:val="auto"/>
                <w:vertAlign w:val="superscript"/>
              </w:rPr>
              <w:t>(a)</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37"/>
        </w:trPr>
        <w:tc>
          <w:tcPr>
            <w:tcW w:w="5740" w:type="dxa"/>
            <w:vAlign w:val="bottom"/>
          </w:tcPr>
          <w:p>
            <w:pPr>
              <w:ind w:left="20"/>
              <w:spacing w:after="0"/>
              <w:rPr>
                <w:sz w:val="20"/>
                <w:szCs w:val="20"/>
                <w:color w:val="auto"/>
              </w:rPr>
            </w:pPr>
            <w:r>
              <w:rPr>
                <w:rFonts w:ascii="Arial" w:cs="Arial" w:eastAsia="Arial" w:hAnsi="Arial"/>
                <w:sz w:val="18"/>
                <w:szCs w:val="18"/>
                <w:color w:val="auto"/>
              </w:rPr>
              <w:t>Balance as of January 1, 2018</w:t>
            </w:r>
          </w:p>
        </w:tc>
        <w:tc>
          <w:tcPr>
            <w:tcW w:w="1140" w:type="dxa"/>
            <w:vAlign w:val="bottom"/>
          </w:tcPr>
          <w:p>
            <w:pPr>
              <w:jc w:val="right"/>
              <w:ind w:right="934"/>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5740" w:type="dxa"/>
            <w:vAlign w:val="bottom"/>
          </w:tcPr>
          <w:p>
            <w:pPr>
              <w:ind w:left="220"/>
              <w:spacing w:after="0"/>
              <w:rPr>
                <w:sz w:val="20"/>
                <w:szCs w:val="20"/>
                <w:color w:val="auto"/>
              </w:rPr>
            </w:pPr>
            <w:r>
              <w:rPr>
                <w:rFonts w:ascii="Arial" w:cs="Arial" w:eastAsia="Arial" w:hAnsi="Arial"/>
                <w:sz w:val="18"/>
                <w:szCs w:val="18"/>
                <w:color w:val="auto"/>
              </w:rPr>
              <w:t>Restructuring expense:</w:t>
            </w:r>
          </w:p>
        </w:tc>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340"/>
              <w:spacing w:after="0"/>
              <w:rPr>
                <w:sz w:val="20"/>
                <w:szCs w:val="20"/>
                <w:color w:val="auto"/>
              </w:rPr>
            </w:pPr>
            <w:r>
              <w:rPr>
                <w:rFonts w:ascii="Arial" w:cs="Arial" w:eastAsia="Arial" w:hAnsi="Arial"/>
                <w:sz w:val="18"/>
                <w:szCs w:val="18"/>
                <w:color w:val="auto"/>
              </w:rPr>
              <w:t>Workforce planning</w:t>
            </w:r>
          </w:p>
        </w:tc>
        <w:tc>
          <w:tcPr>
            <w:tcW w:w="1140" w:type="dxa"/>
            <w:vAlign w:val="bottom"/>
          </w:tcPr>
          <w:p>
            <w:pPr>
              <w:spacing w:after="0"/>
              <w:rPr>
                <w:sz w:val="23"/>
                <w:szCs w:val="23"/>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5740" w:type="dxa"/>
            <w:vAlign w:val="bottom"/>
          </w:tcPr>
          <w:p>
            <w:pPr>
              <w:ind w:left="340"/>
              <w:spacing w:after="0"/>
              <w:rPr>
                <w:sz w:val="20"/>
                <w:szCs w:val="20"/>
                <w:color w:val="auto"/>
              </w:rPr>
            </w:pPr>
            <w:r>
              <w:rPr>
                <w:rFonts w:ascii="Arial" w:cs="Arial" w:eastAsia="Arial" w:hAnsi="Arial"/>
                <w:sz w:val="18"/>
                <w:szCs w:val="18"/>
                <w:color w:val="auto"/>
              </w:rPr>
              <w:t>Truck initiative</w:t>
            </w:r>
          </w:p>
        </w:tc>
        <w:tc>
          <w:tcPr>
            <w:tcW w:w="1140" w:type="dxa"/>
            <w:vAlign w:val="bottom"/>
          </w:tcPr>
          <w:p>
            <w:pPr>
              <w:spacing w:after="0"/>
              <w:rPr>
                <w:sz w:val="23"/>
                <w:szCs w:val="23"/>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5740" w:type="dxa"/>
            <w:vAlign w:val="bottom"/>
          </w:tcPr>
          <w:p>
            <w:pPr>
              <w:ind w:left="220"/>
              <w:spacing w:after="0"/>
              <w:rPr>
                <w:sz w:val="20"/>
                <w:szCs w:val="20"/>
                <w:color w:val="auto"/>
              </w:rPr>
            </w:pPr>
            <w:r>
              <w:rPr>
                <w:rFonts w:ascii="Arial" w:cs="Arial" w:eastAsia="Arial" w:hAnsi="Arial"/>
                <w:sz w:val="18"/>
                <w:szCs w:val="18"/>
                <w:color w:val="auto"/>
              </w:rPr>
              <w:t>Restructuring payment/utilization:</w:t>
            </w:r>
          </w:p>
        </w:tc>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340"/>
              <w:spacing w:after="0"/>
              <w:rPr>
                <w:sz w:val="20"/>
                <w:szCs w:val="20"/>
                <w:color w:val="auto"/>
              </w:rPr>
            </w:pPr>
            <w:r>
              <w:rPr>
                <w:rFonts w:ascii="Arial" w:cs="Arial" w:eastAsia="Arial" w:hAnsi="Arial"/>
                <w:sz w:val="18"/>
                <w:szCs w:val="18"/>
                <w:color w:val="auto"/>
              </w:rPr>
              <w:t>Workforce planning</w:t>
            </w:r>
          </w:p>
        </w:tc>
        <w:tc>
          <w:tcPr>
            <w:tcW w:w="114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0"/>
        </w:trPr>
        <w:tc>
          <w:tcPr>
            <w:tcW w:w="5740" w:type="dxa"/>
            <w:vAlign w:val="bottom"/>
          </w:tcPr>
          <w:p>
            <w:pPr>
              <w:ind w:left="340"/>
              <w:spacing w:after="0"/>
              <w:rPr>
                <w:sz w:val="20"/>
                <w:szCs w:val="20"/>
                <w:color w:val="auto"/>
              </w:rPr>
            </w:pPr>
            <w:r>
              <w:rPr>
                <w:rFonts w:ascii="Arial" w:cs="Arial" w:eastAsia="Arial" w:hAnsi="Arial"/>
                <w:sz w:val="18"/>
                <w:szCs w:val="18"/>
                <w:color w:val="auto"/>
              </w:rPr>
              <w:t>Truck initiative</w:t>
            </w:r>
          </w:p>
        </w:tc>
        <w:tc>
          <w:tcPr>
            <w:tcW w:w="1140" w:type="dxa"/>
            <w:vAlign w:val="bottom"/>
          </w:tcPr>
          <w:p>
            <w:pPr>
              <w:spacing w:after="0"/>
              <w:rPr>
                <w:sz w:val="23"/>
                <w:szCs w:val="23"/>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7"/>
        </w:trPr>
        <w:tc>
          <w:tcPr>
            <w:tcW w:w="5740" w:type="dxa"/>
            <w:vAlign w:val="bottom"/>
          </w:tcPr>
          <w:p>
            <w:pPr>
              <w:ind w:left="340"/>
              <w:spacing w:after="0"/>
              <w:rPr>
                <w:sz w:val="20"/>
                <w:szCs w:val="20"/>
                <w:color w:val="auto"/>
              </w:rPr>
            </w:pPr>
            <w:r>
              <w:rPr>
                <w:rFonts w:ascii="Arial" w:cs="Arial" w:eastAsia="Arial" w:hAnsi="Arial"/>
                <w:sz w:val="18"/>
                <w:szCs w:val="18"/>
                <w:color w:val="auto"/>
              </w:rPr>
              <w:t>T17</w:t>
            </w:r>
          </w:p>
        </w:tc>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7"/>
        </w:trPr>
        <w:tc>
          <w:tcPr>
            <w:tcW w:w="5740" w:type="dxa"/>
            <w:vAlign w:val="bottom"/>
          </w:tcPr>
          <w:p>
            <w:pPr>
              <w:ind w:left="20"/>
              <w:spacing w:after="0"/>
              <w:rPr>
                <w:sz w:val="20"/>
                <w:szCs w:val="20"/>
                <w:color w:val="auto"/>
              </w:rPr>
            </w:pPr>
            <w:r>
              <w:rPr>
                <w:rFonts w:ascii="Arial" w:cs="Arial" w:eastAsia="Arial" w:hAnsi="Arial"/>
                <w:sz w:val="18"/>
                <w:szCs w:val="18"/>
                <w:color w:val="auto"/>
              </w:rPr>
              <w:t>Balance as of June 30, 2018</w:t>
            </w:r>
          </w:p>
        </w:tc>
        <w:tc>
          <w:tcPr>
            <w:tcW w:w="1140" w:type="dxa"/>
            <w:vAlign w:val="bottom"/>
          </w:tcPr>
          <w:p>
            <w:pPr>
              <w:jc w:val="right"/>
              <w:ind w:right="934"/>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74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20" w:hanging="326"/>
        <w:spacing w:after="0" w:line="189" w:lineRule="auto"/>
        <w:tabs>
          <w:tab w:leader="none" w:pos="820"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Includes expenses primarily related to the disposition of vehicles.</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Related Charges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Officer Separation Costs</w:t>
      </w:r>
    </w:p>
    <w:p>
      <w:pPr>
        <w:spacing w:after="0" w:line="243" w:lineRule="exact"/>
        <w:rPr>
          <w:sz w:val="20"/>
          <w:szCs w:val="20"/>
          <w:color w:val="auto"/>
        </w:rPr>
      </w:pPr>
    </w:p>
    <w:p>
      <w:pPr>
        <w:ind w:left="500"/>
        <w:spacing w:after="0" w:line="256" w:lineRule="auto"/>
        <w:rPr>
          <w:sz w:val="20"/>
          <w:szCs w:val="20"/>
          <w:color w:val="auto"/>
        </w:rPr>
      </w:pPr>
      <w:r>
        <w:rPr>
          <w:rFonts w:ascii="Arial" w:cs="Arial" w:eastAsia="Arial" w:hAnsi="Arial"/>
          <w:sz w:val="18"/>
          <w:szCs w:val="18"/>
          <w:color w:val="auto"/>
        </w:rPr>
        <w:t>On May 12, 2017, the Company announced the resignation of David B. Wyshner as the Company’s President and Chief Financial Officer. In connection with Mr. Wyshner’s departure, the Company recorded other related charges of $7 million during the three and six months ended June 30, 2017, inclusive of accelerated stock-based compensation expense of $2 million.</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Limited Voluntary Opportunity Plans (“LVOP”)</w:t>
      </w:r>
    </w:p>
    <w:p>
      <w:pPr>
        <w:spacing w:after="0" w:line="243" w:lineRule="exact"/>
        <w:rPr>
          <w:sz w:val="20"/>
          <w:szCs w:val="20"/>
          <w:color w:val="auto"/>
        </w:rPr>
      </w:pPr>
    </w:p>
    <w:p>
      <w:pPr>
        <w:ind w:left="500" w:right="80"/>
        <w:spacing w:after="0" w:line="253" w:lineRule="auto"/>
        <w:rPr>
          <w:sz w:val="20"/>
          <w:szCs w:val="20"/>
          <w:color w:val="auto"/>
        </w:rPr>
      </w:pPr>
      <w:r>
        <w:rPr>
          <w:rFonts w:ascii="Arial" w:cs="Arial" w:eastAsia="Arial" w:hAnsi="Arial"/>
          <w:sz w:val="18"/>
          <w:szCs w:val="18"/>
          <w:color w:val="auto"/>
        </w:rPr>
        <w:t>During 2017, the Company offered voluntary termination programs to certain employees in the Americas’ field operations, shared services, and general and administrative functions for a limited time. These employees, if qualified, elected resignation from employment in return for enhanced severance benefits to be settled in cash. During the three and six months ended June 30, 2017, the Company recorded other related charges of $14 million. As of June 30, 2018, 358 qualified employees elected to participate in the plans and the employment of all participants had been terminated.</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40"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earnings per share (“EPS”) (shares in millions):</w:t>
      </w:r>
    </w:p>
    <w:p>
      <w:pPr>
        <w:spacing w:after="0" w:line="145"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5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0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7"/>
                <w:szCs w:val="17"/>
                <w:color w:val="auto"/>
              </w:rPr>
            </w:pPr>
          </w:p>
        </w:tc>
        <w:tc>
          <w:tcPr>
            <w:tcW w:w="214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6"/>
        </w:trPr>
        <w:tc>
          <w:tcPr>
            <w:tcW w:w="54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4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2017</w:t>
            </w:r>
          </w:p>
        </w:tc>
        <w:tc>
          <w:tcPr>
            <w:tcW w:w="0" w:type="dxa"/>
            <w:vAlign w:val="bottom"/>
          </w:tcPr>
          <w:p>
            <w:pPr>
              <w:spacing w:after="0"/>
              <w:rPr>
                <w:sz w:val="1"/>
                <w:szCs w:val="1"/>
                <w:color w:val="auto"/>
              </w:rPr>
            </w:pP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Net income (loss) for basic and diluted EPS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500"/>
        </w:trPr>
        <w:tc>
          <w:tcPr>
            <w:tcW w:w="5400" w:type="dxa"/>
            <w:vAlign w:val="bottom"/>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22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80.8</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84"/>
        </w:trPr>
        <w:tc>
          <w:tcPr>
            <w:tcW w:w="5400" w:type="dxa"/>
            <w:vAlign w:val="bottom"/>
          </w:tcPr>
          <w:p>
            <w:pPr>
              <w:ind w:left="20"/>
              <w:spacing w:after="0"/>
              <w:rPr>
                <w:sz w:val="20"/>
                <w:szCs w:val="20"/>
                <w:color w:val="auto"/>
              </w:rPr>
            </w:pPr>
            <w:r>
              <w:rPr>
                <w:rFonts w:ascii="Arial" w:cs="Arial" w:eastAsia="Arial" w:hAnsi="Arial"/>
                <w:sz w:val="18"/>
                <w:szCs w:val="18"/>
                <w:color w:val="auto"/>
              </w:rPr>
              <w:t xml:space="preserve">Options and non-vested stock </w:t>
            </w:r>
            <w:r>
              <w:rPr>
                <w:rFonts w:ascii="Arial" w:cs="Arial" w:eastAsia="Arial" w:hAnsi="Arial"/>
                <w:sz w:val="21"/>
                <w:szCs w:val="21"/>
                <w:color w:val="auto"/>
                <w:vertAlign w:val="superscript"/>
              </w:rPr>
              <w:t>(a)</w:t>
            </w:r>
          </w:p>
        </w:tc>
        <w:tc>
          <w:tcPr>
            <w:tcW w:w="22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400" w:type="dxa"/>
            <w:vAlign w:val="bottom"/>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2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85.2</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80.8</w:t>
            </w:r>
          </w:p>
        </w:tc>
        <w:tc>
          <w:tcPr>
            <w:tcW w:w="120" w:type="dxa"/>
            <w:vAlign w:val="bottom"/>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0"/>
        </w:trPr>
        <w:tc>
          <w:tcPr>
            <w:tcW w:w="54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Earnings (loss) per share:</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54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400" w:type="dxa"/>
            <w:vAlign w:val="bottom"/>
          </w:tcPr>
          <w:p>
            <w:pPr>
              <w:ind w:left="22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23"/>
                <w:szCs w:val="23"/>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(0.75)</w:t>
            </w:r>
          </w:p>
        </w:tc>
        <w:tc>
          <w:tcPr>
            <w:tcW w:w="12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0"/>
        </w:trPr>
        <w:tc>
          <w:tcPr>
            <w:tcW w:w="5400" w:type="dxa"/>
            <w:vAlign w:val="bottom"/>
          </w:tcPr>
          <w:p>
            <w:pPr>
              <w:ind w:left="22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3"/>
                <w:szCs w:val="23"/>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(0.75)</w:t>
            </w:r>
          </w:p>
        </w:tc>
        <w:tc>
          <w:tcPr>
            <w:tcW w:w="12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9"/>
        </w:trPr>
        <w:tc>
          <w:tcPr>
            <w:tcW w:w="5400" w:type="dxa"/>
            <w:vAlign w:val="bottom"/>
          </w:tcPr>
          <w:p>
            <w:pPr>
              <w:spacing w:after="0"/>
              <w:rPr>
                <w:sz w:val="20"/>
                <w:szCs w:val="20"/>
                <w:color w:val="auto"/>
              </w:rPr>
            </w:pPr>
            <w:r>
              <w:rPr>
                <w:rFonts w:ascii="Arial" w:cs="Arial" w:eastAsia="Arial" w:hAnsi="Arial"/>
                <w:sz w:val="18"/>
                <w:szCs w:val="18"/>
                <w:color w:val="auto"/>
              </w:rPr>
              <w:t>__________</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820" w:hanging="326"/>
        <w:spacing w:after="0" w:line="229" w:lineRule="auto"/>
        <w:tabs>
          <w:tab w:leader="none" w:pos="820" w:val="left"/>
        </w:tabs>
        <w:numPr>
          <w:ilvl w:val="1"/>
          <w:numId w:val="10"/>
        </w:numPr>
        <w:rPr>
          <w:rFonts w:ascii="Arial" w:cs="Arial" w:eastAsia="Arial" w:hAnsi="Arial"/>
          <w:sz w:val="18"/>
          <w:szCs w:val="18"/>
          <w:color w:val="auto"/>
          <w:vertAlign w:val="superscript"/>
        </w:rPr>
      </w:pPr>
      <w:r>
        <w:rPr>
          <w:rFonts w:ascii="Arial" w:cs="Arial" w:eastAsia="Arial" w:hAnsi="Arial"/>
          <w:sz w:val="14"/>
          <w:szCs w:val="14"/>
          <w:color w:val="auto"/>
        </w:rPr>
        <w:t>For the three months ended June 30, 2018 and 2017, 0.2 million and 0.7 million non-vested stock awards, respectively, have an anti-dilutive effect and therefore are excluded from the computation of diluted weighted average shares outstanding. As the Company incurred a net loss for the six months ended June 30, 2018 and 2017, 0.1 million and 0.8 million outstanding options, respectively, and 1.5 million and 1.3 million non-vested stock awards, respectively, have an anti-dilutive effect and therefore are excluded from the computation of diluted weighted average shares outstanding.</w:t>
      </w:r>
    </w:p>
    <w:p>
      <w:pPr>
        <w:spacing w:after="0" w:line="124" w:lineRule="exact"/>
        <w:rPr>
          <w:rFonts w:ascii="Arial" w:cs="Arial" w:eastAsia="Arial" w:hAnsi="Arial"/>
          <w:sz w:val="18"/>
          <w:szCs w:val="18"/>
          <w:color w:val="auto"/>
          <w:vertAlign w:val="superscript"/>
        </w:rPr>
      </w:pPr>
    </w:p>
    <w:p>
      <w:pPr>
        <w:ind w:left="500" w:hanging="492"/>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Other Investments</w:t>
      </w:r>
    </w:p>
    <w:p>
      <w:pPr>
        <w:spacing w:after="0" w:line="247" w:lineRule="exact"/>
        <w:rPr>
          <w:rFonts w:ascii="Arial" w:cs="Arial" w:eastAsia="Arial" w:hAnsi="Arial"/>
          <w:sz w:val="18"/>
          <w:szCs w:val="18"/>
          <w:b w:val="1"/>
          <w:bCs w:val="1"/>
          <w:color w:val="auto"/>
        </w:rPr>
      </w:pPr>
    </w:p>
    <w:p>
      <w:pPr>
        <w:ind w:left="500" w:right="10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In March 2018, the Company made an initial equity investment of €15 million ($19 million) in its licensee in Greece (“Greece”), for a 20% ownership stake. In connection with this investment, the Company entered into an agreement to purchase an additional 20% equity interest, 10% in March 2019 and 10% in March 2020, for €15 million. In June 2018, the Company completed its purchase of the additional 20% equity investment for €16 million ($18 million), including an acceleration premium, and as of June 30, 2018, had a 40% ownership stake in Greece. The Company’s equity investment is recorded within other non-current assets. The Company’s share of Greece’s results are reported within operating expenses and are not material for the three and six months ended June 30, 2018.</w:t>
      </w:r>
    </w:p>
    <w:p>
      <w:pPr>
        <w:spacing w:after="0" w:line="186" w:lineRule="exact"/>
        <w:rPr>
          <w:rFonts w:ascii="Arial" w:cs="Arial" w:eastAsia="Arial" w:hAnsi="Arial"/>
          <w:sz w:val="18"/>
          <w:szCs w:val="18"/>
          <w:b w:val="1"/>
          <w:bCs w:val="1"/>
          <w:color w:val="auto"/>
        </w:rPr>
      </w:pPr>
    </w:p>
    <w:p>
      <w:pPr>
        <w:ind w:left="500" w:hanging="492"/>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Assets</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Other current assets consisted of:</w:t>
      </w:r>
    </w:p>
    <w:p>
      <w:pPr>
        <w:spacing w:after="0" w:line="145"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33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240" w:type="dxa"/>
            <w:vAlign w:val="bottom"/>
          </w:tcPr>
          <w:p>
            <w:pPr>
              <w:jc w:val="center"/>
              <w:ind w:left="310"/>
              <w:spacing w:after="0"/>
              <w:rPr>
                <w:sz w:val="20"/>
                <w:szCs w:val="20"/>
                <w:color w:val="auto"/>
              </w:rPr>
            </w:pPr>
            <w:r>
              <w:rPr>
                <w:rFonts w:ascii="Arial" w:cs="Arial" w:eastAsia="Arial" w:hAnsi="Arial"/>
                <w:sz w:val="18"/>
                <w:szCs w:val="18"/>
                <w:b w:val="1"/>
                <w:bCs w:val="1"/>
                <w:color w:val="auto"/>
                <w:w w:val="97"/>
              </w:rPr>
              <w:t>As of</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240" w:type="dxa"/>
            <w:vAlign w:val="bottom"/>
          </w:tcPr>
          <w:p>
            <w:pPr>
              <w:jc w:val="center"/>
              <w:ind w:left="350"/>
              <w:spacing w:after="0" w:line="202" w:lineRule="exact"/>
              <w:rPr>
                <w:sz w:val="20"/>
                <w:szCs w:val="20"/>
                <w:color w:val="auto"/>
              </w:rPr>
            </w:pPr>
            <w:r>
              <w:rPr>
                <w:rFonts w:ascii="Arial" w:cs="Arial" w:eastAsia="Arial" w:hAnsi="Arial"/>
                <w:sz w:val="18"/>
                <w:szCs w:val="18"/>
                <w:b w:val="1"/>
                <w:bCs w:val="1"/>
                <w:color w:val="auto"/>
                <w:w w:val="99"/>
              </w:rPr>
              <w:t>June 30,</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6"/>
        </w:trPr>
        <w:tc>
          <w:tcPr>
            <w:tcW w:w="336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124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9"/>
              </w:rPr>
              <w:t>2018</w:t>
            </w:r>
          </w:p>
        </w:tc>
        <w:tc>
          <w:tcPr>
            <w:tcW w:w="4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2017</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0"/>
                <w:szCs w:val="20"/>
                <w:color w:val="auto"/>
              </w:rPr>
            </w:pPr>
            <w:r>
              <w:rPr>
                <w:rFonts w:ascii="Arial" w:cs="Arial" w:eastAsia="Arial" w:hAnsi="Arial"/>
                <w:sz w:val="18"/>
                <w:szCs w:val="18"/>
                <w:color w:val="auto"/>
              </w:rPr>
              <w:t>Sales and use taxes</w:t>
            </w:r>
          </w:p>
        </w:tc>
        <w:tc>
          <w:tcPr>
            <w:tcW w:w="4720" w:type="dxa"/>
            <w:vAlign w:val="bottom"/>
            <w:gridSpan w:val="2"/>
          </w:tcPr>
          <w:p>
            <w:pPr>
              <w:jc w:val="right"/>
              <w:ind w:right="101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0"/>
                <w:szCs w:val="20"/>
                <w:color w:val="auto"/>
              </w:rPr>
            </w:pPr>
            <w:r>
              <w:rPr>
                <w:rFonts w:ascii="Arial" w:cs="Arial" w:eastAsia="Arial" w:hAnsi="Arial"/>
                <w:sz w:val="18"/>
                <w:szCs w:val="18"/>
                <w:color w:val="auto"/>
              </w:rPr>
              <w:t>Prepaid expenses</w:t>
            </w:r>
          </w:p>
        </w:tc>
        <w:tc>
          <w:tcPr>
            <w:tcW w:w="34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7"/>
        </w:trPr>
        <w:tc>
          <w:tcPr>
            <w:tcW w:w="3360" w:type="dxa"/>
            <w:vAlign w:val="bottom"/>
          </w:tcPr>
          <w:p>
            <w:pPr>
              <w:spacing w:after="0"/>
              <w:rPr>
                <w:sz w:val="20"/>
                <w:szCs w:val="20"/>
                <w:color w:val="auto"/>
              </w:rPr>
            </w:pPr>
            <w:r>
              <w:rPr>
                <w:rFonts w:ascii="Arial" w:cs="Arial" w:eastAsia="Arial" w:hAnsi="Arial"/>
                <w:sz w:val="18"/>
                <w:szCs w:val="18"/>
                <w:color w:val="auto"/>
              </w:rPr>
              <w:t>Other</w:t>
            </w:r>
          </w:p>
        </w:tc>
        <w:tc>
          <w:tcPr>
            <w:tcW w:w="348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57"/>
        </w:trPr>
        <w:tc>
          <w:tcPr>
            <w:tcW w:w="3360" w:type="dxa"/>
            <w:vAlign w:val="bottom"/>
          </w:tcPr>
          <w:p>
            <w:pPr>
              <w:spacing w:after="0"/>
              <w:rPr>
                <w:sz w:val="20"/>
                <w:szCs w:val="20"/>
                <w:color w:val="auto"/>
              </w:rPr>
            </w:pPr>
            <w:r>
              <w:rPr>
                <w:rFonts w:ascii="Arial" w:cs="Arial" w:eastAsia="Arial" w:hAnsi="Arial"/>
                <w:sz w:val="18"/>
                <w:szCs w:val="18"/>
                <w:color w:val="auto"/>
              </w:rPr>
              <w:t>Other current assets</w:t>
            </w:r>
          </w:p>
        </w:tc>
        <w:tc>
          <w:tcPr>
            <w:tcW w:w="4720" w:type="dxa"/>
            <w:vAlign w:val="bottom"/>
            <w:gridSpan w:val="2"/>
          </w:tcPr>
          <w:p>
            <w:pPr>
              <w:jc w:val="right"/>
              <w:ind w:right="101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832</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3480" w:type="dxa"/>
            <w:vAlign w:val="bottom"/>
            <w:vMerge w:val="restart"/>
          </w:tcPr>
          <w:p>
            <w:pPr>
              <w:jc w:val="right"/>
              <w:ind w:right="1450"/>
              <w:spacing w:after="0"/>
              <w:rPr>
                <w:sz w:val="20"/>
                <w:szCs w:val="20"/>
                <w:color w:val="auto"/>
              </w:rPr>
            </w:pPr>
            <w:r>
              <w:rPr>
                <w:rFonts w:ascii="Arial" w:cs="Arial" w:eastAsia="Arial" w:hAnsi="Arial"/>
                <w:sz w:val="18"/>
                <w:szCs w:val="18"/>
                <w:color w:val="auto"/>
              </w:rPr>
              <w:t>15</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36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Intangible assets consisted of:</w:t>
      </w:r>
    </w:p>
    <w:p>
      <w:pPr>
        <w:spacing w:after="0" w:line="181" w:lineRule="exact"/>
        <w:rPr>
          <w:sz w:val="20"/>
          <w:szCs w:val="20"/>
          <w:color w:val="auto"/>
        </w:rPr>
      </w:pPr>
    </w:p>
    <w:tbl>
      <w:tblPr>
        <w:tblLayout w:type="fixed"/>
        <w:tblInd w:w="500" w:type="dxa"/>
        <w:tblCellMar>
          <w:top w:w="0" w:type="dxa"/>
          <w:left w:w="0" w:type="dxa"/>
          <w:bottom w:w="0" w:type="dxa"/>
          <w:right w:w="0" w:type="dxa"/>
        </w:tblCellMar>
      </w:tblPr>
      <w:tr>
        <w:trPr>
          <w:trHeight w:val="228"/>
        </w:trPr>
        <w:tc>
          <w:tcPr>
            <w:tcW w:w="27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6"/>
          </w:tcPr>
          <w:p>
            <w:pPr>
              <w:jc w:val="center"/>
              <w:ind w:right="50"/>
              <w:spacing w:after="0"/>
              <w:rPr>
                <w:sz w:val="20"/>
                <w:szCs w:val="20"/>
                <w:color w:val="auto"/>
              </w:rPr>
            </w:pPr>
            <w:r>
              <w:rPr>
                <w:rFonts w:ascii="Arial" w:cs="Arial" w:eastAsia="Arial" w:hAnsi="Arial"/>
                <w:sz w:val="16"/>
                <w:szCs w:val="16"/>
                <w:b w:val="1"/>
                <w:bCs w:val="1"/>
                <w:color w:val="auto"/>
              </w:rPr>
              <w:t>As of June 30, 2018</w:t>
            </w:r>
          </w:p>
        </w:tc>
        <w:tc>
          <w:tcPr>
            <w:tcW w:w="9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6"/>
          </w:tcPr>
          <w:p>
            <w:pPr>
              <w:jc w:val="center"/>
              <w:ind w:left="636"/>
              <w:spacing w:after="0"/>
              <w:rPr>
                <w:sz w:val="20"/>
                <w:szCs w:val="20"/>
                <w:color w:val="auto"/>
              </w:rPr>
            </w:pPr>
            <w:r>
              <w:rPr>
                <w:rFonts w:ascii="Arial" w:cs="Arial" w:eastAsia="Arial" w:hAnsi="Arial"/>
                <w:sz w:val="16"/>
                <w:szCs w:val="16"/>
                <w:b w:val="1"/>
                <w:bCs w:val="1"/>
                <w:color w:val="auto"/>
              </w:rPr>
              <w:t>As of December 31, 2017</w:t>
            </w: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center"/>
              <w:ind w:right="76"/>
              <w:spacing w:after="0"/>
              <w:rPr>
                <w:sz w:val="20"/>
                <w:szCs w:val="20"/>
                <w:color w:val="auto"/>
              </w:rPr>
            </w:pPr>
            <w:r>
              <w:rPr>
                <w:rFonts w:ascii="Arial" w:cs="Arial" w:eastAsia="Arial" w:hAnsi="Arial"/>
                <w:sz w:val="14"/>
                <w:szCs w:val="14"/>
                <w:b w:val="1"/>
                <w:bCs w:val="1"/>
                <w:color w:val="auto"/>
              </w:rPr>
              <w:t>Gross</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Net</w:t>
            </w:r>
          </w:p>
        </w:tc>
        <w:tc>
          <w:tcPr>
            <w:tcW w:w="200" w:type="dxa"/>
            <w:vAlign w:val="bottom"/>
          </w:tcPr>
          <w:p>
            <w:pPr>
              <w:spacing w:after="0"/>
              <w:rPr>
                <w:sz w:val="15"/>
                <w:szCs w:val="15"/>
                <w:color w:val="auto"/>
              </w:rPr>
            </w:pPr>
          </w:p>
        </w:tc>
        <w:tc>
          <w:tcPr>
            <w:tcW w:w="940" w:type="dxa"/>
            <w:vAlign w:val="bottom"/>
          </w:tcPr>
          <w:p>
            <w:pPr>
              <w:jc w:val="center"/>
              <w:ind w:right="116"/>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center"/>
              <w:ind w:right="178"/>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center"/>
              <w:ind w:right="56"/>
              <w:spacing w:after="0"/>
              <w:rPr>
                <w:sz w:val="20"/>
                <w:szCs w:val="20"/>
                <w:color w:val="auto"/>
              </w:rPr>
            </w:pPr>
            <w:r>
              <w:rPr>
                <w:rFonts w:ascii="Arial" w:cs="Arial" w:eastAsia="Arial" w:hAnsi="Arial"/>
                <w:sz w:val="14"/>
                <w:szCs w:val="14"/>
                <w:b w:val="1"/>
                <w:bCs w:val="1"/>
                <w:color w:val="auto"/>
              </w:rPr>
              <w:t>Carrying</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4"/>
                <w:szCs w:val="14"/>
                <w:color w:val="auto"/>
              </w:rPr>
            </w:pPr>
          </w:p>
        </w:tc>
        <w:tc>
          <w:tcPr>
            <w:tcW w:w="940" w:type="dxa"/>
            <w:vAlign w:val="bottom"/>
          </w:tcPr>
          <w:p>
            <w:pPr>
              <w:jc w:val="center"/>
              <w:ind w:right="116"/>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4"/>
                <w:szCs w:val="14"/>
                <w:color w:val="auto"/>
              </w:rPr>
            </w:pPr>
          </w:p>
        </w:tc>
        <w:tc>
          <w:tcPr>
            <w:tcW w:w="880" w:type="dxa"/>
            <w:vAlign w:val="bottom"/>
          </w:tcPr>
          <w:p>
            <w:pPr>
              <w:jc w:val="center"/>
              <w:ind w:right="178"/>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96"/>
        </w:trPr>
        <w:tc>
          <w:tcPr>
            <w:tcW w:w="2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center"/>
              <w:ind w:right="76"/>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7"/>
                <w:szCs w:val="17"/>
                <w:color w:val="auto"/>
              </w:rPr>
            </w:pPr>
          </w:p>
        </w:tc>
        <w:tc>
          <w:tcPr>
            <w:tcW w:w="940" w:type="dxa"/>
            <w:vAlign w:val="bottom"/>
          </w:tcPr>
          <w:p>
            <w:pPr>
              <w:jc w:val="center"/>
              <w:ind w:right="116"/>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7"/>
                <w:szCs w:val="17"/>
                <w:color w:val="auto"/>
              </w:rPr>
            </w:pPr>
          </w:p>
        </w:tc>
        <w:tc>
          <w:tcPr>
            <w:tcW w:w="880" w:type="dxa"/>
            <w:vAlign w:val="bottom"/>
          </w:tcPr>
          <w:p>
            <w:pPr>
              <w:jc w:val="center"/>
              <w:ind w:right="17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51"/>
        </w:trPr>
        <w:tc>
          <w:tcPr>
            <w:tcW w:w="2700" w:type="dxa"/>
            <w:vAlign w:val="bottom"/>
          </w:tcPr>
          <w:p>
            <w:pPr>
              <w:ind w:left="20"/>
              <w:spacing w:after="0"/>
              <w:rPr>
                <w:sz w:val="20"/>
                <w:szCs w:val="20"/>
                <w:color w:val="auto"/>
              </w:rPr>
            </w:pPr>
            <w:r>
              <w:rPr>
                <w:rFonts w:ascii="Arial" w:cs="Arial" w:eastAsia="Arial" w:hAnsi="Arial"/>
                <w:sz w:val="16"/>
                <w:szCs w:val="16"/>
                <w:i w:val="1"/>
                <w:iCs w:val="1"/>
                <w:color w:val="auto"/>
              </w:rPr>
              <w:t>Amortized Intangible Assets</w:t>
            </w:r>
          </w:p>
        </w:tc>
        <w:tc>
          <w:tcPr>
            <w:tcW w:w="2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700" w:type="dxa"/>
            <w:vAlign w:val="bottom"/>
          </w:tcPr>
          <w:p>
            <w:pPr>
              <w:ind w:left="20"/>
              <w:spacing w:after="0"/>
              <w:rPr>
                <w:sz w:val="20"/>
                <w:szCs w:val="20"/>
                <w:color w:val="auto"/>
              </w:rPr>
            </w:pPr>
            <w:r>
              <w:rPr>
                <w:rFonts w:ascii="Arial" w:cs="Arial" w:eastAsia="Arial" w:hAnsi="Arial"/>
                <w:sz w:val="16"/>
                <w:szCs w:val="16"/>
                <w:color w:val="auto"/>
              </w:rPr>
              <w:t>License agreements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310</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0"/>
        </w:trPr>
        <w:tc>
          <w:tcPr>
            <w:tcW w:w="270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238</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7"/>
        </w:trPr>
        <w:tc>
          <w:tcPr>
            <w:tcW w:w="2700" w:type="dxa"/>
            <w:vAlign w:val="bottom"/>
          </w:tcPr>
          <w:p>
            <w:pPr>
              <w:ind w:left="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51"/>
        </w:trPr>
        <w:tc>
          <w:tcPr>
            <w:tcW w:w="2700" w:type="dxa"/>
            <w:vAlign w:val="bottom"/>
          </w:tcPr>
          <w:p>
            <w:pPr>
              <w:ind w:left="20"/>
              <w:spacing w:after="0"/>
              <w:rPr>
                <w:sz w:val="20"/>
                <w:szCs w:val="20"/>
                <w:color w:val="auto"/>
              </w:rPr>
            </w:pPr>
            <w:r>
              <w:rPr>
                <w:rFonts w:ascii="Arial" w:cs="Arial" w:eastAsia="Arial" w:hAnsi="Arial"/>
                <w:sz w:val="16"/>
                <w:szCs w:val="16"/>
                <w:color w:val="auto"/>
              </w:rPr>
              <w:t>Total</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597</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574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0"/>
        </w:trPr>
        <w:tc>
          <w:tcPr>
            <w:tcW w:w="27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Unamortized Intangible Assets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27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700" w:type="dxa"/>
            <w:vAlign w:val="bottom"/>
          </w:tcPr>
          <w:p>
            <w:pPr>
              <w:ind w:left="20"/>
              <w:spacing w:after="0"/>
              <w:rPr>
                <w:sz w:val="20"/>
                <w:szCs w:val="20"/>
                <w:color w:val="auto"/>
              </w:rPr>
            </w:pPr>
            <w:r>
              <w:rPr>
                <w:rFonts w:ascii="Arial" w:cs="Arial" w:eastAsia="Arial" w:hAnsi="Arial"/>
                <w:sz w:val="16"/>
                <w:szCs w:val="16"/>
                <w:color w:val="auto"/>
              </w:rPr>
              <w:t xml:space="preserve">Goodwill </w:t>
            </w:r>
            <w:r>
              <w:rPr>
                <w:rFonts w:ascii="Arial" w:cs="Arial" w:eastAsia="Arial" w:hAnsi="Arial"/>
                <w:sz w:val="21"/>
                <w:szCs w:val="21"/>
                <w:color w:val="auto"/>
                <w:vertAlign w:val="superscript"/>
              </w:rPr>
              <w:t>(a)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w:t>
            </w:r>
          </w:p>
        </w:tc>
        <w:tc>
          <w:tcPr>
            <w:tcW w:w="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700" w:type="dxa"/>
            <w:vAlign w:val="bottom"/>
          </w:tcPr>
          <w:p>
            <w:pPr>
              <w:ind w:left="20"/>
              <w:spacing w:after="0"/>
              <w:rPr>
                <w:sz w:val="20"/>
                <w:szCs w:val="20"/>
                <w:color w:val="auto"/>
              </w:rPr>
            </w:pPr>
            <w:r>
              <w:rPr>
                <w:rFonts w:ascii="Arial" w:cs="Arial" w:eastAsia="Arial" w:hAnsi="Arial"/>
                <w:sz w:val="16"/>
                <w:szCs w:val="16"/>
                <w:color w:val="auto"/>
              </w:rPr>
              <w:t>Trademarks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00" w:type="dxa"/>
            <w:vAlign w:val="bottom"/>
            <w:vMerge w:val="restart"/>
          </w:tcPr>
          <w:p>
            <w:pPr>
              <w:spacing w:after="0"/>
              <w:rPr>
                <w:sz w:val="20"/>
                <w:szCs w:val="20"/>
                <w:color w:val="auto"/>
              </w:rPr>
            </w:pPr>
            <w:r>
              <w:rPr>
                <w:rFonts w:ascii="Arial" w:cs="Arial" w:eastAsia="Arial" w:hAnsi="Arial"/>
                <w:sz w:val="16"/>
                <w:szCs w:val="16"/>
                <w:color w:val="auto"/>
              </w:rPr>
              <w:t>_________</w:t>
            </w: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7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820" w:hanging="326"/>
        <w:spacing w:after="0" w:line="205" w:lineRule="auto"/>
        <w:tabs>
          <w:tab w:leader="none" w:pos="82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The change in the carrying amount since December 31, 2017, primarily reflects currency translation.</w:t>
      </w:r>
    </w:p>
    <w:p>
      <w:pPr>
        <w:spacing w:after="0" w:line="174" w:lineRule="exact"/>
        <w:rPr>
          <w:sz w:val="20"/>
          <w:szCs w:val="20"/>
          <w:color w:val="auto"/>
        </w:rPr>
      </w:pPr>
    </w:p>
    <w:p>
      <w:pPr>
        <w:ind w:left="500" w:right="20"/>
        <w:spacing w:after="0" w:line="271" w:lineRule="auto"/>
        <w:rPr>
          <w:sz w:val="20"/>
          <w:szCs w:val="20"/>
          <w:color w:val="auto"/>
        </w:rPr>
      </w:pPr>
      <w:r>
        <w:rPr>
          <w:rFonts w:ascii="Arial" w:cs="Arial" w:eastAsia="Arial" w:hAnsi="Arial"/>
          <w:sz w:val="17"/>
          <w:szCs w:val="17"/>
          <w:color w:val="auto"/>
        </w:rPr>
        <w:t>For the three months ended June 30, 2018 and 2017, amortization expense related to amortizable intangible assets was approximately $19 million and $ 16 million, respectively. For the six months ended June 30, 2018 and 2017, amortization expense related to amortizable intangible assets was approximately $ 33 million and $31 million, respectively. Based on the Company’s amortizable intangible assets at June 30, 2018, the Company expects amortization expense of approximately $37 million for the remainder of 2018, $ 50 million for 2019, $43 million for 2020, $30 million for 2021, $24 million for 2022 and $21 million for 2023, excluding effects of currency exchange rates.</w:t>
      </w:r>
    </w:p>
    <w:p>
      <w:pPr>
        <w:spacing w:after="0" w:line="171"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Vehicle Rental Activities</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components of vehicles, net within assets under vehicle programs were as follows:</w:t>
      </w:r>
    </w:p>
    <w:p>
      <w:pPr>
        <w:spacing w:after="0" w:line="149" w:lineRule="exact"/>
        <w:rPr>
          <w:sz w:val="20"/>
          <w:szCs w:val="20"/>
          <w:color w:val="auto"/>
        </w:rPr>
      </w:pPr>
    </w:p>
    <w:tbl>
      <w:tblPr>
        <w:tblLayout w:type="fixed"/>
        <w:tblInd w:w="520" w:type="dxa"/>
        <w:tblCellMar>
          <w:top w:w="0" w:type="dxa"/>
          <w:left w:w="0" w:type="dxa"/>
          <w:bottom w:w="0" w:type="dxa"/>
          <w:right w:w="0" w:type="dxa"/>
        </w:tblCellMar>
      </w:tblPr>
      <w:tr>
        <w:trPr>
          <w:trHeight w:val="239"/>
        </w:trPr>
        <w:tc>
          <w:tcPr>
            <w:tcW w:w="6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20"/>
                <w:szCs w:val="20"/>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rPr>
              <w:t>As of</w:t>
            </w:r>
          </w:p>
        </w:tc>
      </w:tr>
      <w:tr>
        <w:trPr>
          <w:trHeight w:val="270"/>
        </w:trPr>
        <w:tc>
          <w:tcPr>
            <w:tcW w:w="68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9"/>
              </w:rPr>
              <w:t>June 30,</w:t>
            </w:r>
          </w:p>
        </w:tc>
        <w:tc>
          <w:tcPr>
            <w:tcW w:w="180" w:type="dxa"/>
            <w:vAlign w:val="bottom"/>
          </w:tcPr>
          <w:p>
            <w:pPr>
              <w:spacing w:after="0"/>
              <w:rPr>
                <w:sz w:val="23"/>
                <w:szCs w:val="23"/>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rPr>
              <w:t>December 31,</w:t>
            </w:r>
          </w:p>
        </w:tc>
      </w:tr>
      <w:tr>
        <w:trPr>
          <w:trHeight w:val="270"/>
        </w:trPr>
        <w:tc>
          <w:tcPr>
            <w:tcW w:w="68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jc w:val="center"/>
              <w:ind w:right="230"/>
              <w:spacing w:after="0"/>
              <w:rPr>
                <w:sz w:val="20"/>
                <w:szCs w:val="20"/>
                <w:color w:val="auto"/>
              </w:rPr>
            </w:pPr>
            <w:r>
              <w:rPr>
                <w:rFonts w:ascii="Arial" w:cs="Arial" w:eastAsia="Arial" w:hAnsi="Arial"/>
                <w:sz w:val="18"/>
                <w:szCs w:val="18"/>
                <w:b w:val="1"/>
                <w:bCs w:val="1"/>
                <w:color w:val="auto"/>
                <w:w w:val="99"/>
              </w:rPr>
              <w:t>2018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2017</w:t>
            </w:r>
          </w:p>
        </w:tc>
      </w:tr>
      <w:tr>
        <w:trPr>
          <w:trHeight w:val="27"/>
        </w:trPr>
        <w:tc>
          <w:tcPr>
            <w:tcW w:w="68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6840" w:type="dxa"/>
            <w:vAlign w:val="bottom"/>
          </w:tcPr>
          <w:p>
            <w:pPr>
              <w:spacing w:after="0"/>
              <w:rPr>
                <w:sz w:val="20"/>
                <w:szCs w:val="20"/>
                <w:color w:val="auto"/>
              </w:rPr>
            </w:pPr>
            <w:r>
              <w:rPr>
                <w:rFonts w:ascii="Arial" w:cs="Arial" w:eastAsia="Arial" w:hAnsi="Arial"/>
                <w:sz w:val="18"/>
                <w:szCs w:val="18"/>
                <w:color w:val="auto"/>
              </w:rPr>
              <w:t>Rental vehicles</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15,188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11,652</w:t>
            </w:r>
          </w:p>
        </w:tc>
      </w:tr>
      <w:tr>
        <w:trPr>
          <w:trHeight w:val="277"/>
        </w:trPr>
        <w:tc>
          <w:tcPr>
            <w:tcW w:w="68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w:t>
            </w:r>
          </w:p>
        </w:tc>
      </w:tr>
      <w:tr>
        <w:trPr>
          <w:trHeight w:val="243"/>
        </w:trPr>
        <w:tc>
          <w:tcPr>
            <w:tcW w:w="6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13,559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77"/>
        </w:trPr>
        <w:tc>
          <w:tcPr>
            <w:tcW w:w="6840" w:type="dxa"/>
            <w:vAlign w:val="bottom"/>
          </w:tcPr>
          <w:p>
            <w:pPr>
              <w:spacing w:after="0"/>
              <w:rPr>
                <w:sz w:val="20"/>
                <w:szCs w:val="20"/>
                <w:color w:val="auto"/>
              </w:rPr>
            </w:pPr>
            <w:r>
              <w:rPr>
                <w:rFonts w:ascii="Arial" w:cs="Arial" w:eastAsia="Arial" w:hAnsi="Arial"/>
                <w:sz w:val="18"/>
                <w:szCs w:val="18"/>
                <w:color w:val="auto"/>
              </w:rPr>
              <w:t>Vehicles held for sale</w:t>
            </w: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w:t>
            </w:r>
          </w:p>
        </w:tc>
      </w:tr>
      <w:tr>
        <w:trPr>
          <w:trHeight w:val="257"/>
        </w:trPr>
        <w:tc>
          <w:tcPr>
            <w:tcW w:w="6840" w:type="dxa"/>
            <w:vAlign w:val="bottom"/>
          </w:tcPr>
          <w:p>
            <w:pPr>
              <w:spacing w:after="0"/>
              <w:rPr>
                <w:sz w:val="20"/>
                <w:szCs w:val="20"/>
                <w:color w:val="auto"/>
              </w:rPr>
            </w:pPr>
            <w:r>
              <w:rPr>
                <w:rFonts w:ascii="Arial" w:cs="Arial" w:eastAsia="Arial" w:hAnsi="Arial"/>
                <w:sz w:val="18"/>
                <w:szCs w:val="18"/>
                <w:color w:val="auto"/>
              </w:rPr>
              <w:t>Vehicles, net</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13,867</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10,626</w:t>
            </w:r>
          </w:p>
        </w:tc>
      </w:tr>
      <w:tr>
        <w:trPr>
          <w:trHeight w:val="20"/>
        </w:trPr>
        <w:tc>
          <w:tcPr>
            <w:tcW w:w="6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140" w:right="279" w:bottom="1440" w:gutter="0" w:footer="0" w:header="0"/>
        </w:sectPr>
      </w:pPr>
    </w:p>
    <w:p>
      <w:pPr>
        <w:spacing w:after="0" w:line="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vehicle depreciation and lease charges, net are summarized below:</w:t>
      </w:r>
    </w:p>
    <w:p>
      <w:pPr>
        <w:spacing w:after="0" w:line="149"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414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r>
      <w:tr>
        <w:trPr>
          <w:trHeight w:val="257"/>
        </w:trPr>
        <w:tc>
          <w:tcPr>
            <w:tcW w:w="414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r>
      <w:tr>
        <w:trPr>
          <w:trHeight w:val="243"/>
        </w:trPr>
        <w:tc>
          <w:tcPr>
            <w:tcW w:w="4140" w:type="dxa"/>
            <w:vAlign w:val="bottom"/>
          </w:tcPr>
          <w:p>
            <w:pPr>
              <w:spacing w:after="0"/>
              <w:rPr>
                <w:sz w:val="20"/>
                <w:szCs w:val="20"/>
                <w:color w:val="auto"/>
              </w:rPr>
            </w:pPr>
            <w:r>
              <w:rPr>
                <w:rFonts w:ascii="Arial" w:cs="Arial" w:eastAsia="Arial" w:hAnsi="Arial"/>
                <w:sz w:val="18"/>
                <w:szCs w:val="18"/>
                <w:color w:val="auto"/>
              </w:rPr>
              <w:t>Depreciation expense</w:t>
            </w:r>
          </w:p>
        </w:tc>
        <w:tc>
          <w:tcPr>
            <w:tcW w:w="100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516</w:t>
            </w:r>
          </w:p>
        </w:tc>
      </w:tr>
      <w:tr>
        <w:trPr>
          <w:trHeight w:val="270"/>
        </w:trPr>
        <w:tc>
          <w:tcPr>
            <w:tcW w:w="4140" w:type="dxa"/>
            <w:vAlign w:val="bottom"/>
          </w:tcPr>
          <w:p>
            <w:pPr>
              <w:spacing w:after="0"/>
              <w:rPr>
                <w:sz w:val="20"/>
                <w:szCs w:val="20"/>
                <w:color w:val="auto"/>
              </w:rPr>
            </w:pPr>
            <w:r>
              <w:rPr>
                <w:rFonts w:ascii="Arial" w:cs="Arial" w:eastAsia="Arial" w:hAnsi="Arial"/>
                <w:sz w:val="18"/>
                <w:szCs w:val="18"/>
                <w:color w:val="auto"/>
              </w:rPr>
              <w:t>Lease charges</w:t>
            </w:r>
          </w:p>
        </w:tc>
        <w:tc>
          <w:tcPr>
            <w:tcW w:w="10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54</w:t>
            </w:r>
          </w:p>
        </w:tc>
      </w:tr>
      <w:tr>
        <w:trPr>
          <w:trHeight w:val="277"/>
        </w:trPr>
        <w:tc>
          <w:tcPr>
            <w:tcW w:w="4140" w:type="dxa"/>
            <w:vAlign w:val="bottom"/>
          </w:tcPr>
          <w:p>
            <w:pPr>
              <w:spacing w:after="0"/>
              <w:rPr>
                <w:sz w:val="20"/>
                <w:szCs w:val="20"/>
                <w:color w:val="auto"/>
              </w:rPr>
            </w:pPr>
            <w:r>
              <w:rPr>
                <w:rFonts w:ascii="Arial" w:cs="Arial" w:eastAsia="Arial" w:hAnsi="Arial"/>
                <w:sz w:val="18"/>
                <w:szCs w:val="18"/>
                <w:color w:val="auto"/>
              </w:rPr>
              <w:t>(Gain) loss on sale of vehicles, net</w:t>
            </w:r>
          </w:p>
        </w:tc>
        <w:tc>
          <w:tcPr>
            <w:tcW w:w="10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w:t>
            </w:r>
          </w:p>
        </w:tc>
      </w:tr>
      <w:tr>
        <w:trPr>
          <w:trHeight w:val="257"/>
        </w:trPr>
        <w:tc>
          <w:tcPr>
            <w:tcW w:w="4140" w:type="dxa"/>
            <w:vAlign w:val="bottom"/>
          </w:tcPr>
          <w:p>
            <w:pPr>
              <w:spacing w:after="0"/>
              <w:rPr>
                <w:sz w:val="20"/>
                <w:szCs w:val="20"/>
                <w:color w:val="auto"/>
              </w:rPr>
            </w:pPr>
            <w:r>
              <w:rPr>
                <w:rFonts w:ascii="Arial" w:cs="Arial" w:eastAsia="Arial" w:hAnsi="Arial"/>
                <w:sz w:val="18"/>
                <w:szCs w:val="18"/>
                <w:color w:val="auto"/>
              </w:rPr>
              <w:t>Vehicle depreciation and lease charges, net</w:t>
            </w:r>
          </w:p>
        </w:tc>
        <w:tc>
          <w:tcPr>
            <w:tcW w:w="100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w:t>
            </w:r>
          </w:p>
        </w:tc>
        <w:tc>
          <w:tcPr>
            <w:tcW w:w="120" w:type="dxa"/>
            <w:vAlign w:val="bottom"/>
          </w:tcPr>
          <w:p>
            <w:pPr>
              <w:spacing w:after="0"/>
              <w:rPr>
                <w:sz w:val="22"/>
                <w:szCs w:val="22"/>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597</w:t>
            </w:r>
          </w:p>
        </w:tc>
      </w:tr>
      <w:tr>
        <w:trPr>
          <w:trHeight w:val="20"/>
        </w:trPr>
        <w:tc>
          <w:tcPr>
            <w:tcW w:w="4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Six Months Ended</w:t>
      </w:r>
    </w:p>
    <w:p>
      <w:pPr>
        <w:spacing w:after="0" w:line="18"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14605</wp:posOffset>
            </wp:positionV>
            <wp:extent cx="19208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35" w:lineRule="exact"/>
        <w:rPr>
          <w:sz w:val="20"/>
          <w:szCs w:val="20"/>
          <w:color w:val="auto"/>
        </w:rPr>
      </w:pPr>
    </w:p>
    <w:p>
      <w:pPr>
        <w:ind w:left="500"/>
        <w:spacing w:after="0"/>
        <w:tabs>
          <w:tab w:leader="none" w:pos="2060" w:val="left"/>
        </w:tabs>
        <w:rPr>
          <w:sz w:val="20"/>
          <w:szCs w:val="20"/>
          <w:color w:val="auto"/>
        </w:rPr>
      </w:pPr>
      <w:r>
        <w:rPr>
          <w:rFonts w:ascii="Arial" w:cs="Arial" w:eastAsia="Arial" w:hAnsi="Arial"/>
          <w:sz w:val="18"/>
          <w:szCs w:val="18"/>
          <w:b w:val="1"/>
          <w:bCs w:val="1"/>
          <w:color w:val="auto"/>
        </w:rPr>
        <w:t>2018</w:t>
      </w:r>
      <w:r>
        <w:rPr>
          <w:sz w:val="20"/>
          <w:szCs w:val="20"/>
          <w:color w:val="auto"/>
        </w:rPr>
        <w:tab/>
      </w:r>
      <w:r>
        <w:rPr>
          <w:rFonts w:ascii="Arial" w:cs="Arial" w:eastAsia="Arial" w:hAnsi="Arial"/>
          <w:sz w:val="18"/>
          <w:szCs w:val="18"/>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28575</wp:posOffset>
            </wp:positionV>
            <wp:extent cx="19208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65" w:lineRule="exact"/>
        <w:rPr>
          <w:sz w:val="20"/>
          <w:szCs w:val="20"/>
          <w:color w:val="auto"/>
        </w:rPr>
      </w:pPr>
    </w:p>
    <w:p>
      <w:pPr>
        <w:spacing w:after="0"/>
        <w:tabs>
          <w:tab w:leader="none" w:pos="1020" w:val="left"/>
          <w:tab w:leader="none" w:pos="1560" w:val="left"/>
          <w:tab w:leader="none" w:pos="2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996</w:t>
        <w:tab/>
        <w:t>$</w:t>
      </w:r>
      <w:r>
        <w:rPr>
          <w:sz w:val="20"/>
          <w:szCs w:val="20"/>
          <w:color w:val="auto"/>
        </w:rPr>
        <w:tab/>
      </w:r>
      <w:r>
        <w:rPr>
          <w:rFonts w:ascii="Arial" w:cs="Arial" w:eastAsia="Arial" w:hAnsi="Arial"/>
          <w:sz w:val="17"/>
          <w:szCs w:val="17"/>
          <w:color w:val="auto"/>
        </w:rPr>
        <w:t>953</w:t>
      </w:r>
    </w:p>
    <w:p>
      <w:pPr>
        <w:spacing w:after="0" w:line="63" w:lineRule="exact"/>
        <w:rPr>
          <w:sz w:val="20"/>
          <w:szCs w:val="20"/>
          <w:color w:val="auto"/>
        </w:rPr>
      </w:pPr>
    </w:p>
    <w:p>
      <w:pPr>
        <w:ind w:left="2720" w:hanging="1676"/>
        <w:spacing w:after="0"/>
        <w:tabs>
          <w:tab w:leader="none" w:pos="27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97</w:t>
      </w:r>
    </w:p>
    <w:p>
      <w:pPr>
        <w:spacing w:after="0" w:line="74" w:lineRule="exact"/>
        <w:rPr>
          <w:rFonts w:ascii="Arial" w:cs="Arial" w:eastAsia="Arial" w:hAnsi="Arial"/>
          <w:sz w:val="17"/>
          <w:szCs w:val="17"/>
          <w:color w:val="auto"/>
        </w:rPr>
      </w:pPr>
    </w:p>
    <w:p>
      <w:pPr>
        <w:ind w:left="2720" w:hanging="1635"/>
        <w:spacing w:after="0"/>
        <w:tabs>
          <w:tab w:leader="none" w:pos="2720" w:val="left"/>
        </w:tabs>
        <w:numPr>
          <w:ilvl w:val="1"/>
          <w:numId w:val="15"/>
        </w:numPr>
        <w:rPr>
          <w:rFonts w:ascii="Arial" w:cs="Arial" w:eastAsia="Arial" w:hAnsi="Arial"/>
          <w:sz w:val="17"/>
          <w:szCs w:val="17"/>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22225</wp:posOffset>
            </wp:positionV>
            <wp:extent cx="19208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55" w:lineRule="exact"/>
        <w:rPr>
          <w:sz w:val="20"/>
          <w:szCs w:val="20"/>
          <w:color w:val="auto"/>
        </w:rPr>
      </w:pPr>
    </w:p>
    <w:p>
      <w:pPr>
        <w:spacing w:after="0"/>
        <w:tabs>
          <w:tab w:leader="none" w:pos="880" w:val="left"/>
          <w:tab w:leader="none" w:pos="1560" w:val="left"/>
          <w:tab w:leader="none" w:pos="2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1,106</w:t>
        <w:tab/>
        <w:t>$</w:t>
      </w:r>
      <w:r>
        <w:rPr>
          <w:sz w:val="20"/>
          <w:szCs w:val="20"/>
          <w:color w:val="auto"/>
        </w:rPr>
        <w:tab/>
      </w:r>
      <w:r>
        <w:rPr>
          <w:rFonts w:ascii="Arial" w:cs="Arial" w:eastAsia="Arial" w:hAnsi="Arial"/>
          <w:sz w:val="18"/>
          <w:szCs w:val="18"/>
          <w:color w:val="auto"/>
        </w:rPr>
        <w:t>1,101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14605</wp:posOffset>
            </wp:positionV>
            <wp:extent cx="192087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20875" cy="26035"/>
                    </a:xfrm>
                    <a:prstGeom prst="rect">
                      <a:avLst/>
                    </a:prstGeom>
                    <a:noFill/>
                  </pic:spPr>
                </pic:pic>
              </a:graphicData>
            </a:graphic>
          </wp:anchor>
        </w:drawing>
      </w:r>
    </w:p>
    <w:p>
      <w:pPr>
        <w:spacing w:after="0" w:line="263" w:lineRule="exact"/>
        <w:rPr>
          <w:sz w:val="20"/>
          <w:szCs w:val="20"/>
          <w:color w:val="auto"/>
        </w:rPr>
      </w:pPr>
    </w:p>
    <w:p>
      <w:pPr>
        <w:sectPr>
          <w:pgSz w:w="11900" w:h="16838" w:orient="portrait"/>
          <w:cols w:equalWidth="0" w:num="2">
            <w:col w:w="7700" w:space="120"/>
            <w:col w:w="3560"/>
          </w:cols>
          <w:pgMar w:left="240" w:top="140" w:right="279" w:bottom="1440" w:gutter="0" w:footer="0" w:header="0"/>
          <w:type w:val="continuous"/>
        </w:sectPr>
      </w:pPr>
    </w:p>
    <w:p>
      <w:pPr>
        <w:spacing w:after="0" w:line="15" w:lineRule="exact"/>
        <w:rPr>
          <w:sz w:val="20"/>
          <w:szCs w:val="20"/>
          <w:color w:val="auto"/>
        </w:rPr>
      </w:pPr>
    </w:p>
    <w:p>
      <w:pPr>
        <w:ind w:left="500"/>
        <w:spacing w:after="0" w:line="256" w:lineRule="auto"/>
        <w:rPr>
          <w:sz w:val="20"/>
          <w:szCs w:val="20"/>
          <w:color w:val="auto"/>
        </w:rPr>
      </w:pPr>
      <w:r>
        <w:rPr>
          <w:rFonts w:ascii="Arial" w:cs="Arial" w:eastAsia="Arial" w:hAnsi="Arial"/>
          <w:sz w:val="18"/>
          <w:szCs w:val="18"/>
          <w:color w:val="auto"/>
        </w:rPr>
        <w:t>At June 30, 2018 and 2017, the Company had payables related to vehicle purchases included in liabilities under vehicle programs - other of $856 million and $658 million, respectively, and receivables related to vehicle sales included in assets under vehicle programs - receivables from vehicle manufacturers and other of $248 million and $235 million, respectively.</w:t>
      </w:r>
    </w:p>
    <w:p>
      <w:pPr>
        <w:spacing w:after="0" w:line="180"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47" w:lineRule="exact"/>
        <w:rPr>
          <w:rFonts w:ascii="Arial" w:cs="Arial" w:eastAsia="Arial" w:hAnsi="Arial"/>
          <w:sz w:val="18"/>
          <w:szCs w:val="18"/>
          <w:b w:val="1"/>
          <w:bCs w:val="1"/>
          <w:color w:val="auto"/>
        </w:rPr>
      </w:pPr>
    </w:p>
    <w:p>
      <w:pPr>
        <w:ind w:left="500" w:right="48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The Company’s effective tax rate for the six months ended June 30, 2018 is a benefit of 33.0%. Such rate differed from the Federal statutory rate of 21.0% primarily due to U.S. and foreign taxes on our international</w:t>
      </w:r>
    </w:p>
    <w:p>
      <w:pPr>
        <w:sectPr>
          <w:pgSz w:w="11900" w:h="16838" w:orient="portrait"/>
          <w:cols w:equalWidth="0" w:num="1">
            <w:col w:w="11380"/>
          </w:cols>
          <w:pgMar w:left="240" w:top="140" w:right="279" w:bottom="1440" w:gutter="0" w:footer="0" w:header="0"/>
          <w:type w:val="continuous"/>
        </w:sect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380"/>
          </w:cols>
          <w:pgMar w:left="240" w:top="140" w:right="27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right="240"/>
        <w:spacing w:after="0" w:line="262" w:lineRule="auto"/>
        <w:rPr>
          <w:sz w:val="20"/>
          <w:szCs w:val="20"/>
          <w:color w:val="auto"/>
        </w:rPr>
      </w:pPr>
      <w:r>
        <w:rPr>
          <w:rFonts w:ascii="Arial" w:cs="Arial" w:eastAsia="Arial" w:hAnsi="Arial"/>
          <w:sz w:val="18"/>
          <w:szCs w:val="18"/>
          <w:color w:val="auto"/>
        </w:rPr>
        <w:t>operations and state taxes. Tax benefits associated with stock-based compensation increased the benefit for income taxes recorded in the current period.</w:t>
      </w:r>
    </w:p>
    <w:p>
      <w:pPr>
        <w:spacing w:after="0" w:line="196" w:lineRule="exact"/>
        <w:rPr>
          <w:sz w:val="20"/>
          <w:szCs w:val="20"/>
          <w:color w:val="auto"/>
        </w:rPr>
      </w:pPr>
    </w:p>
    <w:p>
      <w:pPr>
        <w:ind w:left="500" w:right="320"/>
        <w:spacing w:after="0" w:line="256" w:lineRule="auto"/>
        <w:rPr>
          <w:sz w:val="20"/>
          <w:szCs w:val="20"/>
          <w:color w:val="auto"/>
        </w:rPr>
      </w:pPr>
      <w:r>
        <w:rPr>
          <w:rFonts w:ascii="Arial" w:cs="Arial" w:eastAsia="Arial" w:hAnsi="Arial"/>
          <w:sz w:val="18"/>
          <w:szCs w:val="18"/>
          <w:color w:val="auto"/>
        </w:rPr>
        <w:t>The Company’s effective tax rate for the six months ended June 30, 2017 was a benefit of 32.5%. Such rate differed from the Federal statutory rate of 35.0% primarily due to foreign taxes as a result of the mix of the Company’s earnings between the U.S. and foreign jurisdictions.</w:t>
      </w:r>
    </w:p>
    <w:p>
      <w:pPr>
        <w:spacing w:after="0" w:line="202"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The Company has not finalized the accounting for the effects of the Tax Act due to the complex analysis necessary to determine the historical earnings of foreign subsidiaries, the ability to utilize tax attributes such as foreign tax credits, and the impact of the repeal of the like-kind exchange provision for personal property together with the corresponding impact on deferred tax components and valuation allowances. Therefore, during the six months ended June 30, 2018, the Company has not recorded any adjustments to the provisional amounts recorded in 2017. Any adjustments to the provisional amounts recorded in 2017 will be recorded when the Company finalizes its accounting of the tax effects within a subsequent measurement period that will not exceed one year from the date of the enactment of the Tax Act.</w:t>
      </w:r>
    </w:p>
    <w:p>
      <w:pPr>
        <w:spacing w:after="0" w:line="207"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The Company continues to evaluate whether or not to continue to assert indefinite reinvestment on a part or all of its undistributed foreign earnings. This requires the Company to analyze its global working capital and cash requirements in light of the Tax Act and the potential tax liabilities attributable to a repatriation to the U.S., such as foreign withholding taxes and U.S. tax on currency transaction gains or losses. The Company did not record any deferred taxes attributable to its investments in its foreign subsidiaries. The Company will record the tax effects of any change in its assertion within a subsequent measurement period that will not exceed one year from the date of the enactment of the Tax Act.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320" w:type="dxa"/>
            <w:vAlign w:val="bottom"/>
          </w:tcPr>
          <w:p>
            <w:pPr>
              <w:spacing w:after="0"/>
              <w:rPr>
                <w:sz w:val="20"/>
                <w:szCs w:val="20"/>
                <w:color w:val="auto"/>
              </w:rPr>
            </w:pPr>
            <w:r>
              <w:rPr>
                <w:rFonts w:ascii="Arial" w:cs="Arial" w:eastAsia="Arial" w:hAnsi="Arial"/>
                <w:sz w:val="18"/>
                <w:szCs w:val="18"/>
                <w:b w:val="1"/>
                <w:bCs w:val="1"/>
                <w:color w:val="auto"/>
              </w:rPr>
              <w:t>10.   Accounts Payable and Other Current Liabilities</w:t>
            </w: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20" w:type="dxa"/>
            <w:vAlign w:val="bottom"/>
          </w:tcPr>
          <w:p>
            <w:pPr>
              <w:ind w:left="500"/>
              <w:spacing w:after="0"/>
              <w:rPr>
                <w:sz w:val="20"/>
                <w:szCs w:val="20"/>
                <w:color w:val="auto"/>
              </w:rPr>
            </w:pPr>
            <w:r>
              <w:rPr>
                <w:rFonts w:ascii="Arial" w:cs="Arial" w:eastAsia="Arial" w:hAnsi="Arial"/>
                <w:sz w:val="18"/>
                <w:szCs w:val="18"/>
                <w:color w:val="auto"/>
              </w:rPr>
              <w:t>Accounts payable and other current liabilities consisted of:</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24"/>
                <w:szCs w:val="24"/>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70"/>
        </w:trPr>
        <w:tc>
          <w:tcPr>
            <w:tcW w:w="7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9"/>
              </w:rPr>
              <w:t>June 30,</w:t>
            </w:r>
          </w:p>
        </w:tc>
        <w:tc>
          <w:tcPr>
            <w:tcW w:w="180" w:type="dxa"/>
            <w:vAlign w:val="bottom"/>
          </w:tcPr>
          <w:p>
            <w:pPr>
              <w:spacing w:after="0"/>
              <w:rPr>
                <w:sz w:val="23"/>
                <w:szCs w:val="23"/>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70"/>
        </w:trPr>
        <w:tc>
          <w:tcPr>
            <w:tcW w:w="7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jc w:val="center"/>
              <w:ind w:right="23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2017</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320" w:type="dxa"/>
            <w:vAlign w:val="bottom"/>
          </w:tcPr>
          <w:p>
            <w:pPr>
              <w:ind w:left="52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70"/>
        </w:trPr>
        <w:tc>
          <w:tcPr>
            <w:tcW w:w="7320" w:type="dxa"/>
            <w:vAlign w:val="bottom"/>
          </w:tcPr>
          <w:p>
            <w:pPr>
              <w:ind w:left="520"/>
              <w:spacing w:after="0"/>
              <w:rPr>
                <w:sz w:val="20"/>
                <w:szCs w:val="20"/>
                <w:color w:val="auto"/>
              </w:rPr>
            </w:pPr>
            <w:r>
              <w:rPr>
                <w:rFonts w:ascii="Arial" w:cs="Arial" w:eastAsia="Arial" w:hAnsi="Arial"/>
                <w:sz w:val="18"/>
                <w:szCs w:val="18"/>
                <w:color w:val="auto"/>
              </w:rPr>
              <w:t>Accrued sales and use taxes</w:t>
            </w:r>
          </w:p>
        </w:tc>
        <w:tc>
          <w:tcPr>
            <w:tcW w:w="30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0"/>
        </w:trPr>
        <w:tc>
          <w:tcPr>
            <w:tcW w:w="7320" w:type="dxa"/>
            <w:vAlign w:val="bottom"/>
          </w:tcPr>
          <w:p>
            <w:pPr>
              <w:ind w:left="520"/>
              <w:spacing w:after="0"/>
              <w:rPr>
                <w:sz w:val="20"/>
                <w:szCs w:val="20"/>
                <w:color w:val="auto"/>
              </w:rPr>
            </w:pPr>
            <w:r>
              <w:rPr>
                <w:rFonts w:ascii="Arial" w:cs="Arial" w:eastAsia="Arial" w:hAnsi="Arial"/>
                <w:sz w:val="18"/>
                <w:szCs w:val="18"/>
                <w:color w:val="auto"/>
              </w:rPr>
              <w:t>Deferred revenue – current</w:t>
            </w:r>
          </w:p>
        </w:tc>
        <w:tc>
          <w:tcPr>
            <w:tcW w:w="30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0"/>
        </w:trPr>
        <w:tc>
          <w:tcPr>
            <w:tcW w:w="7320" w:type="dxa"/>
            <w:vAlign w:val="bottom"/>
          </w:tcPr>
          <w:p>
            <w:pPr>
              <w:ind w:left="520"/>
              <w:spacing w:after="0"/>
              <w:rPr>
                <w:sz w:val="20"/>
                <w:szCs w:val="20"/>
                <w:color w:val="auto"/>
              </w:rPr>
            </w:pPr>
            <w:r>
              <w:rPr>
                <w:rFonts w:ascii="Arial" w:cs="Arial" w:eastAsia="Arial" w:hAnsi="Arial"/>
                <w:sz w:val="18"/>
                <w:szCs w:val="18"/>
                <w:color w:val="auto"/>
              </w:rPr>
              <w:t>Accrued advertising and marketing</w:t>
            </w:r>
          </w:p>
        </w:tc>
        <w:tc>
          <w:tcPr>
            <w:tcW w:w="30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0"/>
        </w:trPr>
        <w:tc>
          <w:tcPr>
            <w:tcW w:w="7320" w:type="dxa"/>
            <w:vAlign w:val="bottom"/>
          </w:tcPr>
          <w:p>
            <w:pPr>
              <w:ind w:left="520"/>
              <w:spacing w:after="0"/>
              <w:rPr>
                <w:sz w:val="20"/>
                <w:szCs w:val="20"/>
                <w:color w:val="auto"/>
              </w:rPr>
            </w:pPr>
            <w:r>
              <w:rPr>
                <w:rFonts w:ascii="Arial" w:cs="Arial" w:eastAsia="Arial" w:hAnsi="Arial"/>
                <w:sz w:val="18"/>
                <w:szCs w:val="18"/>
                <w:color w:val="auto"/>
              </w:rPr>
              <w:t>Accrued payroll and related</w:t>
            </w:r>
          </w:p>
        </w:tc>
        <w:tc>
          <w:tcPr>
            <w:tcW w:w="30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0"/>
        </w:trPr>
        <w:tc>
          <w:tcPr>
            <w:tcW w:w="7320" w:type="dxa"/>
            <w:vAlign w:val="bottom"/>
          </w:tcPr>
          <w:p>
            <w:pPr>
              <w:ind w:left="520"/>
              <w:spacing w:after="0"/>
              <w:rPr>
                <w:sz w:val="20"/>
                <w:szCs w:val="20"/>
                <w:color w:val="auto"/>
              </w:rPr>
            </w:pPr>
            <w:r>
              <w:rPr>
                <w:rFonts w:ascii="Arial" w:cs="Arial" w:eastAsia="Arial" w:hAnsi="Arial"/>
                <w:sz w:val="18"/>
                <w:szCs w:val="18"/>
                <w:color w:val="auto"/>
              </w:rPr>
              <w:t>Public liability and property damage insurance liabilities – current</w:t>
            </w:r>
          </w:p>
        </w:tc>
        <w:tc>
          <w:tcPr>
            <w:tcW w:w="30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0"/>
        </w:trPr>
        <w:tc>
          <w:tcPr>
            <w:tcW w:w="7320" w:type="dxa"/>
            <w:vAlign w:val="bottom"/>
          </w:tcPr>
          <w:p>
            <w:pPr>
              <w:ind w:left="520"/>
              <w:spacing w:after="0"/>
              <w:rPr>
                <w:sz w:val="20"/>
                <w:szCs w:val="20"/>
                <w:color w:val="auto"/>
              </w:rPr>
            </w:pPr>
            <w:r>
              <w:rPr>
                <w:rFonts w:ascii="Arial" w:cs="Arial" w:eastAsia="Arial" w:hAnsi="Arial"/>
                <w:sz w:val="18"/>
                <w:szCs w:val="18"/>
                <w:color w:val="auto"/>
              </w:rPr>
              <w:t>Accrued insurance</w:t>
            </w:r>
          </w:p>
        </w:tc>
        <w:tc>
          <w:tcPr>
            <w:tcW w:w="30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7"/>
        </w:trPr>
        <w:tc>
          <w:tcPr>
            <w:tcW w:w="7320" w:type="dxa"/>
            <w:vAlign w:val="bottom"/>
          </w:tcPr>
          <w:p>
            <w:pPr>
              <w:ind w:left="5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57"/>
        </w:trPr>
        <w:tc>
          <w:tcPr>
            <w:tcW w:w="7320" w:type="dxa"/>
            <w:vAlign w:val="bottom"/>
          </w:tcPr>
          <w:p>
            <w:pPr>
              <w:ind w:left="520"/>
              <w:spacing w:after="0"/>
              <w:rPr>
                <w:sz w:val="20"/>
                <w:szCs w:val="20"/>
                <w:color w:val="auto"/>
              </w:rPr>
            </w:pPr>
            <w:r>
              <w:rPr>
                <w:rFonts w:ascii="Arial" w:cs="Arial" w:eastAsia="Arial" w:hAnsi="Arial"/>
                <w:sz w:val="18"/>
                <w:szCs w:val="18"/>
                <w:color w:val="auto"/>
              </w:rPr>
              <w:t>Accounts payable and other current liabilities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1,832</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0"/>
        </w:trPr>
        <w:tc>
          <w:tcPr>
            <w:tcW w:w="7320" w:type="dxa"/>
            <w:vAlign w:val="bottom"/>
            <w:vMerge w:val="restart"/>
          </w:tcPr>
          <w:p>
            <w:pPr>
              <w:ind w:left="5620"/>
              <w:spacing w:after="0"/>
              <w:rPr>
                <w:sz w:val="20"/>
                <w:szCs w:val="20"/>
                <w:color w:val="auto"/>
              </w:rPr>
            </w:pPr>
            <w:r>
              <w:rPr>
                <w:rFonts w:ascii="Arial" w:cs="Arial" w:eastAsia="Arial" w:hAnsi="Arial"/>
                <w:sz w:val="18"/>
                <w:szCs w:val="18"/>
                <w:color w:val="auto"/>
              </w:rPr>
              <w:t>17</w:t>
            </w: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73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right="5480" w:hanging="492"/>
        <w:spacing w:after="0" w:line="488" w:lineRule="auto"/>
        <w:tabs>
          <w:tab w:leader="none" w:pos="5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Long-term Corporate Debt and Borrowing Arrangements </w:t>
      </w:r>
      <w:r>
        <w:rPr>
          <w:rFonts w:ascii="Arial" w:cs="Arial" w:eastAsia="Arial" w:hAnsi="Arial"/>
          <w:sz w:val="18"/>
          <w:szCs w:val="18"/>
          <w:color w:val="auto"/>
        </w:rPr>
        <w:t>Long-term corporate debt and borrowing arrangements consisted of:</w:t>
      </w:r>
    </w:p>
    <w:tbl>
      <w:tblPr>
        <w:tblLayout w:type="fixed"/>
        <w:tblInd w:w="500" w:type="dxa"/>
        <w:tblCellMar>
          <w:top w:w="0" w:type="dxa"/>
          <w:left w:w="0" w:type="dxa"/>
          <w:bottom w:w="0" w:type="dxa"/>
          <w:right w:w="0" w:type="dxa"/>
        </w:tblCellMar>
      </w:tblPr>
      <w:tr>
        <w:trPr>
          <w:trHeight w:val="215"/>
        </w:trPr>
        <w:tc>
          <w:tcPr>
            <w:tcW w:w="54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As of</w:t>
            </w:r>
          </w:p>
        </w:tc>
        <w:tc>
          <w:tcPr>
            <w:tcW w:w="160" w:type="dxa"/>
            <w:vAlign w:val="bottom"/>
          </w:tcPr>
          <w:p>
            <w:pPr>
              <w:spacing w:after="0"/>
              <w:rPr>
                <w:sz w:val="18"/>
                <w:szCs w:val="18"/>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As of</w:t>
            </w:r>
          </w:p>
        </w:tc>
        <w:tc>
          <w:tcPr>
            <w:tcW w:w="0" w:type="dxa"/>
            <w:vAlign w:val="bottom"/>
          </w:tcPr>
          <w:p>
            <w:pPr>
              <w:spacing w:after="0"/>
              <w:rPr>
                <w:sz w:val="1"/>
                <w:szCs w:val="1"/>
                <w:color w:val="auto"/>
              </w:rPr>
            </w:pPr>
          </w:p>
        </w:tc>
      </w:tr>
      <w:tr>
        <w:trPr>
          <w:trHeight w:val="243"/>
        </w:trPr>
        <w:tc>
          <w:tcPr>
            <w:tcW w:w="5460" w:type="dxa"/>
            <w:vAlign w:val="bottom"/>
          </w:tcPr>
          <w:p>
            <w:pPr>
              <w:spacing w:after="0"/>
              <w:rPr>
                <w:sz w:val="21"/>
                <w:szCs w:val="21"/>
                <w:color w:val="auto"/>
              </w:rPr>
            </w:pPr>
          </w:p>
        </w:tc>
        <w:tc>
          <w:tcPr>
            <w:tcW w:w="1860" w:type="dxa"/>
            <w:vAlign w:val="bottom"/>
            <w:gridSpan w:val="2"/>
            <w:vMerge w:val="restart"/>
          </w:tcPr>
          <w:p>
            <w:pPr>
              <w:ind w:left="560"/>
              <w:spacing w:after="0"/>
              <w:rPr>
                <w:sz w:val="20"/>
                <w:szCs w:val="20"/>
                <w:color w:val="auto"/>
              </w:rPr>
            </w:pPr>
            <w:r>
              <w:rPr>
                <w:rFonts w:ascii="Arial" w:cs="Arial" w:eastAsia="Arial" w:hAnsi="Arial"/>
                <w:sz w:val="16"/>
                <w:szCs w:val="16"/>
                <w:b w:val="1"/>
                <w:bCs w:val="1"/>
                <w:color w:val="auto"/>
              </w:rPr>
              <w:t>Maturity</w:t>
            </w:r>
          </w:p>
        </w:tc>
        <w:tc>
          <w:tcPr>
            <w:tcW w:w="260" w:type="dxa"/>
            <w:vAlign w:val="bottom"/>
          </w:tcPr>
          <w:p>
            <w:pPr>
              <w:spacing w:after="0"/>
              <w:rPr>
                <w:sz w:val="21"/>
                <w:szCs w:val="21"/>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June 30,</w:t>
            </w:r>
          </w:p>
        </w:tc>
        <w:tc>
          <w:tcPr>
            <w:tcW w:w="160" w:type="dxa"/>
            <w:vAlign w:val="bottom"/>
          </w:tcPr>
          <w:p>
            <w:pPr>
              <w:spacing w:after="0"/>
              <w:rPr>
                <w:sz w:val="21"/>
                <w:szCs w:val="21"/>
                <w:color w:val="auto"/>
              </w:rPr>
            </w:pPr>
          </w:p>
        </w:tc>
        <w:tc>
          <w:tcPr>
            <w:tcW w:w="1280" w:type="dxa"/>
            <w:vAlign w:val="bottom"/>
          </w:tcPr>
          <w:p>
            <w:pPr>
              <w:jc w:val="center"/>
              <w:ind w:right="5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82"/>
        </w:trPr>
        <w:tc>
          <w:tcPr>
            <w:tcW w:w="5460" w:type="dxa"/>
            <w:vAlign w:val="bottom"/>
          </w:tcPr>
          <w:p>
            <w:pPr>
              <w:spacing w:after="0"/>
              <w:rPr>
                <w:sz w:val="7"/>
                <w:szCs w:val="7"/>
                <w:color w:val="auto"/>
              </w:rPr>
            </w:pPr>
          </w:p>
        </w:tc>
        <w:tc>
          <w:tcPr>
            <w:tcW w:w="186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vMerge w:val="restart"/>
          </w:tcPr>
          <w:p>
            <w:pPr>
              <w:jc w:val="center"/>
              <w:ind w:right="1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8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28"/>
        </w:trPr>
        <w:tc>
          <w:tcPr>
            <w:tcW w:w="5460" w:type="dxa"/>
            <w:vAlign w:val="bottom"/>
          </w:tcPr>
          <w:p>
            <w:pPr>
              <w:spacing w:after="0"/>
              <w:rPr>
                <w:sz w:val="19"/>
                <w:szCs w:val="19"/>
                <w:color w:val="auto"/>
              </w:rPr>
            </w:pPr>
          </w:p>
        </w:tc>
        <w:tc>
          <w:tcPr>
            <w:tcW w:w="17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Dates</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460" w:type="dxa"/>
            <w:vAlign w:val="bottom"/>
          </w:tcPr>
          <w:p>
            <w:pPr>
              <w:ind w:left="20"/>
              <w:spacing w:after="0"/>
              <w:rPr>
                <w:sz w:val="20"/>
                <w:szCs w:val="20"/>
                <w:color w:val="auto"/>
              </w:rPr>
            </w:pPr>
            <w:r>
              <w:rPr>
                <w:rFonts w:ascii="Arial" w:cs="Arial" w:eastAsia="Arial" w:hAnsi="Arial"/>
                <w:sz w:val="16"/>
                <w:szCs w:val="16"/>
                <w:color w:val="auto"/>
              </w:rPr>
              <w:t>Floating Rate Term Loan</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2022</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1,136</w:t>
            </w:r>
          </w:p>
        </w:tc>
        <w:tc>
          <w:tcPr>
            <w:tcW w:w="0" w:type="dxa"/>
            <w:vAlign w:val="bottom"/>
          </w:tcPr>
          <w:p>
            <w:pPr>
              <w:spacing w:after="0"/>
              <w:rPr>
                <w:sz w:val="1"/>
                <w:szCs w:val="1"/>
                <w:color w:val="auto"/>
              </w:rPr>
            </w:pPr>
          </w:p>
        </w:tc>
      </w:tr>
      <w:tr>
        <w:trPr>
          <w:trHeight w:val="270"/>
        </w:trPr>
        <w:tc>
          <w:tcPr>
            <w:tcW w:w="5460" w:type="dxa"/>
            <w:vAlign w:val="bottom"/>
          </w:tcPr>
          <w:p>
            <w:pPr>
              <w:ind w:left="20"/>
              <w:spacing w:after="0"/>
              <w:rPr>
                <w:sz w:val="20"/>
                <w:szCs w:val="20"/>
                <w:color w:val="auto"/>
              </w:rPr>
            </w:pPr>
            <w:r>
              <w:rPr>
                <w:rFonts w:ascii="Arial" w:cs="Arial" w:eastAsia="Arial" w:hAnsi="Arial"/>
                <w:sz w:val="16"/>
                <w:szCs w:val="16"/>
                <w:color w:val="auto"/>
              </w:rPr>
              <w:t>5⅛% Senior Notes</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June 2022</w:t>
            </w:r>
          </w:p>
        </w:tc>
        <w:tc>
          <w:tcPr>
            <w:tcW w:w="2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70"/>
        </w:trPr>
        <w:tc>
          <w:tcPr>
            <w:tcW w:w="5460" w:type="dxa"/>
            <w:vAlign w:val="bottom"/>
          </w:tcPr>
          <w:p>
            <w:pPr>
              <w:ind w:left="20"/>
              <w:spacing w:after="0"/>
              <w:rPr>
                <w:sz w:val="20"/>
                <w:szCs w:val="20"/>
                <w:color w:val="auto"/>
              </w:rPr>
            </w:pPr>
            <w:r>
              <w:rPr>
                <w:rFonts w:ascii="Arial" w:cs="Arial" w:eastAsia="Arial" w:hAnsi="Arial"/>
                <w:sz w:val="16"/>
                <w:szCs w:val="16"/>
                <w:color w:val="auto"/>
              </w:rPr>
              <w:t>5½% Senior Notes</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April 2023</w:t>
            </w:r>
          </w:p>
        </w:tc>
        <w:tc>
          <w:tcPr>
            <w:tcW w:w="2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675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675</w:t>
            </w:r>
          </w:p>
        </w:tc>
        <w:tc>
          <w:tcPr>
            <w:tcW w:w="0" w:type="dxa"/>
            <w:vAlign w:val="bottom"/>
          </w:tcPr>
          <w:p>
            <w:pPr>
              <w:spacing w:after="0"/>
              <w:rPr>
                <w:sz w:val="1"/>
                <w:szCs w:val="1"/>
                <w:color w:val="auto"/>
              </w:rPr>
            </w:pPr>
          </w:p>
        </w:tc>
      </w:tr>
      <w:tr>
        <w:trPr>
          <w:trHeight w:val="270"/>
        </w:trPr>
        <w:tc>
          <w:tcPr>
            <w:tcW w:w="5460" w:type="dxa"/>
            <w:vAlign w:val="bottom"/>
          </w:tcPr>
          <w:p>
            <w:pPr>
              <w:ind w:left="20"/>
              <w:spacing w:after="0"/>
              <w:rPr>
                <w:sz w:val="20"/>
                <w:szCs w:val="20"/>
                <w:color w:val="auto"/>
              </w:rPr>
            </w:pPr>
            <w:r>
              <w:rPr>
                <w:rFonts w:ascii="Arial" w:cs="Arial" w:eastAsia="Arial" w:hAnsi="Arial"/>
                <w:sz w:val="16"/>
                <w:szCs w:val="16"/>
                <w:color w:val="auto"/>
              </w:rPr>
              <w:t>6⅜% Senior Notes</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April 2024</w:t>
            </w:r>
          </w:p>
        </w:tc>
        <w:tc>
          <w:tcPr>
            <w:tcW w:w="2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70"/>
        </w:trPr>
        <w:tc>
          <w:tcPr>
            <w:tcW w:w="5460" w:type="dxa"/>
            <w:vAlign w:val="bottom"/>
          </w:tcPr>
          <w:p>
            <w:pPr>
              <w:ind w:left="20"/>
              <w:spacing w:after="0"/>
              <w:rPr>
                <w:sz w:val="20"/>
                <w:szCs w:val="20"/>
                <w:color w:val="auto"/>
              </w:rPr>
            </w:pPr>
            <w:r>
              <w:rPr>
                <w:rFonts w:ascii="Arial" w:cs="Arial" w:eastAsia="Arial" w:hAnsi="Arial"/>
                <w:sz w:val="16"/>
                <w:szCs w:val="16"/>
                <w:color w:val="auto"/>
              </w:rPr>
              <w:t>4⅛% euro-denominated Senior Notes</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November 2024</w:t>
            </w:r>
          </w:p>
        </w:tc>
        <w:tc>
          <w:tcPr>
            <w:tcW w:w="2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351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360</w:t>
            </w:r>
          </w:p>
        </w:tc>
        <w:tc>
          <w:tcPr>
            <w:tcW w:w="0" w:type="dxa"/>
            <w:vAlign w:val="bottom"/>
          </w:tcPr>
          <w:p>
            <w:pPr>
              <w:spacing w:after="0"/>
              <w:rPr>
                <w:sz w:val="1"/>
                <w:szCs w:val="1"/>
                <w:color w:val="auto"/>
              </w:rPr>
            </w:pPr>
          </w:p>
        </w:tc>
      </w:tr>
      <w:tr>
        <w:trPr>
          <w:trHeight w:val="346"/>
        </w:trPr>
        <w:tc>
          <w:tcPr>
            <w:tcW w:w="5460" w:type="dxa"/>
            <w:vAlign w:val="bottom"/>
          </w:tcPr>
          <w:p>
            <w:pPr>
              <w:ind w:left="20"/>
              <w:spacing w:after="0"/>
              <w:rPr>
                <w:sz w:val="20"/>
                <w:szCs w:val="20"/>
                <w:color w:val="auto"/>
              </w:rPr>
            </w:pPr>
            <w:r>
              <w:rPr>
                <w:rFonts w:ascii="Arial" w:cs="Arial" w:eastAsia="Arial" w:hAnsi="Arial"/>
                <w:sz w:val="16"/>
                <w:szCs w:val="16"/>
                <w:color w:val="auto"/>
              </w:rPr>
              <w:t xml:space="preserve">Floating Rate Term Loan </w:t>
            </w:r>
            <w:r>
              <w:rPr>
                <w:rFonts w:ascii="Arial" w:cs="Arial" w:eastAsia="Arial" w:hAnsi="Arial"/>
                <w:sz w:val="21"/>
                <w:szCs w:val="21"/>
                <w:color w:val="auto"/>
                <w:vertAlign w:val="superscript"/>
              </w:rPr>
              <w:t>(a)</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February 2025</w:t>
            </w:r>
          </w:p>
        </w:tc>
        <w:tc>
          <w:tcPr>
            <w:tcW w:w="260" w:type="dxa"/>
            <w:vAlign w:val="bottom"/>
          </w:tcPr>
          <w:p>
            <w:pPr>
              <w:spacing w:after="0"/>
              <w:rPr>
                <w:sz w:val="24"/>
                <w:szCs w:val="24"/>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1,128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5460" w:type="dxa"/>
            <w:vAlign w:val="bottom"/>
          </w:tcPr>
          <w:p>
            <w:pPr>
              <w:ind w:left="20"/>
              <w:spacing w:after="0"/>
              <w:rPr>
                <w:sz w:val="20"/>
                <w:szCs w:val="20"/>
                <w:color w:val="auto"/>
              </w:rPr>
            </w:pPr>
            <w:r>
              <w:rPr>
                <w:rFonts w:ascii="Arial" w:cs="Arial" w:eastAsia="Arial" w:hAnsi="Arial"/>
                <w:sz w:val="16"/>
                <w:szCs w:val="16"/>
                <w:color w:val="auto"/>
              </w:rPr>
              <w:t>5¼% Senior Notes</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2025</w:t>
            </w:r>
          </w:p>
        </w:tc>
        <w:tc>
          <w:tcPr>
            <w:tcW w:w="260" w:type="dxa"/>
            <w:vAlign w:val="bottom"/>
          </w:tcPr>
          <w:p>
            <w:pPr>
              <w:spacing w:after="0"/>
              <w:rPr>
                <w:sz w:val="16"/>
                <w:szCs w:val="16"/>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270"/>
        </w:trPr>
        <w:tc>
          <w:tcPr>
            <w:tcW w:w="5460" w:type="dxa"/>
            <w:vAlign w:val="bottom"/>
          </w:tcPr>
          <w:p>
            <w:pPr>
              <w:ind w:left="20"/>
              <w:spacing w:after="0"/>
              <w:rPr>
                <w:sz w:val="20"/>
                <w:szCs w:val="20"/>
                <w:color w:val="auto"/>
              </w:rPr>
            </w:pPr>
            <w:r>
              <w:rPr>
                <w:rFonts w:ascii="Arial" w:cs="Arial" w:eastAsia="Arial" w:hAnsi="Arial"/>
                <w:sz w:val="16"/>
                <w:szCs w:val="16"/>
                <w:color w:val="auto"/>
              </w:rPr>
              <w:t>4½% euro-denominated Senior Notes</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May 2025</w:t>
            </w:r>
          </w:p>
        </w:tc>
        <w:tc>
          <w:tcPr>
            <w:tcW w:w="2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292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346"/>
        </w:trPr>
        <w:tc>
          <w:tcPr>
            <w:tcW w:w="5460" w:type="dxa"/>
            <w:vAlign w:val="bottom"/>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(b)</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08"/>
        </w:trPr>
        <w:tc>
          <w:tcPr>
            <w:tcW w:w="5460" w:type="dxa"/>
            <w:vAlign w:val="bottom"/>
          </w:tcPr>
          <w:p>
            <w:pPr>
              <w:ind w:left="20"/>
              <w:spacing w:after="0"/>
              <w:rPr>
                <w:sz w:val="20"/>
                <w:szCs w:val="20"/>
                <w:color w:val="auto"/>
              </w:rPr>
            </w:pPr>
            <w:r>
              <w:rPr>
                <w:rFonts w:ascii="Arial" w:cs="Arial" w:eastAsia="Arial" w:hAnsi="Arial"/>
                <w:sz w:val="16"/>
                <w:szCs w:val="16"/>
                <w:color w:val="auto"/>
              </w:rPr>
              <w:t>Deferred financing fees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37"/>
        </w:trPr>
        <w:tc>
          <w:tcPr>
            <w:tcW w:w="5460" w:type="dxa"/>
            <w:vAlign w:val="bottom"/>
          </w:tcPr>
          <w:p>
            <w:pPr>
              <w:ind w:left="20"/>
              <w:spacing w:after="0"/>
              <w:rPr>
                <w:sz w:val="20"/>
                <w:szCs w:val="20"/>
                <w:color w:val="auto"/>
              </w:rPr>
            </w:pPr>
            <w:r>
              <w:rPr>
                <w:rFonts w:ascii="Arial" w:cs="Arial" w:eastAsia="Arial" w:hAnsi="Arial"/>
                <w:sz w:val="16"/>
                <w:szCs w:val="16"/>
                <w:color w:val="auto"/>
              </w:rPr>
              <w:t>Total</w:t>
            </w: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3,568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3,599</w:t>
            </w:r>
          </w:p>
        </w:tc>
        <w:tc>
          <w:tcPr>
            <w:tcW w:w="0" w:type="dxa"/>
            <w:vAlign w:val="bottom"/>
          </w:tcPr>
          <w:p>
            <w:pPr>
              <w:spacing w:after="0"/>
              <w:rPr>
                <w:sz w:val="1"/>
                <w:szCs w:val="1"/>
                <w:color w:val="auto"/>
              </w:rPr>
            </w:pPr>
          </w:p>
        </w:tc>
      </w:tr>
      <w:tr>
        <w:trPr>
          <w:trHeight w:val="283"/>
        </w:trPr>
        <w:tc>
          <w:tcPr>
            <w:tcW w:w="5460" w:type="dxa"/>
            <w:vAlign w:val="bottom"/>
          </w:tcPr>
          <w:p>
            <w:pPr>
              <w:ind w:left="20"/>
              <w:spacing w:after="0"/>
              <w:rPr>
                <w:sz w:val="20"/>
                <w:szCs w:val="20"/>
                <w:color w:val="auto"/>
              </w:rPr>
            </w:pPr>
            <w:r>
              <w:rPr>
                <w:rFonts w:ascii="Arial" w:cs="Arial" w:eastAsia="Arial" w:hAnsi="Arial"/>
                <w:sz w:val="16"/>
                <w:szCs w:val="16"/>
                <w:color w:val="auto"/>
              </w:rPr>
              <w:t>Less: Short-term debt and current portion of long-term debt</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37"/>
        </w:trPr>
        <w:tc>
          <w:tcPr>
            <w:tcW w:w="546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3,544</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3,573</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460" w:type="dxa"/>
            <w:vAlign w:val="bottom"/>
            <w:vMerge w:val="continue"/>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820" w:right="40" w:hanging="326"/>
        <w:spacing w:after="0" w:line="225" w:lineRule="auto"/>
        <w:tabs>
          <w:tab w:leader="none" w:pos="82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The floating rate term loan is part of the Company’s senior credit facility, which is secured by pledges of capital stock of certain subsidiaries of the Company, and liens on substantially all of the Company’s intellectual property and certain other real and personal property. As of June 30, 2018, the floating rate term loan due 2025 bears interest at three-month LIBOR plus 200 basis points, for an aggregate rate of 4.34%. The Company has entered into a swap to hedge $700 million of its interest rate exposure related to the floating rate term loan at an aggregate rate of 3.79%.</w:t>
      </w:r>
    </w:p>
    <w:p>
      <w:pPr>
        <w:spacing w:after="0" w:line="1" w:lineRule="exact"/>
        <w:rPr>
          <w:rFonts w:ascii="Arial" w:cs="Arial" w:eastAsia="Arial" w:hAnsi="Arial"/>
          <w:sz w:val="18"/>
          <w:szCs w:val="18"/>
          <w:color w:val="auto"/>
          <w:vertAlign w:val="superscript"/>
        </w:rPr>
      </w:pPr>
    </w:p>
    <w:p>
      <w:pPr>
        <w:ind w:left="820" w:hanging="326"/>
        <w:spacing w:after="0" w:line="199" w:lineRule="auto"/>
        <w:tabs>
          <w:tab w:leader="none" w:pos="82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Primarily includes capital leases which are secured by liens on the related assets.</w:t>
      </w:r>
    </w:p>
    <w:p>
      <w:pPr>
        <w:spacing w:after="0" w:line="201" w:lineRule="exact"/>
        <w:rPr>
          <w:sz w:val="20"/>
          <w:szCs w:val="20"/>
          <w:color w:val="auto"/>
        </w:rPr>
      </w:pPr>
    </w:p>
    <w:p>
      <w:pPr>
        <w:ind w:left="500" w:right="360"/>
        <w:spacing w:after="0" w:line="449" w:lineRule="auto"/>
        <w:rPr>
          <w:sz w:val="20"/>
          <w:szCs w:val="20"/>
          <w:color w:val="auto"/>
        </w:rPr>
      </w:pPr>
      <w:r>
        <w:rPr>
          <w:rFonts w:ascii="Arial" w:cs="Arial" w:eastAsia="Arial" w:hAnsi="Arial"/>
          <w:sz w:val="18"/>
          <w:szCs w:val="18"/>
          <w:color w:val="auto"/>
        </w:rPr>
        <w:t xml:space="preserve">In February 2018, the Company amended the terms of its Floating Rate Term Loan due 2022 and extended its maturity term to 2025. </w:t>
      </w:r>
      <w:r>
        <w:rPr>
          <w:rFonts w:ascii="Arial" w:cs="Arial" w:eastAsia="Arial" w:hAnsi="Arial"/>
          <w:sz w:val="18"/>
          <w:szCs w:val="18"/>
          <w:b w:val="1"/>
          <w:bCs w:val="1"/>
          <w:i w:val="1"/>
          <w:iCs w:val="1"/>
          <w:color w:val="auto"/>
        </w:rPr>
        <w:t>Committed Credit Facilities and Available Funding Arrangements</w:t>
      </w:r>
    </w:p>
    <w:p>
      <w:pPr>
        <w:spacing w:after="0" w:line="3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June 30, 2018, the committed corporate credit facilities available to the Company and/or its subsidiaries were as follows:</w:t>
      </w:r>
    </w:p>
    <w:p>
      <w:pPr>
        <w:spacing w:after="0" w:line="154"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4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ind w:left="280"/>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16"/>
                <w:szCs w:val="16"/>
                <w:color w:val="auto"/>
              </w:rPr>
            </w:pPr>
          </w:p>
        </w:tc>
        <w:tc>
          <w:tcPr>
            <w:tcW w:w="154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rPr>
              <w:t>Outstanding</w:t>
            </w:r>
          </w:p>
        </w:tc>
        <w:tc>
          <w:tcPr>
            <w:tcW w:w="1380" w:type="dxa"/>
            <w:vAlign w:val="bottom"/>
            <w:gridSpan w:val="2"/>
          </w:tcPr>
          <w:p>
            <w:pPr>
              <w:ind w:left="180"/>
              <w:spacing w:after="0"/>
              <w:rPr>
                <w:sz w:val="20"/>
                <w:szCs w:val="20"/>
                <w:color w:val="auto"/>
              </w:rPr>
            </w:pPr>
            <w:r>
              <w:rPr>
                <w:rFonts w:ascii="Arial" w:cs="Arial" w:eastAsia="Arial" w:hAnsi="Arial"/>
                <w:sz w:val="16"/>
                <w:szCs w:val="16"/>
                <w:b w:val="1"/>
                <w:bCs w:val="1"/>
                <w:color w:val="auto"/>
              </w:rPr>
              <w:t>Letters of</w:t>
            </w:r>
          </w:p>
        </w:tc>
        <w:tc>
          <w:tcPr>
            <w:tcW w:w="240" w:type="dxa"/>
            <w:vAlign w:val="bottom"/>
          </w:tcPr>
          <w:p>
            <w:pPr>
              <w:spacing w:after="0"/>
              <w:rPr>
                <w:sz w:val="16"/>
                <w:szCs w:val="16"/>
                <w:color w:val="auto"/>
              </w:rPr>
            </w:pPr>
          </w:p>
        </w:tc>
        <w:tc>
          <w:tcPr>
            <w:tcW w:w="1200" w:type="dxa"/>
            <w:vAlign w:val="bottom"/>
          </w:tcPr>
          <w:p>
            <w:pPr>
              <w:jc w:val="right"/>
              <w:ind w:right="279"/>
              <w:spacing w:after="0"/>
              <w:rPr>
                <w:sz w:val="20"/>
                <w:szCs w:val="20"/>
                <w:color w:val="auto"/>
              </w:rPr>
            </w:pPr>
            <w:r>
              <w:rPr>
                <w:rFonts w:ascii="Arial" w:cs="Arial" w:eastAsia="Arial" w:hAnsi="Arial"/>
                <w:sz w:val="16"/>
                <w:szCs w:val="16"/>
                <w:b w:val="1"/>
                <w:bCs w:val="1"/>
                <w:color w:val="auto"/>
              </w:rPr>
              <w:t>Available</w:t>
            </w:r>
          </w:p>
        </w:tc>
      </w:tr>
      <w:tr>
        <w:trPr>
          <w:trHeight w:val="228"/>
        </w:trPr>
        <w:tc>
          <w:tcPr>
            <w:tcW w:w="4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Capacity</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Borrowings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Credit Issued</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Capacity</w:t>
            </w:r>
          </w:p>
        </w:tc>
      </w:tr>
      <w:tr>
        <w:trPr>
          <w:trHeight w:val="270"/>
        </w:trPr>
        <w:tc>
          <w:tcPr>
            <w:tcW w:w="4220" w:type="dxa"/>
            <w:vAlign w:val="bottom"/>
          </w:tcPr>
          <w:p>
            <w:pPr>
              <w:ind w:left="20"/>
              <w:spacing w:after="0"/>
              <w:rPr>
                <w:sz w:val="20"/>
                <w:szCs w:val="20"/>
                <w:color w:val="auto"/>
              </w:rPr>
            </w:pPr>
            <w:r>
              <w:rPr>
                <w:rFonts w:ascii="Arial" w:cs="Arial" w:eastAsia="Arial" w:hAnsi="Arial"/>
                <w:sz w:val="16"/>
                <w:szCs w:val="16"/>
                <w:color w:val="auto"/>
              </w:rPr>
              <w:t xml:space="preserve">Senior revolving credit facility maturing 2023 </w:t>
            </w:r>
            <w:r>
              <w:rPr>
                <w:rFonts w:ascii="Arial" w:cs="Arial" w:eastAsia="Arial" w:hAnsi="Arial"/>
                <w:sz w:val="17"/>
                <w:szCs w:val="17"/>
                <w:color w:val="auto"/>
                <w:vertAlign w:val="superscript"/>
              </w:rPr>
              <w:t>(a)</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1,800</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3"/>
          </w:tcPr>
          <w:p>
            <w:pPr>
              <w:ind w:left="1000"/>
              <w:spacing w:after="0"/>
              <w:rPr>
                <w:sz w:val="20"/>
                <w:szCs w:val="20"/>
                <w:color w:val="auto"/>
              </w:rPr>
            </w:pPr>
            <w:r>
              <w:rPr>
                <w:rFonts w:ascii="Arial" w:cs="Arial" w:eastAsia="Arial" w:hAnsi="Arial"/>
                <w:sz w:val="16"/>
                <w:szCs w:val="16"/>
                <w:color w:val="auto"/>
              </w:rPr>
              <w:t>—   $</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1,324</w:t>
            </w:r>
          </w:p>
        </w:tc>
        <w:tc>
          <w:tcPr>
            <w:tcW w:w="100" w:type="dxa"/>
            <w:vAlign w:val="bottom"/>
          </w:tcPr>
          <w:p>
            <w:pPr>
              <w:spacing w:after="0"/>
              <w:rPr>
                <w:sz w:val="23"/>
                <w:szCs w:val="23"/>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476</w:t>
            </w:r>
          </w:p>
        </w:tc>
      </w:tr>
      <w:tr>
        <w:trPr>
          <w:trHeight w:val="259"/>
        </w:trPr>
        <w:tc>
          <w:tcPr>
            <w:tcW w:w="4220" w:type="dxa"/>
            <w:vAlign w:val="bottom"/>
          </w:tcPr>
          <w:p>
            <w:pPr>
              <w:ind w:left="20"/>
              <w:spacing w:after="0"/>
              <w:rPr>
                <w:sz w:val="20"/>
                <w:szCs w:val="20"/>
                <w:color w:val="auto"/>
              </w:rPr>
            </w:pPr>
            <w:r>
              <w:rPr>
                <w:rFonts w:ascii="Arial" w:cs="Arial" w:eastAsia="Arial" w:hAnsi="Arial"/>
                <w:sz w:val="16"/>
                <w:szCs w:val="16"/>
                <w:color w:val="auto"/>
              </w:rPr>
              <w:t xml:space="preserve">Other facilities </w:t>
            </w:r>
            <w:r>
              <w:rPr>
                <w:rFonts w:ascii="Arial" w:cs="Arial" w:eastAsia="Arial" w:hAnsi="Arial"/>
                <w:sz w:val="17"/>
                <w:szCs w:val="17"/>
                <w:color w:val="auto"/>
                <w:vertAlign w:val="superscript"/>
              </w:rPr>
              <w:t>(b)</w:t>
            </w: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7"/>
        </w:trPr>
        <w:tc>
          <w:tcPr>
            <w:tcW w:w="4220" w:type="dxa"/>
            <w:vAlign w:val="bottom"/>
          </w:tcPr>
          <w:p>
            <w:pPr>
              <w:spacing w:after="0"/>
              <w:rPr>
                <w:sz w:val="20"/>
                <w:szCs w:val="20"/>
                <w:color w:val="auto"/>
              </w:rPr>
            </w:pPr>
            <w:r>
              <w:rPr>
                <w:rFonts w:ascii="Arial" w:cs="Arial" w:eastAsia="Arial" w:hAnsi="Arial"/>
                <w:sz w:val="16"/>
                <w:szCs w:val="16"/>
                <w:color w:val="auto"/>
              </w:rPr>
              <w:t>__________</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bl>
    <w:p>
      <w:pPr>
        <w:spacing w:after="0" w:line="5" w:lineRule="exact"/>
        <w:rPr>
          <w:sz w:val="20"/>
          <w:szCs w:val="20"/>
          <w:color w:val="auto"/>
        </w:rPr>
      </w:pPr>
    </w:p>
    <w:p>
      <w:pPr>
        <w:ind w:left="820" w:right="40" w:hanging="326"/>
        <w:spacing w:after="0"/>
        <w:tabs>
          <w:tab w:leader="none" w:pos="820"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The senior revolving credit facility bears interest at one-month LIBOR plus 200 basis points and is part of the Company’s senior credit facility, which is secured by pledges of capital stock of certain subsidiaries of the Company, and liens on substantially all of the Company’s intellectual property and certain other real and personal property.</w:t>
      </w:r>
    </w:p>
    <w:p>
      <w:pPr>
        <w:spacing w:after="0" w:line="118" w:lineRule="exact"/>
        <w:rPr>
          <w:rFonts w:ascii="Arial" w:cs="Arial" w:eastAsia="Arial" w:hAnsi="Arial"/>
          <w:sz w:val="18"/>
          <w:szCs w:val="18"/>
          <w:color w:val="auto"/>
          <w:vertAlign w:val="superscript"/>
        </w:rPr>
      </w:pPr>
    </w:p>
    <w:p>
      <w:pPr>
        <w:ind w:left="820" w:hanging="326"/>
        <w:spacing w:after="0" w:line="199" w:lineRule="auto"/>
        <w:tabs>
          <w:tab w:leader="none" w:pos="820"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These facilities encompass bank overdraft lines of credit, bearing interest of 3.22% as of June 30, 2018.</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February 2018, the Company amended the terms of its Senior revolving credit facility maturing 2021 and extended its maturity to 2023.</w:t>
      </w:r>
    </w:p>
    <w:p>
      <w:pPr>
        <w:spacing w:after="0" w:line="225" w:lineRule="exact"/>
        <w:rPr>
          <w:sz w:val="20"/>
          <w:szCs w:val="20"/>
          <w:color w:val="auto"/>
        </w:rPr>
      </w:pPr>
    </w:p>
    <w:p>
      <w:pPr>
        <w:ind w:left="500" w:right="260"/>
        <w:spacing w:after="0" w:line="262" w:lineRule="auto"/>
        <w:rPr>
          <w:sz w:val="20"/>
          <w:szCs w:val="20"/>
          <w:color w:val="auto"/>
        </w:rPr>
      </w:pPr>
      <w:r>
        <w:rPr>
          <w:rFonts w:ascii="Arial" w:cs="Arial" w:eastAsia="Arial" w:hAnsi="Arial"/>
          <w:sz w:val="18"/>
          <w:szCs w:val="18"/>
          <w:color w:val="auto"/>
        </w:rPr>
        <w:t>At June 30, 2018, the Company had various uncommitted credit facilities available, under which it had drawn approximately $1 million, which bear interest at rates between 0.74% and 1.54%.</w:t>
      </w:r>
    </w:p>
    <w:p>
      <w:pPr>
        <w:spacing w:after="0" w:line="12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Covenants</w:t>
      </w:r>
    </w:p>
    <w:p>
      <w:pPr>
        <w:spacing w:after="0" w:line="247" w:lineRule="exact"/>
        <w:rPr>
          <w:sz w:val="20"/>
          <w:szCs w:val="20"/>
          <w:color w:val="auto"/>
        </w:rPr>
      </w:pPr>
    </w:p>
    <w:p>
      <w:pPr>
        <w:ind w:left="500" w:right="100"/>
        <w:spacing w:after="0" w:line="254" w:lineRule="auto"/>
        <w:rPr>
          <w:sz w:val="20"/>
          <w:szCs w:val="20"/>
          <w:color w:val="auto"/>
        </w:rPr>
      </w:pPr>
      <w:r>
        <w:rPr>
          <w:rFonts w:ascii="Arial" w:cs="Arial" w:eastAsia="Arial" w:hAnsi="Arial"/>
          <w:sz w:val="18"/>
          <w:szCs w:val="18"/>
          <w:color w:val="auto"/>
        </w:rPr>
        <w:t>The agreements governing the Company’s corporate indebtedness contain restrictive covenants, including restrictions on dividends paid to the Company by certain of its subsidiaries, the incurrence of additional indebtedness by the Company and certain of its subsidiaries, acquisitions, mergers, liquidations, and sale and leaseback transactions. As of June 30, 2018, the Company was in compliance with the financial covenants governing its indebtedness.</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40"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Debt Under Vehicle Programs and Borrowing Arrangements</w:t>
      </w:r>
    </w:p>
    <w:p>
      <w:pPr>
        <w:spacing w:after="0" w:line="247" w:lineRule="exact"/>
        <w:rPr>
          <w:rFonts w:ascii="Arial" w:cs="Arial" w:eastAsia="Arial" w:hAnsi="Arial"/>
          <w:sz w:val="18"/>
          <w:szCs w:val="18"/>
          <w:b w:val="1"/>
          <w:bCs w:val="1"/>
          <w:color w:val="auto"/>
        </w:rPr>
      </w:pPr>
    </w:p>
    <w:p>
      <w:pPr>
        <w:ind w:left="500" w:right="28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Debt under vehicle programs, including related party debt due to Avis Budget Rental Car Funding (AESOP) LLC (“Avis Budget Rental Car Funding”), consisted of:</w:t>
      </w:r>
    </w:p>
    <w:p>
      <w:pPr>
        <w:spacing w:after="0" w:line="134" w:lineRule="exact"/>
        <w:rPr>
          <w:sz w:val="20"/>
          <w:szCs w:val="20"/>
          <w:color w:val="auto"/>
        </w:rPr>
      </w:pPr>
    </w:p>
    <w:tbl>
      <w:tblPr>
        <w:tblLayout w:type="fixed"/>
        <w:tblInd w:w="500" w:type="dxa"/>
        <w:tblCellMar>
          <w:top w:w="0" w:type="dxa"/>
          <w:left w:w="0" w:type="dxa"/>
          <w:bottom w:w="0" w:type="dxa"/>
          <w:right w:w="0" w:type="dxa"/>
        </w:tblCellMar>
      </w:tblPr>
      <w:tr>
        <w:trPr>
          <w:trHeight w:val="239"/>
        </w:trPr>
        <w:tc>
          <w:tcPr>
            <w:tcW w:w="6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20"/>
                <w:szCs w:val="20"/>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70"/>
        </w:trPr>
        <w:tc>
          <w:tcPr>
            <w:tcW w:w="6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9"/>
              </w:rPr>
              <w:t>June 30,</w:t>
            </w:r>
          </w:p>
        </w:tc>
        <w:tc>
          <w:tcPr>
            <w:tcW w:w="180" w:type="dxa"/>
            <w:vAlign w:val="bottom"/>
          </w:tcPr>
          <w:p>
            <w:pPr>
              <w:spacing w:after="0"/>
              <w:rPr>
                <w:sz w:val="23"/>
                <w:szCs w:val="23"/>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77"/>
        </w:trPr>
        <w:tc>
          <w:tcPr>
            <w:tcW w:w="68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9"/>
              </w:rPr>
              <w:t>2018</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2017</w:t>
            </w:r>
          </w:p>
        </w:tc>
        <w:tc>
          <w:tcPr>
            <w:tcW w:w="0" w:type="dxa"/>
            <w:vAlign w:val="bottom"/>
          </w:tcPr>
          <w:p>
            <w:pPr>
              <w:spacing w:after="0"/>
              <w:rPr>
                <w:sz w:val="1"/>
                <w:szCs w:val="1"/>
                <w:color w:val="auto"/>
              </w:rPr>
            </w:pPr>
          </w:p>
        </w:tc>
      </w:tr>
      <w:tr>
        <w:trPr>
          <w:trHeight w:val="296"/>
        </w:trPr>
        <w:tc>
          <w:tcPr>
            <w:tcW w:w="6860" w:type="dxa"/>
            <w:vAlign w:val="bottom"/>
          </w:tcPr>
          <w:p>
            <w:pPr>
              <w:ind w:left="20"/>
              <w:spacing w:after="0"/>
              <w:rPr>
                <w:sz w:val="20"/>
                <w:szCs w:val="20"/>
                <w:color w:val="auto"/>
              </w:rPr>
            </w:pPr>
            <w:r>
              <w:rPr>
                <w:rFonts w:ascii="Arial" w:cs="Arial" w:eastAsia="Arial" w:hAnsi="Arial"/>
                <w:sz w:val="18"/>
                <w:szCs w:val="18"/>
                <w:color w:val="auto"/>
              </w:rPr>
              <w:t xml:space="preserve">Americas - Debt due to Avis Budget Rental Car Funding </w:t>
            </w:r>
            <w:r>
              <w:rPr>
                <w:rFonts w:ascii="Arial" w:cs="Arial" w:eastAsia="Arial" w:hAnsi="Arial"/>
                <w:sz w:val="21"/>
                <w:szCs w:val="21"/>
                <w:color w:val="auto"/>
                <w:vertAlign w:val="superscript"/>
              </w:rPr>
              <w:t>(a)</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8,298</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6,516</w:t>
            </w:r>
          </w:p>
        </w:tc>
        <w:tc>
          <w:tcPr>
            <w:tcW w:w="0" w:type="dxa"/>
            <w:vAlign w:val="bottom"/>
          </w:tcPr>
          <w:p>
            <w:pPr>
              <w:spacing w:after="0"/>
              <w:rPr>
                <w:sz w:val="1"/>
                <w:szCs w:val="1"/>
                <w:color w:val="auto"/>
              </w:rPr>
            </w:pPr>
          </w:p>
        </w:tc>
      </w:tr>
      <w:tr>
        <w:trPr>
          <w:trHeight w:val="217"/>
        </w:trPr>
        <w:tc>
          <w:tcPr>
            <w:tcW w:w="6860" w:type="dxa"/>
            <w:vAlign w:val="bottom"/>
          </w:tcPr>
          <w:p>
            <w:pPr>
              <w:ind w:left="20"/>
              <w:spacing w:after="0"/>
              <w:rPr>
                <w:sz w:val="20"/>
                <w:szCs w:val="20"/>
                <w:color w:val="auto"/>
              </w:rPr>
            </w:pPr>
            <w:r>
              <w:rPr>
                <w:rFonts w:ascii="Arial" w:cs="Arial" w:eastAsia="Arial" w:hAnsi="Arial"/>
                <w:sz w:val="18"/>
                <w:szCs w:val="18"/>
                <w:color w:val="auto"/>
              </w:rPr>
              <w:t>Americas - Debt borrowings</w:t>
            </w:r>
          </w:p>
        </w:tc>
        <w:tc>
          <w:tcPr>
            <w:tcW w:w="3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912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70"/>
        </w:trPr>
        <w:tc>
          <w:tcPr>
            <w:tcW w:w="6860" w:type="dxa"/>
            <w:vAlign w:val="bottom"/>
          </w:tcPr>
          <w:p>
            <w:pPr>
              <w:ind w:left="20"/>
              <w:spacing w:after="0"/>
              <w:rPr>
                <w:sz w:val="20"/>
                <w:szCs w:val="20"/>
                <w:color w:val="auto"/>
              </w:rPr>
            </w:pPr>
            <w:r>
              <w:rPr>
                <w:rFonts w:ascii="Arial" w:cs="Arial" w:eastAsia="Arial" w:hAnsi="Arial"/>
                <w:sz w:val="18"/>
                <w:szCs w:val="18"/>
                <w:color w:val="auto"/>
              </w:rPr>
              <w:t>International - Debt borrowings</w:t>
            </w:r>
          </w:p>
        </w:tc>
        <w:tc>
          <w:tcPr>
            <w:tcW w:w="32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2,399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1,942</w:t>
            </w:r>
          </w:p>
        </w:tc>
        <w:tc>
          <w:tcPr>
            <w:tcW w:w="0" w:type="dxa"/>
            <w:vAlign w:val="bottom"/>
          </w:tcPr>
          <w:p>
            <w:pPr>
              <w:spacing w:after="0"/>
              <w:rPr>
                <w:sz w:val="1"/>
                <w:szCs w:val="1"/>
                <w:color w:val="auto"/>
              </w:rPr>
            </w:pPr>
          </w:p>
        </w:tc>
      </w:tr>
      <w:tr>
        <w:trPr>
          <w:trHeight w:val="270"/>
        </w:trPr>
        <w:tc>
          <w:tcPr>
            <w:tcW w:w="6860" w:type="dxa"/>
            <w:vAlign w:val="bottom"/>
          </w:tcPr>
          <w:p>
            <w:pPr>
              <w:ind w:left="20"/>
              <w:spacing w:after="0"/>
              <w:rPr>
                <w:sz w:val="20"/>
                <w:szCs w:val="20"/>
                <w:color w:val="auto"/>
              </w:rPr>
            </w:pPr>
            <w:r>
              <w:rPr>
                <w:rFonts w:ascii="Arial" w:cs="Arial" w:eastAsia="Arial" w:hAnsi="Arial"/>
                <w:sz w:val="18"/>
                <w:szCs w:val="18"/>
                <w:color w:val="auto"/>
              </w:rPr>
              <w:t>International - Capital leases</w:t>
            </w:r>
          </w:p>
        </w:tc>
        <w:tc>
          <w:tcPr>
            <w:tcW w:w="32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0"/>
        </w:trPr>
        <w:tc>
          <w:tcPr>
            <w:tcW w:w="6860" w:type="dxa"/>
            <w:vAlign w:val="bottom"/>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84"/>
        </w:trPr>
        <w:tc>
          <w:tcPr>
            <w:tcW w:w="6860" w:type="dxa"/>
            <w:vAlign w:val="bottom"/>
          </w:tcPr>
          <w:p>
            <w:pPr>
              <w:ind w:left="20"/>
              <w:spacing w:after="0"/>
              <w:rPr>
                <w:sz w:val="20"/>
                <w:szCs w:val="20"/>
                <w:color w:val="auto"/>
              </w:rPr>
            </w:pPr>
            <w:r>
              <w:rPr>
                <w:rFonts w:ascii="Arial" w:cs="Arial" w:eastAsia="Arial" w:hAnsi="Arial"/>
                <w:sz w:val="18"/>
                <w:szCs w:val="18"/>
                <w:color w:val="auto"/>
              </w:rPr>
              <w:t xml:space="preserve">Deferred financing fees </w:t>
            </w:r>
            <w:r>
              <w:rPr>
                <w:rFonts w:ascii="Arial" w:cs="Arial" w:eastAsia="Arial" w:hAnsi="Arial"/>
                <w:sz w:val="21"/>
                <w:szCs w:val="21"/>
                <w:color w:val="auto"/>
                <w:vertAlign w:val="superscript"/>
              </w:rPr>
              <w:t>(b)</w:t>
            </w: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50"/>
        </w:trPr>
        <w:tc>
          <w:tcPr>
            <w:tcW w:w="686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11,776</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9,221</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20" w:hanging="326"/>
        <w:spacing w:after="0" w:line="193" w:lineRule="auto"/>
        <w:tabs>
          <w:tab w:leader="none" w:pos="82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The increase reflects additional borrowings principally to fund increases in the Company’s car rental fleet.</w:t>
      </w:r>
    </w:p>
    <w:p>
      <w:pPr>
        <w:ind w:left="820" w:right="540" w:hanging="326"/>
        <w:spacing w:after="0" w:line="218" w:lineRule="auto"/>
        <w:tabs>
          <w:tab w:leader="none" w:pos="82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Deferred financing fees related to Debt due to Avis Budget Rental Car Funding as of June 30, 2018 and December 31, 2017 were $33 million and $36 million, respectively.</w:t>
      </w:r>
    </w:p>
    <w:p>
      <w:pPr>
        <w:spacing w:after="0" w:line="200" w:lineRule="exact"/>
        <w:rPr>
          <w:sz w:val="20"/>
          <w:szCs w:val="20"/>
          <w:color w:val="auto"/>
        </w:rPr>
      </w:pPr>
    </w:p>
    <w:p>
      <w:pPr>
        <w:ind w:left="500" w:right="60"/>
        <w:spacing w:after="0" w:line="256" w:lineRule="auto"/>
        <w:rPr>
          <w:sz w:val="20"/>
          <w:szCs w:val="20"/>
          <w:color w:val="auto"/>
        </w:rPr>
      </w:pPr>
      <w:r>
        <w:rPr>
          <w:rFonts w:ascii="Arial" w:cs="Arial" w:eastAsia="Arial" w:hAnsi="Arial"/>
          <w:sz w:val="18"/>
          <w:szCs w:val="18"/>
          <w:color w:val="auto"/>
        </w:rPr>
        <w:t>In April 2018, the Company’s Avis Budget Rental Car Funding subsidiary issued approximately $400 million in asset-backed notes with an expected final payment date of September 2023. The weighted average interest rate was 4%. The Company used the proceeds from these borrowings to fund the repayment of maturing vehicle-backed debt and the acquisition of rental cars in the United States.</w:t>
      </w:r>
    </w:p>
    <w:p>
      <w:pPr>
        <w:spacing w:after="0" w:line="202" w:lineRule="exact"/>
        <w:rPr>
          <w:sz w:val="20"/>
          <w:szCs w:val="20"/>
          <w:color w:val="auto"/>
        </w:rPr>
      </w:pPr>
    </w:p>
    <w:p>
      <w:pPr>
        <w:ind w:left="500" w:right="80"/>
        <w:spacing w:after="0" w:line="256" w:lineRule="auto"/>
        <w:rPr>
          <w:sz w:val="20"/>
          <w:szCs w:val="20"/>
          <w:color w:val="auto"/>
        </w:rPr>
      </w:pPr>
      <w:r>
        <w:rPr>
          <w:rFonts w:ascii="Arial" w:cs="Arial" w:eastAsia="Arial" w:hAnsi="Arial"/>
          <w:sz w:val="18"/>
          <w:szCs w:val="18"/>
          <w:color w:val="auto"/>
        </w:rPr>
        <w:t>In June 2018, the Company increased its capacity under the European rental fleet securitization program by € 150 million (approximately $175 million) to €1.8 billion (approximately $2.1 billion) and extended its maturity to 2021. The Company used the proceeds to finance fleet purchases for certain of the Company’s European operations.</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Maturities</w:t>
      </w:r>
    </w:p>
    <w:p>
      <w:pPr>
        <w:spacing w:after="0" w:line="247" w:lineRule="exact"/>
        <w:rPr>
          <w:sz w:val="20"/>
          <w:szCs w:val="20"/>
          <w:color w:val="auto"/>
        </w:rPr>
      </w:pPr>
    </w:p>
    <w:p>
      <w:pPr>
        <w:ind w:left="500"/>
        <w:spacing w:after="0" w:line="262" w:lineRule="auto"/>
        <w:rPr>
          <w:sz w:val="20"/>
          <w:szCs w:val="20"/>
          <w:color w:val="auto"/>
        </w:rPr>
      </w:pPr>
      <w:r>
        <w:rPr>
          <w:rFonts w:ascii="Arial" w:cs="Arial" w:eastAsia="Arial" w:hAnsi="Arial"/>
          <w:sz w:val="18"/>
          <w:szCs w:val="18"/>
          <w:color w:val="auto"/>
        </w:rPr>
        <w:t>The following table provides the contractual maturities of the Company’s debt under vehicle programs, including related party debt due to Avis Budget Rental Car Funding, at June 30, 2018.</w:t>
      </w:r>
    </w:p>
    <w:p>
      <w:pPr>
        <w:spacing w:after="0" w:line="116"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8640" w:type="dxa"/>
            <w:vAlign w:val="bottom"/>
          </w:tcPr>
          <w:p>
            <w:pPr>
              <w:spacing w:after="0"/>
              <w:rPr>
                <w:sz w:val="18"/>
                <w:szCs w:val="18"/>
                <w:color w:val="auto"/>
              </w:rPr>
            </w:pPr>
          </w:p>
        </w:tc>
        <w:tc>
          <w:tcPr>
            <w:tcW w:w="166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Debt under Vehicle</w:t>
            </w:r>
          </w:p>
        </w:tc>
      </w:tr>
      <w:tr>
        <w:trPr>
          <w:trHeight w:val="246"/>
        </w:trPr>
        <w:tc>
          <w:tcPr>
            <w:tcW w:w="86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Programs</w:t>
            </w:r>
          </w:p>
        </w:tc>
      </w:tr>
      <w:tr>
        <w:trPr>
          <w:trHeight w:val="243"/>
        </w:trPr>
        <w:tc>
          <w:tcPr>
            <w:tcW w:w="8640" w:type="dxa"/>
            <w:vAlign w:val="bottom"/>
          </w:tcPr>
          <w:p>
            <w:pPr>
              <w:spacing w:after="0"/>
              <w:rPr>
                <w:sz w:val="20"/>
                <w:szCs w:val="20"/>
                <w:color w:val="auto"/>
              </w:rPr>
            </w:pPr>
            <w:r>
              <w:rPr>
                <w:rFonts w:ascii="Arial" w:cs="Arial" w:eastAsia="Arial" w:hAnsi="Arial"/>
                <w:sz w:val="18"/>
                <w:szCs w:val="18"/>
                <w:color w:val="auto"/>
              </w:rPr>
              <w:t>Within 1 year</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1,816</w:t>
            </w:r>
          </w:p>
        </w:tc>
      </w:tr>
      <w:tr>
        <w:trPr>
          <w:trHeight w:val="257"/>
        </w:trPr>
        <w:tc>
          <w:tcPr>
            <w:tcW w:w="8640" w:type="dxa"/>
            <w:vAlign w:val="bottom"/>
          </w:tcPr>
          <w:p>
            <w:pPr>
              <w:spacing w:after="0"/>
              <w:rPr>
                <w:sz w:val="20"/>
                <w:szCs w:val="20"/>
                <w:color w:val="auto"/>
              </w:rPr>
            </w:pPr>
            <w:r>
              <w:rPr>
                <w:rFonts w:ascii="Arial" w:cs="Arial" w:eastAsia="Arial" w:hAnsi="Arial"/>
                <w:sz w:val="18"/>
                <w:szCs w:val="18"/>
                <w:color w:val="auto"/>
              </w:rPr>
              <w:t>Between 1 and 2 years</w:t>
            </w:r>
          </w:p>
        </w:tc>
        <w:tc>
          <w:tcPr>
            <w:tcW w:w="2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4,703</w:t>
            </w:r>
          </w:p>
        </w:tc>
      </w:tr>
      <w:tr>
        <w:trPr>
          <w:trHeight w:val="257"/>
        </w:trPr>
        <w:tc>
          <w:tcPr>
            <w:tcW w:w="8640" w:type="dxa"/>
            <w:vAlign w:val="bottom"/>
          </w:tcPr>
          <w:p>
            <w:pPr>
              <w:spacing w:after="0"/>
              <w:rPr>
                <w:sz w:val="20"/>
                <w:szCs w:val="20"/>
                <w:color w:val="auto"/>
              </w:rPr>
            </w:pPr>
            <w:r>
              <w:rPr>
                <w:rFonts w:ascii="Arial" w:cs="Arial" w:eastAsia="Arial" w:hAnsi="Arial"/>
                <w:sz w:val="18"/>
                <w:szCs w:val="18"/>
                <w:color w:val="auto"/>
              </w:rPr>
              <w:t>Between 2 and 3 years</w:t>
            </w:r>
          </w:p>
        </w:tc>
        <w:tc>
          <w:tcPr>
            <w:tcW w:w="2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2,997</w:t>
            </w:r>
          </w:p>
        </w:tc>
      </w:tr>
      <w:tr>
        <w:trPr>
          <w:trHeight w:val="257"/>
        </w:trPr>
        <w:tc>
          <w:tcPr>
            <w:tcW w:w="8640" w:type="dxa"/>
            <w:vAlign w:val="bottom"/>
          </w:tcPr>
          <w:p>
            <w:pPr>
              <w:spacing w:after="0"/>
              <w:rPr>
                <w:sz w:val="20"/>
                <w:szCs w:val="20"/>
                <w:color w:val="auto"/>
              </w:rPr>
            </w:pPr>
            <w:r>
              <w:rPr>
                <w:rFonts w:ascii="Arial" w:cs="Arial" w:eastAsia="Arial" w:hAnsi="Arial"/>
                <w:sz w:val="18"/>
                <w:szCs w:val="18"/>
                <w:color w:val="auto"/>
              </w:rPr>
              <w:t>Between 3 and 4 years</w:t>
            </w:r>
          </w:p>
        </w:tc>
        <w:tc>
          <w:tcPr>
            <w:tcW w:w="2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724</w:t>
            </w:r>
          </w:p>
        </w:tc>
      </w:tr>
      <w:tr>
        <w:trPr>
          <w:trHeight w:val="257"/>
        </w:trPr>
        <w:tc>
          <w:tcPr>
            <w:tcW w:w="8640" w:type="dxa"/>
            <w:vAlign w:val="bottom"/>
          </w:tcPr>
          <w:p>
            <w:pPr>
              <w:spacing w:after="0"/>
              <w:rPr>
                <w:sz w:val="20"/>
                <w:szCs w:val="20"/>
                <w:color w:val="auto"/>
              </w:rPr>
            </w:pPr>
            <w:r>
              <w:rPr>
                <w:rFonts w:ascii="Arial" w:cs="Arial" w:eastAsia="Arial" w:hAnsi="Arial"/>
                <w:sz w:val="18"/>
                <w:szCs w:val="18"/>
                <w:color w:val="auto"/>
              </w:rPr>
              <w:t>Between 4 and 5 years</w:t>
            </w:r>
          </w:p>
        </w:tc>
        <w:tc>
          <w:tcPr>
            <w:tcW w:w="2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1,156</w:t>
            </w:r>
          </w:p>
        </w:tc>
      </w:tr>
      <w:tr>
        <w:trPr>
          <w:trHeight w:val="264"/>
        </w:trPr>
        <w:tc>
          <w:tcPr>
            <w:tcW w:w="8640" w:type="dxa"/>
            <w:vAlign w:val="bottom"/>
          </w:tcPr>
          <w:p>
            <w:pPr>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w:t>
            </w:r>
          </w:p>
        </w:tc>
      </w:tr>
      <w:tr>
        <w:trPr>
          <w:trHeight w:val="257"/>
        </w:trPr>
        <w:tc>
          <w:tcPr>
            <w:tcW w:w="8640" w:type="dxa"/>
            <w:vAlign w:val="bottom"/>
          </w:tcPr>
          <w:p>
            <w:pPr>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11,824</w:t>
            </w:r>
          </w:p>
        </w:tc>
      </w:tr>
      <w:tr>
        <w:trPr>
          <w:trHeight w:val="20"/>
        </w:trPr>
        <w:tc>
          <w:tcPr>
            <w:tcW w:w="8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Committed Credit Facilities and Available Funding Arrangements</w:t>
      </w:r>
    </w:p>
    <w:p>
      <w:pPr>
        <w:spacing w:after="0" w:line="247" w:lineRule="exact"/>
        <w:rPr>
          <w:sz w:val="20"/>
          <w:szCs w:val="20"/>
          <w:color w:val="auto"/>
        </w:rPr>
      </w:pPr>
    </w:p>
    <w:p>
      <w:pPr>
        <w:ind w:left="500" w:right="260"/>
        <w:spacing w:after="0" w:line="262" w:lineRule="auto"/>
        <w:rPr>
          <w:sz w:val="20"/>
          <w:szCs w:val="20"/>
          <w:color w:val="auto"/>
        </w:rPr>
      </w:pPr>
      <w:r>
        <w:rPr>
          <w:rFonts w:ascii="Arial" w:cs="Arial" w:eastAsia="Arial" w:hAnsi="Arial"/>
          <w:sz w:val="18"/>
          <w:szCs w:val="18"/>
          <w:color w:val="auto"/>
        </w:rPr>
        <w:t>As of June 30, 2018, available funding under the Company’s vehicle programs, including related party debt due to Avis Budget Rental Car Funding, consisted of:</w:t>
      </w:r>
    </w:p>
    <w:p>
      <w:pPr>
        <w:spacing w:after="0" w:line="116"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5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Total</w:t>
            </w:r>
          </w:p>
        </w:tc>
        <w:tc>
          <w:tcPr>
            <w:tcW w:w="18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Outstanding</w:t>
            </w:r>
          </w:p>
        </w:tc>
        <w:tc>
          <w:tcPr>
            <w:tcW w:w="260" w:type="dxa"/>
            <w:vAlign w:val="bottom"/>
          </w:tcPr>
          <w:p>
            <w:pPr>
              <w:spacing w:after="0"/>
              <w:rPr>
                <w:sz w:val="18"/>
                <w:szCs w:val="18"/>
                <w:color w:val="auto"/>
              </w:rPr>
            </w:pPr>
          </w:p>
        </w:tc>
        <w:tc>
          <w:tcPr>
            <w:tcW w:w="1300" w:type="dxa"/>
            <w:vAlign w:val="bottom"/>
          </w:tcPr>
          <w:p>
            <w:pPr>
              <w:jc w:val="right"/>
              <w:ind w:right="290"/>
              <w:spacing w:after="0"/>
              <w:rPr>
                <w:sz w:val="20"/>
                <w:szCs w:val="20"/>
                <w:color w:val="auto"/>
              </w:rPr>
            </w:pPr>
            <w:r>
              <w:rPr>
                <w:rFonts w:ascii="Arial" w:cs="Arial" w:eastAsia="Arial" w:hAnsi="Arial"/>
                <w:sz w:val="18"/>
                <w:szCs w:val="18"/>
                <w:b w:val="1"/>
                <w:bCs w:val="1"/>
                <w:color w:val="auto"/>
              </w:rPr>
              <w:t>Available</w:t>
            </w:r>
          </w:p>
        </w:tc>
      </w:tr>
      <w:tr>
        <w:trPr>
          <w:trHeight w:val="252"/>
        </w:trPr>
        <w:tc>
          <w:tcPr>
            <w:tcW w:w="5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 xml:space="preserve">Capacity </w:t>
            </w:r>
            <w:r>
              <w:rPr>
                <w:rFonts w:ascii="Arial" w:cs="Arial" w:eastAsia="Arial" w:hAnsi="Arial"/>
                <w:sz w:val="18"/>
                <w:szCs w:val="18"/>
                <w:color w:val="auto"/>
                <w:w w:val="94"/>
                <w:vertAlign w:val="superscript"/>
              </w:rPr>
              <w:t>(a)</w:t>
            </w:r>
          </w:p>
        </w:tc>
        <w:tc>
          <w:tcPr>
            <w:tcW w:w="180" w:type="dxa"/>
            <w:vAlign w:val="bottom"/>
          </w:tcPr>
          <w:p>
            <w:pPr>
              <w:spacing w:after="0"/>
              <w:rPr>
                <w:sz w:val="21"/>
                <w:szCs w:val="21"/>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 xml:space="preserve">Borrowings </w:t>
            </w:r>
            <w:r>
              <w:rPr>
                <w:rFonts w:ascii="Arial" w:cs="Arial" w:eastAsia="Arial" w:hAnsi="Arial"/>
                <w:sz w:val="18"/>
                <w:szCs w:val="18"/>
                <w:color w:val="auto"/>
                <w:w w:val="95"/>
                <w:vertAlign w:val="superscript"/>
              </w:rPr>
              <w:t>(b)</w:t>
            </w:r>
          </w:p>
        </w:tc>
        <w:tc>
          <w:tcPr>
            <w:tcW w:w="260" w:type="dxa"/>
            <w:vAlign w:val="bottom"/>
          </w:tcPr>
          <w:p>
            <w:pPr>
              <w:spacing w:after="0"/>
              <w:rPr>
                <w:sz w:val="21"/>
                <w:szCs w:val="21"/>
                <w:color w:val="auto"/>
              </w:rPr>
            </w:pPr>
          </w:p>
        </w:tc>
        <w:tc>
          <w:tcPr>
            <w:tcW w:w="1300" w:type="dxa"/>
            <w:vAlign w:val="bottom"/>
          </w:tcPr>
          <w:p>
            <w:pPr>
              <w:jc w:val="right"/>
              <w:ind w:right="310"/>
              <w:spacing w:after="0"/>
              <w:rPr>
                <w:sz w:val="20"/>
                <w:szCs w:val="20"/>
                <w:color w:val="auto"/>
              </w:rPr>
            </w:pPr>
            <w:r>
              <w:rPr>
                <w:rFonts w:ascii="Arial" w:cs="Arial" w:eastAsia="Arial" w:hAnsi="Arial"/>
                <w:sz w:val="18"/>
                <w:szCs w:val="18"/>
                <w:b w:val="1"/>
                <w:bCs w:val="1"/>
                <w:color w:val="auto"/>
              </w:rPr>
              <w:t>Capacity</w:t>
            </w:r>
          </w:p>
        </w:tc>
      </w:tr>
      <w:tr>
        <w:trPr>
          <w:trHeight w:val="237"/>
        </w:trPr>
        <w:tc>
          <w:tcPr>
            <w:tcW w:w="5380" w:type="dxa"/>
            <w:vAlign w:val="bottom"/>
          </w:tcPr>
          <w:p>
            <w:pPr>
              <w:spacing w:after="0"/>
              <w:rPr>
                <w:sz w:val="20"/>
                <w:szCs w:val="20"/>
                <w:color w:val="auto"/>
              </w:rPr>
            </w:pPr>
            <w:r>
              <w:rPr>
                <w:rFonts w:ascii="Arial" w:cs="Arial" w:eastAsia="Arial" w:hAnsi="Arial"/>
                <w:sz w:val="18"/>
                <w:szCs w:val="18"/>
                <w:color w:val="auto"/>
              </w:rPr>
              <w:t>Americas - Debt due to Avis Budget Rental Car Funding</w:t>
            </w:r>
          </w:p>
        </w:tc>
        <w:tc>
          <w:tcPr>
            <w:tcW w:w="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8,988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8,298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690</w:t>
            </w:r>
          </w:p>
        </w:tc>
      </w:tr>
      <w:tr>
        <w:trPr>
          <w:trHeight w:val="270"/>
        </w:trPr>
        <w:tc>
          <w:tcPr>
            <w:tcW w:w="5380" w:type="dxa"/>
            <w:vAlign w:val="bottom"/>
          </w:tcPr>
          <w:p>
            <w:pPr>
              <w:spacing w:after="0"/>
              <w:rPr>
                <w:sz w:val="20"/>
                <w:szCs w:val="20"/>
                <w:color w:val="auto"/>
              </w:rPr>
            </w:pPr>
            <w:r>
              <w:rPr>
                <w:rFonts w:ascii="Arial" w:cs="Arial" w:eastAsia="Arial" w:hAnsi="Arial"/>
                <w:sz w:val="18"/>
                <w:szCs w:val="18"/>
                <w:color w:val="auto"/>
              </w:rPr>
              <w:t>Americas - Debt borrowings</w:t>
            </w:r>
          </w:p>
        </w:tc>
        <w:tc>
          <w:tcPr>
            <w:tcW w:w="24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0"/>
        </w:trPr>
        <w:tc>
          <w:tcPr>
            <w:tcW w:w="5380" w:type="dxa"/>
            <w:vAlign w:val="bottom"/>
          </w:tcPr>
          <w:p>
            <w:pPr>
              <w:spacing w:after="0"/>
              <w:rPr>
                <w:sz w:val="20"/>
                <w:szCs w:val="20"/>
                <w:color w:val="auto"/>
              </w:rPr>
            </w:pPr>
            <w:r>
              <w:rPr>
                <w:rFonts w:ascii="Arial" w:cs="Arial" w:eastAsia="Arial" w:hAnsi="Arial"/>
                <w:sz w:val="18"/>
                <w:szCs w:val="18"/>
                <w:color w:val="auto"/>
              </w:rPr>
              <w:t>International - Debt borrowings</w:t>
            </w:r>
          </w:p>
        </w:tc>
        <w:tc>
          <w:tcPr>
            <w:tcW w:w="24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3,081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2,399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682</w:t>
            </w:r>
          </w:p>
        </w:tc>
      </w:tr>
      <w:tr>
        <w:trPr>
          <w:trHeight w:val="270"/>
        </w:trPr>
        <w:tc>
          <w:tcPr>
            <w:tcW w:w="5380" w:type="dxa"/>
            <w:vAlign w:val="bottom"/>
          </w:tcPr>
          <w:p>
            <w:pPr>
              <w:spacing w:after="0"/>
              <w:rPr>
                <w:sz w:val="20"/>
                <w:szCs w:val="20"/>
                <w:color w:val="auto"/>
              </w:rPr>
            </w:pPr>
            <w:r>
              <w:rPr>
                <w:rFonts w:ascii="Arial" w:cs="Arial" w:eastAsia="Arial" w:hAnsi="Arial"/>
                <w:sz w:val="18"/>
                <w:szCs w:val="18"/>
                <w:color w:val="auto"/>
              </w:rPr>
              <w:t>International - Capital leases</w:t>
            </w:r>
          </w:p>
        </w:tc>
        <w:tc>
          <w:tcPr>
            <w:tcW w:w="24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7"/>
        </w:trPr>
        <w:tc>
          <w:tcPr>
            <w:tcW w:w="538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538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13,275</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11,824</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1,451</w:t>
            </w:r>
          </w:p>
        </w:tc>
      </w:tr>
      <w:tr>
        <w:trPr>
          <w:trHeight w:val="20"/>
        </w:trPr>
        <w:tc>
          <w:tcPr>
            <w:tcW w:w="5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140" w:right="279" w:bottom="1440" w:gutter="0" w:footer="0" w:header="0"/>
        </w:sectPr>
      </w:pPr>
    </w:p>
    <w:p>
      <w:pPr>
        <w:spacing w:after="0" w:line="4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380"/>
          </w:cols>
          <w:pgMar w:left="240" w:top="140" w:right="27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ind w:left="820" w:hanging="326"/>
        <w:spacing w:after="0" w:line="197" w:lineRule="auto"/>
        <w:tabs>
          <w:tab w:leader="none" w:pos="82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Capacity is subject to maintaining sufficient assets to collateralize debt.</w:t>
      </w:r>
    </w:p>
    <w:p>
      <w:pPr>
        <w:ind w:left="820" w:right="540" w:hanging="326"/>
        <w:spacing w:after="0" w:line="218" w:lineRule="auto"/>
        <w:tabs>
          <w:tab w:leader="none" w:pos="82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The outstanding debt is collateralized by vehicles and related assets of $9.8 billion for Americas - Debt due to Avis Budget Rental Car Funding; $1.3 billion for Americas - Debt borrowings; $2.6 billion for International - Debt borrowings; and $0.2 billion for International - Capital leases.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Covenants</w:t>
      </w:r>
    </w:p>
    <w:p>
      <w:pPr>
        <w:spacing w:after="0" w:line="247" w:lineRule="exact"/>
        <w:rPr>
          <w:sz w:val="20"/>
          <w:szCs w:val="20"/>
          <w:color w:val="auto"/>
        </w:rPr>
      </w:pPr>
    </w:p>
    <w:p>
      <w:pPr>
        <w:ind w:left="500"/>
        <w:spacing w:after="0" w:line="253" w:lineRule="auto"/>
        <w:rPr>
          <w:sz w:val="20"/>
          <w:szCs w:val="20"/>
          <w:color w:val="auto"/>
        </w:rPr>
      </w:pPr>
      <w:r>
        <w:rPr>
          <w:rFonts w:ascii="Arial" w:cs="Arial" w:eastAsia="Arial" w:hAnsi="Arial"/>
          <w:sz w:val="18"/>
          <w:szCs w:val="18"/>
          <w:color w:val="auto"/>
        </w:rPr>
        <w:t>The agreements under the Company’s vehicle-backed funding programs contain restrictive covenants, including restrictions on dividends paid to the Company by certain of its subsidiaries and restrictions on indebtedness, mergers, liens, liquidations, and sale and leaseback transactions and in some cases also require compliance with certain financial requirements. As of June 30, 2018, the Company is not aware of any instances of non-compliance with any of the financial covenants contained in the debt agreements under its vehicle-backed funding programs.</w:t>
      </w:r>
    </w:p>
    <w:p>
      <w:pPr>
        <w:spacing w:after="0" w:line="184" w:lineRule="exact"/>
        <w:rPr>
          <w:sz w:val="20"/>
          <w:szCs w:val="20"/>
          <w:color w:val="auto"/>
        </w:rPr>
      </w:pPr>
    </w:p>
    <w:p>
      <w:pPr>
        <w:ind w:left="500" w:right="8020" w:hanging="492"/>
        <w:spacing w:after="0" w:line="513" w:lineRule="auto"/>
        <w:tabs>
          <w:tab w:leader="none" w:pos="5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Contingencies</w:t>
      </w:r>
    </w:p>
    <w:p>
      <w:pPr>
        <w:spacing w:after="0" w:line="1" w:lineRule="exact"/>
        <w:rPr>
          <w:rFonts w:ascii="Arial" w:cs="Arial" w:eastAsia="Arial" w:hAnsi="Arial"/>
          <w:sz w:val="18"/>
          <w:szCs w:val="18"/>
          <w:b w:val="1"/>
          <w:bCs w:val="1"/>
          <w:color w:val="auto"/>
        </w:rPr>
      </w:pPr>
    </w:p>
    <w:p>
      <w:pPr>
        <w:ind w:left="500" w:right="4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In 2006, the Company completed the spin-offs of its Realogy and Wyndham subsidiaries. The Company does not believe that the impact of any resolution of pre-existing contingent liabilities in connection with the spin-offs should result in a material liability to the Company in relation to its consolidated financial position or liquidity, as Realogy and Wyndham each have agreed to assume responsibility for these liabilities. The Company is also named in litigation that is primarily related to the businesses of its former subsidiaries, including Realogy and Wyndham. The Company is entitled to indemnification from such entities for any liability resulting from such litigation.</w:t>
      </w:r>
    </w:p>
    <w:p>
      <w:pPr>
        <w:spacing w:after="0" w:line="192" w:lineRule="exact"/>
        <w:rPr>
          <w:rFonts w:ascii="Arial" w:cs="Arial" w:eastAsia="Arial" w:hAnsi="Arial"/>
          <w:sz w:val="18"/>
          <w:szCs w:val="18"/>
          <w:b w:val="1"/>
          <w:bCs w:val="1"/>
          <w:color w:val="auto"/>
        </w:rPr>
      </w:pPr>
    </w:p>
    <w:p>
      <w:pPr>
        <w:ind w:left="50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In February 2017, following a state court trial in Georgia, a jury found the Company liable for damages in a case brought by a plaintiff who was injured in a vehicle accident allegedly caused by an employee of an independent contractor of the Company who was acting outside of the scope of employment. In March 2017, the Company was also found liable for damages in a companion case arising from the same incident. The Company considers the attribution of liability to the Company, and the amount of damages awarded, to be unsupported by the facts of these cases and intends to appeal the verdicts. The Company has recognized a liability for the expected loss related to these cases, net of recoverable insurance proceeds, of approximately $12 million.</w:t>
      </w:r>
    </w:p>
    <w:p>
      <w:pPr>
        <w:spacing w:after="0" w:line="208" w:lineRule="exact"/>
        <w:rPr>
          <w:rFonts w:ascii="Arial" w:cs="Arial" w:eastAsia="Arial" w:hAnsi="Arial"/>
          <w:sz w:val="18"/>
          <w:szCs w:val="18"/>
          <w:b w:val="1"/>
          <w:bCs w:val="1"/>
          <w:color w:val="auto"/>
        </w:rPr>
      </w:pPr>
    </w:p>
    <w:p>
      <w:pPr>
        <w:ind w:left="500" w:right="4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The Company is involved in claims, legal proceedings and governmental inquiries that are incidental to its vehicle rental and car sharing operations, including, among others, contract and licensee disputes, competition matters, employment and wage-and-hour claims, insurance and liability claims, intellectual property claims, business practice disputes and other regulatory, environmental, commercial and tax matters. Litigation is inherently unpredictable and, although the Company believes that its accruals are adequate and/or that it has valid defenses in these matters, unfavorable resolutions could occur. The Company estimates that the potential exposure resulting from adverse outcomes of legal proceedings in which it is reasonably possible that a loss may be incurred could, in the aggregate, be up to approximately $50 million in excess of amounts accrued as of June 30, 2018. The Company does not believe that the impact should result in a material liability to the Company in relation to its consolidated financial condition or results of operations.</w:t>
      </w:r>
    </w:p>
    <w:p>
      <w:pPr>
        <w:spacing w:after="0" w:line="184"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Commitments to Purchase Vehicles</w:t>
      </w:r>
    </w:p>
    <w:p>
      <w:pPr>
        <w:spacing w:after="0" w:line="247" w:lineRule="exact"/>
        <w:rPr>
          <w:rFonts w:ascii="Arial" w:cs="Arial" w:eastAsia="Arial" w:hAnsi="Arial"/>
          <w:sz w:val="18"/>
          <w:szCs w:val="18"/>
          <w:b w:val="1"/>
          <w:bCs w:val="1"/>
          <w:color w:val="auto"/>
        </w:rPr>
      </w:pPr>
    </w:p>
    <w:p>
      <w:pPr>
        <w:ind w:left="500" w:right="1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Company maintains agreements with vehicle manufacturers under which the Company has agreed to purchase approximately $2.8 billion of vehicles from manufacturers over the next 12 months financed primarily through the issuance of vehicle-backed debt and cash received upon the disposition of vehicles. Certain of these commitments are subject to the vehicle manufacturers’ satisfying their obligations under their respective repurchase and guaranteed depreciation agreements.</w:t>
      </w:r>
    </w:p>
    <w:p>
      <w:pPr>
        <w:spacing w:after="0" w:line="182"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Concentrations</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Concentrations of credit risk at June 30, 2018 include (i) risks related to the Company’s repurchase and</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140" w:right="27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spacing w:after="0" w:line="254" w:lineRule="auto"/>
        <w:rPr>
          <w:sz w:val="20"/>
          <w:szCs w:val="20"/>
          <w:color w:val="auto"/>
        </w:rPr>
      </w:pPr>
      <w:r>
        <w:rPr>
          <w:rFonts w:ascii="Arial" w:cs="Arial" w:eastAsia="Arial" w:hAnsi="Arial"/>
          <w:sz w:val="18"/>
          <w:szCs w:val="18"/>
          <w:color w:val="auto"/>
        </w:rPr>
        <w:t>guaranteed depreciation agreements with domestic and foreign car manufacturers, primarily with respect to receivables for program cars that have been disposed but for which the Company has not yet received payment from the manufacturers and (ii) risks related to Realogy and Wyndham, including receivables of $23 million and $14 million, respectively, related to certain contingent, income tax and other corporate liabilities assumed by Realogy and Wyndham in connection with their disposition.</w:t>
      </w:r>
    </w:p>
    <w:p>
      <w:pPr>
        <w:spacing w:after="0" w:line="182" w:lineRule="exact"/>
        <w:rPr>
          <w:sz w:val="20"/>
          <w:szCs w:val="20"/>
          <w:color w:val="auto"/>
        </w:rPr>
      </w:pPr>
    </w:p>
    <w:p>
      <w:pPr>
        <w:ind w:left="500" w:right="8760" w:hanging="492"/>
        <w:spacing w:after="0" w:line="544" w:lineRule="auto"/>
        <w:tabs>
          <w:tab w:leader="none" w:pos="500" w:val="left"/>
        </w:tabs>
        <w:numPr>
          <w:ilvl w:val="0"/>
          <w:numId w:val="2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Stockholders’ Equity </w:t>
      </w:r>
      <w:r>
        <w:rPr>
          <w:rFonts w:ascii="Arial" w:cs="Arial" w:eastAsia="Arial" w:hAnsi="Arial"/>
          <w:sz w:val="17"/>
          <w:szCs w:val="17"/>
          <w:b w:val="1"/>
          <w:bCs w:val="1"/>
          <w:i w:val="1"/>
          <w:iCs w:val="1"/>
          <w:color w:val="auto"/>
        </w:rPr>
        <w:t>Stockholder Rights Plan</w:t>
      </w:r>
    </w:p>
    <w:p>
      <w:pPr>
        <w:ind w:left="500" w:right="40"/>
        <w:spacing w:after="0" w:line="251" w:lineRule="auto"/>
        <w:rPr>
          <w:rFonts w:ascii="Arial" w:cs="Arial" w:eastAsia="Arial" w:hAnsi="Arial"/>
          <w:sz w:val="17"/>
          <w:szCs w:val="17"/>
          <w:b w:val="1"/>
          <w:bCs w:val="1"/>
          <w:color w:val="auto"/>
        </w:rPr>
      </w:pPr>
      <w:r>
        <w:rPr>
          <w:rFonts w:ascii="Arial" w:cs="Arial" w:eastAsia="Arial" w:hAnsi="Arial"/>
          <w:sz w:val="18"/>
          <w:szCs w:val="18"/>
          <w:color w:val="auto"/>
        </w:rPr>
        <w:t>In January 2018, the Company’s Board of Directors authorized the adoption of a short-term stockholder rights plan. Effective April 16, 2018 the Company terminated the rights plan. Pursuant to the rights plan, the Company declared a dividend of one preferred share purchase right for each outstanding share of common stock, payable to holders of record as of the close of business on January 26, 2018. Each right, which was exercisable only in the event any person or group were to acquire beneficial ownership of 15% or more of the Company’s outstanding common stock (with certain limited exceptions), would have entitled any holder other than the person or group whose ownership position had exceeded the ownership limit to purchase common stock having a value equal to twice the $100 exercise price of the right, or, at the election of the Board of Directors, to exchange each right for one share of common stock (subject to adjustment). On April 16, 2018, the Company also entered into a new cooperation agreement with SRS Investment Management LLC and certain of its affiliates.</w:t>
      </w:r>
    </w:p>
    <w:p>
      <w:pPr>
        <w:spacing w:after="0" w:line="190" w:lineRule="exact"/>
        <w:rPr>
          <w:rFonts w:ascii="Arial" w:cs="Arial" w:eastAsia="Arial" w:hAnsi="Arial"/>
          <w:sz w:val="17"/>
          <w:szCs w:val="17"/>
          <w:b w:val="1"/>
          <w:bCs w:val="1"/>
          <w:color w:val="auto"/>
        </w:rPr>
      </w:pPr>
    </w:p>
    <w:p>
      <w:pPr>
        <w:ind w:left="500"/>
        <w:spacing w:after="0"/>
        <w:rPr>
          <w:rFonts w:ascii="Arial" w:cs="Arial" w:eastAsia="Arial" w:hAnsi="Arial"/>
          <w:sz w:val="17"/>
          <w:szCs w:val="17"/>
          <w:b w:val="1"/>
          <w:bCs w:val="1"/>
          <w:color w:val="auto"/>
        </w:rPr>
      </w:pPr>
      <w:r>
        <w:rPr>
          <w:rFonts w:ascii="Arial" w:cs="Arial" w:eastAsia="Arial" w:hAnsi="Arial"/>
          <w:sz w:val="18"/>
          <w:szCs w:val="18"/>
          <w:b w:val="1"/>
          <w:bCs w:val="1"/>
          <w:i w:val="1"/>
          <w:iCs w:val="1"/>
          <w:color w:val="auto"/>
        </w:rPr>
        <w:t>Share Repurchases</w:t>
      </w:r>
    </w:p>
    <w:p>
      <w:pPr>
        <w:spacing w:after="0" w:line="247" w:lineRule="exact"/>
        <w:rPr>
          <w:rFonts w:ascii="Arial" w:cs="Arial" w:eastAsia="Arial" w:hAnsi="Arial"/>
          <w:sz w:val="17"/>
          <w:szCs w:val="17"/>
          <w:b w:val="1"/>
          <w:bCs w:val="1"/>
          <w:color w:val="auto"/>
        </w:rPr>
      </w:pPr>
    </w:p>
    <w:p>
      <w:pPr>
        <w:ind w:left="500" w:right="80"/>
        <w:spacing w:after="0" w:line="252" w:lineRule="auto"/>
        <w:rPr>
          <w:rFonts w:ascii="Arial" w:cs="Arial" w:eastAsia="Arial" w:hAnsi="Arial"/>
          <w:sz w:val="17"/>
          <w:szCs w:val="17"/>
          <w:b w:val="1"/>
          <w:bCs w:val="1"/>
          <w:color w:val="auto"/>
        </w:rPr>
      </w:pPr>
      <w:r>
        <w:rPr>
          <w:rFonts w:ascii="Arial" w:cs="Arial" w:eastAsia="Arial" w:hAnsi="Arial"/>
          <w:sz w:val="18"/>
          <w:szCs w:val="18"/>
          <w:color w:val="auto"/>
        </w:rPr>
        <w:t>The Company’s Board of Directors has authorized the repurchase of up to $1.5 billion of its common stock under a plan originally approved in 2013 and subsequently expanded, most recently in 2016. During the six months ended June 30, 2018, the Company repurchased approximately 1.6 million shares of common stock at a cost of approximately $67 million under the program. During the six months ended June 30, 2017, the Company repurchased approximately 3.4 million shares of common stock at a cost of approximately $100 million under the program. As of June 30, 2018, approximately $33 million of authorization remains available to repurchase common stock under this plan. In August 2018, the Company’s Board of Directors increased the Company’s share repurchase program authorization by $250 million.</w:t>
      </w:r>
    </w:p>
    <w:p>
      <w:pPr>
        <w:spacing w:after="0" w:line="185" w:lineRule="exact"/>
        <w:rPr>
          <w:rFonts w:ascii="Arial" w:cs="Arial" w:eastAsia="Arial" w:hAnsi="Arial"/>
          <w:sz w:val="17"/>
          <w:szCs w:val="17"/>
          <w:b w:val="1"/>
          <w:bCs w:val="1"/>
          <w:color w:val="auto"/>
        </w:rPr>
      </w:pPr>
    </w:p>
    <w:p>
      <w:pPr>
        <w:ind w:left="500"/>
        <w:spacing w:after="0"/>
        <w:rPr>
          <w:rFonts w:ascii="Arial" w:cs="Arial" w:eastAsia="Arial" w:hAnsi="Arial"/>
          <w:sz w:val="17"/>
          <w:szCs w:val="17"/>
          <w:b w:val="1"/>
          <w:bCs w:val="1"/>
          <w:color w:val="auto"/>
        </w:rPr>
      </w:pPr>
      <w:r>
        <w:rPr>
          <w:rFonts w:ascii="Arial" w:cs="Arial" w:eastAsia="Arial" w:hAnsi="Arial"/>
          <w:sz w:val="18"/>
          <w:szCs w:val="18"/>
          <w:b w:val="1"/>
          <w:bCs w:val="1"/>
          <w:i w:val="1"/>
          <w:iCs w:val="1"/>
          <w:color w:val="auto"/>
        </w:rPr>
        <w:t>Total Comprehensive Income (Loss)</w:t>
      </w:r>
    </w:p>
    <w:p>
      <w:pPr>
        <w:spacing w:after="0" w:line="247" w:lineRule="exact"/>
        <w:rPr>
          <w:rFonts w:ascii="Arial" w:cs="Arial" w:eastAsia="Arial" w:hAnsi="Arial"/>
          <w:sz w:val="17"/>
          <w:szCs w:val="17"/>
          <w:b w:val="1"/>
          <w:bCs w:val="1"/>
          <w:color w:val="auto"/>
        </w:rPr>
      </w:pPr>
    </w:p>
    <w:p>
      <w:pPr>
        <w:ind w:left="500"/>
        <w:spacing w:after="0" w:line="262" w:lineRule="auto"/>
        <w:rPr>
          <w:rFonts w:ascii="Arial" w:cs="Arial" w:eastAsia="Arial" w:hAnsi="Arial"/>
          <w:sz w:val="17"/>
          <w:szCs w:val="17"/>
          <w:b w:val="1"/>
          <w:bCs w:val="1"/>
          <w:color w:val="auto"/>
        </w:rPr>
      </w:pPr>
      <w:r>
        <w:rPr>
          <w:rFonts w:ascii="Arial" w:cs="Arial" w:eastAsia="Arial" w:hAnsi="Arial"/>
          <w:sz w:val="18"/>
          <w:szCs w:val="18"/>
          <w:color w:val="auto"/>
        </w:rPr>
        <w:t>Comprehensive income consists of net income and other gains and losses affecting stockholders’ equity that, under GAAP, are excluded from net income.</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other comprehensive income (loss) were as follows:</w:t>
      </w:r>
    </w:p>
    <w:p>
      <w:pPr>
        <w:spacing w:after="0" w:line="145"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4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5"/>
          </w:tcPr>
          <w:p>
            <w:pPr>
              <w:ind w:left="26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8"/>
                <w:szCs w:val="18"/>
                <w:color w:val="auto"/>
              </w:rPr>
            </w:pPr>
          </w:p>
        </w:tc>
        <w:tc>
          <w:tcPr>
            <w:tcW w:w="266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Six Months Ended</w:t>
            </w:r>
          </w:p>
        </w:tc>
      </w:tr>
      <w:tr>
        <w:trPr>
          <w:trHeight w:val="246"/>
        </w:trPr>
        <w:tc>
          <w:tcPr>
            <w:tcW w:w="4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1"/>
                <w:szCs w:val="21"/>
                <w:color w:val="auto"/>
              </w:rPr>
            </w:pPr>
          </w:p>
        </w:tc>
      </w:tr>
      <w:tr>
        <w:trPr>
          <w:trHeight w:val="264"/>
        </w:trPr>
        <w:tc>
          <w:tcPr>
            <w:tcW w:w="42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r>
      <w:tr>
        <w:trPr>
          <w:trHeight w:val="243"/>
        </w:trPr>
        <w:tc>
          <w:tcPr>
            <w:tcW w:w="4280" w:type="dxa"/>
            <w:vAlign w:val="bottom"/>
          </w:tcPr>
          <w:p>
            <w:pPr>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0"/>
        </w:trPr>
        <w:tc>
          <w:tcPr>
            <w:tcW w:w="42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42"/>
        </w:trPr>
        <w:tc>
          <w:tcPr>
            <w:tcW w:w="4280" w:type="dxa"/>
            <w:vAlign w:val="bottom"/>
          </w:tcPr>
          <w:p>
            <w:pPr>
              <w:ind w:left="100"/>
              <w:spacing w:after="0"/>
              <w:rPr>
                <w:sz w:val="20"/>
                <w:szCs w:val="20"/>
                <w:color w:val="auto"/>
              </w:rPr>
            </w:pPr>
            <w:r>
              <w:rPr>
                <w:rFonts w:ascii="Arial" w:cs="Arial" w:eastAsia="Arial" w:hAnsi="Arial"/>
                <w:sz w:val="18"/>
                <w:szCs w:val="18"/>
                <w:color w:val="auto"/>
              </w:rPr>
              <w:t>Currency translation adjustments (net of tax of</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17"/>
        </w:trPr>
        <w:tc>
          <w:tcPr>
            <w:tcW w:w="4280" w:type="dxa"/>
            <w:vAlign w:val="bottom"/>
          </w:tcPr>
          <w:p>
            <w:pPr>
              <w:ind w:left="280"/>
              <w:spacing w:after="0"/>
              <w:rPr>
                <w:sz w:val="20"/>
                <w:szCs w:val="20"/>
                <w:color w:val="auto"/>
              </w:rPr>
            </w:pPr>
            <w:r>
              <w:rPr>
                <w:rFonts w:ascii="Arial" w:cs="Arial" w:eastAsia="Arial" w:hAnsi="Arial"/>
                <w:sz w:val="18"/>
                <w:szCs w:val="18"/>
                <w:color w:val="auto"/>
              </w:rPr>
              <w:t>$(10), $17, $(5) and $20, respectively)</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73</w:t>
            </w:r>
          </w:p>
        </w:tc>
      </w:tr>
      <w:tr>
        <w:trPr>
          <w:trHeight w:val="242"/>
        </w:trPr>
        <w:tc>
          <w:tcPr>
            <w:tcW w:w="4280" w:type="dxa"/>
            <w:vAlign w:val="bottom"/>
          </w:tcPr>
          <w:p>
            <w:pPr>
              <w:ind w:left="100"/>
              <w:spacing w:after="0"/>
              <w:rPr>
                <w:sz w:val="20"/>
                <w:szCs w:val="20"/>
                <w:color w:val="auto"/>
              </w:rPr>
            </w:pPr>
            <w:r>
              <w:rPr>
                <w:rFonts w:ascii="Arial" w:cs="Arial" w:eastAsia="Arial" w:hAnsi="Arial"/>
                <w:sz w:val="18"/>
                <w:szCs w:val="18"/>
                <w:color w:val="auto"/>
              </w:rPr>
              <w:t>Net unrealized gain (loss) on available-for-sale</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17"/>
        </w:trPr>
        <w:tc>
          <w:tcPr>
            <w:tcW w:w="4280" w:type="dxa"/>
            <w:vAlign w:val="bottom"/>
          </w:tcPr>
          <w:p>
            <w:pPr>
              <w:ind w:left="280"/>
              <w:spacing w:after="0"/>
              <w:rPr>
                <w:sz w:val="20"/>
                <w:szCs w:val="20"/>
                <w:color w:val="auto"/>
              </w:rPr>
            </w:pPr>
            <w:r>
              <w:rPr>
                <w:rFonts w:ascii="Arial" w:cs="Arial" w:eastAsia="Arial" w:hAnsi="Arial"/>
                <w:sz w:val="18"/>
                <w:szCs w:val="18"/>
                <w:color w:val="auto"/>
              </w:rPr>
              <w:t>securities (net of tax of $0 in each period)</w:t>
            </w:r>
          </w:p>
        </w:tc>
        <w:tc>
          <w:tcPr>
            <w:tcW w:w="3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42"/>
        </w:trPr>
        <w:tc>
          <w:tcPr>
            <w:tcW w:w="4280" w:type="dxa"/>
            <w:vAlign w:val="bottom"/>
          </w:tcPr>
          <w:p>
            <w:pPr>
              <w:ind w:left="100"/>
              <w:spacing w:after="0"/>
              <w:rPr>
                <w:sz w:val="20"/>
                <w:szCs w:val="20"/>
                <w:color w:val="auto"/>
              </w:rPr>
            </w:pPr>
            <w:r>
              <w:rPr>
                <w:rFonts w:ascii="Arial" w:cs="Arial" w:eastAsia="Arial" w:hAnsi="Arial"/>
                <w:sz w:val="18"/>
                <w:szCs w:val="18"/>
                <w:color w:val="auto"/>
              </w:rPr>
              <w:t>Net unrealized gain (loss) on cash flow hedges (net</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17"/>
        </w:trPr>
        <w:tc>
          <w:tcPr>
            <w:tcW w:w="4280" w:type="dxa"/>
            <w:vAlign w:val="bottom"/>
          </w:tcPr>
          <w:p>
            <w:pPr>
              <w:ind w:left="280"/>
              <w:spacing w:after="0"/>
              <w:rPr>
                <w:sz w:val="20"/>
                <w:szCs w:val="20"/>
                <w:color w:val="auto"/>
              </w:rPr>
            </w:pPr>
            <w:r>
              <w:rPr>
                <w:rFonts w:ascii="Arial" w:cs="Arial" w:eastAsia="Arial" w:hAnsi="Arial"/>
                <w:sz w:val="18"/>
                <w:szCs w:val="18"/>
                <w:color w:val="auto"/>
              </w:rPr>
              <w:t>of tax of $(1), $1, $(3) and $1, respectively)</w:t>
            </w:r>
          </w:p>
        </w:tc>
        <w:tc>
          <w:tcPr>
            <w:tcW w:w="3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2"/>
        </w:trPr>
        <w:tc>
          <w:tcPr>
            <w:tcW w:w="4280" w:type="dxa"/>
            <w:vAlign w:val="bottom"/>
          </w:tcPr>
          <w:p>
            <w:pPr>
              <w:ind w:left="100"/>
              <w:spacing w:after="0"/>
              <w:rPr>
                <w:sz w:val="20"/>
                <w:szCs w:val="20"/>
                <w:color w:val="auto"/>
              </w:rPr>
            </w:pPr>
            <w:r>
              <w:rPr>
                <w:rFonts w:ascii="Arial" w:cs="Arial" w:eastAsia="Arial" w:hAnsi="Arial"/>
                <w:sz w:val="18"/>
                <w:szCs w:val="18"/>
                <w:color w:val="auto"/>
              </w:rPr>
              <w:t>Minimum pension liability adjustment (net of tax of</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24"/>
        </w:trPr>
        <w:tc>
          <w:tcPr>
            <w:tcW w:w="4280" w:type="dxa"/>
            <w:vAlign w:val="bottom"/>
          </w:tcPr>
          <w:p>
            <w:pPr>
              <w:ind w:left="280"/>
              <w:spacing w:after="0"/>
              <w:rPr>
                <w:sz w:val="20"/>
                <w:szCs w:val="20"/>
                <w:color w:val="auto"/>
              </w:rPr>
            </w:pPr>
            <w:r>
              <w:rPr>
                <w:rFonts w:ascii="Arial" w:cs="Arial" w:eastAsia="Arial" w:hAnsi="Arial"/>
                <w:sz w:val="18"/>
                <w:szCs w:val="18"/>
                <w:color w:val="auto"/>
              </w:rPr>
              <w:t>$0, $0, $(1) and $(1), respectively)</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r>
      <w:tr>
        <w:trPr>
          <w:trHeight w:val="250"/>
        </w:trPr>
        <w:tc>
          <w:tcPr>
            <w:tcW w:w="4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w:t>
            </w:r>
          </w:p>
        </w:tc>
      </w:tr>
      <w:tr>
        <w:trPr>
          <w:trHeight w:val="257"/>
        </w:trPr>
        <w:tc>
          <w:tcPr>
            <w:tcW w:w="428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4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440"/>
        </w:trPr>
        <w:tc>
          <w:tcPr>
            <w:tcW w:w="4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340"/>
          </w:cols>
          <w:pgMar w:left="240" w:top="140" w:right="31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Currency translation adjustments exclude income taxes related to indefinite investments in foreign subsidiaries (See Note 9 - Income Taxes).</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accumulated other comprehensive income (loss) were as follows:</w:t>
      </w:r>
    </w:p>
    <w:p>
      <w:pPr>
        <w:spacing w:after="0" w:line="136" w:lineRule="exact"/>
        <w:rPr>
          <w:sz w:val="20"/>
          <w:szCs w:val="20"/>
          <w:color w:val="auto"/>
        </w:rPr>
      </w:pPr>
    </w:p>
    <w:tbl>
      <w:tblPr>
        <w:tblLayout w:type="fixed"/>
        <w:tblInd w:w="500" w:type="dxa"/>
        <w:tblCellMar>
          <w:top w:w="0" w:type="dxa"/>
          <w:left w:w="0" w:type="dxa"/>
          <w:bottom w:w="0" w:type="dxa"/>
          <w:right w:w="0" w:type="dxa"/>
        </w:tblCellMar>
      </w:tblPr>
      <w:tr>
        <w:trPr>
          <w:trHeight w:val="149"/>
        </w:trPr>
        <w:tc>
          <w:tcPr>
            <w:tcW w:w="26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center"/>
              <w:ind w:left="177"/>
              <w:spacing w:after="0"/>
              <w:rPr>
                <w:sz w:val="20"/>
                <w:szCs w:val="20"/>
                <w:color w:val="auto"/>
              </w:rPr>
            </w:pPr>
            <w:r>
              <w:rPr>
                <w:rFonts w:ascii="Arial" w:cs="Arial" w:eastAsia="Arial" w:hAnsi="Arial"/>
                <w:sz w:val="13"/>
                <w:szCs w:val="13"/>
                <w:b w:val="1"/>
                <w:bCs w:val="1"/>
                <w:color w:val="auto"/>
                <w:w w:val="95"/>
              </w:rPr>
              <w:t>Net Unrealized</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4"/>
              </w:rPr>
              <w:t>Minimum</w:t>
            </w:r>
          </w:p>
        </w:tc>
        <w:tc>
          <w:tcPr>
            <w:tcW w:w="160" w:type="dxa"/>
            <w:vAlign w:val="bottom"/>
          </w:tcPr>
          <w:p>
            <w:pPr>
              <w:spacing w:after="0"/>
              <w:rPr>
                <w:sz w:val="13"/>
                <w:szCs w:val="13"/>
                <w:color w:val="auto"/>
              </w:rPr>
            </w:pPr>
          </w:p>
        </w:tc>
        <w:tc>
          <w:tcPr>
            <w:tcW w:w="1260" w:type="dxa"/>
            <w:vAlign w:val="bottom"/>
          </w:tcPr>
          <w:p>
            <w:pPr>
              <w:jc w:val="center"/>
              <w:ind w:right="97"/>
              <w:spacing w:after="0"/>
              <w:rPr>
                <w:sz w:val="20"/>
                <w:szCs w:val="20"/>
                <w:color w:val="auto"/>
              </w:rPr>
            </w:pPr>
            <w:r>
              <w:rPr>
                <w:rFonts w:ascii="Arial" w:cs="Arial" w:eastAsia="Arial" w:hAnsi="Arial"/>
                <w:sz w:val="13"/>
                <w:szCs w:val="13"/>
                <w:b w:val="1"/>
                <w:bCs w:val="1"/>
                <w:color w:val="auto"/>
                <w:w w:val="95"/>
              </w:rPr>
              <w:t>Accumulated</w:t>
            </w: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1120" w:type="dxa"/>
            <w:vAlign w:val="bottom"/>
          </w:tcPr>
          <w:p>
            <w:pPr>
              <w:jc w:val="center"/>
              <w:ind w:left="237"/>
              <w:spacing w:after="0" w:line="135" w:lineRule="exact"/>
              <w:rPr>
                <w:sz w:val="20"/>
                <w:szCs w:val="20"/>
                <w:color w:val="auto"/>
              </w:rPr>
            </w:pPr>
            <w:r>
              <w:rPr>
                <w:rFonts w:ascii="Arial" w:cs="Arial" w:eastAsia="Arial" w:hAnsi="Arial"/>
                <w:sz w:val="13"/>
                <w:szCs w:val="13"/>
                <w:b w:val="1"/>
                <w:bCs w:val="1"/>
                <w:color w:val="auto"/>
                <w:w w:val="94"/>
              </w:rPr>
              <w:t>Currency</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center"/>
              <w:ind w:left="177"/>
              <w:spacing w:after="0" w:line="135" w:lineRule="exact"/>
              <w:rPr>
                <w:sz w:val="20"/>
                <w:szCs w:val="20"/>
                <w:color w:val="auto"/>
              </w:rPr>
            </w:pPr>
            <w:r>
              <w:rPr>
                <w:rFonts w:ascii="Arial" w:cs="Arial" w:eastAsia="Arial" w:hAnsi="Arial"/>
                <w:sz w:val="13"/>
                <w:szCs w:val="13"/>
                <w:b w:val="1"/>
                <w:bCs w:val="1"/>
                <w:color w:val="auto"/>
                <w:w w:val="96"/>
              </w:rPr>
              <w:t>Gains (Losses)</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96"/>
              </w:rPr>
              <w:t>Net Unrealized Gains</w:t>
            </w:r>
          </w:p>
        </w:tc>
        <w:tc>
          <w:tcPr>
            <w:tcW w:w="200" w:type="dxa"/>
            <w:vAlign w:val="bottom"/>
          </w:tcPr>
          <w:p>
            <w:pPr>
              <w:spacing w:after="0"/>
              <w:rPr>
                <w:sz w:val="11"/>
                <w:szCs w:val="11"/>
                <w:color w:val="auto"/>
              </w:rPr>
            </w:pPr>
          </w:p>
        </w:tc>
        <w:tc>
          <w:tcPr>
            <w:tcW w:w="13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8"/>
              </w:rPr>
              <w:t>Pension</w:t>
            </w:r>
          </w:p>
        </w:tc>
        <w:tc>
          <w:tcPr>
            <w:tcW w:w="160" w:type="dxa"/>
            <w:vAlign w:val="bottom"/>
          </w:tcPr>
          <w:p>
            <w:pPr>
              <w:spacing w:after="0"/>
              <w:rPr>
                <w:sz w:val="11"/>
                <w:szCs w:val="11"/>
                <w:color w:val="auto"/>
              </w:rPr>
            </w:pPr>
          </w:p>
        </w:tc>
        <w:tc>
          <w:tcPr>
            <w:tcW w:w="126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7"/>
              </w:rPr>
              <w:t>Other</w:t>
            </w: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1120" w:type="dxa"/>
            <w:vAlign w:val="bottom"/>
          </w:tcPr>
          <w:p>
            <w:pPr>
              <w:jc w:val="center"/>
              <w:ind w:left="237"/>
              <w:spacing w:after="0" w:line="135" w:lineRule="exact"/>
              <w:rPr>
                <w:sz w:val="20"/>
                <w:szCs w:val="20"/>
                <w:color w:val="auto"/>
              </w:rPr>
            </w:pPr>
            <w:r>
              <w:rPr>
                <w:rFonts w:ascii="Arial" w:cs="Arial" w:eastAsia="Arial" w:hAnsi="Arial"/>
                <w:sz w:val="13"/>
                <w:szCs w:val="13"/>
                <w:b w:val="1"/>
                <w:bCs w:val="1"/>
                <w:color w:val="auto"/>
                <w:w w:val="94"/>
              </w:rPr>
              <w:t>Translation</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center"/>
              <w:ind w:left="177"/>
              <w:spacing w:after="0" w:line="135" w:lineRule="exact"/>
              <w:rPr>
                <w:sz w:val="20"/>
                <w:szCs w:val="20"/>
                <w:color w:val="auto"/>
              </w:rPr>
            </w:pPr>
            <w:r>
              <w:rPr>
                <w:rFonts w:ascii="Arial" w:cs="Arial" w:eastAsia="Arial" w:hAnsi="Arial"/>
                <w:sz w:val="13"/>
                <w:szCs w:val="13"/>
                <w:b w:val="1"/>
                <w:bCs w:val="1"/>
                <w:color w:val="auto"/>
                <w:w w:val="96"/>
              </w:rPr>
              <w:t>on Cash Flow</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(Losses) on Available-</w:t>
            </w:r>
          </w:p>
        </w:tc>
        <w:tc>
          <w:tcPr>
            <w:tcW w:w="200" w:type="dxa"/>
            <w:vAlign w:val="bottom"/>
          </w:tcPr>
          <w:p>
            <w:pPr>
              <w:spacing w:after="0"/>
              <w:rPr>
                <w:sz w:val="11"/>
                <w:szCs w:val="11"/>
                <w:color w:val="auto"/>
              </w:rPr>
            </w:pPr>
          </w:p>
        </w:tc>
        <w:tc>
          <w:tcPr>
            <w:tcW w:w="13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3"/>
              </w:rPr>
              <w:t>Liability</w:t>
            </w:r>
          </w:p>
        </w:tc>
        <w:tc>
          <w:tcPr>
            <w:tcW w:w="160" w:type="dxa"/>
            <w:vAlign w:val="bottom"/>
          </w:tcPr>
          <w:p>
            <w:pPr>
              <w:spacing w:after="0"/>
              <w:rPr>
                <w:sz w:val="11"/>
                <w:szCs w:val="11"/>
                <w:color w:val="auto"/>
              </w:rPr>
            </w:pPr>
          </w:p>
        </w:tc>
        <w:tc>
          <w:tcPr>
            <w:tcW w:w="126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0" w:type="dxa"/>
            <w:vAlign w:val="bottom"/>
          </w:tcPr>
          <w:p>
            <w:pPr>
              <w:spacing w:after="0"/>
              <w:rPr>
                <w:sz w:val="1"/>
                <w:szCs w:val="1"/>
                <w:color w:val="auto"/>
              </w:rPr>
            </w:pPr>
          </w:p>
        </w:tc>
      </w:tr>
      <w:tr>
        <w:trPr>
          <w:trHeight w:val="178"/>
        </w:trPr>
        <w:tc>
          <w:tcPr>
            <w:tcW w:w="2660" w:type="dxa"/>
            <w:vAlign w:val="bottom"/>
          </w:tcPr>
          <w:p>
            <w:pPr>
              <w:spacing w:after="0"/>
              <w:rPr>
                <w:sz w:val="15"/>
                <w:szCs w:val="15"/>
                <w:color w:val="auto"/>
              </w:rPr>
            </w:pPr>
          </w:p>
        </w:tc>
        <w:tc>
          <w:tcPr>
            <w:tcW w:w="1120" w:type="dxa"/>
            <w:vAlign w:val="bottom"/>
          </w:tcPr>
          <w:p>
            <w:pPr>
              <w:jc w:val="center"/>
              <w:ind w:left="237"/>
              <w:spacing w:after="0"/>
              <w:rPr>
                <w:sz w:val="20"/>
                <w:szCs w:val="20"/>
                <w:color w:val="auto"/>
              </w:rPr>
            </w:pPr>
            <w:r>
              <w:rPr>
                <w:rFonts w:ascii="Arial" w:cs="Arial" w:eastAsia="Arial" w:hAnsi="Arial"/>
                <w:sz w:val="13"/>
                <w:szCs w:val="13"/>
                <w:b w:val="1"/>
                <w:bCs w:val="1"/>
                <w:color w:val="auto"/>
                <w:w w:val="99"/>
              </w:rPr>
              <w:t>Adjustments</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center"/>
              <w:ind w:left="177"/>
              <w:spacing w:after="0"/>
              <w:rPr>
                <w:sz w:val="20"/>
                <w:szCs w:val="20"/>
                <w:color w:val="auto"/>
              </w:rPr>
            </w:pPr>
            <w:r>
              <w:rPr>
                <w:rFonts w:ascii="Arial" w:cs="Arial" w:eastAsia="Arial" w:hAnsi="Arial"/>
                <w:sz w:val="13"/>
                <w:szCs w:val="13"/>
                <w:b w:val="1"/>
                <w:bCs w:val="1"/>
                <w:color w:val="auto"/>
              </w:rPr>
              <w:t>Hedges</w:t>
            </w:r>
            <w:r>
              <w:rPr>
                <w:rFonts w:ascii="Arial" w:cs="Arial" w:eastAsia="Arial" w:hAnsi="Arial"/>
                <w:sz w:val="8"/>
                <w:szCs w:val="8"/>
                <w:b w:val="1"/>
                <w:bCs w:val="1"/>
                <w:color w:val="auto"/>
              </w:rPr>
              <w:t>(a)</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for Sale Securities</w:t>
            </w:r>
          </w:p>
        </w:tc>
        <w:tc>
          <w:tcPr>
            <w:tcW w:w="20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Adjustment</w:t>
            </w:r>
            <w:r>
              <w:rPr>
                <w:rFonts w:ascii="Arial" w:cs="Arial" w:eastAsia="Arial" w:hAnsi="Arial"/>
                <w:sz w:val="8"/>
                <w:szCs w:val="8"/>
                <w:b w:val="1"/>
                <w:bCs w:val="1"/>
                <w:color w:val="auto"/>
              </w:rPr>
              <w:t>(b)</w:t>
            </w:r>
          </w:p>
        </w:tc>
        <w:tc>
          <w:tcPr>
            <w:tcW w:w="160" w:type="dxa"/>
            <w:vAlign w:val="bottom"/>
          </w:tcPr>
          <w:p>
            <w:pPr>
              <w:spacing w:after="0"/>
              <w:rPr>
                <w:sz w:val="15"/>
                <w:szCs w:val="15"/>
                <w:color w:val="auto"/>
              </w:rPr>
            </w:pPr>
          </w:p>
        </w:tc>
        <w:tc>
          <w:tcPr>
            <w:tcW w:w="1260" w:type="dxa"/>
            <w:vAlign w:val="bottom"/>
          </w:tcPr>
          <w:p>
            <w:pPr>
              <w:jc w:val="center"/>
              <w:ind w:right="97"/>
              <w:spacing w:after="0"/>
              <w:rPr>
                <w:sz w:val="20"/>
                <w:szCs w:val="20"/>
                <w:color w:val="auto"/>
              </w:rPr>
            </w:pPr>
            <w:r>
              <w:rPr>
                <w:rFonts w:ascii="Arial" w:cs="Arial" w:eastAsia="Arial" w:hAnsi="Arial"/>
                <w:sz w:val="13"/>
                <w:szCs w:val="13"/>
                <w:b w:val="1"/>
                <w:bCs w:val="1"/>
                <w:color w:val="auto"/>
                <w:w w:val="97"/>
              </w:rPr>
              <w:t>Income (Loss)</w:t>
            </w:r>
          </w:p>
        </w:tc>
        <w:tc>
          <w:tcPr>
            <w:tcW w:w="0" w:type="dxa"/>
            <w:vAlign w:val="bottom"/>
          </w:tcPr>
          <w:p>
            <w:pPr>
              <w:spacing w:after="0"/>
              <w:rPr>
                <w:sz w:val="1"/>
                <w:szCs w:val="1"/>
                <w:color w:val="auto"/>
              </w:rPr>
            </w:pPr>
          </w:p>
        </w:tc>
      </w:tr>
      <w:tr>
        <w:trPr>
          <w:trHeight w:val="241"/>
        </w:trPr>
        <w:tc>
          <w:tcPr>
            <w:tcW w:w="2660" w:type="dxa"/>
            <w:vAlign w:val="bottom"/>
          </w:tcPr>
          <w:p>
            <w:pPr>
              <w:ind w:left="20"/>
              <w:spacing w:after="0"/>
              <w:rPr>
                <w:sz w:val="20"/>
                <w:szCs w:val="20"/>
                <w:color w:val="auto"/>
              </w:rPr>
            </w:pPr>
            <w:r>
              <w:rPr>
                <w:rFonts w:ascii="Arial" w:cs="Arial" w:eastAsia="Arial" w:hAnsi="Arial"/>
                <w:sz w:val="13"/>
                <w:szCs w:val="13"/>
                <w:color w:val="auto"/>
              </w:rPr>
              <w:t>Balance, December 31, 2017</w:t>
            </w:r>
          </w:p>
        </w:tc>
        <w:tc>
          <w:tcPr>
            <w:tcW w:w="1120" w:type="dxa"/>
            <w:vAlign w:val="bottom"/>
            <w:tcBorders>
              <w:top w:val="single" w:sz="8" w:color="auto"/>
            </w:tcBorders>
          </w:tcPr>
          <w:p>
            <w:pPr>
              <w:jc w:val="right"/>
              <w:ind w:right="957"/>
              <w:spacing w:after="0"/>
              <w:rPr>
                <w:sz w:val="20"/>
                <w:szCs w:val="20"/>
                <w:color w:val="auto"/>
              </w:rPr>
            </w:pPr>
            <w:r>
              <w:rPr>
                <w:rFonts w:ascii="Arial" w:cs="Arial" w:eastAsia="Arial" w:hAnsi="Arial"/>
                <w:sz w:val="13"/>
                <w:szCs w:val="13"/>
                <w:color w:val="auto"/>
              </w:rPr>
              <w:t>$</w:t>
            </w:r>
          </w:p>
        </w:tc>
        <w:tc>
          <w:tcPr>
            <w:tcW w:w="30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71</w:t>
            </w:r>
          </w:p>
        </w:tc>
        <w:tc>
          <w:tcPr>
            <w:tcW w:w="120" w:type="dxa"/>
            <w:vAlign w:val="bottom"/>
          </w:tcPr>
          <w:p>
            <w:pPr>
              <w:spacing w:after="0"/>
              <w:rPr>
                <w:sz w:val="20"/>
                <w:szCs w:val="20"/>
                <w:color w:val="auto"/>
              </w:rPr>
            </w:pPr>
          </w:p>
        </w:tc>
        <w:tc>
          <w:tcPr>
            <w:tcW w:w="1180" w:type="dxa"/>
            <w:vAlign w:val="bottom"/>
            <w:tcBorders>
              <w:top w:val="single" w:sz="8" w:color="auto"/>
            </w:tcBorders>
          </w:tcPr>
          <w:p>
            <w:pPr>
              <w:jc w:val="right"/>
              <w:ind w:right="1017"/>
              <w:spacing w:after="0"/>
              <w:rPr>
                <w:sz w:val="20"/>
                <w:szCs w:val="20"/>
                <w:color w:val="auto"/>
              </w:rPr>
            </w:pPr>
            <w:r>
              <w:rPr>
                <w:rFonts w:ascii="Arial" w:cs="Arial" w:eastAsia="Arial" w:hAnsi="Arial"/>
                <w:sz w:val="13"/>
                <w:szCs w:val="13"/>
                <w:color w:val="auto"/>
              </w:rPr>
              <w:t>$</w:t>
            </w:r>
          </w:p>
        </w:tc>
        <w:tc>
          <w:tcPr>
            <w:tcW w:w="24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280"/>
        </w:trPr>
        <w:tc>
          <w:tcPr>
            <w:tcW w:w="2660" w:type="dxa"/>
            <w:vAlign w:val="bottom"/>
          </w:tcPr>
          <w:p>
            <w:pPr>
              <w:ind w:left="120"/>
              <w:spacing w:after="0"/>
              <w:rPr>
                <w:sz w:val="20"/>
                <w:szCs w:val="20"/>
                <w:color w:val="auto"/>
              </w:rPr>
            </w:pPr>
            <w:r>
              <w:rPr>
                <w:rFonts w:ascii="Arial" w:cs="Arial" w:eastAsia="Arial" w:hAnsi="Arial"/>
                <w:sz w:val="13"/>
                <w:szCs w:val="13"/>
                <w:color w:val="auto"/>
              </w:rPr>
              <w:t xml:space="preserve">Cumulative effect of accounting change </w:t>
            </w:r>
            <w:r>
              <w:rPr>
                <w:rFonts w:ascii="Arial" w:cs="Arial" w:eastAsia="Arial" w:hAnsi="Arial"/>
                <w:sz w:val="8"/>
                <w:szCs w:val="8"/>
                <w:color w:val="auto"/>
              </w:rPr>
              <w:t>(c)</w:t>
            </w:r>
          </w:p>
        </w:tc>
        <w:tc>
          <w:tcPr>
            <w:tcW w:w="1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250"/>
        </w:trPr>
        <w:tc>
          <w:tcPr>
            <w:tcW w:w="2660" w:type="dxa"/>
            <w:vAlign w:val="bottom"/>
          </w:tcPr>
          <w:p>
            <w:pPr>
              <w:ind w:left="20"/>
              <w:spacing w:after="0"/>
              <w:rPr>
                <w:sz w:val="20"/>
                <w:szCs w:val="20"/>
                <w:color w:val="auto"/>
              </w:rPr>
            </w:pPr>
            <w:r>
              <w:rPr>
                <w:rFonts w:ascii="Arial" w:cs="Arial" w:eastAsia="Arial" w:hAnsi="Arial"/>
                <w:sz w:val="13"/>
                <w:szCs w:val="13"/>
                <w:color w:val="auto"/>
              </w:rPr>
              <w:t>Balance, January 1, 2018</w:t>
            </w:r>
          </w:p>
        </w:tc>
        <w:tc>
          <w:tcPr>
            <w:tcW w:w="1120" w:type="dxa"/>
            <w:vAlign w:val="bottom"/>
          </w:tcPr>
          <w:p>
            <w:pPr>
              <w:jc w:val="right"/>
              <w:ind w:right="957"/>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17"/>
              <w:spacing w:after="0"/>
              <w:rPr>
                <w:sz w:val="20"/>
                <w:szCs w:val="20"/>
                <w:color w:val="auto"/>
              </w:rPr>
            </w:pPr>
            <w:r>
              <w:rPr>
                <w:rFonts w:ascii="Arial" w:cs="Arial" w:eastAsia="Arial" w:hAnsi="Arial"/>
                <w:sz w:val="13"/>
                <w:szCs w:val="13"/>
                <w:color w:val="auto"/>
              </w:rPr>
              <w:t>78</w:t>
            </w:r>
          </w:p>
        </w:tc>
        <w:tc>
          <w:tcPr>
            <w:tcW w:w="120" w:type="dxa"/>
            <w:vAlign w:val="bottom"/>
          </w:tcPr>
          <w:p>
            <w:pPr>
              <w:spacing w:after="0"/>
              <w:rPr>
                <w:sz w:val="21"/>
                <w:szCs w:val="21"/>
                <w:color w:val="auto"/>
              </w:rPr>
            </w:pPr>
          </w:p>
        </w:tc>
        <w:tc>
          <w:tcPr>
            <w:tcW w:w="1180" w:type="dxa"/>
            <w:vAlign w:val="bottom"/>
          </w:tcPr>
          <w:p>
            <w:pPr>
              <w:jc w:val="right"/>
              <w:ind w:right="1017"/>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1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(114)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43"/>
        </w:trPr>
        <w:tc>
          <w:tcPr>
            <w:tcW w:w="2660" w:type="dxa"/>
            <w:vAlign w:val="bottom"/>
          </w:tcPr>
          <w:p>
            <w:pPr>
              <w:ind w:left="120"/>
              <w:spacing w:after="0" w:line="143" w:lineRule="exact"/>
              <w:rPr>
                <w:sz w:val="20"/>
                <w:szCs w:val="20"/>
                <w:color w:val="auto"/>
              </w:rPr>
            </w:pPr>
            <w:r>
              <w:rPr>
                <w:rFonts w:ascii="Arial" w:cs="Arial" w:eastAsia="Arial" w:hAnsi="Arial"/>
                <w:sz w:val="13"/>
                <w:szCs w:val="13"/>
                <w:color w:val="auto"/>
              </w:rPr>
              <w:t>Other comprehensive income (loss) before</w:t>
            </w:r>
          </w:p>
        </w:tc>
        <w:tc>
          <w:tcPr>
            <w:tcW w:w="1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660" w:type="dxa"/>
            <w:vAlign w:val="bottom"/>
          </w:tcPr>
          <w:p>
            <w:pPr>
              <w:ind w:left="300"/>
              <w:spacing w:after="0"/>
              <w:rPr>
                <w:sz w:val="20"/>
                <w:szCs w:val="20"/>
                <w:color w:val="auto"/>
              </w:rPr>
            </w:pPr>
            <w:r>
              <w:rPr>
                <w:rFonts w:ascii="Arial" w:cs="Arial" w:eastAsia="Arial" w:hAnsi="Arial"/>
                <w:sz w:val="13"/>
                <w:szCs w:val="13"/>
                <w:color w:val="auto"/>
              </w:rPr>
              <w:t>reclassifications</w:t>
            </w:r>
          </w:p>
        </w:tc>
        <w:tc>
          <w:tcPr>
            <w:tcW w:w="112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(53)</w:t>
            </w: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jc w:val="right"/>
              <w:ind w:right="17"/>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22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172"/>
        </w:trPr>
        <w:tc>
          <w:tcPr>
            <w:tcW w:w="2660" w:type="dxa"/>
            <w:vAlign w:val="bottom"/>
          </w:tcPr>
          <w:p>
            <w:pPr>
              <w:ind w:left="120"/>
              <w:spacing w:after="0"/>
              <w:rPr>
                <w:sz w:val="20"/>
                <w:szCs w:val="20"/>
                <w:color w:val="auto"/>
              </w:rPr>
            </w:pPr>
            <w:r>
              <w:rPr>
                <w:rFonts w:ascii="Arial" w:cs="Arial" w:eastAsia="Arial" w:hAnsi="Arial"/>
                <w:sz w:val="13"/>
                <w:szCs w:val="13"/>
                <w:color w:val="auto"/>
              </w:rPr>
              <w:t>Amounts reclassified from accumulated</w:t>
            </w: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tcPr>
          <w:p>
            <w:pPr>
              <w:ind w:left="300"/>
              <w:spacing w:after="0"/>
              <w:rPr>
                <w:sz w:val="20"/>
                <w:szCs w:val="20"/>
                <w:color w:val="auto"/>
              </w:rPr>
            </w:pPr>
            <w:r>
              <w:rPr>
                <w:rFonts w:ascii="Arial" w:cs="Arial" w:eastAsia="Arial" w:hAnsi="Arial"/>
                <w:sz w:val="13"/>
                <w:szCs w:val="13"/>
                <w:color w:val="auto"/>
              </w:rPr>
              <w:t>other comprehensive income (loss)</w:t>
            </w:r>
          </w:p>
        </w:tc>
        <w:tc>
          <w:tcPr>
            <w:tcW w:w="1120" w:type="dxa"/>
            <w:vAlign w:val="bottom"/>
          </w:tcPr>
          <w:p>
            <w:pPr>
              <w:spacing w:after="0"/>
              <w:rPr>
                <w:sz w:val="14"/>
                <w:szCs w:val="14"/>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180" w:type="dxa"/>
            <w:vAlign w:val="bottom"/>
          </w:tcPr>
          <w:p>
            <w:pPr>
              <w:spacing w:after="0"/>
              <w:rPr>
                <w:sz w:val="14"/>
                <w:szCs w:val="14"/>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22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43"/>
        </w:trPr>
        <w:tc>
          <w:tcPr>
            <w:tcW w:w="2660" w:type="dxa"/>
            <w:vAlign w:val="bottom"/>
          </w:tcPr>
          <w:p>
            <w:pPr>
              <w:ind w:left="20"/>
              <w:spacing w:after="0" w:line="143" w:lineRule="exact"/>
              <w:rPr>
                <w:sz w:val="20"/>
                <w:szCs w:val="20"/>
                <w:color w:val="auto"/>
              </w:rPr>
            </w:pPr>
            <w:r>
              <w:rPr>
                <w:rFonts w:ascii="Arial" w:cs="Arial" w:eastAsia="Arial" w:hAnsi="Arial"/>
                <w:sz w:val="13"/>
                <w:szCs w:val="13"/>
                <w:color w:val="auto"/>
              </w:rPr>
              <w:t>Net current-period other comprehensive</w:t>
            </w:r>
          </w:p>
        </w:tc>
        <w:tc>
          <w:tcPr>
            <w:tcW w:w="1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660" w:type="dxa"/>
            <w:vAlign w:val="bottom"/>
          </w:tcPr>
          <w:p>
            <w:pPr>
              <w:ind w:left="180"/>
              <w:spacing w:after="0"/>
              <w:rPr>
                <w:sz w:val="20"/>
                <w:szCs w:val="20"/>
                <w:color w:val="auto"/>
              </w:rPr>
            </w:pPr>
            <w:r>
              <w:rPr>
                <w:rFonts w:ascii="Arial" w:cs="Arial" w:eastAsia="Arial" w:hAnsi="Arial"/>
                <w:sz w:val="13"/>
                <w:szCs w:val="13"/>
                <w:color w:val="auto"/>
              </w:rPr>
              <w:t>income (loss)</w:t>
            </w: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w:t>
            </w:r>
          </w:p>
        </w:tc>
        <w:tc>
          <w:tcPr>
            <w:tcW w:w="12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242"/>
        </w:trPr>
        <w:tc>
          <w:tcPr>
            <w:tcW w:w="2660" w:type="dxa"/>
            <w:vAlign w:val="bottom"/>
          </w:tcPr>
          <w:p>
            <w:pPr>
              <w:ind w:left="20"/>
              <w:spacing w:after="0"/>
              <w:rPr>
                <w:sz w:val="20"/>
                <w:szCs w:val="20"/>
                <w:color w:val="auto"/>
              </w:rPr>
            </w:pPr>
            <w:r>
              <w:rPr>
                <w:rFonts w:ascii="Arial" w:cs="Arial" w:eastAsia="Arial" w:hAnsi="Arial"/>
                <w:sz w:val="13"/>
                <w:szCs w:val="13"/>
                <w:color w:val="auto"/>
              </w:rPr>
              <w:t>Balance, June 30, 2018</w:t>
            </w:r>
          </w:p>
        </w:tc>
        <w:tc>
          <w:tcPr>
            <w:tcW w:w="1120" w:type="dxa"/>
            <w:vAlign w:val="bottom"/>
          </w:tcPr>
          <w:p>
            <w:pPr>
              <w:jc w:val="right"/>
              <w:ind w:right="957"/>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17"/>
              <w:spacing w:after="0"/>
              <w:rPr>
                <w:sz w:val="20"/>
                <w:szCs w:val="20"/>
                <w:color w:val="auto"/>
              </w:rPr>
            </w:pPr>
            <w:r>
              <w:rPr>
                <w:rFonts w:ascii="Arial" w:cs="Arial" w:eastAsia="Arial" w:hAnsi="Arial"/>
                <w:sz w:val="13"/>
                <w:szCs w:val="13"/>
                <w:color w:val="auto"/>
              </w:rPr>
              <w:t>25</w:t>
            </w:r>
          </w:p>
        </w:tc>
        <w:tc>
          <w:tcPr>
            <w:tcW w:w="120" w:type="dxa"/>
            <w:vAlign w:val="bottom"/>
          </w:tcPr>
          <w:p>
            <w:pPr>
              <w:spacing w:after="0"/>
              <w:rPr>
                <w:sz w:val="21"/>
                <w:szCs w:val="21"/>
                <w:color w:val="auto"/>
              </w:rPr>
            </w:pPr>
          </w:p>
        </w:tc>
        <w:tc>
          <w:tcPr>
            <w:tcW w:w="1180" w:type="dxa"/>
            <w:vAlign w:val="bottom"/>
          </w:tcPr>
          <w:p>
            <w:pPr>
              <w:jc w:val="right"/>
              <w:ind w:right="1017"/>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17"/>
              <w:spacing w:after="0"/>
              <w:rPr>
                <w:sz w:val="20"/>
                <w:szCs w:val="20"/>
                <w:color w:val="auto"/>
              </w:rPr>
            </w:pPr>
            <w:r>
              <w:rPr>
                <w:rFonts w:ascii="Arial" w:cs="Arial" w:eastAsia="Arial" w:hAnsi="Arial"/>
                <w:sz w:val="13"/>
                <w:szCs w:val="13"/>
                <w:color w:val="auto"/>
                <w:w w:val="96"/>
              </w:rPr>
              <w:t>14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(111)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(72)</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5"/>
        </w:trPr>
        <w:tc>
          <w:tcPr>
            <w:tcW w:w="2660" w:type="dxa"/>
            <w:vAlign w:val="bottom"/>
          </w:tcPr>
          <w:p>
            <w:pPr>
              <w:ind w:left="20"/>
              <w:spacing w:after="0"/>
              <w:rPr>
                <w:sz w:val="20"/>
                <w:szCs w:val="20"/>
                <w:color w:val="auto"/>
              </w:rPr>
            </w:pPr>
            <w:r>
              <w:rPr>
                <w:rFonts w:ascii="Arial" w:cs="Arial" w:eastAsia="Arial" w:hAnsi="Arial"/>
                <w:sz w:val="13"/>
                <w:szCs w:val="13"/>
                <w:color w:val="auto"/>
              </w:rPr>
              <w:t>Balance, January 1, 2017</w:t>
            </w:r>
          </w:p>
        </w:tc>
        <w:tc>
          <w:tcPr>
            <w:tcW w:w="1120" w:type="dxa"/>
            <w:vAlign w:val="bottom"/>
            <w:tcBorders>
              <w:bottom w:val="single" w:sz="8" w:color="auto"/>
            </w:tcBorders>
          </w:tcPr>
          <w:p>
            <w:pPr>
              <w:jc w:val="right"/>
              <w:ind w:right="957"/>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w:t>
            </w:r>
          </w:p>
        </w:tc>
        <w:tc>
          <w:tcPr>
            <w:tcW w:w="120" w:type="dxa"/>
            <w:vAlign w:val="bottom"/>
          </w:tcPr>
          <w:p>
            <w:pPr>
              <w:spacing w:after="0"/>
              <w:rPr>
                <w:sz w:val="24"/>
                <w:szCs w:val="24"/>
                <w:color w:val="auto"/>
              </w:rPr>
            </w:pPr>
          </w:p>
        </w:tc>
        <w:tc>
          <w:tcPr>
            <w:tcW w:w="1180" w:type="dxa"/>
            <w:vAlign w:val="bottom"/>
            <w:tcBorders>
              <w:bottom w:val="single" w:sz="8" w:color="auto"/>
            </w:tcBorders>
          </w:tcPr>
          <w:p>
            <w:pPr>
              <w:jc w:val="right"/>
              <w:ind w:right="1017"/>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(154)</w:t>
            </w:r>
          </w:p>
        </w:tc>
        <w:tc>
          <w:tcPr>
            <w:tcW w:w="0" w:type="dxa"/>
            <w:vAlign w:val="bottom"/>
          </w:tcPr>
          <w:p>
            <w:pPr>
              <w:spacing w:after="0"/>
              <w:rPr>
                <w:sz w:val="1"/>
                <w:szCs w:val="1"/>
                <w:color w:val="auto"/>
              </w:rPr>
            </w:pPr>
          </w:p>
        </w:tc>
      </w:tr>
      <w:tr>
        <w:trPr>
          <w:trHeight w:val="143"/>
        </w:trPr>
        <w:tc>
          <w:tcPr>
            <w:tcW w:w="2660" w:type="dxa"/>
            <w:vAlign w:val="bottom"/>
          </w:tcPr>
          <w:p>
            <w:pPr>
              <w:ind w:left="120"/>
              <w:spacing w:after="0" w:line="143" w:lineRule="exact"/>
              <w:rPr>
                <w:sz w:val="20"/>
                <w:szCs w:val="20"/>
                <w:color w:val="auto"/>
              </w:rPr>
            </w:pPr>
            <w:r>
              <w:rPr>
                <w:rFonts w:ascii="Arial" w:cs="Arial" w:eastAsia="Arial" w:hAnsi="Arial"/>
                <w:sz w:val="13"/>
                <w:szCs w:val="13"/>
                <w:color w:val="auto"/>
              </w:rPr>
              <w:t>Other comprehensive income (loss) before</w:t>
            </w: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660" w:type="dxa"/>
            <w:vAlign w:val="bottom"/>
          </w:tcPr>
          <w:p>
            <w:pPr>
              <w:ind w:left="300"/>
              <w:spacing w:after="0"/>
              <w:rPr>
                <w:sz w:val="20"/>
                <w:szCs w:val="20"/>
                <w:color w:val="auto"/>
              </w:rPr>
            </w:pPr>
            <w:r>
              <w:rPr>
                <w:rFonts w:ascii="Arial" w:cs="Arial" w:eastAsia="Arial" w:hAnsi="Arial"/>
                <w:sz w:val="13"/>
                <w:szCs w:val="13"/>
                <w:color w:val="auto"/>
              </w:rPr>
              <w:t>reclassifications</w:t>
            </w:r>
          </w:p>
        </w:tc>
        <w:tc>
          <w:tcPr>
            <w:tcW w:w="1120" w:type="dxa"/>
            <w:vAlign w:val="bottom"/>
          </w:tcPr>
          <w:p>
            <w:pPr>
              <w:spacing w:after="0"/>
              <w:rPr>
                <w:sz w:val="13"/>
                <w:szCs w:val="13"/>
                <w:color w:val="auto"/>
              </w:rPr>
            </w:pPr>
          </w:p>
        </w:tc>
        <w:tc>
          <w:tcPr>
            <w:tcW w:w="300" w:type="dxa"/>
            <w:vAlign w:val="bottom"/>
          </w:tcPr>
          <w:p>
            <w:pPr>
              <w:jc w:val="right"/>
              <w:ind w:right="17"/>
              <w:spacing w:after="0"/>
              <w:rPr>
                <w:sz w:val="20"/>
                <w:szCs w:val="20"/>
                <w:color w:val="auto"/>
              </w:rPr>
            </w:pPr>
            <w:r>
              <w:rPr>
                <w:rFonts w:ascii="Arial" w:cs="Arial" w:eastAsia="Arial" w:hAnsi="Arial"/>
                <w:sz w:val="13"/>
                <w:szCs w:val="13"/>
                <w:color w:val="auto"/>
              </w:rPr>
              <w:t>73</w:t>
            </w: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260" w:type="dxa"/>
            <w:vAlign w:val="bottom"/>
          </w:tcPr>
          <w:p>
            <w:pPr>
              <w:jc w:val="right"/>
              <w:ind w:right="17"/>
              <w:spacing w:after="0"/>
              <w:rPr>
                <w:sz w:val="20"/>
                <w:szCs w:val="20"/>
                <w:color w:val="auto"/>
              </w:rPr>
            </w:pPr>
            <w:r>
              <w:rPr>
                <w:rFonts w:ascii="Arial" w:cs="Arial" w:eastAsia="Arial" w:hAnsi="Arial"/>
                <w:sz w:val="13"/>
                <w:szCs w:val="13"/>
                <w:color w:val="auto"/>
              </w:rPr>
              <w:t>72</w:t>
            </w:r>
          </w:p>
        </w:tc>
        <w:tc>
          <w:tcPr>
            <w:tcW w:w="0" w:type="dxa"/>
            <w:vAlign w:val="bottom"/>
          </w:tcPr>
          <w:p>
            <w:pPr>
              <w:spacing w:after="0"/>
              <w:rPr>
                <w:sz w:val="1"/>
                <w:szCs w:val="1"/>
                <w:color w:val="auto"/>
              </w:rPr>
            </w:pPr>
          </w:p>
        </w:tc>
      </w:tr>
      <w:tr>
        <w:trPr>
          <w:trHeight w:val="172"/>
        </w:trPr>
        <w:tc>
          <w:tcPr>
            <w:tcW w:w="2660" w:type="dxa"/>
            <w:vAlign w:val="bottom"/>
          </w:tcPr>
          <w:p>
            <w:pPr>
              <w:ind w:left="120"/>
              <w:spacing w:after="0"/>
              <w:rPr>
                <w:sz w:val="20"/>
                <w:szCs w:val="20"/>
                <w:color w:val="auto"/>
              </w:rPr>
            </w:pPr>
            <w:r>
              <w:rPr>
                <w:rFonts w:ascii="Arial" w:cs="Arial" w:eastAsia="Arial" w:hAnsi="Arial"/>
                <w:sz w:val="13"/>
                <w:szCs w:val="13"/>
                <w:color w:val="auto"/>
              </w:rPr>
              <w:t>Amounts reclassified from accumulated</w:t>
            </w: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tcPr>
          <w:p>
            <w:pPr>
              <w:ind w:left="300"/>
              <w:spacing w:after="0"/>
              <w:rPr>
                <w:sz w:val="20"/>
                <w:szCs w:val="20"/>
                <w:color w:val="auto"/>
              </w:rPr>
            </w:pPr>
            <w:r>
              <w:rPr>
                <w:rFonts w:ascii="Arial" w:cs="Arial" w:eastAsia="Arial" w:hAnsi="Arial"/>
                <w:sz w:val="13"/>
                <w:szCs w:val="13"/>
                <w:color w:val="auto"/>
              </w:rPr>
              <w:t>other comprehensive income (loss)</w:t>
            </w:r>
          </w:p>
        </w:tc>
        <w:tc>
          <w:tcPr>
            <w:tcW w:w="1120" w:type="dxa"/>
            <w:vAlign w:val="bottom"/>
          </w:tcPr>
          <w:p>
            <w:pPr>
              <w:spacing w:after="0"/>
              <w:rPr>
                <w:sz w:val="14"/>
                <w:szCs w:val="14"/>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180" w:type="dxa"/>
            <w:vAlign w:val="bottom"/>
          </w:tcPr>
          <w:p>
            <w:pPr>
              <w:spacing w:after="0"/>
              <w:rPr>
                <w:sz w:val="14"/>
                <w:szCs w:val="14"/>
                <w:color w:val="auto"/>
              </w:rPr>
            </w:pPr>
          </w:p>
        </w:tc>
        <w:tc>
          <w:tcPr>
            <w:tcW w:w="24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220" w:type="dxa"/>
            <w:vAlign w:val="bottom"/>
          </w:tcPr>
          <w:p>
            <w:pPr>
              <w:jc w:val="right"/>
              <w:ind w:right="1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ind w:right="17"/>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43"/>
        </w:trPr>
        <w:tc>
          <w:tcPr>
            <w:tcW w:w="2660" w:type="dxa"/>
            <w:vAlign w:val="bottom"/>
          </w:tcPr>
          <w:p>
            <w:pPr>
              <w:ind w:left="20"/>
              <w:spacing w:after="0" w:line="143" w:lineRule="exact"/>
              <w:rPr>
                <w:sz w:val="20"/>
                <w:szCs w:val="20"/>
                <w:color w:val="auto"/>
              </w:rPr>
            </w:pPr>
            <w:r>
              <w:rPr>
                <w:rFonts w:ascii="Arial" w:cs="Arial" w:eastAsia="Arial" w:hAnsi="Arial"/>
                <w:sz w:val="13"/>
                <w:szCs w:val="13"/>
                <w:color w:val="auto"/>
              </w:rPr>
              <w:t>Net current-period other comprehensive</w:t>
            </w:r>
          </w:p>
        </w:tc>
        <w:tc>
          <w:tcPr>
            <w:tcW w:w="1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660" w:type="dxa"/>
            <w:vAlign w:val="bottom"/>
          </w:tcPr>
          <w:p>
            <w:pPr>
              <w:ind w:left="180"/>
              <w:spacing w:after="0"/>
              <w:rPr>
                <w:sz w:val="20"/>
                <w:szCs w:val="20"/>
                <w:color w:val="auto"/>
              </w:rPr>
            </w:pPr>
            <w:r>
              <w:rPr>
                <w:rFonts w:ascii="Arial" w:cs="Arial" w:eastAsia="Arial" w:hAnsi="Arial"/>
                <w:sz w:val="13"/>
                <w:szCs w:val="13"/>
                <w:color w:val="auto"/>
              </w:rPr>
              <w:t>income (loss)</w:t>
            </w: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73</w:t>
            </w:r>
          </w:p>
        </w:tc>
        <w:tc>
          <w:tcPr>
            <w:tcW w:w="12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76</w:t>
            </w:r>
          </w:p>
        </w:tc>
        <w:tc>
          <w:tcPr>
            <w:tcW w:w="0" w:type="dxa"/>
            <w:vAlign w:val="bottom"/>
          </w:tcPr>
          <w:p>
            <w:pPr>
              <w:spacing w:after="0"/>
              <w:rPr>
                <w:sz w:val="1"/>
                <w:szCs w:val="1"/>
                <w:color w:val="auto"/>
              </w:rPr>
            </w:pPr>
          </w:p>
        </w:tc>
      </w:tr>
      <w:tr>
        <w:trPr>
          <w:trHeight w:val="241"/>
        </w:trPr>
        <w:tc>
          <w:tcPr>
            <w:tcW w:w="2660" w:type="dxa"/>
            <w:vAlign w:val="bottom"/>
          </w:tcPr>
          <w:p>
            <w:pPr>
              <w:ind w:left="20"/>
              <w:spacing w:after="0"/>
              <w:rPr>
                <w:sz w:val="20"/>
                <w:szCs w:val="20"/>
                <w:color w:val="auto"/>
              </w:rPr>
            </w:pPr>
            <w:r>
              <w:rPr>
                <w:rFonts w:ascii="Arial" w:cs="Arial" w:eastAsia="Arial" w:hAnsi="Arial"/>
                <w:sz w:val="13"/>
                <w:szCs w:val="13"/>
                <w:color w:val="auto"/>
              </w:rPr>
              <w:t>Balance, June 30, 2017</w:t>
            </w:r>
          </w:p>
        </w:tc>
        <w:tc>
          <w:tcPr>
            <w:tcW w:w="1120" w:type="dxa"/>
            <w:vAlign w:val="bottom"/>
            <w:tcBorders>
              <w:bottom w:val="single" w:sz="8" w:color="auto"/>
            </w:tcBorders>
          </w:tcPr>
          <w:p>
            <w:pPr>
              <w:jc w:val="right"/>
              <w:ind w:right="957"/>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34</w:t>
            </w:r>
          </w:p>
        </w:tc>
        <w:tc>
          <w:tcPr>
            <w:tcW w:w="120" w:type="dxa"/>
            <w:vAlign w:val="bottom"/>
          </w:tcPr>
          <w:p>
            <w:pPr>
              <w:spacing w:after="0"/>
              <w:rPr>
                <w:sz w:val="20"/>
                <w:szCs w:val="20"/>
                <w:color w:val="auto"/>
              </w:rPr>
            </w:pPr>
          </w:p>
        </w:tc>
        <w:tc>
          <w:tcPr>
            <w:tcW w:w="1180" w:type="dxa"/>
            <w:vAlign w:val="bottom"/>
            <w:tcBorders>
              <w:bottom w:val="single" w:sz="8" w:color="auto"/>
            </w:tcBorders>
          </w:tcPr>
          <w:p>
            <w:pPr>
              <w:jc w:val="right"/>
              <w:ind w:right="1017"/>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(115)</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20"/>
        </w:trPr>
        <w:tc>
          <w:tcPr>
            <w:tcW w:w="266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660" w:type="dxa"/>
            <w:vAlign w:val="bottom"/>
            <w:vMerge w:val="continue"/>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jc w:val="both"/>
        <w:ind w:left="500"/>
        <w:spacing w:after="0" w:line="239" w:lineRule="auto"/>
        <w:rPr>
          <w:sz w:val="20"/>
          <w:szCs w:val="20"/>
          <w:color w:val="auto"/>
        </w:rPr>
      </w:pPr>
      <w:r>
        <w:rPr>
          <w:rFonts w:ascii="Arial" w:cs="Arial" w:eastAsia="Arial" w:hAnsi="Arial"/>
          <w:sz w:val="14"/>
          <w:szCs w:val="14"/>
          <w:color w:val="auto"/>
        </w:rPr>
        <w:t>All components of accumulated other comprehensive income (loss) are net of tax, except currency translation adjustments, which exclude income taxes related to indefinite investments in foreign subsidiaries and include a $53 million gain, net of tax, as of June 30, 2018 related to the Company’s hedge of its net investment in euro-denominated foreign operations (see Note 16 - Financial Instruments).</w:t>
      </w:r>
    </w:p>
    <w:p>
      <w:pPr>
        <w:spacing w:after="0" w:line="5" w:lineRule="exact"/>
        <w:rPr>
          <w:sz w:val="20"/>
          <w:szCs w:val="20"/>
          <w:color w:val="auto"/>
        </w:rPr>
      </w:pPr>
    </w:p>
    <w:p>
      <w:pPr>
        <w:ind w:left="820" w:right="320" w:hanging="326"/>
        <w:spacing w:after="0" w:line="211" w:lineRule="auto"/>
        <w:tabs>
          <w:tab w:leader="none" w:pos="820" w:val="left"/>
        </w:tabs>
        <w:numPr>
          <w:ilvl w:val="1"/>
          <w:numId w:val="25"/>
        </w:numPr>
        <w:rPr>
          <w:rFonts w:ascii="Arial" w:cs="Arial" w:eastAsia="Arial" w:hAnsi="Arial"/>
          <w:sz w:val="18"/>
          <w:szCs w:val="18"/>
          <w:color w:val="auto"/>
          <w:vertAlign w:val="superscript"/>
        </w:rPr>
      </w:pPr>
      <w:r>
        <w:rPr>
          <w:rFonts w:ascii="Arial" w:cs="Arial" w:eastAsia="Arial" w:hAnsi="Arial"/>
          <w:sz w:val="14"/>
          <w:szCs w:val="14"/>
          <w:color w:val="auto"/>
        </w:rPr>
        <w:t>For the three and six months ended June 30, 2017, the amount reclassified from accumulated other comprehensive income (loss) into corporate interest expense were $1 million ($0 million, net of tax) and $2 million ($1 million, net of tax), respectively.</w:t>
      </w:r>
    </w:p>
    <w:p>
      <w:pPr>
        <w:ind w:left="820" w:right="20" w:hanging="326"/>
        <w:spacing w:after="0" w:line="223" w:lineRule="auto"/>
        <w:tabs>
          <w:tab w:leader="none" w:pos="820" w:val="left"/>
        </w:tabs>
        <w:numPr>
          <w:ilvl w:val="1"/>
          <w:numId w:val="25"/>
        </w:numPr>
        <w:rPr>
          <w:rFonts w:ascii="Arial" w:cs="Arial" w:eastAsia="Arial" w:hAnsi="Arial"/>
          <w:sz w:val="18"/>
          <w:szCs w:val="18"/>
          <w:color w:val="auto"/>
          <w:vertAlign w:val="superscript"/>
        </w:rPr>
      </w:pPr>
      <w:r>
        <w:rPr>
          <w:rFonts w:ascii="Arial" w:cs="Arial" w:eastAsia="Arial" w:hAnsi="Arial"/>
          <w:sz w:val="14"/>
          <w:szCs w:val="14"/>
          <w:color w:val="auto"/>
        </w:rPr>
        <w:t>For the three and six months ended June 30, 2018, amounts reclassified from accumulated other comprehensive income (loss) into selling, general and administrative expenses were $2 million ($1 million, net of tax) and $4 million ($2 million, net of tax), respectively. For the three and six months ended June 30, 2017, amounts reclassified from accumulated other comprehensive income (loss) into selling, general and administrative expenses were $2 million ($2 million, net of tax) and $4 million ($3 million, net of tax), respectively.</w:t>
      </w:r>
    </w:p>
    <w:p>
      <w:pPr>
        <w:spacing w:after="0" w:line="2" w:lineRule="exact"/>
        <w:rPr>
          <w:rFonts w:ascii="Arial" w:cs="Arial" w:eastAsia="Arial" w:hAnsi="Arial"/>
          <w:sz w:val="18"/>
          <w:szCs w:val="18"/>
          <w:color w:val="auto"/>
          <w:vertAlign w:val="superscript"/>
        </w:rPr>
      </w:pPr>
    </w:p>
    <w:p>
      <w:pPr>
        <w:ind w:left="820" w:hanging="326"/>
        <w:spacing w:after="0" w:line="205" w:lineRule="auto"/>
        <w:tabs>
          <w:tab w:leader="none" w:pos="820" w:val="left"/>
        </w:tabs>
        <w:numPr>
          <w:ilvl w:val="1"/>
          <w:numId w:val="25"/>
        </w:numPr>
        <w:rPr>
          <w:rFonts w:ascii="Arial" w:cs="Arial" w:eastAsia="Arial" w:hAnsi="Arial"/>
          <w:sz w:val="18"/>
          <w:szCs w:val="18"/>
          <w:color w:val="auto"/>
          <w:vertAlign w:val="superscript"/>
        </w:rPr>
      </w:pPr>
      <w:r>
        <w:rPr>
          <w:rFonts w:ascii="Arial" w:cs="Arial" w:eastAsia="Arial" w:hAnsi="Arial"/>
          <w:sz w:val="14"/>
          <w:szCs w:val="14"/>
          <w:color w:val="auto"/>
        </w:rPr>
        <w:t>See Note 1 - Basis of Presentation for the impact of adoption of ASU 2016-01 and ASU 2018-02.</w:t>
      </w:r>
    </w:p>
    <w:p>
      <w:pPr>
        <w:spacing w:after="0" w:line="124" w:lineRule="exact"/>
        <w:rPr>
          <w:rFonts w:ascii="Arial" w:cs="Arial" w:eastAsia="Arial" w:hAnsi="Arial"/>
          <w:sz w:val="18"/>
          <w:szCs w:val="18"/>
          <w:color w:val="auto"/>
          <w:vertAlign w:val="superscript"/>
        </w:rPr>
      </w:pPr>
    </w:p>
    <w:p>
      <w:pPr>
        <w:ind w:left="500" w:hanging="492"/>
        <w:spacing w:after="0"/>
        <w:tabs>
          <w:tab w:leader="none" w:pos="5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47" w:lineRule="exact"/>
        <w:rPr>
          <w:rFonts w:ascii="Arial" w:cs="Arial" w:eastAsia="Arial" w:hAnsi="Arial"/>
          <w:sz w:val="18"/>
          <w:szCs w:val="18"/>
          <w:b w:val="1"/>
          <w:bCs w:val="1"/>
          <w:color w:val="auto"/>
        </w:rPr>
      </w:pPr>
    </w:p>
    <w:p>
      <w:pPr>
        <w:ind w:left="500" w:right="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Company recorded stock-based compensation expense of $7 million and $4 million ($5 million and $3 million, net of tax) during the three months ended June 30, 2018 and 2017, respectively, and $12 million and $5 million ($9 million and $3 million, net of tax) during the six months ended June 30, 2018 and 2017, respectively.</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40"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activity related to restricted stock units (“RSUs”) consisted of (in thousands of shares):</w:t>
      </w:r>
    </w:p>
    <w:p>
      <w:pPr>
        <w:spacing w:after="0" w:line="154" w:lineRule="exact"/>
        <w:rPr>
          <w:sz w:val="20"/>
          <w:szCs w:val="20"/>
          <w:color w:val="auto"/>
        </w:rPr>
      </w:pPr>
    </w:p>
    <w:tbl>
      <w:tblPr>
        <w:tblLayout w:type="fixed"/>
        <w:tblInd w:w="520" w:type="dxa"/>
        <w:tblCellMar>
          <w:top w:w="0" w:type="dxa"/>
          <w:left w:w="0" w:type="dxa"/>
          <w:bottom w:w="0" w:type="dxa"/>
          <w:right w:w="0" w:type="dxa"/>
        </w:tblCellMar>
      </w:tblPr>
      <w:tr>
        <w:trPr>
          <w:trHeight w:val="189"/>
        </w:trPr>
        <w:tc>
          <w:tcPr>
            <w:tcW w:w="4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Weighted</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Weighted</w:t>
            </w: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Average</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Average</w:t>
            </w: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Remaining</w:t>
            </w:r>
          </w:p>
        </w:tc>
        <w:tc>
          <w:tcPr>
            <w:tcW w:w="120" w:type="dxa"/>
            <w:vAlign w:val="bottom"/>
          </w:tcPr>
          <w:p>
            <w:pPr>
              <w:spacing w:after="0"/>
              <w:rPr>
                <w:sz w:val="16"/>
                <w:szCs w:val="16"/>
                <w:color w:val="auto"/>
              </w:rPr>
            </w:pPr>
          </w:p>
        </w:tc>
        <w:tc>
          <w:tcPr>
            <w:tcW w:w="1220" w:type="dxa"/>
            <w:vAlign w:val="bottom"/>
          </w:tcPr>
          <w:p>
            <w:pPr>
              <w:jc w:val="center"/>
              <w:ind w:right="39"/>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89"/>
        </w:trPr>
        <w:tc>
          <w:tcPr>
            <w:tcW w:w="4620" w:type="dxa"/>
            <w:vAlign w:val="bottom"/>
          </w:tcPr>
          <w:p>
            <w:pPr>
              <w:spacing w:after="0"/>
              <w:rPr>
                <w:sz w:val="16"/>
                <w:szCs w:val="16"/>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Grant Date</w:t>
            </w:r>
          </w:p>
        </w:tc>
        <w:tc>
          <w:tcPr>
            <w:tcW w:w="14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Contractual</w:t>
            </w:r>
          </w:p>
        </w:tc>
        <w:tc>
          <w:tcPr>
            <w:tcW w:w="120" w:type="dxa"/>
            <w:vAlign w:val="bottom"/>
          </w:tcPr>
          <w:p>
            <w:pPr>
              <w:spacing w:after="0"/>
              <w:rPr>
                <w:sz w:val="16"/>
                <w:szCs w:val="16"/>
                <w:color w:val="auto"/>
              </w:rPr>
            </w:pPr>
          </w:p>
        </w:tc>
        <w:tc>
          <w:tcPr>
            <w:tcW w:w="1220" w:type="dxa"/>
            <w:vAlign w:val="bottom"/>
          </w:tcPr>
          <w:p>
            <w:pPr>
              <w:jc w:val="center"/>
              <w:ind w:right="39"/>
              <w:spacing w:after="0"/>
              <w:rPr>
                <w:sz w:val="20"/>
                <w:szCs w:val="20"/>
                <w:color w:val="auto"/>
              </w:rPr>
            </w:pPr>
            <w:r>
              <w:rPr>
                <w:rFonts w:ascii="Arial" w:cs="Arial" w:eastAsia="Arial" w:hAnsi="Arial"/>
                <w:sz w:val="16"/>
                <w:szCs w:val="16"/>
                <w:b w:val="1"/>
                <w:bCs w:val="1"/>
                <w:color w:val="auto"/>
              </w:rPr>
              <w:t>Intrinsic Value</w:t>
            </w:r>
          </w:p>
        </w:tc>
        <w:tc>
          <w:tcPr>
            <w:tcW w:w="0" w:type="dxa"/>
            <w:vAlign w:val="bottom"/>
          </w:tcPr>
          <w:p>
            <w:pPr>
              <w:spacing w:after="0"/>
              <w:rPr>
                <w:sz w:val="1"/>
                <w:szCs w:val="1"/>
                <w:color w:val="auto"/>
              </w:rPr>
            </w:pPr>
          </w:p>
        </w:tc>
      </w:tr>
      <w:tr>
        <w:trPr>
          <w:trHeight w:val="228"/>
        </w:trPr>
        <w:tc>
          <w:tcPr>
            <w:tcW w:w="4620" w:type="dxa"/>
            <w:vAlign w:val="bottom"/>
          </w:tcPr>
          <w:p>
            <w:pPr>
              <w:spacing w:after="0"/>
              <w:rPr>
                <w:sz w:val="19"/>
                <w:szCs w:val="19"/>
                <w:color w:val="auto"/>
              </w:rPr>
            </w:pPr>
          </w:p>
        </w:tc>
        <w:tc>
          <w:tcPr>
            <w:tcW w:w="1320" w:type="dxa"/>
            <w:vAlign w:val="bottom"/>
          </w:tcPr>
          <w:p>
            <w:pPr>
              <w:jc w:val="right"/>
              <w:ind w:right="29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Fair Value</w:t>
            </w: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Term (years)</w:t>
            </w:r>
          </w:p>
        </w:tc>
        <w:tc>
          <w:tcPr>
            <w:tcW w:w="120" w:type="dxa"/>
            <w:vAlign w:val="bottom"/>
          </w:tcPr>
          <w:p>
            <w:pPr>
              <w:spacing w:after="0"/>
              <w:rPr>
                <w:sz w:val="19"/>
                <w:szCs w:val="19"/>
                <w:color w:val="auto"/>
              </w:rPr>
            </w:pPr>
          </w:p>
        </w:tc>
        <w:tc>
          <w:tcPr>
            <w:tcW w:w="1220" w:type="dxa"/>
            <w:vAlign w:val="bottom"/>
          </w:tcPr>
          <w:p>
            <w:pPr>
              <w:jc w:val="center"/>
              <w:ind w:right="39"/>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10"/>
        </w:trPr>
        <w:tc>
          <w:tcPr>
            <w:tcW w:w="4620" w:type="dxa"/>
            <w:vAlign w:val="bottom"/>
          </w:tcPr>
          <w:p>
            <w:pPr>
              <w:spacing w:after="0"/>
              <w:rPr>
                <w:sz w:val="20"/>
                <w:szCs w:val="20"/>
                <w:color w:val="auto"/>
              </w:rPr>
            </w:pPr>
            <w:r>
              <w:rPr>
                <w:rFonts w:ascii="Arial" w:cs="Arial" w:eastAsia="Arial" w:hAnsi="Arial"/>
                <w:sz w:val="16"/>
                <w:szCs w:val="16"/>
                <w:b w:val="1"/>
                <w:bCs w:val="1"/>
                <w:color w:val="auto"/>
              </w:rPr>
              <w:t>Time-based RSUs</w:t>
            </w: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4620" w:type="dxa"/>
            <w:vAlign w:val="bottom"/>
          </w:tcPr>
          <w:p>
            <w:pPr>
              <w:ind w:left="100"/>
              <w:spacing w:after="0"/>
              <w:rPr>
                <w:sz w:val="20"/>
                <w:szCs w:val="20"/>
                <w:color w:val="auto"/>
              </w:rPr>
            </w:pPr>
            <w:r>
              <w:rPr>
                <w:rFonts w:ascii="Arial" w:cs="Arial" w:eastAsia="Arial" w:hAnsi="Arial"/>
                <w:sz w:val="16"/>
                <w:szCs w:val="16"/>
                <w:color w:val="auto"/>
              </w:rPr>
              <w:t>Outstanding at January 1, 2018</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1,160</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34.54</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4620" w:type="dxa"/>
            <w:vAlign w:val="bottom"/>
          </w:tcPr>
          <w:p>
            <w:pPr>
              <w:ind w:left="320"/>
              <w:spacing w:after="0"/>
              <w:rPr>
                <w:sz w:val="20"/>
                <w:szCs w:val="20"/>
                <w:color w:val="auto"/>
              </w:rPr>
            </w:pPr>
            <w:r>
              <w:rPr>
                <w:rFonts w:ascii="Arial" w:cs="Arial" w:eastAsia="Arial" w:hAnsi="Arial"/>
                <w:sz w:val="16"/>
                <w:szCs w:val="16"/>
                <w:color w:val="auto"/>
              </w:rPr>
              <w:t xml:space="preserve">Granted </w:t>
            </w:r>
            <w:r>
              <w:rPr>
                <w:rFonts w:ascii="Arial" w:cs="Arial" w:eastAsia="Arial" w:hAnsi="Arial"/>
                <w:sz w:val="21"/>
                <w:szCs w:val="21"/>
                <w:color w:val="auto"/>
                <w:vertAlign w:val="superscript"/>
              </w:rPr>
              <w:t>(a)</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317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48.66</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620" w:type="dxa"/>
            <w:vAlign w:val="bottom"/>
          </w:tcPr>
          <w:p>
            <w:pPr>
              <w:ind w:left="320"/>
              <w:spacing w:after="0"/>
              <w:rPr>
                <w:sz w:val="20"/>
                <w:szCs w:val="20"/>
                <w:color w:val="auto"/>
              </w:rPr>
            </w:pPr>
            <w:r>
              <w:rPr>
                <w:rFonts w:ascii="Arial" w:cs="Arial" w:eastAsia="Arial" w:hAnsi="Arial"/>
                <w:sz w:val="16"/>
                <w:szCs w:val="16"/>
                <w:color w:val="auto"/>
              </w:rPr>
              <w:t xml:space="preserve">Vested </w:t>
            </w:r>
            <w:r>
              <w:rPr>
                <w:rFonts w:ascii="Arial" w:cs="Arial" w:eastAsia="Arial" w:hAnsi="Arial"/>
                <w:sz w:val="21"/>
                <w:szCs w:val="21"/>
                <w:color w:val="auto"/>
                <w:vertAlign w:val="superscript"/>
              </w:rPr>
              <w:t>(b)</w:t>
            </w:r>
          </w:p>
        </w:tc>
        <w:tc>
          <w:tcPr>
            <w:tcW w:w="1320" w:type="dxa"/>
            <w:vAlign w:val="bottom"/>
          </w:tcPr>
          <w:p>
            <w:pPr>
              <w:jc w:val="right"/>
              <w:spacing w:after="0"/>
              <w:rPr>
                <w:sz w:val="20"/>
                <w:szCs w:val="20"/>
                <w:color w:val="auto"/>
              </w:rPr>
            </w:pPr>
            <w:r>
              <w:rPr>
                <w:rFonts w:ascii="Arial" w:cs="Arial" w:eastAsia="Arial" w:hAnsi="Arial"/>
                <w:sz w:val="16"/>
                <w:szCs w:val="16"/>
                <w:color w:val="auto"/>
              </w:rPr>
              <w:t>(359)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35.14</w:t>
            </w: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620" w:type="dxa"/>
            <w:vAlign w:val="bottom"/>
          </w:tcPr>
          <w:p>
            <w:pPr>
              <w:ind w:left="320"/>
              <w:spacing w:after="0"/>
              <w:rPr>
                <w:sz w:val="20"/>
                <w:szCs w:val="20"/>
                <w:color w:val="auto"/>
              </w:rPr>
            </w:pPr>
            <w:r>
              <w:rPr>
                <w:rFonts w:ascii="Arial" w:cs="Arial" w:eastAsia="Arial" w:hAnsi="Arial"/>
                <w:sz w:val="16"/>
                <w:szCs w:val="16"/>
                <w:color w:val="auto"/>
              </w:rPr>
              <w:t>Forfeited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34.98</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100"/>
              <w:spacing w:after="0"/>
              <w:rPr>
                <w:sz w:val="20"/>
                <w:szCs w:val="20"/>
                <w:color w:val="auto"/>
              </w:rPr>
            </w:pPr>
            <w:r>
              <w:rPr>
                <w:rFonts w:ascii="Arial" w:cs="Arial" w:eastAsia="Arial" w:hAnsi="Arial"/>
                <w:sz w:val="16"/>
                <w:szCs w:val="16"/>
                <w:color w:val="auto"/>
              </w:rPr>
              <w:t>Outstanding and expected to vest at June 30, 2018</w:t>
            </w:r>
            <w:r>
              <w:rPr>
                <w:rFonts w:ascii="Arial" w:cs="Arial" w:eastAsia="Arial" w:hAnsi="Arial"/>
                <w:sz w:val="21"/>
                <w:szCs w:val="21"/>
                <w:color w:val="auto"/>
                <w:vertAlign w:val="superscript"/>
              </w:rPr>
              <w:t>(c)</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1,079</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38.47</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6"/>
                <w:szCs w:val="16"/>
                <w:b w:val="1"/>
                <w:bCs w:val="1"/>
                <w:color w:val="auto"/>
              </w:rPr>
              <w:t>Performance-based and market-based RSUs</w:t>
            </w: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620" w:type="dxa"/>
            <w:vAlign w:val="bottom"/>
            <w:vMerge w:val="continue"/>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sectPr>
          <w:pgSz w:w="11900" w:h="16838" w:orient="portrait"/>
          <w:cols w:equalWidth="0" w:num="1">
            <w:col w:w="11320"/>
          </w:cols>
          <w:pgMar w:left="240" w:top="140" w:right="339" w:bottom="1440" w:gutter="0" w:footer="0" w:header="0"/>
        </w:sectPr>
      </w:pPr>
    </w:p>
    <w:p>
      <w:pPr>
        <w:ind w:left="620"/>
        <w:spacing w:after="0"/>
        <w:rPr>
          <w:sz w:val="20"/>
          <w:szCs w:val="20"/>
          <w:color w:val="auto"/>
        </w:rPr>
      </w:pPr>
      <w:r>
        <w:rPr>
          <w:rFonts w:ascii="Arial" w:cs="Arial" w:eastAsia="Arial" w:hAnsi="Arial"/>
          <w:sz w:val="16"/>
          <w:szCs w:val="16"/>
          <w:color w:val="auto"/>
        </w:rPr>
        <w:t>Outstanding at January 1, 2018</w:t>
      </w:r>
    </w:p>
    <w:p>
      <w:pPr>
        <w:spacing w:after="0" w:line="81" w:lineRule="exact"/>
        <w:rPr>
          <w:sz w:val="20"/>
          <w:szCs w:val="20"/>
          <w:color w:val="auto"/>
        </w:rPr>
      </w:pPr>
    </w:p>
    <w:p>
      <w:pPr>
        <w:ind w:left="840"/>
        <w:spacing w:after="0"/>
        <w:rPr>
          <w:sz w:val="20"/>
          <w:szCs w:val="20"/>
          <w:color w:val="auto"/>
        </w:rPr>
      </w:pPr>
      <w:r>
        <w:rPr>
          <w:rFonts w:ascii="Arial" w:cs="Arial" w:eastAsia="Arial" w:hAnsi="Arial"/>
          <w:sz w:val="16"/>
          <w:szCs w:val="16"/>
          <w:color w:val="auto"/>
        </w:rPr>
        <w:t xml:space="preserve">Granted </w:t>
      </w:r>
      <w:r>
        <w:rPr>
          <w:rFonts w:ascii="Arial" w:cs="Arial" w:eastAsia="Arial" w:hAnsi="Arial"/>
          <w:sz w:val="21"/>
          <w:szCs w:val="21"/>
          <w:color w:val="auto"/>
          <w:vertAlign w:val="superscript"/>
        </w:rPr>
        <w:t>(a)</w:t>
      </w:r>
    </w:p>
    <w:p>
      <w:pPr>
        <w:spacing w:after="0" w:line="34" w:lineRule="exact"/>
        <w:rPr>
          <w:sz w:val="20"/>
          <w:szCs w:val="20"/>
          <w:color w:val="auto"/>
        </w:rPr>
      </w:pPr>
    </w:p>
    <w:p>
      <w:pPr>
        <w:ind w:left="840"/>
        <w:spacing w:after="0"/>
        <w:rPr>
          <w:sz w:val="20"/>
          <w:szCs w:val="20"/>
          <w:color w:val="auto"/>
        </w:rPr>
      </w:pPr>
      <w:r>
        <w:rPr>
          <w:rFonts w:ascii="Arial" w:cs="Arial" w:eastAsia="Arial" w:hAnsi="Arial"/>
          <w:sz w:val="16"/>
          <w:szCs w:val="16"/>
          <w:color w:val="auto"/>
        </w:rPr>
        <w:t>Vested</w:t>
      </w:r>
    </w:p>
    <w:p>
      <w:pPr>
        <w:spacing w:after="0" w:line="86" w:lineRule="exact"/>
        <w:rPr>
          <w:sz w:val="20"/>
          <w:szCs w:val="20"/>
          <w:color w:val="auto"/>
        </w:rPr>
      </w:pPr>
    </w:p>
    <w:p>
      <w:pPr>
        <w:ind w:left="840"/>
        <w:spacing w:after="0"/>
        <w:rPr>
          <w:sz w:val="20"/>
          <w:szCs w:val="20"/>
          <w:color w:val="auto"/>
        </w:rPr>
      </w:pPr>
      <w:r>
        <w:rPr>
          <w:rFonts w:ascii="Arial" w:cs="Arial" w:eastAsia="Arial" w:hAnsi="Arial"/>
          <w:sz w:val="16"/>
          <w:szCs w:val="16"/>
          <w:color w:val="auto"/>
        </w:rPr>
        <w:t>Forfeited</w:t>
      </w:r>
    </w:p>
    <w:p>
      <w:pPr>
        <w:spacing w:after="0" w:line="11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Outstanding at June 30, 2018</w:t>
      </w:r>
    </w:p>
    <w:p>
      <w:pPr>
        <w:spacing w:after="0" w:line="8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Outstanding and expected to vest at June 30, 2018</w:t>
      </w:r>
      <w:r>
        <w:rPr>
          <w:rFonts w:ascii="Arial" w:cs="Arial" w:eastAsia="Arial" w:hAnsi="Arial"/>
          <w:sz w:val="21"/>
          <w:szCs w:val="21"/>
          <w:color w:val="auto"/>
          <w:vertAlign w:val="superscript"/>
        </w:rPr>
        <w:t>(c)</w:t>
      </w:r>
    </w:p>
    <w:p>
      <w:pPr>
        <w:spacing w:after="0" w:line="3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960"/>
        <w:spacing w:after="0"/>
        <w:tabs>
          <w:tab w:leader="none" w:pos="1440" w:val="left"/>
          <w:tab w:leader="none" w:pos="2260" w:val="left"/>
        </w:tabs>
        <w:rPr>
          <w:sz w:val="20"/>
          <w:szCs w:val="20"/>
          <w:color w:val="auto"/>
        </w:rPr>
      </w:pPr>
      <w:r>
        <w:rPr>
          <w:rFonts w:ascii="Arial" w:cs="Arial" w:eastAsia="Arial" w:hAnsi="Arial"/>
          <w:sz w:val="16"/>
          <w:szCs w:val="16"/>
          <w:color w:val="auto"/>
        </w:rPr>
        <w:t>994</w:t>
        <w:tab/>
        <w:t>$</w:t>
      </w:r>
      <w:r>
        <w:rPr>
          <w:sz w:val="20"/>
          <w:szCs w:val="20"/>
          <w:color w:val="auto"/>
        </w:rPr>
        <w:tab/>
      </w:r>
      <w:r>
        <w:rPr>
          <w:rFonts w:ascii="Arial" w:cs="Arial" w:eastAsia="Arial" w:hAnsi="Arial"/>
          <w:sz w:val="15"/>
          <w:szCs w:val="15"/>
          <w:color w:val="auto"/>
        </w:rPr>
        <w:t>33.06</w:t>
      </w:r>
    </w:p>
    <w:p>
      <w:pPr>
        <w:spacing w:after="0" w:line="86" w:lineRule="exact"/>
        <w:rPr>
          <w:sz w:val="20"/>
          <w:szCs w:val="20"/>
          <w:color w:val="auto"/>
        </w:rPr>
      </w:pPr>
    </w:p>
    <w:p>
      <w:pPr>
        <w:ind w:left="2280" w:hanging="1321"/>
        <w:spacing w:after="0"/>
        <w:tabs>
          <w:tab w:leader="none" w:pos="22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48.72</w:t>
      </w:r>
    </w:p>
    <w:p>
      <w:pPr>
        <w:spacing w:after="0" w:line="86" w:lineRule="exact"/>
        <w:rPr>
          <w:rFonts w:ascii="Arial" w:cs="Arial" w:eastAsia="Arial" w:hAnsi="Arial"/>
          <w:sz w:val="16"/>
          <w:szCs w:val="16"/>
          <w:color w:val="auto"/>
        </w:rPr>
      </w:pPr>
    </w:p>
    <w:p>
      <w:pPr>
        <w:ind w:left="1060"/>
        <w:spacing w:after="0"/>
        <w:rPr>
          <w:rFonts w:ascii="Arial" w:cs="Arial" w:eastAsia="Arial" w:hAnsi="Arial"/>
          <w:sz w:val="16"/>
          <w:szCs w:val="16"/>
          <w:color w:val="auto"/>
        </w:rPr>
      </w:pPr>
      <w:r>
        <w:rPr>
          <w:rFonts w:ascii="Arial" w:cs="Arial" w:eastAsia="Arial" w:hAnsi="Arial"/>
          <w:sz w:val="16"/>
          <w:szCs w:val="16"/>
          <w:color w:val="auto"/>
        </w:rPr>
        <w:t>——</w:t>
      </w:r>
    </w:p>
    <w:p>
      <w:pPr>
        <w:spacing w:after="0" w:line="86" w:lineRule="exact"/>
        <w:rPr>
          <w:sz w:val="20"/>
          <w:szCs w:val="20"/>
          <w:color w:val="auto"/>
        </w:rPr>
      </w:pPr>
    </w:p>
    <w:p>
      <w:pPr>
        <w:ind w:left="2280" w:hanging="1375"/>
        <w:spacing w:after="0"/>
        <w:tabs>
          <w:tab w:leader="none" w:pos="22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53.36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8407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1,198</w:t>
            </w:r>
          </w:p>
        </w:tc>
        <w:tc>
          <w:tcPr>
            <w:tcW w:w="6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579"/>
              <w:spacing w:after="0"/>
              <w:rPr>
                <w:sz w:val="20"/>
                <w:szCs w:val="20"/>
                <w:color w:val="auto"/>
              </w:rPr>
            </w:pPr>
            <w:r>
              <w:rPr>
                <w:rFonts w:ascii="Arial" w:cs="Arial" w:eastAsia="Arial" w:hAnsi="Arial"/>
                <w:sz w:val="16"/>
                <w:szCs w:val="16"/>
                <w:color w:val="auto"/>
              </w:rPr>
              <w:t>35.17</w:t>
            </w:r>
          </w:p>
        </w:tc>
        <w:tc>
          <w:tcPr>
            <w:tcW w:w="940" w:type="dxa"/>
            <w:vAlign w:val="bottom"/>
          </w:tcPr>
          <w:p>
            <w:pPr>
              <w:jc w:val="right"/>
              <w:spacing w:after="0"/>
              <w:rPr>
                <w:sz w:val="20"/>
                <w:szCs w:val="20"/>
                <w:color w:val="auto"/>
              </w:rPr>
            </w:pPr>
            <w:r>
              <w:rPr>
                <w:rFonts w:ascii="Arial" w:cs="Arial" w:eastAsia="Arial" w:hAnsi="Arial"/>
                <w:sz w:val="16"/>
                <w:szCs w:val="16"/>
                <w:color w:val="auto"/>
              </w:rPr>
              <w:t>1.5</w:t>
            </w:r>
          </w:p>
        </w:tc>
        <w:tc>
          <w:tcPr>
            <w:tcW w:w="66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0"/>
        </w:trPr>
        <w:tc>
          <w:tcPr>
            <w:tcW w:w="13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7"/>
        </w:trPr>
        <w:tc>
          <w:tcPr>
            <w:tcW w:w="1320" w:type="dxa"/>
            <w:vAlign w:val="bottom"/>
          </w:tcPr>
          <w:p>
            <w:pPr>
              <w:jc w:val="right"/>
              <w:ind w:right="19"/>
              <w:spacing w:after="0"/>
              <w:rPr>
                <w:sz w:val="20"/>
                <w:szCs w:val="20"/>
                <w:color w:val="auto"/>
              </w:rPr>
            </w:pPr>
            <w:r>
              <w:rPr>
                <w:rFonts w:ascii="Arial" w:cs="Arial" w:eastAsia="Arial" w:hAnsi="Arial"/>
                <w:sz w:val="16"/>
                <w:szCs w:val="16"/>
                <w:color w:val="auto"/>
              </w:rPr>
              <w:t>266</w:t>
            </w:r>
          </w:p>
        </w:tc>
        <w:tc>
          <w:tcPr>
            <w:tcW w:w="6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579"/>
              <w:spacing w:after="0"/>
              <w:rPr>
                <w:sz w:val="20"/>
                <w:szCs w:val="20"/>
                <w:color w:val="auto"/>
              </w:rPr>
            </w:pPr>
            <w:r>
              <w:rPr>
                <w:rFonts w:ascii="Arial" w:cs="Arial" w:eastAsia="Arial" w:hAnsi="Arial"/>
                <w:sz w:val="16"/>
                <w:szCs w:val="16"/>
                <w:color w:val="auto"/>
              </w:rPr>
              <w:t>44.49</w:t>
            </w:r>
          </w:p>
        </w:tc>
        <w:tc>
          <w:tcPr>
            <w:tcW w:w="940" w:type="dxa"/>
            <w:vAlign w:val="bottom"/>
          </w:tcPr>
          <w:p>
            <w:pPr>
              <w:jc w:val="right"/>
              <w:spacing w:after="0"/>
              <w:rPr>
                <w:sz w:val="20"/>
                <w:szCs w:val="20"/>
                <w:color w:val="auto"/>
              </w:rPr>
            </w:pPr>
            <w:r>
              <w:rPr>
                <w:rFonts w:ascii="Arial" w:cs="Arial" w:eastAsia="Arial" w:hAnsi="Arial"/>
                <w:sz w:val="16"/>
                <w:szCs w:val="16"/>
                <w:color w:val="auto"/>
              </w:rPr>
              <w:t>2.3</w:t>
            </w:r>
          </w:p>
        </w:tc>
        <w:tc>
          <w:tcPr>
            <w:tcW w:w="66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w:t>
            </w:r>
          </w:p>
        </w:tc>
      </w:tr>
    </w:tbl>
    <w:p>
      <w:pPr>
        <w:spacing w:after="0" w:line="240" w:lineRule="exact"/>
        <w:rPr>
          <w:sz w:val="20"/>
          <w:szCs w:val="20"/>
          <w:color w:val="auto"/>
        </w:rPr>
      </w:pPr>
    </w:p>
    <w:p>
      <w:pPr>
        <w:sectPr>
          <w:pgSz w:w="11900" w:h="16838" w:orient="portrait"/>
          <w:cols w:equalWidth="0" w:num="2">
            <w:col w:w="4420" w:space="720"/>
            <w:col w:w="6180"/>
          </w:cols>
          <w:pgMar w:left="240" w:top="140" w:right="339" w:bottom="1440" w:gutter="0" w:footer="0" w:header="0"/>
          <w:type w:val="continuous"/>
        </w:sectPr>
      </w:pPr>
    </w:p>
    <w:p>
      <w:pPr>
        <w:ind w:left="820" w:right="220" w:hanging="326"/>
        <w:spacing w:after="0" w:line="220" w:lineRule="auto"/>
        <w:tabs>
          <w:tab w:leader="none" w:pos="820"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Reflects the maximum number of stock units assuming achievement of all performance-, market- and time-vesting criteria and does not include those for non-employee directors. The weighted-average fair value of time-based RSUs and performance-based RSUs granted during the six months ended June 30, 2017 was $34.41.</w:t>
      </w:r>
    </w:p>
    <w:p>
      <w:pPr>
        <w:spacing w:after="0" w:line="1" w:lineRule="exact"/>
        <w:rPr>
          <w:rFonts w:ascii="Arial" w:cs="Arial" w:eastAsia="Arial" w:hAnsi="Arial"/>
          <w:sz w:val="18"/>
          <w:szCs w:val="18"/>
          <w:color w:val="auto"/>
          <w:vertAlign w:val="superscript"/>
        </w:rPr>
      </w:pPr>
    </w:p>
    <w:p>
      <w:pPr>
        <w:ind w:left="820" w:hanging="326"/>
        <w:spacing w:after="0" w:line="187" w:lineRule="auto"/>
        <w:tabs>
          <w:tab w:leader="none" w:pos="820"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The total fair value of RSUs vested during June 30, 2018 and 2017 was $13 million and $22 million, respectively.</w:t>
      </w:r>
    </w:p>
    <w:p>
      <w:pPr>
        <w:ind w:left="820" w:right="140" w:hanging="326"/>
        <w:spacing w:after="0" w:line="218" w:lineRule="auto"/>
        <w:tabs>
          <w:tab w:leader="none" w:pos="820"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Aggregate unrecognized compensation expense related to time-based RSUs and performance-based RSUs amounted to $41 million and will be recognized over a weighted average vesting period of 1.3 years.</w:t>
      </w:r>
    </w:p>
    <w:p>
      <w:pPr>
        <w:spacing w:after="0" w:line="20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stock option activity consisted of (in thousands of shares):</w:t>
      </w:r>
    </w:p>
    <w:p>
      <w:pPr>
        <w:spacing w:after="0" w:line="154" w:lineRule="exact"/>
        <w:rPr>
          <w:sz w:val="20"/>
          <w:szCs w:val="20"/>
          <w:color w:val="auto"/>
        </w:rPr>
      </w:pPr>
    </w:p>
    <w:tbl>
      <w:tblPr>
        <w:tblLayout w:type="fixed"/>
        <w:tblInd w:w="520" w:type="dxa"/>
        <w:tblCellMar>
          <w:top w:w="0" w:type="dxa"/>
          <w:left w:w="0" w:type="dxa"/>
          <w:bottom w:w="0" w:type="dxa"/>
          <w:right w:w="0" w:type="dxa"/>
        </w:tblCellMar>
      </w:tblPr>
      <w:tr>
        <w:trPr>
          <w:trHeight w:val="189"/>
        </w:trPr>
        <w:tc>
          <w:tcPr>
            <w:tcW w:w="4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Weighted</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9"/>
        </w:trPr>
        <w:tc>
          <w:tcPr>
            <w:tcW w:w="4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Weighted</w:t>
            </w: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Average</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9"/>
        </w:trPr>
        <w:tc>
          <w:tcPr>
            <w:tcW w:w="4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Average</w:t>
            </w: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Remaining</w:t>
            </w:r>
          </w:p>
        </w:tc>
        <w:tc>
          <w:tcPr>
            <w:tcW w:w="120" w:type="dxa"/>
            <w:vAlign w:val="bottom"/>
          </w:tcPr>
          <w:p>
            <w:pPr>
              <w:spacing w:after="0"/>
              <w:rPr>
                <w:sz w:val="16"/>
                <w:szCs w:val="16"/>
                <w:color w:val="auto"/>
              </w:rPr>
            </w:pPr>
          </w:p>
        </w:tc>
        <w:tc>
          <w:tcPr>
            <w:tcW w:w="1220" w:type="dxa"/>
            <w:vAlign w:val="bottom"/>
          </w:tcPr>
          <w:p>
            <w:pPr>
              <w:jc w:val="center"/>
              <w:ind w:right="39"/>
              <w:spacing w:after="0"/>
              <w:rPr>
                <w:sz w:val="20"/>
                <w:szCs w:val="20"/>
                <w:color w:val="auto"/>
              </w:rPr>
            </w:pPr>
            <w:r>
              <w:rPr>
                <w:rFonts w:ascii="Arial" w:cs="Arial" w:eastAsia="Arial" w:hAnsi="Arial"/>
                <w:sz w:val="16"/>
                <w:szCs w:val="16"/>
                <w:b w:val="1"/>
                <w:bCs w:val="1"/>
                <w:color w:val="auto"/>
              </w:rPr>
              <w:t>Aggregate</w:t>
            </w:r>
          </w:p>
        </w:tc>
      </w:tr>
      <w:tr>
        <w:trPr>
          <w:trHeight w:val="189"/>
        </w:trPr>
        <w:tc>
          <w:tcPr>
            <w:tcW w:w="4620" w:type="dxa"/>
            <w:vAlign w:val="bottom"/>
          </w:tcPr>
          <w:p>
            <w:pPr>
              <w:spacing w:after="0"/>
              <w:rPr>
                <w:sz w:val="16"/>
                <w:szCs w:val="16"/>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Exercise</w:t>
            </w:r>
          </w:p>
        </w:tc>
        <w:tc>
          <w:tcPr>
            <w:tcW w:w="14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Contractual</w:t>
            </w:r>
          </w:p>
        </w:tc>
        <w:tc>
          <w:tcPr>
            <w:tcW w:w="120" w:type="dxa"/>
            <w:vAlign w:val="bottom"/>
          </w:tcPr>
          <w:p>
            <w:pPr>
              <w:spacing w:after="0"/>
              <w:rPr>
                <w:sz w:val="16"/>
                <w:szCs w:val="16"/>
                <w:color w:val="auto"/>
              </w:rPr>
            </w:pPr>
          </w:p>
        </w:tc>
        <w:tc>
          <w:tcPr>
            <w:tcW w:w="1220" w:type="dxa"/>
            <w:vAlign w:val="bottom"/>
          </w:tcPr>
          <w:p>
            <w:pPr>
              <w:jc w:val="center"/>
              <w:ind w:right="39"/>
              <w:spacing w:after="0"/>
              <w:rPr>
                <w:sz w:val="20"/>
                <w:szCs w:val="20"/>
                <w:color w:val="auto"/>
              </w:rPr>
            </w:pPr>
            <w:r>
              <w:rPr>
                <w:rFonts w:ascii="Arial" w:cs="Arial" w:eastAsia="Arial" w:hAnsi="Arial"/>
                <w:sz w:val="16"/>
                <w:szCs w:val="16"/>
                <w:b w:val="1"/>
                <w:bCs w:val="1"/>
                <w:color w:val="auto"/>
              </w:rPr>
              <w:t>Intrinsic Value</w:t>
            </w:r>
          </w:p>
        </w:tc>
      </w:tr>
      <w:tr>
        <w:trPr>
          <w:trHeight w:val="228"/>
        </w:trPr>
        <w:tc>
          <w:tcPr>
            <w:tcW w:w="4620" w:type="dxa"/>
            <w:vAlign w:val="bottom"/>
          </w:tcPr>
          <w:p>
            <w:pPr>
              <w:spacing w:after="0"/>
              <w:rPr>
                <w:sz w:val="19"/>
                <w:szCs w:val="19"/>
                <w:color w:val="auto"/>
              </w:rPr>
            </w:pPr>
          </w:p>
        </w:tc>
        <w:tc>
          <w:tcPr>
            <w:tcW w:w="13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Options</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Price</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Term (years)</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(in millions)</w:t>
            </w:r>
          </w:p>
        </w:tc>
      </w:tr>
      <w:tr>
        <w:trPr>
          <w:trHeight w:val="237"/>
        </w:trPr>
        <w:tc>
          <w:tcPr>
            <w:tcW w:w="4620" w:type="dxa"/>
            <w:vAlign w:val="bottom"/>
          </w:tcPr>
          <w:p>
            <w:pPr>
              <w:spacing w:after="0"/>
              <w:rPr>
                <w:sz w:val="20"/>
                <w:szCs w:val="20"/>
                <w:color w:val="auto"/>
              </w:rPr>
            </w:pPr>
            <w:r>
              <w:rPr>
                <w:rFonts w:ascii="Arial" w:cs="Arial" w:eastAsia="Arial" w:hAnsi="Arial"/>
                <w:sz w:val="16"/>
                <w:szCs w:val="16"/>
                <w:color w:val="auto"/>
              </w:rPr>
              <w:t>Outstanding at January 1, 2018</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273</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7.08</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70"/>
        </w:trPr>
        <w:tc>
          <w:tcPr>
            <w:tcW w:w="4620" w:type="dxa"/>
            <w:vAlign w:val="bottom"/>
          </w:tcPr>
          <w:p>
            <w:pPr>
              <w:ind w:left="100"/>
              <w:spacing w:after="0"/>
              <w:rPr>
                <w:sz w:val="20"/>
                <w:szCs w:val="20"/>
                <w:color w:val="auto"/>
              </w:rPr>
            </w:pPr>
            <w:r>
              <w:rPr>
                <w:rFonts w:ascii="Arial" w:cs="Arial" w:eastAsia="Arial" w:hAnsi="Arial"/>
                <w:sz w:val="16"/>
                <w:szCs w:val="16"/>
                <w:color w:val="auto"/>
              </w:rPr>
              <w:t>Granted</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0"/>
        </w:trPr>
        <w:tc>
          <w:tcPr>
            <w:tcW w:w="4620" w:type="dxa"/>
            <w:vAlign w:val="bottom"/>
          </w:tcPr>
          <w:p>
            <w:pPr>
              <w:ind w:left="100"/>
              <w:spacing w:after="0"/>
              <w:rPr>
                <w:sz w:val="20"/>
                <w:szCs w:val="20"/>
                <w:color w:val="auto"/>
              </w:rPr>
            </w:pPr>
            <w:r>
              <w:rPr>
                <w:rFonts w:ascii="Arial" w:cs="Arial" w:eastAsia="Arial" w:hAnsi="Arial"/>
                <w:sz w:val="16"/>
                <w:szCs w:val="16"/>
                <w:color w:val="auto"/>
              </w:rPr>
              <w:t>Exercised</w:t>
            </w:r>
          </w:p>
        </w:tc>
        <w:tc>
          <w:tcPr>
            <w:tcW w:w="1320" w:type="dxa"/>
            <w:vAlign w:val="bottom"/>
          </w:tcPr>
          <w:p>
            <w:pPr>
              <w:jc w:val="right"/>
              <w:spacing w:after="0"/>
              <w:rPr>
                <w:sz w:val="20"/>
                <w:szCs w:val="20"/>
                <w:color w:val="auto"/>
              </w:rPr>
            </w:pPr>
            <w:r>
              <w:rPr>
                <w:rFonts w:ascii="Arial" w:cs="Arial" w:eastAsia="Arial" w:hAnsi="Arial"/>
                <w:sz w:val="16"/>
                <w:szCs w:val="16"/>
                <w:color w:val="auto"/>
              </w:rPr>
              <w:t>(186)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9.99</w:t>
            </w: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83"/>
        </w:trPr>
        <w:tc>
          <w:tcPr>
            <w:tcW w:w="4620" w:type="dxa"/>
            <w:vAlign w:val="bottom"/>
          </w:tcPr>
          <w:p>
            <w:pPr>
              <w:ind w:left="100"/>
              <w:spacing w:after="0"/>
              <w:rPr>
                <w:sz w:val="20"/>
                <w:szCs w:val="20"/>
                <w:color w:val="auto"/>
              </w:rPr>
            </w:pPr>
            <w:r>
              <w:rPr>
                <w:rFonts w:ascii="Arial" w:cs="Arial" w:eastAsia="Arial" w:hAnsi="Arial"/>
                <w:sz w:val="16"/>
                <w:szCs w:val="16"/>
                <w:color w:val="auto"/>
              </w:rPr>
              <w:t>Forfeited/expired</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40"/>
        </w:trPr>
        <w:tc>
          <w:tcPr>
            <w:tcW w:w="4620" w:type="dxa"/>
            <w:vAlign w:val="bottom"/>
          </w:tcPr>
          <w:p>
            <w:pPr>
              <w:spacing w:after="0"/>
              <w:rPr>
                <w:sz w:val="20"/>
                <w:szCs w:val="20"/>
                <w:color w:val="auto"/>
              </w:rPr>
            </w:pPr>
            <w:r>
              <w:rPr>
                <w:rFonts w:ascii="Arial" w:cs="Arial" w:eastAsia="Arial" w:hAnsi="Arial"/>
                <w:sz w:val="16"/>
                <w:szCs w:val="16"/>
                <w:color w:val="auto"/>
              </w:rPr>
              <w:t>Outstanding and exercisable at June 30, 2018</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87</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0.79</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0"/>
        </w:trPr>
        <w:tc>
          <w:tcPr>
            <w:tcW w:w="46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193" w:lineRule="exact"/>
        <w:rPr>
          <w:sz w:val="20"/>
          <w:szCs w:val="20"/>
          <w:color w:val="auto"/>
        </w:rPr>
      </w:pPr>
    </w:p>
    <w:p>
      <w:pPr>
        <w:ind w:left="500" w:hanging="492"/>
        <w:spacing w:after="0"/>
        <w:tabs>
          <w:tab w:leader="none" w:pos="5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25"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Derivative Instruments and Hedging Activities</w:t>
      </w:r>
    </w:p>
    <w:p>
      <w:pPr>
        <w:spacing w:after="0" w:line="175" w:lineRule="exact"/>
        <w:rPr>
          <w:rFonts w:ascii="Arial" w:cs="Arial" w:eastAsia="Arial" w:hAnsi="Arial"/>
          <w:sz w:val="18"/>
          <w:szCs w:val="18"/>
          <w:b w:val="1"/>
          <w:bCs w:val="1"/>
          <w:color w:val="auto"/>
        </w:rPr>
      </w:pPr>
    </w:p>
    <w:p>
      <w:pPr>
        <w:ind w:left="500"/>
        <w:spacing w:after="0" w:line="255"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Currency Risk. </w:t>
      </w:r>
      <w:r>
        <w:rPr>
          <w:rFonts w:ascii="Arial" w:cs="Arial" w:eastAsia="Arial" w:hAnsi="Arial"/>
          <w:sz w:val="18"/>
          <w:szCs w:val="18"/>
          <w:color w:val="auto"/>
        </w:rPr>
        <w:t>The Company uses currency exchange contracts to manage its exposure to changes in currency exchange rates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certain of its non-U.S.-dollar denominated receivables and forecasted royalties, forecasted earnings of non-U.S. subsidiaries and forecasted non-U.S.-dollar denominated acquisitions. The Company primarily hedges a portion of its current-year currency exposure to the Australian, Canadian and New Zealand dollars, the euro and the British pound sterling. The majority of forward contracts do not qualify for hedge accounting treatment. The fluctuations in the value of these forward contracts do, however, largely offset the impact of changes in the value of the underlying risk they economically hedge. Forward contracts used to hedge forecasted third-party receipts and disbursements up to 12 months are designated and do qualify as cash flow hedges. The Company has designated its euro-denominated notes as a hedge of its investment in euro-denominated foreign operations.</w:t>
      </w:r>
    </w:p>
    <w:p>
      <w:pPr>
        <w:spacing w:after="0" w:line="149" w:lineRule="exact"/>
        <w:rPr>
          <w:rFonts w:ascii="Arial" w:cs="Arial" w:eastAsia="Arial" w:hAnsi="Arial"/>
          <w:sz w:val="18"/>
          <w:szCs w:val="18"/>
          <w:b w:val="1"/>
          <w:bCs w:val="1"/>
          <w:color w:val="auto"/>
        </w:rPr>
      </w:pPr>
    </w:p>
    <w:p>
      <w:pPr>
        <w:ind w:left="5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amount of gains or losses reclassified from other comprehensive income (loss) to earnings resulting from ineffectiveness or from excluding a component of the hedges’ gain or loss from the effectiveness calculation for cash flow and net investment hedges during the three and six months ended June 30, 2018 and 2017 was not material, nor is the amount of gains or losses the Company expects to reclassify from</w:t>
      </w:r>
    </w:p>
    <w:p>
      <w:pPr>
        <w:sectPr>
          <w:pgSz w:w="11900" w:h="16838" w:orient="portrait"/>
          <w:cols w:equalWidth="0" w:num="1">
            <w:col w:w="11320"/>
          </w:cols>
          <w:pgMar w:left="240" w:top="140" w:right="339" w:bottom="1440" w:gutter="0" w:footer="0" w:header="0"/>
          <w:type w:val="continuous"/>
        </w:sectPr>
      </w:pPr>
    </w:p>
    <w:p>
      <w:pPr>
        <w:spacing w:after="0" w:line="231"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320"/>
          </w:cols>
          <w:pgMar w:left="240" w:top="140" w:right="3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accumulated other comprehensive income (loss) to earnings over the next 12 months.</w:t>
      </w:r>
    </w:p>
    <w:p>
      <w:pPr>
        <w:spacing w:after="0" w:line="207" w:lineRule="exact"/>
        <w:rPr>
          <w:sz w:val="20"/>
          <w:szCs w:val="20"/>
          <w:color w:val="auto"/>
        </w:rPr>
      </w:pPr>
    </w:p>
    <w:p>
      <w:pPr>
        <w:ind w:left="500"/>
        <w:spacing w:after="0" w:line="253"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The Company uses various hedging strategies including interest rate swaps and interest rate caps to create what it</w:t>
      </w:r>
      <w:r>
        <w:rPr>
          <w:rFonts w:ascii="Arial" w:cs="Arial" w:eastAsia="Arial" w:hAnsi="Arial"/>
          <w:sz w:val="18"/>
          <w:szCs w:val="18"/>
          <w:i w:val="1"/>
          <w:iCs w:val="1"/>
          <w:color w:val="auto"/>
        </w:rPr>
        <w:t xml:space="preserve"> </w:t>
      </w:r>
      <w:r>
        <w:rPr>
          <w:rFonts w:ascii="Arial" w:cs="Arial" w:eastAsia="Arial" w:hAnsi="Arial"/>
          <w:sz w:val="18"/>
          <w:szCs w:val="18"/>
          <w:color w:val="auto"/>
        </w:rPr>
        <w:t>deems an appropriate mix of fixed and floating rate assets and liabilities. The Company uses interest rate swaps and interest rate caps to manage the risk related to its floating rate corporate debt and its floating rate vehicle-backed debt. The Company records the effective portion of changes in the fair value of its cash flow hedges to other comprehensive income (loss), net of tax, and subsequently reclassifies these amounts into earnings in the period during which the hedged transaction is recognized. The Company records the gains or losses related to freestanding derivatives, which are not designated as a hedge for accounting purposes, in its Consolidated Condensed Statements of Comprehensive Income. The changes in fair values of hedges that are determined to be ineffective are immediately reclassified from accumulated other comprehensive income (loss) into earnings. The amount of gains or losses reclassified from other comprehensive income (loss) to earnings resulting from ineffectiveness related to the Company’s cash flow hedges was not material during the three and six months ended June 30, 2018 and 2017. The Company estimates that $5 million of gains currently recorded in accumulated other comprehensive income (loss) will be recognized in earnings over the next 12 months.</w:t>
      </w:r>
    </w:p>
    <w:p>
      <w:pPr>
        <w:spacing w:after="0" w:line="211" w:lineRule="exact"/>
        <w:rPr>
          <w:sz w:val="20"/>
          <w:szCs w:val="20"/>
          <w:color w:val="auto"/>
        </w:rPr>
      </w:pPr>
    </w:p>
    <w:p>
      <w:pPr>
        <w:ind w:left="500" w:right="700"/>
        <w:spacing w:after="0" w:line="262" w:lineRule="auto"/>
        <w:rPr>
          <w:sz w:val="20"/>
          <w:szCs w:val="20"/>
          <w:color w:val="auto"/>
        </w:rPr>
      </w:pPr>
      <w:r>
        <w:rPr>
          <w:rFonts w:ascii="Arial" w:cs="Arial" w:eastAsia="Arial" w:hAnsi="Arial"/>
          <w:sz w:val="18"/>
          <w:szCs w:val="18"/>
          <w:color w:val="auto"/>
        </w:rPr>
        <w:t>The Company enters into derivative commodity contracts to manage its exposure in the U.S. to changes in the price of unleaded gasoline. Changes in the fair value of these derivatives are recorded within operating expenses.</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held derivative instruments with absolute notional values as follows:</w:t>
      </w:r>
    </w:p>
    <w:p>
      <w:pPr>
        <w:spacing w:after="0" w:line="167" w:lineRule="exact"/>
        <w:rPr>
          <w:sz w:val="20"/>
          <w:szCs w:val="20"/>
          <w:color w:val="auto"/>
        </w:rPr>
      </w:pPr>
    </w:p>
    <w:tbl>
      <w:tblPr>
        <w:tblLayout w:type="fixed"/>
        <w:tblInd w:w="500" w:type="dxa"/>
        <w:tblCellMar>
          <w:top w:w="0" w:type="dxa"/>
          <w:left w:w="0" w:type="dxa"/>
          <w:bottom w:w="0" w:type="dxa"/>
          <w:right w:w="0" w:type="dxa"/>
        </w:tblCellMar>
      </w:tblPr>
      <w:tr>
        <w:trPr>
          <w:trHeight w:val="215"/>
        </w:trPr>
        <w:tc>
          <w:tcPr>
            <w:tcW w:w="866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6"/>
                <w:szCs w:val="16"/>
                <w:b w:val="1"/>
                <w:bCs w:val="1"/>
                <w:color w:val="auto"/>
              </w:rPr>
              <w:t>As of June 30, 2018</w:t>
            </w:r>
          </w:p>
        </w:tc>
        <w:tc>
          <w:tcPr>
            <w:tcW w:w="0" w:type="dxa"/>
            <w:vAlign w:val="bottom"/>
          </w:tcPr>
          <w:p>
            <w:pPr>
              <w:spacing w:after="0"/>
              <w:rPr>
                <w:sz w:val="1"/>
                <w:szCs w:val="1"/>
                <w:color w:val="auto"/>
              </w:rPr>
            </w:pPr>
          </w:p>
        </w:tc>
      </w:tr>
      <w:tr>
        <w:trPr>
          <w:trHeight w:val="33"/>
        </w:trPr>
        <w:tc>
          <w:tcPr>
            <w:tcW w:w="8660" w:type="dxa"/>
            <w:vAlign w:val="bottom"/>
            <w:vMerge w:val="restart"/>
          </w:tcPr>
          <w:p>
            <w:pPr>
              <w:ind w:left="20"/>
              <w:spacing w:after="0"/>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(a)</w:t>
            </w:r>
          </w:p>
        </w:tc>
        <w:tc>
          <w:tcPr>
            <w:tcW w:w="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6"/>
        </w:trPr>
        <w:tc>
          <w:tcPr>
            <w:tcW w:w="8660" w:type="dxa"/>
            <w:vAlign w:val="bottom"/>
            <w:vMerge w:val="continue"/>
          </w:tcPr>
          <w:p>
            <w:pPr>
              <w:spacing w:after="0"/>
              <w:rPr>
                <w:sz w:val="23"/>
                <w:szCs w:val="23"/>
                <w:color w:val="auto"/>
              </w:rPr>
            </w:pPr>
          </w:p>
        </w:tc>
        <w:tc>
          <w:tcPr>
            <w:tcW w:w="64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8,934</w:t>
            </w:r>
          </w:p>
        </w:tc>
        <w:tc>
          <w:tcPr>
            <w:tcW w:w="0" w:type="dxa"/>
            <w:vAlign w:val="bottom"/>
          </w:tcPr>
          <w:p>
            <w:pPr>
              <w:spacing w:after="0"/>
              <w:rPr>
                <w:sz w:val="1"/>
                <w:szCs w:val="1"/>
                <w:color w:val="auto"/>
              </w:rPr>
            </w:pPr>
          </w:p>
        </w:tc>
      </w:tr>
      <w:tr>
        <w:trPr>
          <w:trHeight w:val="195"/>
        </w:trPr>
        <w:tc>
          <w:tcPr>
            <w:tcW w:w="866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43"/>
        </w:trPr>
        <w:tc>
          <w:tcPr>
            <w:tcW w:w="8660" w:type="dxa"/>
            <w:vAlign w:val="bottom"/>
          </w:tcPr>
          <w:p>
            <w:pPr>
              <w:ind w:left="20"/>
              <w:spacing w:after="0"/>
              <w:rPr>
                <w:sz w:val="20"/>
                <w:szCs w:val="20"/>
                <w:color w:val="auto"/>
              </w:rPr>
            </w:pPr>
            <w:r>
              <w:rPr>
                <w:rFonts w:ascii="Arial" w:cs="Arial" w:eastAsia="Arial" w:hAnsi="Arial"/>
                <w:sz w:val="16"/>
                <w:szCs w:val="16"/>
                <w:color w:val="auto"/>
              </w:rPr>
              <w:t>Foreign exchange contracts</w:t>
            </w:r>
          </w:p>
        </w:tc>
        <w:tc>
          <w:tcPr>
            <w:tcW w:w="6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1,276</w:t>
            </w:r>
          </w:p>
        </w:tc>
        <w:tc>
          <w:tcPr>
            <w:tcW w:w="0" w:type="dxa"/>
            <w:vAlign w:val="bottom"/>
          </w:tcPr>
          <w:p>
            <w:pPr>
              <w:spacing w:after="0"/>
              <w:rPr>
                <w:sz w:val="1"/>
                <w:szCs w:val="1"/>
                <w:color w:val="auto"/>
              </w:rPr>
            </w:pPr>
          </w:p>
        </w:tc>
      </w:tr>
      <w:tr>
        <w:trPr>
          <w:trHeight w:val="473"/>
        </w:trPr>
        <w:tc>
          <w:tcPr>
            <w:tcW w:w="8660" w:type="dxa"/>
            <w:vAlign w:val="bottom"/>
          </w:tcPr>
          <w:p>
            <w:pPr>
              <w:ind w:left="20"/>
              <w:spacing w:after="0"/>
              <w:rPr>
                <w:sz w:val="20"/>
                <w:szCs w:val="20"/>
                <w:color w:val="auto"/>
              </w:rPr>
            </w:pPr>
            <w:r>
              <w:rPr>
                <w:rFonts w:ascii="Arial" w:cs="Arial" w:eastAsia="Arial" w:hAnsi="Arial"/>
                <w:sz w:val="16"/>
                <w:szCs w:val="16"/>
                <w:color w:val="auto"/>
              </w:rPr>
              <w:t>Commodity contracts (millions of gallons of unleaded gasoline)</w:t>
            </w:r>
          </w:p>
        </w:tc>
        <w:tc>
          <w:tcPr>
            <w:tcW w:w="6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5"/>
        </w:trPr>
        <w:tc>
          <w:tcPr>
            <w:tcW w:w="8660" w:type="dxa"/>
            <w:vAlign w:val="bottom"/>
          </w:tcPr>
          <w:p>
            <w:pPr>
              <w:spacing w:after="0"/>
              <w:rPr>
                <w:sz w:val="20"/>
                <w:szCs w:val="20"/>
                <w:color w:val="auto"/>
              </w:rPr>
            </w:pPr>
            <w:r>
              <w:rPr>
                <w:rFonts w:ascii="Arial" w:cs="Arial" w:eastAsia="Arial" w:hAnsi="Arial"/>
                <w:sz w:val="18"/>
                <w:szCs w:val="18"/>
                <w:color w:val="auto"/>
              </w:rPr>
              <w:t>__________</w:t>
            </w:r>
          </w:p>
        </w:tc>
        <w:tc>
          <w:tcPr>
            <w:tcW w:w="6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820" w:right="180" w:hanging="326"/>
        <w:spacing w:after="0" w:line="218" w:lineRule="auto"/>
        <w:tabs>
          <w:tab w:leader="none" w:pos="82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Represents $5.9 billion of interest rate caps sold, partially offset by approximately $3.0 billion of interest rate caps purchased. These amounts exclude $3.0 billion of interest rate caps purchased by the Company’s Avis Budget Rental Car Funding subsidiary as it is not consolidated by the Company.</w:t>
      </w:r>
    </w:p>
    <w:p>
      <w:pPr>
        <w:spacing w:after="0" w:line="20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Estimated fair values (Level 2) of derivative instruments were as follows:</w:t>
      </w:r>
    </w:p>
    <w:p>
      <w:pPr>
        <w:spacing w:after="0" w:line="181" w:lineRule="exact"/>
        <w:rPr>
          <w:sz w:val="20"/>
          <w:szCs w:val="20"/>
          <w:color w:val="auto"/>
        </w:rPr>
      </w:pPr>
    </w:p>
    <w:tbl>
      <w:tblPr>
        <w:tblLayout w:type="fixed"/>
        <w:tblInd w:w="500" w:type="dxa"/>
        <w:tblCellMar>
          <w:top w:w="0" w:type="dxa"/>
          <w:left w:w="0" w:type="dxa"/>
          <w:bottom w:w="0" w:type="dxa"/>
          <w:right w:w="0" w:type="dxa"/>
        </w:tblCellMar>
      </w:tblPr>
      <w:tr>
        <w:trPr>
          <w:trHeight w:val="228"/>
        </w:trPr>
        <w:tc>
          <w:tcPr>
            <w:tcW w:w="4220" w:type="dxa"/>
            <w:vAlign w:val="bottom"/>
          </w:tcPr>
          <w:p>
            <w:pPr>
              <w:spacing w:after="0"/>
              <w:rPr>
                <w:sz w:val="19"/>
                <w:szCs w:val="19"/>
                <w:color w:val="auto"/>
              </w:rPr>
            </w:pPr>
          </w:p>
        </w:tc>
        <w:tc>
          <w:tcPr>
            <w:tcW w:w="272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6"/>
                <w:szCs w:val="16"/>
                <w:b w:val="1"/>
                <w:bCs w:val="1"/>
                <w:color w:val="auto"/>
              </w:rPr>
              <w:t>As of June 30, 2018</w:t>
            </w:r>
          </w:p>
        </w:tc>
        <w:tc>
          <w:tcPr>
            <w:tcW w:w="2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6"/>
                <w:szCs w:val="16"/>
                <w:b w:val="1"/>
                <w:bCs w:val="1"/>
                <w:color w:val="auto"/>
              </w:rPr>
              <w:t>As of December 31, 2017</w:t>
            </w:r>
          </w:p>
        </w:tc>
        <w:tc>
          <w:tcPr>
            <w:tcW w:w="0" w:type="dxa"/>
            <w:vAlign w:val="bottom"/>
          </w:tcPr>
          <w:p>
            <w:pPr>
              <w:spacing w:after="0"/>
              <w:rPr>
                <w:sz w:val="1"/>
                <w:szCs w:val="1"/>
                <w:color w:val="auto"/>
              </w:rPr>
            </w:pPr>
          </w:p>
        </w:tc>
      </w:tr>
      <w:tr>
        <w:trPr>
          <w:trHeight w:val="198"/>
        </w:trPr>
        <w:tc>
          <w:tcPr>
            <w:tcW w:w="4220" w:type="dxa"/>
            <w:vAlign w:val="bottom"/>
          </w:tcPr>
          <w:p>
            <w:pPr>
              <w:spacing w:after="0"/>
              <w:rPr>
                <w:sz w:val="17"/>
                <w:szCs w:val="17"/>
                <w:color w:val="auto"/>
              </w:rPr>
            </w:pPr>
          </w:p>
        </w:tc>
        <w:tc>
          <w:tcPr>
            <w:tcW w:w="1160" w:type="dxa"/>
            <w:vAlign w:val="bottom"/>
          </w:tcPr>
          <w:p>
            <w:pPr>
              <w:jc w:val="center"/>
              <w:ind w:left="199"/>
              <w:spacing w:after="0"/>
              <w:rPr>
                <w:sz w:val="20"/>
                <w:szCs w:val="20"/>
                <w:color w:val="auto"/>
              </w:rPr>
            </w:pPr>
            <w:r>
              <w:rPr>
                <w:rFonts w:ascii="Arial" w:cs="Arial" w:eastAsia="Arial" w:hAnsi="Arial"/>
                <w:sz w:val="16"/>
                <w:szCs w:val="16"/>
                <w:b w:val="1"/>
                <w:bCs w:val="1"/>
                <w:color w:val="auto"/>
                <w:w w:val="98"/>
              </w:rPr>
              <w:t>Fair Value,</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center"/>
              <w:ind w:left="199"/>
              <w:spacing w:after="0"/>
              <w:rPr>
                <w:sz w:val="20"/>
                <w:szCs w:val="20"/>
                <w:color w:val="auto"/>
              </w:rPr>
            </w:pPr>
            <w:r>
              <w:rPr>
                <w:rFonts w:ascii="Arial" w:cs="Arial" w:eastAsia="Arial" w:hAnsi="Arial"/>
                <w:sz w:val="16"/>
                <w:szCs w:val="16"/>
                <w:b w:val="1"/>
                <w:bCs w:val="1"/>
                <w:color w:val="auto"/>
                <w:w w:val="98"/>
              </w:rPr>
              <w:t>Fair Value,</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Fair Value,</w:t>
            </w:r>
          </w:p>
        </w:tc>
        <w:tc>
          <w:tcPr>
            <w:tcW w:w="200" w:type="dxa"/>
            <w:vAlign w:val="bottom"/>
          </w:tcPr>
          <w:p>
            <w:pPr>
              <w:spacing w:after="0"/>
              <w:rPr>
                <w:sz w:val="17"/>
                <w:szCs w:val="17"/>
                <w:color w:val="auto"/>
              </w:rPr>
            </w:pPr>
          </w:p>
        </w:tc>
        <w:tc>
          <w:tcPr>
            <w:tcW w:w="1240" w:type="dxa"/>
            <w:vAlign w:val="bottom"/>
          </w:tcPr>
          <w:p>
            <w:pPr>
              <w:jc w:val="center"/>
              <w:ind w:right="119"/>
              <w:spacing w:after="0"/>
              <w:rPr>
                <w:sz w:val="20"/>
                <w:szCs w:val="20"/>
                <w:color w:val="auto"/>
              </w:rPr>
            </w:pPr>
            <w:r>
              <w:rPr>
                <w:rFonts w:ascii="Arial" w:cs="Arial" w:eastAsia="Arial" w:hAnsi="Arial"/>
                <w:sz w:val="16"/>
                <w:szCs w:val="16"/>
                <w:b w:val="1"/>
                <w:bCs w:val="1"/>
                <w:color w:val="auto"/>
                <w:w w:val="98"/>
              </w:rPr>
              <w:t>Fair Value,</w:t>
            </w:r>
          </w:p>
        </w:tc>
        <w:tc>
          <w:tcPr>
            <w:tcW w:w="0" w:type="dxa"/>
            <w:vAlign w:val="bottom"/>
          </w:tcPr>
          <w:p>
            <w:pPr>
              <w:spacing w:after="0"/>
              <w:rPr>
                <w:sz w:val="1"/>
                <w:szCs w:val="1"/>
                <w:color w:val="auto"/>
              </w:rPr>
            </w:pPr>
          </w:p>
        </w:tc>
      </w:tr>
      <w:tr>
        <w:trPr>
          <w:trHeight w:val="189"/>
        </w:trPr>
        <w:tc>
          <w:tcPr>
            <w:tcW w:w="4220" w:type="dxa"/>
            <w:vAlign w:val="bottom"/>
          </w:tcPr>
          <w:p>
            <w:pPr>
              <w:spacing w:after="0"/>
              <w:rPr>
                <w:sz w:val="16"/>
                <w:szCs w:val="16"/>
                <w:color w:val="auto"/>
              </w:rPr>
            </w:pPr>
          </w:p>
        </w:tc>
        <w:tc>
          <w:tcPr>
            <w:tcW w:w="1160" w:type="dxa"/>
            <w:vAlign w:val="bottom"/>
          </w:tcPr>
          <w:p>
            <w:pPr>
              <w:jc w:val="center"/>
              <w:ind w:left="199"/>
              <w:spacing w:after="0"/>
              <w:rPr>
                <w:sz w:val="20"/>
                <w:szCs w:val="20"/>
                <w:color w:val="auto"/>
              </w:rPr>
            </w:pPr>
            <w:r>
              <w:rPr>
                <w:rFonts w:ascii="Arial" w:cs="Arial" w:eastAsia="Arial" w:hAnsi="Arial"/>
                <w:sz w:val="16"/>
                <w:szCs w:val="16"/>
                <w:b w:val="1"/>
                <w:bCs w:val="1"/>
                <w:color w:val="auto"/>
              </w:rPr>
              <w:t>Asset</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center"/>
              <w:ind w:left="199"/>
              <w:spacing w:after="0"/>
              <w:rPr>
                <w:sz w:val="20"/>
                <w:szCs w:val="20"/>
                <w:color w:val="auto"/>
              </w:rPr>
            </w:pPr>
            <w:r>
              <w:rPr>
                <w:rFonts w:ascii="Arial" w:cs="Arial" w:eastAsia="Arial" w:hAnsi="Arial"/>
                <w:sz w:val="16"/>
                <w:szCs w:val="16"/>
                <w:b w:val="1"/>
                <w:bCs w:val="1"/>
                <w:color w:val="auto"/>
                <w:w w:val="99"/>
              </w:rPr>
              <w:t>Liability</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Asset</w:t>
            </w:r>
          </w:p>
        </w:tc>
        <w:tc>
          <w:tcPr>
            <w:tcW w:w="200" w:type="dxa"/>
            <w:vAlign w:val="bottom"/>
          </w:tcPr>
          <w:p>
            <w:pPr>
              <w:spacing w:after="0"/>
              <w:rPr>
                <w:sz w:val="16"/>
                <w:szCs w:val="16"/>
                <w:color w:val="auto"/>
              </w:rPr>
            </w:pPr>
          </w:p>
        </w:tc>
        <w:tc>
          <w:tcPr>
            <w:tcW w:w="124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Liability</w:t>
            </w:r>
          </w:p>
        </w:tc>
        <w:tc>
          <w:tcPr>
            <w:tcW w:w="0" w:type="dxa"/>
            <w:vAlign w:val="bottom"/>
          </w:tcPr>
          <w:p>
            <w:pPr>
              <w:spacing w:after="0"/>
              <w:rPr>
                <w:sz w:val="1"/>
                <w:szCs w:val="1"/>
                <w:color w:val="auto"/>
              </w:rPr>
            </w:pPr>
          </w:p>
        </w:tc>
      </w:tr>
      <w:tr>
        <w:trPr>
          <w:trHeight w:val="228"/>
        </w:trPr>
        <w:tc>
          <w:tcPr>
            <w:tcW w:w="4220" w:type="dxa"/>
            <w:vAlign w:val="bottom"/>
          </w:tcPr>
          <w:p>
            <w:pPr>
              <w:spacing w:after="0"/>
              <w:rPr>
                <w:sz w:val="19"/>
                <w:szCs w:val="19"/>
                <w:color w:val="auto"/>
              </w:rPr>
            </w:pPr>
          </w:p>
        </w:tc>
        <w:tc>
          <w:tcPr>
            <w:tcW w:w="1160" w:type="dxa"/>
            <w:vAlign w:val="bottom"/>
          </w:tcPr>
          <w:p>
            <w:pPr>
              <w:jc w:val="center"/>
              <w:ind w:left="219"/>
              <w:spacing w:after="0"/>
              <w:rPr>
                <w:sz w:val="20"/>
                <w:szCs w:val="20"/>
                <w:color w:val="auto"/>
              </w:rPr>
            </w:pPr>
            <w:r>
              <w:rPr>
                <w:rFonts w:ascii="Arial" w:cs="Arial" w:eastAsia="Arial" w:hAnsi="Arial"/>
                <w:sz w:val="16"/>
                <w:szCs w:val="16"/>
                <w:b w:val="1"/>
                <w:bCs w:val="1"/>
                <w:color w:val="auto"/>
              </w:rPr>
              <w:t>Derivatives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center"/>
              <w:ind w:left="179"/>
              <w:spacing w:after="0"/>
              <w:rPr>
                <w:sz w:val="20"/>
                <w:szCs w:val="20"/>
                <w:color w:val="auto"/>
              </w:rPr>
            </w:pPr>
            <w:r>
              <w:rPr>
                <w:rFonts w:ascii="Arial" w:cs="Arial" w:eastAsia="Arial" w:hAnsi="Arial"/>
                <w:sz w:val="16"/>
                <w:szCs w:val="16"/>
                <w:b w:val="1"/>
                <w:bCs w:val="1"/>
                <w:color w:val="auto"/>
              </w:rPr>
              <w:t>Derivatives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Derivatives</w:t>
            </w:r>
          </w:p>
        </w:tc>
        <w:tc>
          <w:tcPr>
            <w:tcW w:w="200" w:type="dxa"/>
            <w:vAlign w:val="bottom"/>
          </w:tcPr>
          <w:p>
            <w:pPr>
              <w:spacing w:after="0"/>
              <w:rPr>
                <w:sz w:val="19"/>
                <w:szCs w:val="19"/>
                <w:color w:val="auto"/>
              </w:rPr>
            </w:pPr>
          </w:p>
        </w:tc>
        <w:tc>
          <w:tcPr>
            <w:tcW w:w="1240" w:type="dxa"/>
            <w:vAlign w:val="bottom"/>
          </w:tcPr>
          <w:p>
            <w:pPr>
              <w:jc w:val="center"/>
              <w:ind w:right="99"/>
              <w:spacing w:after="0"/>
              <w:rPr>
                <w:sz w:val="20"/>
                <w:szCs w:val="20"/>
                <w:color w:val="auto"/>
              </w:rPr>
            </w:pPr>
            <w:r>
              <w:rPr>
                <w:rFonts w:ascii="Arial" w:cs="Arial" w:eastAsia="Arial" w:hAnsi="Arial"/>
                <w:sz w:val="16"/>
                <w:szCs w:val="16"/>
                <w:b w:val="1"/>
                <w:bCs w:val="1"/>
                <w:color w:val="auto"/>
              </w:rPr>
              <w:t>Derivatives</w:t>
            </w:r>
          </w:p>
        </w:tc>
        <w:tc>
          <w:tcPr>
            <w:tcW w:w="0" w:type="dxa"/>
            <w:vAlign w:val="bottom"/>
          </w:tcPr>
          <w:p>
            <w:pPr>
              <w:spacing w:after="0"/>
              <w:rPr>
                <w:sz w:val="1"/>
                <w:szCs w:val="1"/>
                <w:color w:val="auto"/>
              </w:rPr>
            </w:pPr>
          </w:p>
        </w:tc>
      </w:tr>
      <w:tr>
        <w:trPr>
          <w:trHeight w:val="251"/>
        </w:trPr>
        <w:tc>
          <w:tcPr>
            <w:tcW w:w="4220" w:type="dxa"/>
            <w:vAlign w:val="bottom"/>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16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47"/>
        </w:trPr>
        <w:tc>
          <w:tcPr>
            <w:tcW w:w="4220" w:type="dxa"/>
            <w:vAlign w:val="bottom"/>
          </w:tcPr>
          <w:p>
            <w:pPr>
              <w:ind w:left="120"/>
              <w:spacing w:after="0"/>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(a)</w:t>
            </w:r>
          </w:p>
        </w:tc>
        <w:tc>
          <w:tcPr>
            <w:tcW w:w="1160" w:type="dxa"/>
            <w:vAlign w:val="bottom"/>
          </w:tcPr>
          <w:p>
            <w:pPr>
              <w:jc w:val="right"/>
              <w:ind w:right="959"/>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4"/>
                <w:szCs w:val="24"/>
                <w:color w:val="auto"/>
              </w:rPr>
            </w:pPr>
          </w:p>
        </w:tc>
        <w:tc>
          <w:tcPr>
            <w:tcW w:w="1160" w:type="dxa"/>
            <w:vAlign w:val="bottom"/>
          </w:tcPr>
          <w:p>
            <w:pPr>
              <w:jc w:val="right"/>
              <w:ind w:right="959"/>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w w:val="99"/>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23"/>
        </w:trPr>
        <w:tc>
          <w:tcPr>
            <w:tcW w:w="4220" w:type="dxa"/>
            <w:vAlign w:val="bottom"/>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220" w:type="dxa"/>
            <w:vAlign w:val="bottom"/>
          </w:tcPr>
          <w:p>
            <w:pPr>
              <w:ind w:left="120"/>
              <w:spacing w:after="0"/>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(b)</w:t>
            </w:r>
          </w:p>
        </w:tc>
        <w:tc>
          <w:tcPr>
            <w:tcW w:w="11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0"/>
        </w:trPr>
        <w:tc>
          <w:tcPr>
            <w:tcW w:w="4220" w:type="dxa"/>
            <w:vAlign w:val="bottom"/>
          </w:tcPr>
          <w:p>
            <w:pPr>
              <w:ind w:left="120"/>
              <w:spacing w:after="0"/>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(c)</w:t>
            </w:r>
          </w:p>
        </w:tc>
        <w:tc>
          <w:tcPr>
            <w:tcW w:w="116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9"/>
        </w:trPr>
        <w:tc>
          <w:tcPr>
            <w:tcW w:w="4220" w:type="dxa"/>
            <w:vAlign w:val="bottom"/>
          </w:tcPr>
          <w:p>
            <w:pPr>
              <w:ind w:left="120"/>
              <w:spacing w:after="0" w:line="219" w:lineRule="exact"/>
              <w:rPr>
                <w:sz w:val="20"/>
                <w:szCs w:val="20"/>
                <w:color w:val="auto"/>
              </w:rPr>
            </w:pPr>
            <w:r>
              <w:rPr>
                <w:rFonts w:ascii="Arial" w:cs="Arial" w:eastAsia="Arial" w:hAnsi="Arial"/>
                <w:sz w:val="16"/>
                <w:szCs w:val="16"/>
                <w:color w:val="auto"/>
              </w:rPr>
              <w:t xml:space="preserve">Commodity contracts </w:t>
            </w:r>
            <w:r>
              <w:rPr>
                <w:rFonts w:ascii="Arial" w:cs="Arial" w:eastAsia="Arial" w:hAnsi="Arial"/>
                <w:sz w:val="21"/>
                <w:szCs w:val="21"/>
                <w:color w:val="auto"/>
                <w:vertAlign w:val="superscript"/>
              </w:rPr>
              <w:t>(c)</w:t>
            </w:r>
          </w:p>
        </w:tc>
        <w:tc>
          <w:tcPr>
            <w:tcW w:w="11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4220" w:type="dxa"/>
            <w:vAlign w:val="bottom"/>
          </w:tcPr>
          <w:p>
            <w:pPr>
              <w:ind w:left="120"/>
              <w:spacing w:after="0"/>
              <w:rPr>
                <w:sz w:val="20"/>
                <w:szCs w:val="20"/>
                <w:color w:val="auto"/>
              </w:rPr>
            </w:pPr>
            <w:r>
              <w:rPr>
                <w:rFonts w:ascii="Arial" w:cs="Arial" w:eastAsia="Arial" w:hAnsi="Arial"/>
                <w:sz w:val="16"/>
                <w:szCs w:val="16"/>
                <w:color w:val="auto"/>
              </w:rPr>
              <w:t>Total</w:t>
            </w:r>
          </w:p>
        </w:tc>
        <w:tc>
          <w:tcPr>
            <w:tcW w:w="1160" w:type="dxa"/>
            <w:vAlign w:val="bottom"/>
            <w:tcBorders>
              <w:top w:val="single" w:sz="8" w:color="auto"/>
              <w:bottom w:val="single" w:sz="8" w:color="auto"/>
            </w:tcBorders>
          </w:tcPr>
          <w:p>
            <w:pPr>
              <w:jc w:val="right"/>
              <w:ind w:right="959"/>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1160" w:type="dxa"/>
            <w:vAlign w:val="bottom"/>
            <w:tcBorders>
              <w:top w:val="single" w:sz="8" w:color="auto"/>
              <w:bottom w:val="single" w:sz="8" w:color="auto"/>
            </w:tcBorders>
          </w:tcPr>
          <w:p>
            <w:pPr>
              <w:jc w:val="right"/>
              <w:ind w:right="959"/>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10</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220" w:type="dxa"/>
            <w:vAlign w:val="bottom"/>
            <w:vMerge w:val="continue"/>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500" w:right="200"/>
        <w:spacing w:after="0" w:line="237" w:lineRule="auto"/>
        <w:rPr>
          <w:sz w:val="20"/>
          <w:szCs w:val="20"/>
          <w:color w:val="auto"/>
        </w:rPr>
      </w:pPr>
      <w:r>
        <w:rPr>
          <w:rFonts w:ascii="Arial" w:cs="Arial" w:eastAsia="Arial" w:hAnsi="Arial"/>
          <w:sz w:val="14"/>
          <w:szCs w:val="14"/>
          <w:color w:val="auto"/>
        </w:rPr>
        <w:t>Amounts in this table exclude derivatives issued by Avis Budget Rental Car Funding; however, certain amounts related to the derivatives held by Avis Budget Rental Car Funding are included within accumulated other comprehensive income (loss).</w:t>
      </w:r>
    </w:p>
    <w:p>
      <w:pPr>
        <w:ind w:left="820" w:hanging="326"/>
        <w:spacing w:after="0" w:line="195" w:lineRule="auto"/>
        <w:tabs>
          <w:tab w:leader="none" w:pos="820" w:val="left"/>
        </w:tabs>
        <w:numPr>
          <w:ilvl w:val="0"/>
          <w:numId w:val="32"/>
        </w:numPr>
        <w:rPr>
          <w:rFonts w:ascii="Arial" w:cs="Arial" w:eastAsia="Arial" w:hAnsi="Arial"/>
          <w:sz w:val="18"/>
          <w:szCs w:val="18"/>
          <w:color w:val="auto"/>
          <w:vertAlign w:val="superscript"/>
        </w:rPr>
      </w:pPr>
      <w:r>
        <w:rPr>
          <w:rFonts w:ascii="Arial" w:cs="Arial" w:eastAsia="Arial" w:hAnsi="Arial"/>
          <w:sz w:val="14"/>
          <w:szCs w:val="14"/>
          <w:color w:val="auto"/>
        </w:rPr>
        <w:t>Included in other non-current assets or other non-current liabilities.</w:t>
      </w:r>
    </w:p>
    <w:p>
      <w:pPr>
        <w:ind w:left="820" w:hanging="326"/>
        <w:spacing w:after="0" w:line="187" w:lineRule="auto"/>
        <w:tabs>
          <w:tab w:leader="none" w:pos="820" w:val="left"/>
        </w:tabs>
        <w:numPr>
          <w:ilvl w:val="0"/>
          <w:numId w:val="32"/>
        </w:numPr>
        <w:rPr>
          <w:rFonts w:ascii="Arial" w:cs="Arial" w:eastAsia="Arial" w:hAnsi="Arial"/>
          <w:sz w:val="18"/>
          <w:szCs w:val="18"/>
          <w:color w:val="auto"/>
          <w:vertAlign w:val="superscript"/>
        </w:rPr>
      </w:pPr>
      <w:r>
        <w:rPr>
          <w:rFonts w:ascii="Arial" w:cs="Arial" w:eastAsia="Arial" w:hAnsi="Arial"/>
          <w:sz w:val="14"/>
          <w:szCs w:val="14"/>
          <w:color w:val="auto"/>
        </w:rPr>
        <w:t>Included in assets under vehicle programs or liabilities under vehicle programs.</w:t>
      </w:r>
    </w:p>
    <w:p>
      <w:pPr>
        <w:ind w:left="820" w:hanging="326"/>
        <w:spacing w:after="0" w:line="199" w:lineRule="auto"/>
        <w:tabs>
          <w:tab w:leader="none" w:pos="820" w:val="left"/>
        </w:tabs>
        <w:numPr>
          <w:ilvl w:val="0"/>
          <w:numId w:val="32"/>
        </w:numPr>
        <w:rPr>
          <w:rFonts w:ascii="Arial" w:cs="Arial" w:eastAsia="Arial" w:hAnsi="Arial"/>
          <w:sz w:val="18"/>
          <w:szCs w:val="18"/>
          <w:color w:val="auto"/>
          <w:vertAlign w:val="superscript"/>
        </w:rPr>
      </w:pPr>
      <w:r>
        <w:rPr>
          <w:rFonts w:ascii="Arial" w:cs="Arial" w:eastAsia="Arial" w:hAnsi="Arial"/>
          <w:sz w:val="14"/>
          <w:szCs w:val="14"/>
          <w:color w:val="auto"/>
        </w:rPr>
        <w:t>Included in other current assets or other current liabilities.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40"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effects of derivatives recognized in the Company’s Consolidated Condensed Financial Statements were as follows:</w:t>
      </w:r>
    </w:p>
    <w:p>
      <w:pPr>
        <w:spacing w:after="0" w:line="154" w:lineRule="exact"/>
        <w:rPr>
          <w:sz w:val="20"/>
          <w:szCs w:val="20"/>
          <w:color w:val="auto"/>
        </w:rPr>
      </w:pPr>
    </w:p>
    <w:tbl>
      <w:tblPr>
        <w:tblLayout w:type="fixed"/>
        <w:tblInd w:w="520" w:type="dxa"/>
        <w:tblCellMar>
          <w:top w:w="0" w:type="dxa"/>
          <w:left w:w="0" w:type="dxa"/>
          <w:bottom w:w="0" w:type="dxa"/>
          <w:right w:w="0" w:type="dxa"/>
        </w:tblCellMar>
      </w:tblPr>
      <w:tr>
        <w:trPr>
          <w:trHeight w:val="189"/>
        </w:trPr>
        <w:tc>
          <w:tcPr>
            <w:tcW w:w="4300" w:type="dxa"/>
            <w:vAlign w:val="bottom"/>
          </w:tcPr>
          <w:p>
            <w:pPr>
              <w:spacing w:after="0"/>
              <w:rPr>
                <w:sz w:val="16"/>
                <w:szCs w:val="16"/>
                <w:color w:val="auto"/>
              </w:rPr>
            </w:pPr>
          </w:p>
        </w:tc>
        <w:tc>
          <w:tcPr>
            <w:tcW w:w="2520" w:type="dxa"/>
            <w:vAlign w:val="bottom"/>
            <w:gridSpan w:val="4"/>
          </w:tcPr>
          <w:p>
            <w:pPr>
              <w:jc w:val="right"/>
              <w:ind w:right="159"/>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Six Months Ended</w:t>
            </w:r>
          </w:p>
        </w:tc>
      </w:tr>
      <w:tr>
        <w:trPr>
          <w:trHeight w:val="228"/>
        </w:trPr>
        <w:tc>
          <w:tcPr>
            <w:tcW w:w="430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6"/>
                <w:szCs w:val="16"/>
                <w:b w:val="1"/>
                <w:bCs w:val="1"/>
                <w:color w:val="auto"/>
              </w:rPr>
              <w:t>June 30,</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1000" w:type="dxa"/>
            <w:vAlign w:val="bottom"/>
            <w:tcBorders>
              <w:bottom w:val="single" w:sz="8" w:color="auto"/>
            </w:tcBorders>
          </w:tcPr>
          <w:p>
            <w:pPr>
              <w:spacing w:after="0"/>
              <w:rPr>
                <w:sz w:val="19"/>
                <w:szCs w:val="19"/>
                <w:color w:val="auto"/>
              </w:rPr>
            </w:pPr>
          </w:p>
        </w:tc>
      </w:tr>
      <w:tr>
        <w:trPr>
          <w:trHeight w:val="264"/>
        </w:trPr>
        <w:tc>
          <w:tcPr>
            <w:tcW w:w="4300" w:type="dxa"/>
            <w:vAlign w:val="bottom"/>
          </w:tcPr>
          <w:p>
            <w:pPr>
              <w:spacing w:after="0"/>
              <w:rPr>
                <w:sz w:val="22"/>
                <w:szCs w:val="22"/>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2018</w:t>
            </w:r>
          </w:p>
        </w:tc>
        <w:tc>
          <w:tcPr>
            <w:tcW w:w="4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c>
          <w:tcPr>
            <w:tcW w:w="4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2017</w:t>
            </w:r>
          </w:p>
        </w:tc>
      </w:tr>
      <w:tr>
        <w:trPr>
          <w:trHeight w:val="326"/>
        </w:trPr>
        <w:tc>
          <w:tcPr>
            <w:tcW w:w="4300" w:type="dxa"/>
            <w:vAlign w:val="bottom"/>
          </w:tcPr>
          <w:p>
            <w:pPr>
              <w:spacing w:after="0"/>
              <w:rPr>
                <w:sz w:val="20"/>
                <w:szCs w:val="20"/>
                <w:color w:val="auto"/>
              </w:rPr>
            </w:pPr>
            <w:r>
              <w:rPr>
                <w:rFonts w:ascii="Arial" w:cs="Arial" w:eastAsia="Arial" w:hAnsi="Arial"/>
                <w:sz w:val="16"/>
                <w:szCs w:val="16"/>
                <w:b w:val="1"/>
                <w:bCs w:val="1"/>
                <w:color w:val="auto"/>
              </w:rPr>
              <w:t xml:space="preserve">Derivatives designated as hedging instruments </w:t>
            </w:r>
            <w:r>
              <w:rPr>
                <w:rFonts w:ascii="Arial" w:cs="Arial" w:eastAsia="Arial" w:hAnsi="Arial"/>
                <w:sz w:val="21"/>
                <w:szCs w:val="21"/>
                <w:b w:val="1"/>
                <w:bCs w:val="1"/>
                <w:color w:val="auto"/>
                <w:vertAlign w:val="superscript"/>
              </w:rPr>
              <w:t>(a)</w:t>
            </w: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5"/>
        </w:trPr>
        <w:tc>
          <w:tcPr>
            <w:tcW w:w="4300" w:type="dxa"/>
            <w:vAlign w:val="bottom"/>
          </w:tcPr>
          <w:p>
            <w:pPr>
              <w:ind w:left="100"/>
              <w:spacing w:after="0"/>
              <w:rPr>
                <w:sz w:val="20"/>
                <w:szCs w:val="20"/>
                <w:color w:val="auto"/>
              </w:rPr>
            </w:pPr>
            <w:r>
              <w:rPr>
                <w:rFonts w:ascii="Arial" w:cs="Arial" w:eastAsia="Arial" w:hAnsi="Arial"/>
                <w:sz w:val="16"/>
                <w:szCs w:val="16"/>
                <w:color w:val="auto"/>
              </w:rPr>
              <w:t>Interest rate swaps</w:t>
            </w:r>
          </w:p>
        </w:tc>
        <w:tc>
          <w:tcPr>
            <w:tcW w:w="102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6"/>
                <w:szCs w:val="16"/>
                <w:color w:val="auto"/>
              </w:rPr>
            </w:pPr>
          </w:p>
        </w:tc>
        <w:tc>
          <w:tcPr>
            <w:tcW w:w="980" w:type="dxa"/>
            <w:vAlign w:val="bottom"/>
          </w:tcPr>
          <w:p>
            <w:pPr>
              <w:jc w:val="right"/>
              <w:ind w:right="779"/>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6"/>
                <w:szCs w:val="16"/>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6"/>
                <w:szCs w:val="16"/>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70"/>
        </w:trPr>
        <w:tc>
          <w:tcPr>
            <w:tcW w:w="4300" w:type="dxa"/>
            <w:vAlign w:val="bottom"/>
          </w:tcPr>
          <w:p>
            <w:pPr>
              <w:ind w:left="100"/>
              <w:spacing w:after="0"/>
              <w:rPr>
                <w:sz w:val="20"/>
                <w:szCs w:val="20"/>
                <w:color w:val="auto"/>
              </w:rPr>
            </w:pPr>
            <w:r>
              <w:rPr>
                <w:rFonts w:ascii="Arial" w:cs="Arial" w:eastAsia="Arial" w:hAnsi="Arial"/>
                <w:sz w:val="16"/>
                <w:szCs w:val="16"/>
                <w:color w:val="auto"/>
              </w:rPr>
              <w:t>Euro-denominated notes</w:t>
            </w:r>
          </w:p>
        </w:tc>
        <w:tc>
          <w:tcPr>
            <w:tcW w:w="102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340"/>
        </w:trPr>
        <w:tc>
          <w:tcPr>
            <w:tcW w:w="4300" w:type="dxa"/>
            <w:vAlign w:val="bottom"/>
          </w:tcPr>
          <w:p>
            <w:pPr>
              <w:spacing w:after="0"/>
              <w:rPr>
                <w:sz w:val="20"/>
                <w:szCs w:val="20"/>
                <w:color w:val="auto"/>
              </w:rPr>
            </w:pPr>
            <w:r>
              <w:rPr>
                <w:rFonts w:ascii="Arial" w:cs="Arial" w:eastAsia="Arial" w:hAnsi="Arial"/>
                <w:sz w:val="16"/>
                <w:szCs w:val="16"/>
                <w:b w:val="1"/>
                <w:bCs w:val="1"/>
                <w:color w:val="auto"/>
              </w:rPr>
              <w:t xml:space="preserve">Derivatives not designated as hedging instruments </w:t>
            </w:r>
            <w:r>
              <w:rPr>
                <w:rFonts w:ascii="Arial" w:cs="Arial" w:eastAsia="Arial" w:hAnsi="Arial"/>
                <w:sz w:val="21"/>
                <w:szCs w:val="21"/>
                <w:b w:val="1"/>
                <w:bCs w:val="1"/>
                <w:color w:val="auto"/>
                <w:vertAlign w:val="superscript"/>
              </w:rPr>
              <w:t>(b)</w:t>
            </w: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0"/>
        </w:trPr>
        <w:tc>
          <w:tcPr>
            <w:tcW w:w="4300" w:type="dxa"/>
            <w:vAlign w:val="bottom"/>
          </w:tcPr>
          <w:p>
            <w:pPr>
              <w:ind w:left="100"/>
              <w:spacing w:after="0"/>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(c)</w:t>
            </w:r>
          </w:p>
        </w:tc>
        <w:tc>
          <w:tcPr>
            <w:tcW w:w="102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4300" w:type="dxa"/>
            <w:vAlign w:val="bottom"/>
          </w:tcPr>
          <w:p>
            <w:pPr>
              <w:ind w:left="100"/>
              <w:spacing w:after="0"/>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(d)</w:t>
            </w:r>
          </w:p>
        </w:tc>
        <w:tc>
          <w:tcPr>
            <w:tcW w:w="102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19"/>
        </w:trPr>
        <w:tc>
          <w:tcPr>
            <w:tcW w:w="4300" w:type="dxa"/>
            <w:vAlign w:val="bottom"/>
          </w:tcPr>
          <w:p>
            <w:pPr>
              <w:ind w:left="100"/>
              <w:spacing w:after="0" w:line="219" w:lineRule="exact"/>
              <w:rPr>
                <w:sz w:val="20"/>
                <w:szCs w:val="20"/>
                <w:color w:val="auto"/>
              </w:rPr>
            </w:pPr>
            <w:r>
              <w:rPr>
                <w:rFonts w:ascii="Arial" w:cs="Arial" w:eastAsia="Arial" w:hAnsi="Arial"/>
                <w:sz w:val="16"/>
                <w:szCs w:val="16"/>
                <w:color w:val="auto"/>
              </w:rPr>
              <w:t xml:space="preserve">Commodity contracts </w:t>
            </w:r>
            <w:r>
              <w:rPr>
                <w:rFonts w:ascii="Arial" w:cs="Arial" w:eastAsia="Arial" w:hAnsi="Arial"/>
                <w:sz w:val="21"/>
                <w:szCs w:val="21"/>
                <w:color w:val="auto"/>
                <w:vertAlign w:val="superscript"/>
              </w:rPr>
              <w:t>(e)</w:t>
            </w:r>
          </w:p>
        </w:tc>
        <w:tc>
          <w:tcPr>
            <w:tcW w:w="10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31"/>
        </w:trPr>
        <w:tc>
          <w:tcPr>
            <w:tcW w:w="4300" w:type="dxa"/>
            <w:vAlign w:val="bottom"/>
          </w:tcPr>
          <w:p>
            <w:pPr>
              <w:ind w:left="100"/>
              <w:spacing w:after="0"/>
              <w:rPr>
                <w:sz w:val="20"/>
                <w:szCs w:val="20"/>
                <w:color w:val="auto"/>
              </w:rPr>
            </w:pPr>
            <w:r>
              <w:rPr>
                <w:rFonts w:ascii="Arial" w:cs="Arial" w:eastAsia="Arial" w:hAnsi="Arial"/>
                <w:sz w:val="16"/>
                <w:szCs w:val="16"/>
                <w:color w:val="auto"/>
              </w:rPr>
              <w:t>Total</w:t>
            </w:r>
          </w:p>
        </w:tc>
        <w:tc>
          <w:tcPr>
            <w:tcW w:w="102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0"/>
                <w:szCs w:val="20"/>
                <w:color w:val="auto"/>
              </w:rPr>
            </w:pPr>
          </w:p>
        </w:tc>
        <w:tc>
          <w:tcPr>
            <w:tcW w:w="980" w:type="dxa"/>
            <w:vAlign w:val="bottom"/>
          </w:tcPr>
          <w:p>
            <w:pPr>
              <w:jc w:val="right"/>
              <w:ind w:right="779"/>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3066415</wp:posOffset>
            </wp:positionH>
            <wp:positionV relativeFrom="paragraph">
              <wp:posOffset>3810</wp:posOffset>
            </wp:positionV>
            <wp:extent cx="380746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07460" cy="26035"/>
                    </a:xfrm>
                    <a:prstGeom prst="rect">
                      <a:avLst/>
                    </a:prstGeom>
                    <a:noFill/>
                  </pic:spPr>
                </pic:pic>
              </a:graphicData>
            </a:graphic>
          </wp:anchor>
        </w:drawing>
      </w:r>
    </w:p>
    <w:p>
      <w:pPr>
        <w:spacing w:after="0" w:line="2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ind w:left="820" w:hanging="326"/>
        <w:spacing w:after="0" w:line="204" w:lineRule="auto"/>
        <w:tabs>
          <w:tab w:leader="none" w:pos="820"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Recognized, net of tax, as a component of other comprehensive income (loss) within stockholders’ equity.</w:t>
      </w:r>
    </w:p>
    <w:p>
      <w:pPr>
        <w:ind w:left="820" w:hanging="326"/>
        <w:spacing w:after="0" w:line="187" w:lineRule="auto"/>
        <w:tabs>
          <w:tab w:leader="none" w:pos="820"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Gains (losses) related to derivative instruments are expected to be largely offset by (losses) gains on the underlying exposures being hedged.</w:t>
      </w:r>
    </w:p>
    <w:p>
      <w:pPr>
        <w:ind w:left="820" w:hanging="326"/>
        <w:spacing w:after="0" w:line="187" w:lineRule="auto"/>
        <w:tabs>
          <w:tab w:leader="none" w:pos="820"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Included primarily in vehicle interest, net.</w:t>
      </w:r>
    </w:p>
    <w:p>
      <w:pPr>
        <w:ind w:left="820" w:right="60" w:hanging="326"/>
        <w:spacing w:after="0" w:line="225" w:lineRule="auto"/>
        <w:tabs>
          <w:tab w:leader="none" w:pos="820"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For the three months ended June 30, 2018, included a $20 million gain in interest expense and a $8 million gain in operating expense and for the six months ended June 30, 2018, included a $7 million gain in interest expense and a $12 million gain in operating expense. For the three months ended June 30, 2017, included a $11 million loss in interest expense and a $10 million loss in operating expense and for the six months ended June 30, 2017, included a $18 million loss in interest expense and a $15 million loss in operating expense.</w:t>
      </w:r>
    </w:p>
    <w:p>
      <w:pPr>
        <w:spacing w:after="0" w:line="1" w:lineRule="exact"/>
        <w:rPr>
          <w:rFonts w:ascii="Arial" w:cs="Arial" w:eastAsia="Arial" w:hAnsi="Arial"/>
          <w:sz w:val="18"/>
          <w:szCs w:val="18"/>
          <w:color w:val="auto"/>
          <w:vertAlign w:val="superscript"/>
        </w:rPr>
      </w:pPr>
    </w:p>
    <w:p>
      <w:pPr>
        <w:ind w:left="820" w:hanging="326"/>
        <w:spacing w:after="0" w:line="199" w:lineRule="auto"/>
        <w:tabs>
          <w:tab w:leader="none" w:pos="820"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Included in operating expense.</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Instruments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carrying amounts and estimated fair values (Level 2) of debt instruments were as follows:</w:t>
      </w:r>
    </w:p>
    <w:p>
      <w:pPr>
        <w:spacing w:after="0" w:line="181" w:lineRule="exact"/>
        <w:rPr>
          <w:sz w:val="20"/>
          <w:szCs w:val="20"/>
          <w:color w:val="auto"/>
        </w:rPr>
      </w:pPr>
    </w:p>
    <w:tbl>
      <w:tblPr>
        <w:tblLayout w:type="fixed"/>
        <w:tblInd w:w="500" w:type="dxa"/>
        <w:tblCellMar>
          <w:top w:w="0" w:type="dxa"/>
          <w:left w:w="0" w:type="dxa"/>
          <w:bottom w:w="0" w:type="dxa"/>
          <w:right w:w="0" w:type="dxa"/>
        </w:tblCellMar>
      </w:tblPr>
      <w:tr>
        <w:trPr>
          <w:trHeight w:val="228"/>
        </w:trPr>
        <w:tc>
          <w:tcPr>
            <w:tcW w:w="4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6"/>
                <w:szCs w:val="16"/>
                <w:b w:val="1"/>
                <w:bCs w:val="1"/>
                <w:color w:val="auto"/>
              </w:rPr>
              <w:t>As of June 30, 2018</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6"/>
                <w:szCs w:val="16"/>
                <w:b w:val="1"/>
                <w:bCs w:val="1"/>
                <w:color w:val="auto"/>
              </w:rPr>
              <w:t>As of December 31, 2017</w:t>
            </w:r>
          </w:p>
        </w:tc>
      </w:tr>
      <w:tr>
        <w:trPr>
          <w:trHeight w:val="198"/>
        </w:trPr>
        <w:tc>
          <w:tcPr>
            <w:tcW w:w="4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Estimated</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center"/>
              <w:ind w:right="119"/>
              <w:spacing w:after="0"/>
              <w:rPr>
                <w:sz w:val="20"/>
                <w:szCs w:val="20"/>
                <w:color w:val="auto"/>
              </w:rPr>
            </w:pPr>
            <w:r>
              <w:rPr>
                <w:rFonts w:ascii="Arial" w:cs="Arial" w:eastAsia="Arial" w:hAnsi="Arial"/>
                <w:sz w:val="16"/>
                <w:szCs w:val="16"/>
                <w:b w:val="1"/>
                <w:bCs w:val="1"/>
                <w:color w:val="auto"/>
              </w:rPr>
              <w:t>Estimated</w:t>
            </w:r>
          </w:p>
        </w:tc>
      </w:tr>
      <w:tr>
        <w:trPr>
          <w:trHeight w:val="189"/>
        </w:trPr>
        <w:tc>
          <w:tcPr>
            <w:tcW w:w="4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Carrying</w:t>
            </w:r>
          </w:p>
        </w:tc>
        <w:tc>
          <w:tcPr>
            <w:tcW w:w="22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Fair</w:t>
            </w:r>
          </w:p>
        </w:tc>
        <w:tc>
          <w:tcPr>
            <w:tcW w:w="26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Carrying</w:t>
            </w:r>
          </w:p>
        </w:tc>
        <w:tc>
          <w:tcPr>
            <w:tcW w:w="220" w:type="dxa"/>
            <w:vAlign w:val="bottom"/>
          </w:tcPr>
          <w:p>
            <w:pPr>
              <w:spacing w:after="0"/>
              <w:rPr>
                <w:sz w:val="16"/>
                <w:szCs w:val="16"/>
                <w:color w:val="auto"/>
              </w:rPr>
            </w:pPr>
          </w:p>
        </w:tc>
        <w:tc>
          <w:tcPr>
            <w:tcW w:w="1220" w:type="dxa"/>
            <w:vAlign w:val="bottom"/>
          </w:tcPr>
          <w:p>
            <w:pPr>
              <w:jc w:val="center"/>
              <w:ind w:right="119"/>
              <w:spacing w:after="0"/>
              <w:rPr>
                <w:sz w:val="20"/>
                <w:szCs w:val="20"/>
                <w:color w:val="auto"/>
              </w:rPr>
            </w:pPr>
            <w:r>
              <w:rPr>
                <w:rFonts w:ascii="Arial" w:cs="Arial" w:eastAsia="Arial" w:hAnsi="Arial"/>
                <w:sz w:val="16"/>
                <w:szCs w:val="16"/>
                <w:b w:val="1"/>
                <w:bCs w:val="1"/>
                <w:color w:val="auto"/>
              </w:rPr>
              <w:t>Fair</w:t>
            </w:r>
          </w:p>
        </w:tc>
      </w:tr>
      <w:tr>
        <w:trPr>
          <w:trHeight w:val="228"/>
        </w:trPr>
        <w:tc>
          <w:tcPr>
            <w:tcW w:w="4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Amount</w:t>
            </w:r>
          </w:p>
        </w:tc>
        <w:tc>
          <w:tcPr>
            <w:tcW w:w="220" w:type="dxa"/>
            <w:vAlign w:val="bottom"/>
          </w:tcPr>
          <w:p>
            <w:pPr>
              <w:spacing w:after="0"/>
              <w:rPr>
                <w:sz w:val="19"/>
                <w:szCs w:val="19"/>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Value</w:t>
            </w:r>
          </w:p>
        </w:tc>
        <w:tc>
          <w:tcPr>
            <w:tcW w:w="260" w:type="dxa"/>
            <w:vAlign w:val="bottom"/>
          </w:tcPr>
          <w:p>
            <w:pPr>
              <w:spacing w:after="0"/>
              <w:rPr>
                <w:sz w:val="19"/>
                <w:szCs w:val="19"/>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Amount</w:t>
            </w:r>
          </w:p>
        </w:tc>
        <w:tc>
          <w:tcPr>
            <w:tcW w:w="220" w:type="dxa"/>
            <w:vAlign w:val="bottom"/>
          </w:tcPr>
          <w:p>
            <w:pPr>
              <w:spacing w:after="0"/>
              <w:rPr>
                <w:sz w:val="19"/>
                <w:szCs w:val="19"/>
                <w:color w:val="auto"/>
              </w:rPr>
            </w:pPr>
          </w:p>
        </w:tc>
        <w:tc>
          <w:tcPr>
            <w:tcW w:w="1220" w:type="dxa"/>
            <w:vAlign w:val="bottom"/>
          </w:tcPr>
          <w:p>
            <w:pPr>
              <w:jc w:val="center"/>
              <w:ind w:right="119"/>
              <w:spacing w:after="0"/>
              <w:rPr>
                <w:sz w:val="20"/>
                <w:szCs w:val="20"/>
                <w:color w:val="auto"/>
              </w:rPr>
            </w:pPr>
            <w:r>
              <w:rPr>
                <w:rFonts w:ascii="Arial" w:cs="Arial" w:eastAsia="Arial" w:hAnsi="Arial"/>
                <w:sz w:val="16"/>
                <w:szCs w:val="16"/>
                <w:b w:val="1"/>
                <w:bCs w:val="1"/>
                <w:color w:val="auto"/>
                <w:w w:val="98"/>
              </w:rPr>
              <w:t>Value</w:t>
            </w:r>
          </w:p>
        </w:tc>
      </w:tr>
      <w:tr>
        <w:trPr>
          <w:trHeight w:val="251"/>
        </w:trPr>
        <w:tc>
          <w:tcPr>
            <w:tcW w:w="4240" w:type="dxa"/>
            <w:vAlign w:val="bottom"/>
          </w:tcPr>
          <w:p>
            <w:pPr>
              <w:ind w:left="20"/>
              <w:spacing w:after="0"/>
              <w:rPr>
                <w:sz w:val="20"/>
                <w:szCs w:val="20"/>
                <w:color w:val="auto"/>
              </w:rPr>
            </w:pPr>
            <w:r>
              <w:rPr>
                <w:rFonts w:ascii="Arial" w:cs="Arial" w:eastAsia="Arial" w:hAnsi="Arial"/>
                <w:sz w:val="16"/>
                <w:szCs w:val="16"/>
                <w:b w:val="1"/>
                <w:bCs w:val="1"/>
                <w:color w:val="auto"/>
              </w:rPr>
              <w:t>Corporate debt</w:t>
            </w:r>
          </w:p>
        </w:tc>
        <w:tc>
          <w:tcPr>
            <w:tcW w:w="24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r>
      <w:tr>
        <w:trPr>
          <w:trHeight w:val="270"/>
        </w:trPr>
        <w:tc>
          <w:tcPr>
            <w:tcW w:w="4240" w:type="dxa"/>
            <w:vAlign w:val="bottom"/>
          </w:tcPr>
          <w:p>
            <w:pPr>
              <w:ind w:left="120"/>
              <w:spacing w:after="0"/>
              <w:rPr>
                <w:sz w:val="20"/>
                <w:szCs w:val="20"/>
                <w:color w:val="auto"/>
              </w:rPr>
            </w:pPr>
            <w:r>
              <w:rPr>
                <w:rFonts w:ascii="Arial" w:cs="Arial" w:eastAsia="Arial" w:hAnsi="Arial"/>
                <w:sz w:val="16"/>
                <w:szCs w:val="16"/>
                <w:color w:val="auto"/>
              </w:rPr>
              <w:t>Short-term debt and current portion of long-term debt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3"/>
                <w:szCs w:val="23"/>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70"/>
        </w:trPr>
        <w:tc>
          <w:tcPr>
            <w:tcW w:w="4240" w:type="dxa"/>
            <w:vAlign w:val="bottom"/>
          </w:tcPr>
          <w:p>
            <w:pPr>
              <w:ind w:left="120"/>
              <w:spacing w:after="0"/>
              <w:rPr>
                <w:sz w:val="20"/>
                <w:szCs w:val="20"/>
                <w:color w:val="auto"/>
              </w:rPr>
            </w:pPr>
            <w:r>
              <w:rPr>
                <w:rFonts w:ascii="Arial" w:cs="Arial" w:eastAsia="Arial" w:hAnsi="Arial"/>
                <w:sz w:val="16"/>
                <w:szCs w:val="16"/>
                <w:color w:val="auto"/>
              </w:rPr>
              <w:t>Long-term debt</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3,544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3,539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3,573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3,677</w:t>
            </w:r>
          </w:p>
        </w:tc>
      </w:tr>
      <w:tr>
        <w:trPr>
          <w:trHeight w:val="500"/>
        </w:trPr>
        <w:tc>
          <w:tcPr>
            <w:tcW w:w="4240" w:type="dxa"/>
            <w:vAlign w:val="bottom"/>
          </w:tcPr>
          <w:p>
            <w:pPr>
              <w:ind w:left="20"/>
              <w:spacing w:after="0"/>
              <w:rPr>
                <w:sz w:val="20"/>
                <w:szCs w:val="20"/>
                <w:color w:val="auto"/>
              </w:rPr>
            </w:pPr>
            <w:r>
              <w:rPr>
                <w:rFonts w:ascii="Arial" w:cs="Arial" w:eastAsia="Arial" w:hAnsi="Arial"/>
                <w:sz w:val="16"/>
                <w:szCs w:val="16"/>
                <w:b w:val="1"/>
                <w:bCs w:val="1"/>
                <w:color w:val="auto"/>
              </w:rPr>
              <w:t>Debt under vehicle programs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8"/>
        </w:trPr>
        <w:tc>
          <w:tcPr>
            <w:tcW w:w="4240" w:type="dxa"/>
            <w:vAlign w:val="bottom"/>
          </w:tcPr>
          <w:p>
            <w:pPr>
              <w:ind w:left="120"/>
              <w:spacing w:after="0"/>
              <w:rPr>
                <w:sz w:val="20"/>
                <w:szCs w:val="20"/>
                <w:color w:val="auto"/>
              </w:rPr>
            </w:pPr>
            <w:r>
              <w:rPr>
                <w:rFonts w:ascii="Arial" w:cs="Arial" w:eastAsia="Arial" w:hAnsi="Arial"/>
                <w:sz w:val="16"/>
                <w:szCs w:val="16"/>
                <w:color w:val="auto"/>
              </w:rPr>
              <w:t>Vehicle-backed debt due to Avis Budget Rental Car</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195"/>
        </w:trPr>
        <w:tc>
          <w:tcPr>
            <w:tcW w:w="4240" w:type="dxa"/>
            <w:vAlign w:val="bottom"/>
          </w:tcPr>
          <w:p>
            <w:pPr>
              <w:ind w:left="300"/>
              <w:spacing w:after="0"/>
              <w:rPr>
                <w:sz w:val="20"/>
                <w:szCs w:val="20"/>
                <w:color w:val="auto"/>
              </w:rPr>
            </w:pPr>
            <w:r>
              <w:rPr>
                <w:rFonts w:ascii="Arial" w:cs="Arial" w:eastAsia="Arial" w:hAnsi="Arial"/>
                <w:sz w:val="16"/>
                <w:szCs w:val="16"/>
                <w:color w:val="auto"/>
              </w:rPr>
              <w:t>Funding</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8,265</w:t>
            </w:r>
          </w:p>
        </w:tc>
        <w:tc>
          <w:tcPr>
            <w:tcW w:w="120" w:type="dxa"/>
            <w:vAlign w:val="bottom"/>
          </w:tcPr>
          <w:p>
            <w:pPr>
              <w:spacing w:after="0"/>
              <w:rPr>
                <w:sz w:val="16"/>
                <w:szCs w:val="16"/>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8,270</w:t>
            </w:r>
          </w:p>
        </w:tc>
        <w:tc>
          <w:tcPr>
            <w:tcW w:w="100" w:type="dxa"/>
            <w:vAlign w:val="bottom"/>
          </w:tcPr>
          <w:p>
            <w:pPr>
              <w:spacing w:after="0"/>
              <w:rPr>
                <w:sz w:val="16"/>
                <w:szCs w:val="16"/>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6,480</w:t>
            </w:r>
          </w:p>
        </w:tc>
        <w:tc>
          <w:tcPr>
            <w:tcW w:w="100" w:type="dxa"/>
            <w:vAlign w:val="bottom"/>
          </w:tcPr>
          <w:p>
            <w:pPr>
              <w:spacing w:after="0"/>
              <w:rPr>
                <w:sz w:val="16"/>
                <w:szCs w:val="16"/>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6,537</w:t>
            </w:r>
          </w:p>
        </w:tc>
      </w:tr>
      <w:tr>
        <w:trPr>
          <w:trHeight w:val="270"/>
        </w:trPr>
        <w:tc>
          <w:tcPr>
            <w:tcW w:w="4240" w:type="dxa"/>
            <w:vAlign w:val="bottom"/>
          </w:tcPr>
          <w:p>
            <w:pPr>
              <w:ind w:left="120"/>
              <w:spacing w:after="0"/>
              <w:rPr>
                <w:sz w:val="20"/>
                <w:szCs w:val="20"/>
                <w:color w:val="auto"/>
              </w:rPr>
            </w:pPr>
            <w:r>
              <w:rPr>
                <w:rFonts w:ascii="Arial" w:cs="Arial" w:eastAsia="Arial" w:hAnsi="Arial"/>
                <w:sz w:val="16"/>
                <w:szCs w:val="16"/>
                <w:color w:val="auto"/>
              </w:rPr>
              <w:t>Vehicle-backed debt</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3,506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3,520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2,740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2,745</w:t>
            </w:r>
          </w:p>
        </w:tc>
      </w:tr>
      <w:tr>
        <w:trPr>
          <w:trHeight w:val="289"/>
        </w:trPr>
        <w:tc>
          <w:tcPr>
            <w:tcW w:w="4240" w:type="dxa"/>
            <w:vAlign w:val="bottom"/>
          </w:tcPr>
          <w:p>
            <w:pPr>
              <w:ind w:left="120"/>
              <w:spacing w:after="0"/>
              <w:rPr>
                <w:sz w:val="20"/>
                <w:szCs w:val="20"/>
                <w:color w:val="auto"/>
              </w:rPr>
            </w:pPr>
            <w:r>
              <w:rPr>
                <w:rFonts w:ascii="Arial" w:cs="Arial" w:eastAsia="Arial" w:hAnsi="Arial"/>
                <w:sz w:val="16"/>
                <w:szCs w:val="16"/>
                <w:color w:val="auto"/>
              </w:rPr>
              <w:t xml:space="preserve">Interest rate swaps and interest rate caps </w:t>
            </w:r>
            <w:r>
              <w:rPr>
                <w:rFonts w:ascii="Arial" w:cs="Arial" w:eastAsia="Arial" w:hAnsi="Arial"/>
                <w:sz w:val="21"/>
                <w:szCs w:val="21"/>
                <w:color w:val="auto"/>
                <w:vertAlign w:val="superscript"/>
              </w:rPr>
              <w:t>(a)</w:t>
            </w:r>
          </w:p>
        </w:tc>
        <w:tc>
          <w:tcPr>
            <w:tcW w:w="2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7"/>
        </w:trPr>
        <w:tc>
          <w:tcPr>
            <w:tcW w:w="4240" w:type="dxa"/>
            <w:vAlign w:val="bottom"/>
          </w:tcPr>
          <w:p>
            <w:pPr>
              <w:spacing w:after="0"/>
              <w:rPr>
                <w:sz w:val="20"/>
                <w:szCs w:val="20"/>
                <w:color w:val="auto"/>
              </w:rPr>
            </w:pPr>
            <w:r>
              <w:rPr>
                <w:rFonts w:ascii="Arial" w:cs="Arial" w:eastAsia="Arial" w:hAnsi="Arial"/>
                <w:sz w:val="18"/>
                <w:szCs w:val="18"/>
                <w:color w:val="auto"/>
              </w:rPr>
              <w:t>__________</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bl>
    <w:p>
      <w:pPr>
        <w:ind w:left="820" w:hanging="326"/>
        <w:spacing w:after="0" w:line="205" w:lineRule="auto"/>
        <w:tabs>
          <w:tab w:leader="none" w:pos="820" w:val="left"/>
        </w:tabs>
        <w:numPr>
          <w:ilvl w:val="1"/>
          <w:numId w:val="34"/>
        </w:numPr>
        <w:rPr>
          <w:rFonts w:ascii="Arial" w:cs="Arial" w:eastAsia="Arial" w:hAnsi="Arial"/>
          <w:sz w:val="18"/>
          <w:szCs w:val="18"/>
          <w:color w:val="auto"/>
          <w:vertAlign w:val="superscript"/>
        </w:rPr>
      </w:pPr>
      <w:r>
        <w:rPr>
          <w:rFonts w:ascii="Arial" w:cs="Arial" w:eastAsia="Arial" w:hAnsi="Arial"/>
          <w:sz w:val="14"/>
          <w:szCs w:val="14"/>
          <w:color w:val="auto"/>
        </w:rPr>
        <w:t>Derivatives in a liability position.</w:t>
      </w:r>
    </w:p>
    <w:p>
      <w:pPr>
        <w:spacing w:after="0" w:line="124" w:lineRule="exact"/>
        <w:rPr>
          <w:rFonts w:ascii="Arial" w:cs="Arial" w:eastAsia="Arial" w:hAnsi="Arial"/>
          <w:sz w:val="18"/>
          <w:szCs w:val="18"/>
          <w:color w:val="auto"/>
          <w:vertAlign w:val="superscript"/>
        </w:rPr>
      </w:pPr>
    </w:p>
    <w:p>
      <w:pPr>
        <w:ind w:left="500" w:hanging="492"/>
        <w:spacing w:after="0"/>
        <w:tabs>
          <w:tab w:leader="none" w:pos="5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47" w:lineRule="exact"/>
        <w:rPr>
          <w:rFonts w:ascii="Arial" w:cs="Arial" w:eastAsia="Arial" w:hAnsi="Arial"/>
          <w:sz w:val="18"/>
          <w:szCs w:val="18"/>
          <w:b w:val="1"/>
          <w:bCs w:val="1"/>
          <w:color w:val="auto"/>
        </w:rPr>
      </w:pPr>
    </w:p>
    <w:p>
      <w:pPr>
        <w:ind w:left="500" w:right="8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Company’s chief operating decision-maker assesses performance and allocates resources based upon the separate financial information from each of the Company’s operating segments. In identifying its reportable segments, the Company considered the nature of services provided, the geographical areas in which the segments operated and other relevant factors. The Company aggregates certain of its operating segments into its reportable segments.</w:t>
      </w:r>
    </w:p>
    <w:p>
      <w:pPr>
        <w:spacing w:after="0" w:line="204" w:lineRule="exact"/>
        <w:rPr>
          <w:rFonts w:ascii="Arial" w:cs="Arial" w:eastAsia="Arial" w:hAnsi="Arial"/>
          <w:sz w:val="18"/>
          <w:szCs w:val="18"/>
          <w:b w:val="1"/>
          <w:bCs w:val="1"/>
          <w:color w:val="auto"/>
        </w:rPr>
      </w:pPr>
    </w:p>
    <w:p>
      <w:pPr>
        <w:ind w:left="5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Management evaluates the operating results of each of its reportable segments based upon revenues and “Adjusted EBITDA,” which the Company defines as income from continuing operations before non-vehicle related depreciation and amortization, any impairment charges, restructuring and other related charges, early extinguishment of debt costs, non-vehicle related interest, transaction-related costs, net charges for</w:t>
      </w: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140" w:right="27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right="100"/>
        <w:spacing w:after="0" w:line="252" w:lineRule="auto"/>
        <w:rPr>
          <w:sz w:val="20"/>
          <w:szCs w:val="20"/>
          <w:color w:val="auto"/>
        </w:rPr>
      </w:pPr>
      <w:r>
        <w:rPr>
          <w:rFonts w:ascii="Arial" w:cs="Arial" w:eastAsia="Arial" w:hAnsi="Arial"/>
          <w:sz w:val="18"/>
          <w:szCs w:val="18"/>
          <w:color w:val="auto"/>
        </w:rPr>
        <w:t>unprecedented personal-injury legal matters, non-operational charges related to shareholder activist activity and income taxes. Net charges for unprecedented personal-injury legal matters are recorded within operating expenses in the Company’s Consolidated Condensed Statement of Comprehensive Income. The Company has revised its definition of Adjusted EBITDA to exclude non-operational charges related to shareholder activist activity. Non-operational charges related to shareholder activist activity include third party advisory, legal and other professional service fees and are recorded within selling, general and administrative expenses in the Company’s Consolidated Condensed Statement of Comprehensive Income. The Company did not revise prior years’ Adjusted EBITDA amounts because there were no costs similar in nature to these costs. The Company’s presentation of Adjusted EBITDA may not be comparable to similarly-titled measures used by other companies.</w:t>
      </w:r>
    </w:p>
    <w:p>
      <w:pPr>
        <w:spacing w:after="0" w:line="144"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45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Three Months Ended June 30,</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r>
      <w:tr>
        <w:trPr>
          <w:trHeight w:val="264"/>
        </w:trPr>
        <w:tc>
          <w:tcPr>
            <w:tcW w:w="45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gridSpan w:val="4"/>
          </w:tcPr>
          <w:p>
            <w:pPr>
              <w:jc w:val="right"/>
              <w:ind w:right="11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2017</w:t>
            </w:r>
          </w:p>
        </w:tc>
        <w:tc>
          <w:tcPr>
            <w:tcW w:w="1120" w:type="dxa"/>
            <w:vAlign w:val="bottom"/>
            <w:tcBorders>
              <w:bottom w:val="single" w:sz="8" w:color="auto"/>
            </w:tcBorders>
          </w:tcPr>
          <w:p>
            <w:pPr>
              <w:spacing w:after="0"/>
              <w:rPr>
                <w:sz w:val="22"/>
                <w:szCs w:val="22"/>
                <w:color w:val="auto"/>
              </w:rPr>
            </w:pPr>
          </w:p>
        </w:tc>
      </w:tr>
      <w:tr>
        <w:trPr>
          <w:trHeight w:val="207"/>
        </w:trPr>
        <w:tc>
          <w:tcPr>
            <w:tcW w:w="4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98"/>
              </w:rPr>
              <w:t>Adjusted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b w:val="1"/>
                <w:bCs w:val="1"/>
                <w:color w:val="auto"/>
                <w:w w:val="98"/>
              </w:rPr>
              <w:t>Adjusted</w:t>
            </w:r>
          </w:p>
        </w:tc>
      </w:tr>
      <w:tr>
        <w:trPr>
          <w:trHeight w:val="246"/>
        </w:trPr>
        <w:tc>
          <w:tcPr>
            <w:tcW w:w="45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Revenues</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rPr>
              <w:t>EBITDA</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rPr>
              <w:t>EBITDA</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Americas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1,590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1,565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70"/>
        </w:trPr>
        <w:tc>
          <w:tcPr>
            <w:tcW w:w="4520" w:type="dxa"/>
            <w:vAlign w:val="bottom"/>
          </w:tcPr>
          <w:p>
            <w:pPr>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83"/>
        </w:trPr>
        <w:tc>
          <w:tcPr>
            <w:tcW w:w="4520" w:type="dxa"/>
            <w:vAlign w:val="bottom"/>
          </w:tcPr>
          <w:p>
            <w:pPr>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8"/>
                <w:szCs w:val="18"/>
                <w:color w:val="auto"/>
                <w:vertAlign w:val="superscript"/>
              </w:rPr>
              <w:t>(a)</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50"/>
        </w:trPr>
        <w:tc>
          <w:tcPr>
            <w:tcW w:w="4520" w:type="dxa"/>
            <w:vAlign w:val="bottom"/>
          </w:tcPr>
          <w:p>
            <w:pPr>
              <w:ind w:left="400"/>
              <w:spacing w:after="0"/>
              <w:rPr>
                <w:sz w:val="20"/>
                <w:szCs w:val="20"/>
                <w:color w:val="auto"/>
              </w:rPr>
            </w:pPr>
            <w:r>
              <w:rPr>
                <w:rFonts w:ascii="Arial" w:cs="Arial" w:eastAsia="Arial" w:hAnsi="Arial"/>
                <w:sz w:val="18"/>
                <w:szCs w:val="18"/>
                <w:color w:val="auto"/>
              </w:rPr>
              <w:t>Total Company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2,328</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2,238</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r>
      <w:tr>
        <w:trPr>
          <w:trHeight w:val="20"/>
        </w:trPr>
        <w:tc>
          <w:tcPr>
            <w:tcW w:w="45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74"/>
        </w:trPr>
        <w:tc>
          <w:tcPr>
            <w:tcW w:w="6000" w:type="dxa"/>
            <w:vAlign w:val="bottom"/>
            <w:gridSpan w:val="4"/>
          </w:tcPr>
          <w:p>
            <w:pPr>
              <w:spacing w:after="0"/>
              <w:rPr>
                <w:sz w:val="20"/>
                <w:szCs w:val="20"/>
                <w:color w:val="auto"/>
              </w:rPr>
            </w:pPr>
            <w:r>
              <w:rPr>
                <w:rFonts w:ascii="Arial" w:cs="Arial" w:eastAsia="Arial" w:hAnsi="Arial"/>
                <w:sz w:val="18"/>
                <w:szCs w:val="18"/>
                <w:b w:val="1"/>
                <w:bCs w:val="1"/>
                <w:color w:val="auto"/>
              </w:rPr>
              <w:t>Reconciliation of Adjusted EBITDA to income before income taxes</w:t>
            </w: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43"/>
        </w:trPr>
        <w:tc>
          <w:tcPr>
            <w:tcW w:w="4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6008370</wp:posOffset>
            </wp:positionH>
            <wp:positionV relativeFrom="paragraph">
              <wp:posOffset>8890</wp:posOffset>
            </wp:positionV>
            <wp:extent cx="8661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8890</wp:posOffset>
            </wp:positionV>
            <wp:extent cx="8661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ectPr>
          <w:pgSz w:w="11900" w:h="16838" w:orient="portrait"/>
          <w:cols w:equalWidth="0" w:num="1">
            <w:col w:w="11320"/>
          </w:cols>
          <w:pgMar w:left="240" w:top="140" w:right="339" w:bottom="1440" w:gutter="0" w:footer="0" w:header="0"/>
        </w:sectPr>
      </w:pPr>
    </w:p>
    <w:p>
      <w:pPr>
        <w:spacing w:after="0" w:line="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Adjusted EBITDA</w:t>
      </w:r>
    </w:p>
    <w:p>
      <w:pPr>
        <w:spacing w:after="0" w:line="63" w:lineRule="exact"/>
        <w:rPr>
          <w:sz w:val="20"/>
          <w:szCs w:val="20"/>
          <w:color w:val="auto"/>
        </w:rPr>
      </w:pPr>
    </w:p>
    <w:p>
      <w:pPr>
        <w:ind w:left="520"/>
        <w:spacing w:after="0"/>
        <w:tabs>
          <w:tab w:leader="none" w:pos="1300" w:val="left"/>
        </w:tabs>
        <w:rPr>
          <w:sz w:val="20"/>
          <w:szCs w:val="20"/>
          <w:color w:val="auto"/>
        </w:rPr>
      </w:pPr>
      <w:r>
        <w:rPr>
          <w:rFonts w:ascii="Arial" w:cs="Arial" w:eastAsia="Arial" w:hAnsi="Arial"/>
          <w:sz w:val="17"/>
          <w:szCs w:val="17"/>
          <w:color w:val="auto"/>
        </w:rPr>
        <w:t>Less:</w:t>
      </w:r>
      <w:r>
        <w:rPr>
          <w:sz w:val="20"/>
          <w:szCs w:val="20"/>
          <w:color w:val="auto"/>
        </w:rPr>
        <w:tab/>
      </w:r>
      <w:r>
        <w:rPr>
          <w:rFonts w:ascii="Arial" w:cs="Arial" w:eastAsia="Arial" w:hAnsi="Arial"/>
          <w:sz w:val="17"/>
          <w:szCs w:val="17"/>
          <w:color w:val="auto"/>
        </w:rPr>
        <w:t>Non-vehicle related depreciation and amortization</w:t>
      </w:r>
    </w:p>
    <w:p>
      <w:pPr>
        <w:spacing w:after="0" w:line="7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Interest expense related to corporate debt, net</w:t>
      </w:r>
    </w:p>
    <w:p>
      <w:pPr>
        <w:spacing w:after="0" w:line="6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Restructuring and other related charges</w:t>
      </w:r>
    </w:p>
    <w:p>
      <w:pPr>
        <w:spacing w:after="0" w:line="6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Transaction-related costs, net</w:t>
      </w:r>
    </w:p>
    <w:p>
      <w:pPr>
        <w:spacing w:after="0" w:line="6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Charges for legal matter, net</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Income before income taxes</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1580" w:type="dxa"/>
            <w:vAlign w:val="bottom"/>
          </w:tcPr>
          <w:p>
            <w:pPr>
              <w:spacing w:after="0"/>
              <w:rPr>
                <w:sz w:val="18"/>
                <w:szCs w:val="18"/>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70"/>
        </w:trPr>
        <w:tc>
          <w:tcPr>
            <w:tcW w:w="54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15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0"/>
        </w:trPr>
        <w:tc>
          <w:tcPr>
            <w:tcW w:w="54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5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0"/>
        </w:trPr>
        <w:tc>
          <w:tcPr>
            <w:tcW w:w="54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5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0"/>
        </w:trPr>
        <w:tc>
          <w:tcPr>
            <w:tcW w:w="54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5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7"/>
        </w:trPr>
        <w:tc>
          <w:tcPr>
            <w:tcW w:w="540" w:type="dxa"/>
            <w:vAlign w:val="bottom"/>
          </w:tcPr>
          <w:p>
            <w:pPr>
              <w:spacing w:after="0"/>
              <w:rPr>
                <w:sz w:val="24"/>
                <w:szCs w:val="24"/>
                <w:color w:val="auto"/>
              </w:rPr>
            </w:pPr>
          </w:p>
        </w:tc>
        <w:tc>
          <w:tcPr>
            <w:tcW w:w="2400" w:type="dxa"/>
            <w:vAlign w:val="bottom"/>
            <w:gridSpan w:val="2"/>
          </w:tcPr>
          <w:p>
            <w:pPr>
              <w:jc w:val="right"/>
              <w:ind w:right="16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w:t>
            </w:r>
          </w:p>
        </w:tc>
        <w:tc>
          <w:tcPr>
            <w:tcW w:w="1580" w:type="dxa"/>
            <w:vAlign w:val="bottom"/>
          </w:tcPr>
          <w:p>
            <w:pPr>
              <w:spacing w:after="0"/>
              <w:rPr>
                <w:sz w:val="21"/>
                <w:szCs w:val="21"/>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1868170</wp:posOffset>
            </wp:positionH>
            <wp:positionV relativeFrom="paragraph">
              <wp:posOffset>8890</wp:posOffset>
            </wp:positionV>
            <wp:extent cx="8661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1868170</wp:posOffset>
            </wp:positionH>
            <wp:positionV relativeFrom="paragraph">
              <wp:posOffset>26035</wp:posOffset>
            </wp:positionV>
            <wp:extent cx="8661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8890</wp:posOffset>
            </wp:positionV>
            <wp:extent cx="8661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26035</wp:posOffset>
            </wp:positionV>
            <wp:extent cx="8661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54" w:lineRule="exact"/>
        <w:rPr>
          <w:sz w:val="20"/>
          <w:szCs w:val="20"/>
          <w:color w:val="auto"/>
        </w:rPr>
      </w:pPr>
    </w:p>
    <w:p>
      <w:pPr>
        <w:sectPr>
          <w:pgSz w:w="11900" w:h="16838" w:orient="portrait"/>
          <w:cols w:equalWidth="0" w:num="2">
            <w:col w:w="5800" w:space="720"/>
            <w:col w:w="4800"/>
          </w:cols>
          <w:pgMar w:left="240" w:top="140" w:right="339" w:bottom="1440" w:gutter="0" w:footer="0" w:header="0"/>
          <w:type w:val="continuous"/>
        </w:sectPr>
      </w:pPr>
    </w:p>
    <w:p>
      <w:pPr>
        <w:ind w:left="500"/>
        <w:spacing w:after="0"/>
        <w:rPr>
          <w:sz w:val="20"/>
          <w:szCs w:val="20"/>
          <w:color w:val="auto"/>
        </w:rPr>
      </w:pPr>
      <w:r>
        <w:rPr>
          <w:rFonts w:ascii="Arial" w:cs="Arial" w:eastAsia="Arial" w:hAnsi="Arial"/>
          <w:sz w:val="14"/>
          <w:szCs w:val="14"/>
          <w:color w:val="auto"/>
        </w:rPr>
        <w:t>__________</w:t>
      </w:r>
    </w:p>
    <w:p>
      <w:pPr>
        <w:ind w:left="820" w:hanging="326"/>
        <w:spacing w:after="0" w:line="205" w:lineRule="auto"/>
        <w:tabs>
          <w:tab w:leader="none" w:pos="820" w:val="left"/>
        </w:tabs>
        <w:numPr>
          <w:ilvl w:val="0"/>
          <w:numId w:val="36"/>
        </w:numPr>
        <w:rPr>
          <w:rFonts w:ascii="Arial" w:cs="Arial" w:eastAsia="Arial" w:hAnsi="Arial"/>
          <w:sz w:val="18"/>
          <w:szCs w:val="18"/>
          <w:color w:val="auto"/>
          <w:vertAlign w:val="superscript"/>
        </w:rPr>
      </w:pPr>
      <w:r>
        <w:rPr>
          <w:rFonts w:ascii="Arial" w:cs="Arial" w:eastAsia="Arial" w:hAnsi="Arial"/>
          <w:sz w:val="14"/>
          <w:szCs w:val="14"/>
          <w:color w:val="auto"/>
        </w:rPr>
        <w:t>Includes unallocated corporate overhead which is not attributable to a particular segment.</w:t>
      </w:r>
    </w:p>
    <w:p>
      <w:pPr>
        <w:spacing w:after="0" w:line="138" w:lineRule="exact"/>
        <w:rPr>
          <w:sz w:val="20"/>
          <w:szCs w:val="20"/>
          <w:color w:val="auto"/>
        </w:rPr>
      </w:pPr>
    </w:p>
    <w:tbl>
      <w:tblPr>
        <w:tblLayout w:type="fixed"/>
        <w:tblInd w:w="500" w:type="dxa"/>
        <w:tblCellMar>
          <w:top w:w="0" w:type="dxa"/>
          <w:left w:w="0" w:type="dxa"/>
          <w:bottom w:w="0" w:type="dxa"/>
          <w:right w:w="0" w:type="dxa"/>
        </w:tblCellMar>
      </w:tblPr>
      <w:tr>
        <w:trPr>
          <w:trHeight w:val="246"/>
        </w:trPr>
        <w:tc>
          <w:tcPr>
            <w:tcW w:w="80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rPr>
              <w:t>Six Months Ended June 30,</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80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11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2017</w:t>
            </w: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80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Adjusted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b w:val="1"/>
                <w:bCs w:val="1"/>
                <w:color w:val="auto"/>
                <w:w w:val="98"/>
              </w:rPr>
              <w:t>Adjusted</w:t>
            </w:r>
          </w:p>
        </w:tc>
        <w:tc>
          <w:tcPr>
            <w:tcW w:w="0" w:type="dxa"/>
            <w:vAlign w:val="bottom"/>
          </w:tcPr>
          <w:p>
            <w:pPr>
              <w:spacing w:after="0"/>
              <w:rPr>
                <w:sz w:val="1"/>
                <w:szCs w:val="1"/>
                <w:color w:val="auto"/>
              </w:rPr>
            </w:pPr>
          </w:p>
        </w:tc>
      </w:tr>
      <w:tr>
        <w:trPr>
          <w:trHeight w:val="246"/>
        </w:trPr>
        <w:tc>
          <w:tcPr>
            <w:tcW w:w="80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Revenues</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rPr>
              <w:t>EBITDA</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rPr>
              <w:t>EBITDA</w:t>
            </w:r>
          </w:p>
        </w:tc>
        <w:tc>
          <w:tcPr>
            <w:tcW w:w="0" w:type="dxa"/>
            <w:vAlign w:val="bottom"/>
          </w:tcPr>
          <w:p>
            <w:pPr>
              <w:spacing w:after="0"/>
              <w:rPr>
                <w:sz w:val="1"/>
                <w:szCs w:val="1"/>
                <w:color w:val="auto"/>
              </w:rPr>
            </w:pPr>
          </w:p>
        </w:tc>
      </w:tr>
      <w:tr>
        <w:trPr>
          <w:trHeight w:val="243"/>
        </w:trPr>
        <w:tc>
          <w:tcPr>
            <w:tcW w:w="800" w:type="dxa"/>
            <w:vAlign w:val="bottom"/>
          </w:tcPr>
          <w:p>
            <w:pPr>
              <w:ind w:left="20"/>
              <w:spacing w:after="0"/>
              <w:rPr>
                <w:sz w:val="20"/>
                <w:szCs w:val="20"/>
                <w:color w:val="auto"/>
              </w:rPr>
            </w:pPr>
            <w:r>
              <w:rPr>
                <w:rFonts w:ascii="Arial" w:cs="Arial" w:eastAsia="Arial" w:hAnsi="Arial"/>
                <w:sz w:val="18"/>
                <w:szCs w:val="18"/>
                <w:color w:val="auto"/>
              </w:rPr>
              <w:t>Americas</w:t>
            </w:r>
          </w:p>
        </w:tc>
        <w:tc>
          <w:tcPr>
            <w:tcW w:w="3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2,938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2,879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0"/>
        </w:trPr>
        <w:tc>
          <w:tcPr>
            <w:tcW w:w="4560" w:type="dxa"/>
            <w:vAlign w:val="bottom"/>
            <w:gridSpan w:val="3"/>
          </w:tcPr>
          <w:p>
            <w:pPr>
              <w:ind w:left="20"/>
              <w:spacing w:after="0"/>
              <w:rPr>
                <w:sz w:val="20"/>
                <w:szCs w:val="20"/>
                <w:color w:val="auto"/>
              </w:rPr>
            </w:pPr>
            <w:r>
              <w:rPr>
                <w:rFonts w:ascii="Arial" w:cs="Arial" w:eastAsia="Arial" w:hAnsi="Arial"/>
                <w:sz w:val="18"/>
                <w:szCs w:val="18"/>
                <w:color w:val="auto"/>
              </w:rPr>
              <w:t>International</w:t>
            </w: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1,358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1,198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83"/>
        </w:trPr>
        <w:tc>
          <w:tcPr>
            <w:tcW w:w="4540" w:type="dxa"/>
            <w:vAlign w:val="bottom"/>
            <w:gridSpan w:val="2"/>
          </w:tcPr>
          <w:p>
            <w:pPr>
              <w:ind w:left="2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8"/>
                <w:szCs w:val="18"/>
                <w:color w:val="auto"/>
                <w:vertAlign w:val="superscript"/>
              </w:rPr>
              <w:t>(a)</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50"/>
        </w:trPr>
        <w:tc>
          <w:tcPr>
            <w:tcW w:w="4560" w:type="dxa"/>
            <w:vAlign w:val="bottom"/>
            <w:gridSpan w:val="3"/>
          </w:tcPr>
          <w:p>
            <w:pPr>
              <w:ind w:left="420"/>
              <w:spacing w:after="0"/>
              <w:rPr>
                <w:sz w:val="20"/>
                <w:szCs w:val="20"/>
                <w:color w:val="auto"/>
              </w:rPr>
            </w:pPr>
            <w:r>
              <w:rPr>
                <w:rFonts w:ascii="Arial" w:cs="Arial" w:eastAsia="Arial" w:hAnsi="Arial"/>
                <w:sz w:val="18"/>
                <w:szCs w:val="18"/>
                <w:color w:val="auto"/>
              </w:rPr>
              <w:t>Total Company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4,296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163</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4,077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4540" w:type="dxa"/>
            <w:vAlign w:val="bottom"/>
            <w:gridSpan w:val="2"/>
          </w:tcPr>
          <w:p>
            <w:pPr>
              <w:spacing w:after="0" w:line="20" w:lineRule="exact"/>
              <w:rPr>
                <w:sz w:val="1"/>
                <w:szCs w:val="1"/>
                <w:color w:val="auto"/>
              </w:rPr>
            </w:pPr>
          </w:p>
        </w:tc>
        <w:tc>
          <w:tcPr>
            <w:tcW w:w="136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6020" w:type="dxa"/>
            <w:vAlign w:val="bottom"/>
            <w:gridSpan w:val="6"/>
          </w:tcPr>
          <w:p>
            <w:pPr>
              <w:ind w:left="20"/>
              <w:spacing w:after="0"/>
              <w:rPr>
                <w:sz w:val="20"/>
                <w:szCs w:val="20"/>
                <w:color w:val="auto"/>
              </w:rPr>
            </w:pPr>
            <w:r>
              <w:rPr>
                <w:rFonts w:ascii="Arial" w:cs="Arial" w:eastAsia="Arial" w:hAnsi="Arial"/>
                <w:sz w:val="18"/>
                <w:szCs w:val="18"/>
                <w:b w:val="1"/>
                <w:bCs w:val="1"/>
                <w:color w:val="auto"/>
              </w:rPr>
              <w:t>Reconciliation of Adjusted EBITDA to loss before income taxes</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0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2017</w:t>
            </w:r>
          </w:p>
        </w:tc>
        <w:tc>
          <w:tcPr>
            <w:tcW w:w="0" w:type="dxa"/>
            <w:vAlign w:val="bottom"/>
          </w:tcPr>
          <w:p>
            <w:pPr>
              <w:spacing w:after="0"/>
              <w:rPr>
                <w:sz w:val="1"/>
                <w:szCs w:val="1"/>
                <w:color w:val="auto"/>
              </w:rPr>
            </w:pPr>
          </w:p>
        </w:tc>
      </w:tr>
      <w:tr>
        <w:trPr>
          <w:trHeight w:val="243"/>
        </w:trPr>
        <w:tc>
          <w:tcPr>
            <w:tcW w:w="4560" w:type="dxa"/>
            <w:vAlign w:val="bottom"/>
            <w:gridSpan w:val="3"/>
          </w:tcPr>
          <w:p>
            <w:pPr>
              <w:ind w:left="20"/>
              <w:spacing w:after="0"/>
              <w:rPr>
                <w:sz w:val="20"/>
                <w:szCs w:val="20"/>
                <w:color w:val="auto"/>
              </w:rPr>
            </w:pPr>
            <w:r>
              <w:rPr>
                <w:rFonts w:ascii="Arial" w:cs="Arial" w:eastAsia="Arial" w:hAnsi="Arial"/>
                <w:sz w:val="18"/>
                <w:szCs w:val="18"/>
                <w:color w:val="auto"/>
              </w:rPr>
              <w:t>Adjusted EBITDA</w:t>
            </w: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0"/>
        </w:trPr>
        <w:tc>
          <w:tcPr>
            <w:tcW w:w="800" w:type="dxa"/>
            <w:vAlign w:val="bottom"/>
          </w:tcPr>
          <w:p>
            <w:pPr>
              <w:ind w:left="20"/>
              <w:spacing w:after="0"/>
              <w:rPr>
                <w:sz w:val="20"/>
                <w:szCs w:val="20"/>
                <w:color w:val="auto"/>
              </w:rPr>
            </w:pPr>
            <w:r>
              <w:rPr>
                <w:rFonts w:ascii="Arial" w:cs="Arial" w:eastAsia="Arial" w:hAnsi="Arial"/>
                <w:sz w:val="18"/>
                <w:szCs w:val="18"/>
                <w:color w:val="auto"/>
              </w:rPr>
              <w:t>Less:</w:t>
            </w:r>
          </w:p>
        </w:tc>
        <w:tc>
          <w:tcPr>
            <w:tcW w:w="4000" w:type="dxa"/>
            <w:vAlign w:val="bottom"/>
            <w:gridSpan w:val="3"/>
          </w:tcPr>
          <w:p>
            <w:pPr>
              <w:ind w:left="20"/>
              <w:spacing w:after="0"/>
              <w:rPr>
                <w:sz w:val="20"/>
                <w:szCs w:val="20"/>
                <w:color w:val="auto"/>
              </w:rPr>
            </w:pPr>
            <w:r>
              <w:rPr>
                <w:rFonts w:ascii="Arial" w:cs="Arial" w:eastAsia="Arial" w:hAnsi="Arial"/>
                <w:sz w:val="18"/>
                <w:szCs w:val="18"/>
                <w:color w:val="auto"/>
                <w:w w:val="99"/>
              </w:rPr>
              <w:t>Non-vehicle related depreciation and amortization</w:t>
            </w: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0"/>
        </w:trPr>
        <w:tc>
          <w:tcPr>
            <w:tcW w:w="800" w:type="dxa"/>
            <w:vAlign w:val="bottom"/>
          </w:tcPr>
          <w:p>
            <w:pPr>
              <w:spacing w:after="0"/>
              <w:rPr>
                <w:sz w:val="23"/>
                <w:szCs w:val="23"/>
                <w:color w:val="auto"/>
              </w:rPr>
            </w:pPr>
          </w:p>
        </w:tc>
        <w:tc>
          <w:tcPr>
            <w:tcW w:w="3760" w:type="dxa"/>
            <w:vAlign w:val="bottom"/>
            <w:gridSpan w:val="2"/>
          </w:tcPr>
          <w:p>
            <w:pPr>
              <w:ind w:left="20"/>
              <w:spacing w:after="0"/>
              <w:rPr>
                <w:sz w:val="20"/>
                <w:szCs w:val="20"/>
                <w:color w:val="auto"/>
              </w:rPr>
            </w:pPr>
            <w:r>
              <w:rPr>
                <w:rFonts w:ascii="Arial" w:cs="Arial" w:eastAsia="Arial" w:hAnsi="Arial"/>
                <w:sz w:val="18"/>
                <w:szCs w:val="18"/>
                <w:color w:val="auto"/>
                <w:w w:val="99"/>
              </w:rPr>
              <w:t>Interest expense related to corporate debt, net:</w:t>
            </w: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0" w:type="dxa"/>
            <w:vAlign w:val="bottom"/>
          </w:tcPr>
          <w:p>
            <w:pPr>
              <w:spacing w:after="0"/>
              <w:rPr>
                <w:sz w:val="23"/>
                <w:szCs w:val="23"/>
                <w:color w:val="auto"/>
              </w:rPr>
            </w:pPr>
          </w:p>
        </w:tc>
        <w:tc>
          <w:tcPr>
            <w:tcW w:w="3760" w:type="dxa"/>
            <w:vAlign w:val="bottom"/>
            <w:gridSpan w:val="2"/>
          </w:tcPr>
          <w:p>
            <w:pPr>
              <w:ind w:left="16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0"/>
        </w:trPr>
        <w:tc>
          <w:tcPr>
            <w:tcW w:w="800" w:type="dxa"/>
            <w:vAlign w:val="bottom"/>
          </w:tcPr>
          <w:p>
            <w:pPr>
              <w:spacing w:after="0"/>
              <w:rPr>
                <w:sz w:val="23"/>
                <w:szCs w:val="23"/>
                <w:color w:val="auto"/>
              </w:rPr>
            </w:pPr>
          </w:p>
        </w:tc>
        <w:tc>
          <w:tcPr>
            <w:tcW w:w="3760" w:type="dxa"/>
            <w:vAlign w:val="bottom"/>
            <w:gridSpan w:val="2"/>
          </w:tcPr>
          <w:p>
            <w:pPr>
              <w:ind w:left="160"/>
              <w:spacing w:after="0"/>
              <w:rPr>
                <w:sz w:val="20"/>
                <w:szCs w:val="20"/>
                <w:color w:val="auto"/>
              </w:rPr>
            </w:pPr>
            <w:r>
              <w:rPr>
                <w:rFonts w:ascii="Arial" w:cs="Arial" w:eastAsia="Arial" w:hAnsi="Arial"/>
                <w:sz w:val="18"/>
                <w:szCs w:val="18"/>
                <w:color w:val="auto"/>
              </w:rPr>
              <w:t>Early extinguishment of debt</w:t>
            </w: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800" w:type="dxa"/>
            <w:vAlign w:val="bottom"/>
          </w:tcPr>
          <w:p>
            <w:pPr>
              <w:spacing w:after="0"/>
              <w:rPr>
                <w:sz w:val="23"/>
                <w:szCs w:val="23"/>
                <w:color w:val="auto"/>
              </w:rPr>
            </w:pPr>
          </w:p>
        </w:tc>
        <w:tc>
          <w:tcPr>
            <w:tcW w:w="3760" w:type="dxa"/>
            <w:vAlign w:val="bottom"/>
            <w:gridSpan w:val="2"/>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0"/>
        </w:trPr>
        <w:tc>
          <w:tcPr>
            <w:tcW w:w="800" w:type="dxa"/>
            <w:vAlign w:val="bottom"/>
          </w:tcPr>
          <w:p>
            <w:pPr>
              <w:spacing w:after="0"/>
              <w:rPr>
                <w:sz w:val="23"/>
                <w:szCs w:val="23"/>
                <w:color w:val="auto"/>
              </w:rPr>
            </w:pPr>
          </w:p>
        </w:tc>
        <w:tc>
          <w:tcPr>
            <w:tcW w:w="5220" w:type="dxa"/>
            <w:vAlign w:val="bottom"/>
            <w:gridSpan w:val="5"/>
          </w:tcPr>
          <w:p>
            <w:pPr>
              <w:ind w:left="20"/>
              <w:spacing w:after="0"/>
              <w:rPr>
                <w:sz w:val="20"/>
                <w:szCs w:val="20"/>
                <w:color w:val="auto"/>
              </w:rPr>
            </w:pPr>
            <w:r>
              <w:rPr>
                <w:rFonts w:ascii="Arial" w:cs="Arial" w:eastAsia="Arial" w:hAnsi="Arial"/>
                <w:sz w:val="18"/>
                <w:szCs w:val="18"/>
                <w:color w:val="auto"/>
              </w:rPr>
              <w:t>Non-operational charges related to shareholder activist activity</w:t>
            </w:r>
          </w:p>
        </w:tc>
        <w:tc>
          <w:tcPr>
            <w:tcW w:w="2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00" w:type="dxa"/>
            <w:vAlign w:val="bottom"/>
          </w:tcPr>
          <w:p>
            <w:pPr>
              <w:spacing w:after="0"/>
              <w:rPr>
                <w:sz w:val="23"/>
                <w:szCs w:val="23"/>
                <w:color w:val="auto"/>
              </w:rPr>
            </w:pPr>
          </w:p>
        </w:tc>
        <w:tc>
          <w:tcPr>
            <w:tcW w:w="3760" w:type="dxa"/>
            <w:vAlign w:val="bottom"/>
            <w:gridSpan w:val="2"/>
          </w:tcPr>
          <w:p>
            <w:pPr>
              <w:ind w:left="20"/>
              <w:spacing w:after="0"/>
              <w:rPr>
                <w:sz w:val="20"/>
                <w:szCs w:val="20"/>
                <w:color w:val="auto"/>
              </w:rPr>
            </w:pPr>
            <w:r>
              <w:rPr>
                <w:rFonts w:ascii="Arial" w:cs="Arial" w:eastAsia="Arial" w:hAnsi="Arial"/>
                <w:sz w:val="18"/>
                <w:szCs w:val="18"/>
                <w:color w:val="auto"/>
              </w:rPr>
              <w:t>Transaction-related costs, net</w:t>
            </w: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7"/>
        </w:trPr>
        <w:tc>
          <w:tcPr>
            <w:tcW w:w="800" w:type="dxa"/>
            <w:vAlign w:val="bottom"/>
          </w:tcPr>
          <w:p>
            <w:pPr>
              <w:spacing w:after="0"/>
              <w:rPr>
                <w:sz w:val="24"/>
                <w:szCs w:val="24"/>
                <w:color w:val="auto"/>
              </w:rPr>
            </w:pPr>
          </w:p>
        </w:tc>
        <w:tc>
          <w:tcPr>
            <w:tcW w:w="3760" w:type="dxa"/>
            <w:vAlign w:val="bottom"/>
            <w:gridSpan w:val="2"/>
          </w:tcPr>
          <w:p>
            <w:pPr>
              <w:ind w:left="20"/>
              <w:spacing w:after="0"/>
              <w:rPr>
                <w:sz w:val="20"/>
                <w:szCs w:val="20"/>
                <w:color w:val="auto"/>
              </w:rPr>
            </w:pPr>
            <w:r>
              <w:rPr>
                <w:rFonts w:ascii="Arial" w:cs="Arial" w:eastAsia="Arial" w:hAnsi="Arial"/>
                <w:sz w:val="18"/>
                <w:szCs w:val="18"/>
                <w:color w:val="auto"/>
              </w:rPr>
              <w:t>Charges for legal matter, net</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7"/>
        </w:trPr>
        <w:tc>
          <w:tcPr>
            <w:tcW w:w="4560" w:type="dxa"/>
            <w:vAlign w:val="bottom"/>
            <w:gridSpan w:val="3"/>
          </w:tcPr>
          <w:p>
            <w:pPr>
              <w:ind w:left="20"/>
              <w:spacing w:after="0"/>
              <w:rPr>
                <w:sz w:val="20"/>
                <w:szCs w:val="20"/>
                <w:color w:val="auto"/>
              </w:rPr>
            </w:pPr>
            <w:r>
              <w:rPr>
                <w:rFonts w:ascii="Arial" w:cs="Arial" w:eastAsia="Arial" w:hAnsi="Arial"/>
                <w:sz w:val="18"/>
                <w:szCs w:val="18"/>
                <w:color w:val="auto"/>
              </w:rPr>
              <w:t>Loss before income taxes</w:t>
            </w: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rPr>
                <w:sz w:val="20"/>
                <w:szCs w:val="20"/>
                <w:color w:val="auto"/>
              </w:rPr>
            </w:pPr>
            <w:r>
              <w:rPr>
                <w:rFonts w:ascii="Arial" w:cs="Arial" w:eastAsia="Arial" w:hAnsi="Arial"/>
                <w:sz w:val="14"/>
                <w:szCs w:val="14"/>
                <w:color w:val="auto"/>
              </w:rPr>
              <w:t>__________</w:t>
            </w:r>
          </w:p>
        </w:tc>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00" w:type="dxa"/>
            <w:vAlign w:val="bottom"/>
            <w:vMerge w:val="continue"/>
          </w:tcPr>
          <w:p>
            <w:pPr>
              <w:spacing w:after="0"/>
              <w:rPr>
                <w:sz w:val="12"/>
                <w:szCs w:val="12"/>
                <w:color w:val="auto"/>
              </w:rPr>
            </w:pPr>
          </w:p>
        </w:tc>
        <w:tc>
          <w:tcPr>
            <w:tcW w:w="3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820" w:hanging="326"/>
        <w:spacing w:after="0" w:line="205" w:lineRule="auto"/>
        <w:tabs>
          <w:tab w:leader="none" w:pos="820" w:val="left"/>
        </w:tabs>
        <w:numPr>
          <w:ilvl w:val="0"/>
          <w:numId w:val="37"/>
        </w:numPr>
        <w:rPr>
          <w:rFonts w:ascii="Arial" w:cs="Arial" w:eastAsia="Arial" w:hAnsi="Arial"/>
          <w:sz w:val="18"/>
          <w:szCs w:val="18"/>
          <w:color w:val="auto"/>
          <w:vertAlign w:val="superscript"/>
        </w:rPr>
      </w:pPr>
      <w:r>
        <w:rPr>
          <w:rFonts w:ascii="Arial" w:cs="Arial" w:eastAsia="Arial" w:hAnsi="Arial"/>
          <w:sz w:val="14"/>
          <w:szCs w:val="14"/>
          <w:color w:val="auto"/>
        </w:rPr>
        <w:t>Includes unallocated corporate overhead which is not attributable to a particular segment.</w:t>
      </w:r>
    </w:p>
    <w:p>
      <w:pPr>
        <w:spacing w:after="0" w:line="147" w:lineRule="exact"/>
        <w:rPr>
          <w:sz w:val="20"/>
          <w:szCs w:val="20"/>
          <w:color w:val="auto"/>
        </w:rPr>
      </w:pPr>
    </w:p>
    <w:p>
      <w:pPr>
        <w:ind w:left="500"/>
        <w:spacing w:after="0" w:line="256" w:lineRule="auto"/>
        <w:rPr>
          <w:sz w:val="20"/>
          <w:szCs w:val="20"/>
          <w:color w:val="auto"/>
        </w:rPr>
      </w:pPr>
      <w:r>
        <w:rPr>
          <w:rFonts w:ascii="Arial" w:cs="Arial" w:eastAsia="Arial" w:hAnsi="Arial"/>
          <w:sz w:val="18"/>
          <w:szCs w:val="18"/>
          <w:color w:val="auto"/>
        </w:rPr>
        <w:t>Since December 31, 2017, there have been no significant changes in segment assets exclusive of assets under vehicle programs. As of June 30, 2018 and December 31, 2017, Americas assets under vehicle programs were approximately $11.0 billion and $9.0 billion, respectively, due to seasonality. As of June 30,</w:t>
      </w:r>
    </w:p>
    <w:p>
      <w:pPr>
        <w:sectPr>
          <w:pgSz w:w="11900" w:h="16838" w:orient="portrait"/>
          <w:cols w:equalWidth="0" w:num="1">
            <w:col w:w="11320"/>
          </w:cols>
          <w:pgMar w:left="240" w:top="140" w:right="339" w:bottom="1440" w:gutter="0" w:footer="0" w:header="0"/>
          <w:type w:val="continuous"/>
        </w:sectPr>
      </w:pP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320"/>
          </w:cols>
          <w:pgMar w:left="240" w:top="140" w:right="3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right="80"/>
        <w:spacing w:after="0" w:line="262" w:lineRule="auto"/>
        <w:rPr>
          <w:sz w:val="20"/>
          <w:szCs w:val="20"/>
          <w:color w:val="auto"/>
        </w:rPr>
      </w:pPr>
      <w:r>
        <w:rPr>
          <w:rFonts w:ascii="Arial" w:cs="Arial" w:eastAsia="Arial" w:hAnsi="Arial"/>
          <w:sz w:val="18"/>
          <w:szCs w:val="18"/>
          <w:color w:val="auto"/>
        </w:rPr>
        <w:t>2018 and December 31, 2017, International assets under vehicle programs were approximately $3.7 billion and $2.9 billion, respectively, due to seasonality.</w:t>
      </w:r>
    </w:p>
    <w:p>
      <w:pPr>
        <w:spacing w:after="0" w:line="174" w:lineRule="exact"/>
        <w:rPr>
          <w:sz w:val="20"/>
          <w:szCs w:val="20"/>
          <w:color w:val="auto"/>
        </w:rPr>
      </w:pPr>
    </w:p>
    <w:p>
      <w:pPr>
        <w:ind w:left="500" w:hanging="492"/>
        <w:spacing w:after="0"/>
        <w:tabs>
          <w:tab w:leader="none" w:pos="5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Guarantor and Non-Guarantor Consolidating Condensed Financial Statements</w:t>
      </w:r>
    </w:p>
    <w:p>
      <w:pPr>
        <w:spacing w:after="0" w:line="247" w:lineRule="exact"/>
        <w:rPr>
          <w:rFonts w:ascii="Arial" w:cs="Arial" w:eastAsia="Arial" w:hAnsi="Arial"/>
          <w:sz w:val="18"/>
          <w:szCs w:val="18"/>
          <w:b w:val="1"/>
          <w:bCs w:val="1"/>
          <w:color w:val="auto"/>
        </w:rPr>
      </w:pPr>
    </w:p>
    <w:p>
      <w:pPr>
        <w:ind w:left="500" w:right="4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The following consolidating financial information presents Consolidating Condensed Statements of Comprehensive Income for the three and six months ended June 30, 2018 and 2017, Consolidating Condensed Balance Sheets as of June 30, 2018 and December 31, 2017, and Consolidating Condensed Statements of Cash Flows for the six months ended June 30, 2018 and 2017 for: (i) Avis Budget Group, Inc. (the “Parent”); (ii) ABCR and Avis Budget Finance, Inc. (the “Subsidiary Issuers”); (iii) the guarantor subsidiaries; (iv) the non-guarantor subsidiaries; (v) elimination entries necessary to consolidate the Parent with the Subsidiary Issuers, and the guarantor and non-guarantor subsidiaries; and (vi) the Company on a consolidated basis. The Subsidiary Issuers and the guarantor and non-guarantor subsidiaries are 100% owned by the Parent, either directly or indirectly. All guarantees are full and unconditional and joint and several. This financial information is being presented in relation to the Company’s guarantee of the payment of principal, premium (if any) and interest on the notes issued by the Subsidiary Issuers. See Note 11 - Long-term Corporate Debt and Borrowing Arrangements for additional description of these guaranteed notes. The Senior Notes are guaranteed by the Parent and certain subsidiaries.</w:t>
      </w:r>
    </w:p>
    <w:p>
      <w:pPr>
        <w:spacing w:after="0" w:line="212" w:lineRule="exact"/>
        <w:rPr>
          <w:rFonts w:ascii="Arial" w:cs="Arial" w:eastAsia="Arial" w:hAnsi="Arial"/>
          <w:sz w:val="18"/>
          <w:szCs w:val="18"/>
          <w:b w:val="1"/>
          <w:bCs w:val="1"/>
          <w:color w:val="auto"/>
        </w:rPr>
      </w:pPr>
    </w:p>
    <w:p>
      <w:pPr>
        <w:ind w:left="5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Investments in subsidiaries are accounted for using the equity method of accounting for purposes of the consolidating presentation. The principal elimination entries relate to investments in subsidiaries and intercompany balances and transactions. For purposes of the accompanying Consolidating Condensed Statements of Comprehensive Income, certain expenses incurred by the Subsidiary Issuers are allocated to the guarantor and non-guarantor subsidiaries.</w:t>
      </w:r>
    </w:p>
    <w:p>
      <w:pPr>
        <w:spacing w:after="0" w:line="204" w:lineRule="exact"/>
        <w:rPr>
          <w:rFonts w:ascii="Arial" w:cs="Arial" w:eastAsia="Arial" w:hAnsi="Arial"/>
          <w:sz w:val="18"/>
          <w:szCs w:val="18"/>
          <w:b w:val="1"/>
          <w:bCs w:val="1"/>
          <w:color w:val="auto"/>
        </w:rPr>
      </w:pPr>
    </w:p>
    <w:p>
      <w:pPr>
        <w:ind w:left="500" w:right="30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The following tables provide the impact of adoption of ASU 2016-18 on the Company’s Consolidating Condensed Statements of Cash Flows for the six months ended June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142240</wp:posOffset>
            </wp:positionV>
            <wp:extent cx="40646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064635"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820"/>
        <w:spacing w:after="0"/>
        <w:rPr>
          <w:sz w:val="20"/>
          <w:szCs w:val="20"/>
          <w:color w:val="auto"/>
        </w:rPr>
      </w:pPr>
      <w:r>
        <w:rPr>
          <w:rFonts w:ascii="Arial" w:cs="Arial" w:eastAsia="Arial" w:hAnsi="Arial"/>
          <w:sz w:val="13"/>
          <w:szCs w:val="13"/>
          <w:color w:val="auto"/>
        </w:rPr>
        <w:t>Decrease in program cash</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3"/>
          <w:szCs w:val="13"/>
          <w:color w:val="auto"/>
        </w:rPr>
        <w:t>Other, net</w:t>
      </w:r>
    </w:p>
    <w:p>
      <w:pPr>
        <w:spacing w:after="0" w:line="105" w:lineRule="exact"/>
        <w:rPr>
          <w:sz w:val="20"/>
          <w:szCs w:val="20"/>
          <w:color w:val="auto"/>
        </w:rPr>
      </w:pPr>
    </w:p>
    <w:p>
      <w:pPr>
        <w:ind w:left="820"/>
        <w:spacing w:after="0"/>
        <w:rPr>
          <w:sz w:val="20"/>
          <w:szCs w:val="20"/>
          <w:color w:val="auto"/>
        </w:rPr>
      </w:pPr>
      <w:r>
        <w:rPr>
          <w:rFonts w:ascii="Arial" w:cs="Arial" w:eastAsia="Arial" w:hAnsi="Arial"/>
          <w:sz w:val="13"/>
          <w:szCs w:val="13"/>
          <w:b w:val="1"/>
          <w:bCs w:val="1"/>
          <w:color w:val="auto"/>
        </w:rPr>
        <w:t>Net cash used in investing activities</w:t>
      </w:r>
    </w:p>
    <w:p>
      <w:pPr>
        <w:spacing w:after="0" w:line="200" w:lineRule="exact"/>
        <w:rPr>
          <w:sz w:val="20"/>
          <w:szCs w:val="20"/>
          <w:color w:val="auto"/>
        </w:rPr>
      </w:pPr>
    </w:p>
    <w:p>
      <w:pPr>
        <w:spacing w:after="0" w:line="207" w:lineRule="exact"/>
        <w:rPr>
          <w:sz w:val="20"/>
          <w:szCs w:val="20"/>
          <w:color w:val="auto"/>
        </w:rPr>
      </w:pPr>
    </w:p>
    <w:p>
      <w:pPr>
        <w:ind w:left="980" w:right="120" w:hanging="161"/>
        <w:spacing w:after="0" w:line="230" w:lineRule="auto"/>
        <w:rPr>
          <w:sz w:val="20"/>
          <w:szCs w:val="20"/>
          <w:color w:val="auto"/>
        </w:rPr>
      </w:pPr>
      <w:r>
        <w:rPr>
          <w:rFonts w:ascii="Arial" w:cs="Arial" w:eastAsia="Arial" w:hAnsi="Arial"/>
          <w:sz w:val="13"/>
          <w:szCs w:val="13"/>
          <w:color w:val="auto"/>
        </w:rPr>
        <w:t>Effect of changes in exchange rates on cash and cash equivalents, program and restricted cash</w:t>
      </w:r>
    </w:p>
    <w:p>
      <w:pPr>
        <w:spacing w:after="0" w:line="308" w:lineRule="exact"/>
        <w:rPr>
          <w:sz w:val="20"/>
          <w:szCs w:val="20"/>
          <w:color w:val="auto"/>
        </w:rPr>
      </w:pPr>
    </w:p>
    <w:p>
      <w:pPr>
        <w:ind w:left="980" w:right="140" w:hanging="161"/>
        <w:spacing w:after="0" w:line="230" w:lineRule="auto"/>
        <w:rPr>
          <w:sz w:val="20"/>
          <w:szCs w:val="20"/>
          <w:color w:val="auto"/>
        </w:rPr>
      </w:pPr>
      <w:r>
        <w:rPr>
          <w:rFonts w:ascii="Arial" w:cs="Arial" w:eastAsia="Arial" w:hAnsi="Arial"/>
          <w:sz w:val="13"/>
          <w:szCs w:val="13"/>
          <w:color w:val="auto"/>
        </w:rPr>
        <w:t>Net increase in cash and cash equivalents, program and restricted cash</w:t>
      </w:r>
    </w:p>
    <w:p>
      <w:pPr>
        <w:spacing w:after="0" w:line="38" w:lineRule="exact"/>
        <w:rPr>
          <w:sz w:val="20"/>
          <w:szCs w:val="20"/>
          <w:color w:val="auto"/>
        </w:rPr>
      </w:pPr>
    </w:p>
    <w:p>
      <w:pPr>
        <w:ind w:left="980" w:right="80" w:hanging="161"/>
        <w:spacing w:after="0" w:line="230" w:lineRule="auto"/>
        <w:rPr>
          <w:sz w:val="20"/>
          <w:szCs w:val="20"/>
          <w:color w:val="auto"/>
        </w:rPr>
      </w:pPr>
      <w:r>
        <w:rPr>
          <w:rFonts w:ascii="Arial" w:cs="Arial" w:eastAsia="Arial" w:hAnsi="Arial"/>
          <w:sz w:val="13"/>
          <w:szCs w:val="13"/>
          <w:color w:val="auto"/>
        </w:rPr>
        <w:t>Cash and cash equivalents, program and restricted cash, beginning of period</w:t>
      </w:r>
    </w:p>
    <w:p>
      <w:pPr>
        <w:spacing w:after="0" w:line="22" w:lineRule="exact"/>
        <w:rPr>
          <w:sz w:val="20"/>
          <w:szCs w:val="20"/>
          <w:color w:val="auto"/>
        </w:rPr>
      </w:pPr>
    </w:p>
    <w:p>
      <w:pPr>
        <w:ind w:left="980" w:hanging="161"/>
        <w:spacing w:after="0" w:line="246" w:lineRule="auto"/>
        <w:rPr>
          <w:sz w:val="20"/>
          <w:szCs w:val="20"/>
          <w:color w:val="auto"/>
        </w:rPr>
      </w:pPr>
      <w:r>
        <w:rPr>
          <w:rFonts w:ascii="Arial" w:cs="Arial" w:eastAsia="Arial" w:hAnsi="Arial"/>
          <w:sz w:val="13"/>
          <w:szCs w:val="13"/>
          <w:b w:val="1"/>
          <w:bCs w:val="1"/>
          <w:color w:val="auto"/>
        </w:rPr>
        <w:t>Cash and cash equivalents, program and restricted cash, end of period</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jc w:val="center"/>
        <w:ind w:right="260"/>
        <w:spacing w:after="0"/>
        <w:rPr>
          <w:sz w:val="20"/>
          <w:szCs w:val="20"/>
          <w:color w:val="auto"/>
        </w:rPr>
      </w:pPr>
      <w:r>
        <w:rPr>
          <w:rFonts w:ascii="Arial" w:cs="Arial" w:eastAsia="Arial" w:hAnsi="Arial"/>
          <w:sz w:val="13"/>
          <w:szCs w:val="13"/>
          <w:b w:val="1"/>
          <w:bCs w:val="1"/>
          <w:color w:val="auto"/>
        </w:rPr>
        <w:t>Six Months Ended June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40646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064635"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80" w:type="dxa"/>
            <w:vAlign w:val="bottom"/>
            <w:gridSpan w:val="3"/>
          </w:tcPr>
          <w:p>
            <w:pPr>
              <w:ind w:left="60"/>
              <w:spacing w:after="0"/>
              <w:rPr>
                <w:sz w:val="20"/>
                <w:szCs w:val="20"/>
                <w:color w:val="auto"/>
              </w:rPr>
            </w:pPr>
            <w:r>
              <w:rPr>
                <w:rFonts w:ascii="Arial" w:cs="Arial" w:eastAsia="Arial" w:hAnsi="Arial"/>
                <w:sz w:val="13"/>
                <w:szCs w:val="13"/>
                <w:b w:val="1"/>
                <w:bCs w:val="1"/>
                <w:color w:val="auto"/>
              </w:rPr>
              <w:t>As Previously</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3"/>
          </w:tcPr>
          <w:p>
            <w:pPr>
              <w:jc w:val="center"/>
              <w:ind w:right="400"/>
              <w:spacing w:after="0"/>
              <w:rPr>
                <w:sz w:val="20"/>
                <w:szCs w:val="20"/>
                <w:color w:val="auto"/>
              </w:rPr>
            </w:pPr>
            <w:r>
              <w:rPr>
                <w:rFonts w:ascii="Arial" w:cs="Arial" w:eastAsia="Arial" w:hAnsi="Arial"/>
                <w:sz w:val="13"/>
                <w:szCs w:val="13"/>
                <w:b w:val="1"/>
                <w:bCs w:val="1"/>
                <w:color w:val="auto"/>
                <w:w w:val="97"/>
              </w:rPr>
              <w:t>As Adjusted</w:t>
            </w:r>
          </w:p>
        </w:tc>
        <w:tc>
          <w:tcPr>
            <w:tcW w:w="1020" w:type="dxa"/>
            <w:vAlign w:val="bottom"/>
            <w:gridSpan w:val="3"/>
          </w:tcPr>
          <w:p>
            <w:pPr>
              <w:ind w:left="40"/>
              <w:spacing w:after="0"/>
              <w:rPr>
                <w:sz w:val="20"/>
                <w:szCs w:val="20"/>
                <w:color w:val="auto"/>
              </w:rPr>
            </w:pPr>
            <w:r>
              <w:rPr>
                <w:rFonts w:ascii="Arial" w:cs="Arial" w:eastAsia="Arial" w:hAnsi="Arial"/>
                <w:sz w:val="13"/>
                <w:szCs w:val="13"/>
                <w:b w:val="1"/>
                <w:bCs w:val="1"/>
                <w:color w:val="auto"/>
              </w:rPr>
              <w:t>As Previously</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35"/>
        </w:trPr>
        <w:tc>
          <w:tcPr>
            <w:tcW w:w="108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Reported Non-</w:t>
            </w:r>
          </w:p>
        </w:tc>
        <w:tc>
          <w:tcPr>
            <w:tcW w:w="16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Effect of</w:t>
            </w:r>
          </w:p>
        </w:tc>
        <w:tc>
          <w:tcPr>
            <w:tcW w:w="140" w:type="dxa"/>
            <w:vAlign w:val="bottom"/>
          </w:tcPr>
          <w:p>
            <w:pPr>
              <w:spacing w:after="0"/>
              <w:rPr>
                <w:sz w:val="11"/>
                <w:szCs w:val="11"/>
                <w:color w:val="auto"/>
              </w:rPr>
            </w:pPr>
          </w:p>
        </w:tc>
        <w:tc>
          <w:tcPr>
            <w:tcW w:w="1200" w:type="dxa"/>
            <w:vAlign w:val="bottom"/>
            <w:gridSpan w:val="2"/>
          </w:tcPr>
          <w:p>
            <w:pPr>
              <w:jc w:val="center"/>
              <w:ind w:right="540"/>
              <w:spacing w:after="0" w:line="135" w:lineRule="exact"/>
              <w:rPr>
                <w:sz w:val="20"/>
                <w:szCs w:val="20"/>
                <w:color w:val="auto"/>
              </w:rPr>
            </w:pPr>
            <w:r>
              <w:rPr>
                <w:rFonts w:ascii="Arial" w:cs="Arial" w:eastAsia="Arial" w:hAnsi="Arial"/>
                <w:sz w:val="13"/>
                <w:szCs w:val="13"/>
                <w:b w:val="1"/>
                <w:bCs w:val="1"/>
                <w:color w:val="auto"/>
              </w:rPr>
              <w:t>Non-</w:t>
            </w:r>
          </w:p>
        </w:tc>
        <w:tc>
          <w:tcPr>
            <w:tcW w:w="140" w:type="dxa"/>
            <w:vAlign w:val="bottom"/>
          </w:tcPr>
          <w:p>
            <w:pPr>
              <w:spacing w:after="0"/>
              <w:rPr>
                <w:sz w:val="11"/>
                <w:szCs w:val="11"/>
                <w:color w:val="auto"/>
              </w:rPr>
            </w:pPr>
          </w:p>
        </w:tc>
        <w:tc>
          <w:tcPr>
            <w:tcW w:w="88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Reported</w:t>
            </w:r>
          </w:p>
        </w:tc>
        <w:tc>
          <w:tcPr>
            <w:tcW w:w="16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Effect of</w:t>
            </w:r>
          </w:p>
        </w:tc>
        <w:tc>
          <w:tcPr>
            <w:tcW w:w="920" w:type="dxa"/>
            <w:vAlign w:val="bottom"/>
            <w:gridSpan w:val="2"/>
          </w:tcPr>
          <w:p>
            <w:pPr>
              <w:jc w:val="right"/>
              <w:ind w:right="17"/>
              <w:spacing w:after="0" w:line="135" w:lineRule="exact"/>
              <w:rPr>
                <w:sz w:val="20"/>
                <w:szCs w:val="20"/>
                <w:color w:val="auto"/>
              </w:rPr>
            </w:pPr>
            <w:r>
              <w:rPr>
                <w:rFonts w:ascii="Arial" w:cs="Arial" w:eastAsia="Arial" w:hAnsi="Arial"/>
                <w:sz w:val="13"/>
                <w:szCs w:val="13"/>
                <w:b w:val="1"/>
                <w:bCs w:val="1"/>
                <w:color w:val="auto"/>
              </w:rPr>
              <w:t>As Adjusted</w:t>
            </w:r>
          </w:p>
        </w:tc>
      </w:tr>
      <w:tr>
        <w:trPr>
          <w:trHeight w:val="178"/>
        </w:trPr>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98"/>
              </w:rPr>
              <w:t>Guarantor</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Change</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8"/>
              </w:rPr>
              <w:t>Guarantor</w:t>
            </w:r>
          </w:p>
        </w:tc>
        <w:tc>
          <w:tcPr>
            <w:tcW w:w="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Change</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Total</w:t>
            </w:r>
          </w:p>
        </w:tc>
      </w:tr>
      <w:tr>
        <w:trPr>
          <w:trHeight w:val="241"/>
        </w:trPr>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168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(168)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500"/>
              <w:spacing w:after="0"/>
              <w:rPr>
                <w:sz w:val="20"/>
                <w:szCs w:val="20"/>
                <w:color w:val="auto"/>
              </w:rPr>
            </w:pPr>
            <w:r>
              <w:rPr>
                <w:rFonts w:ascii="Arial" w:cs="Arial" w:eastAsia="Arial" w:hAnsi="Arial"/>
                <w:sz w:val="13"/>
                <w:szCs w:val="13"/>
                <w:color w:val="auto"/>
              </w:rPr>
              <w:t>—</w:t>
            </w: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168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(168)</w:t>
            </w:r>
          </w:p>
        </w:tc>
        <w:tc>
          <w:tcPr>
            <w:tcW w:w="100" w:type="dxa"/>
            <w:vAlign w:val="bottom"/>
          </w:tcPr>
          <w:p>
            <w:pPr>
              <w:spacing w:after="0"/>
              <w:rPr>
                <w:sz w:val="20"/>
                <w:szCs w:val="20"/>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1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1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(3,303)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(167)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(3,470)</w:t>
            </w:r>
          </w:p>
        </w:tc>
        <w:tc>
          <w:tcPr>
            <w:tcW w:w="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(3,019)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(167)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(3,186)</w:t>
            </w:r>
          </w:p>
        </w:tc>
      </w:tr>
      <w:tr>
        <w:trPr>
          <w:trHeight w:val="594"/>
        </w:trPr>
        <w:tc>
          <w:tcPr>
            <w:tcW w:w="140" w:type="dxa"/>
            <w:vAlign w:val="bottom"/>
          </w:tcPr>
          <w:p>
            <w:pPr>
              <w:spacing w:after="0"/>
              <w:rPr>
                <w:sz w:val="24"/>
                <w:szCs w:val="24"/>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27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36</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36</w:t>
            </w:r>
          </w:p>
        </w:tc>
      </w:tr>
      <w:tr>
        <w:trPr>
          <w:trHeight w:val="594"/>
        </w:trPr>
        <w:tc>
          <w:tcPr>
            <w:tcW w:w="140" w:type="dxa"/>
            <w:vAlign w:val="bottom"/>
          </w:tcPr>
          <w:p>
            <w:pPr>
              <w:spacing w:after="0"/>
              <w:rPr>
                <w:sz w:val="24"/>
                <w:szCs w:val="24"/>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177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19</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286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128</w:t>
            </w:r>
          </w:p>
        </w:tc>
      </w:tr>
      <w:tr>
        <w:trPr>
          <w:trHeight w:val="334"/>
        </w:trPr>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475</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230</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705</w:t>
            </w:r>
          </w:p>
        </w:tc>
        <w:tc>
          <w:tcPr>
            <w:tcW w:w="4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490</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230</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720</w:t>
            </w:r>
          </w:p>
        </w:tc>
      </w:tr>
      <w:tr>
        <w:trPr>
          <w:trHeight w:val="291"/>
        </w:trPr>
        <w:tc>
          <w:tcPr>
            <w:tcW w:w="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652</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72</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724</w:t>
            </w:r>
          </w:p>
        </w:tc>
        <w:tc>
          <w:tcPr>
            <w:tcW w:w="420" w:type="dxa"/>
            <w:vAlign w:val="bottom"/>
          </w:tcPr>
          <w:p>
            <w:pPr>
              <w:spacing w:after="0"/>
              <w:rPr>
                <w:sz w:val="24"/>
                <w:szCs w:val="24"/>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776</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72</w:t>
            </w:r>
          </w:p>
        </w:tc>
        <w:tc>
          <w:tcPr>
            <w:tcW w:w="100" w:type="dxa"/>
            <w:vAlign w:val="bottom"/>
          </w:tcPr>
          <w:p>
            <w:pPr>
              <w:spacing w:after="0"/>
              <w:rPr>
                <w:sz w:val="24"/>
                <w:szCs w:val="24"/>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848</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660" w:space="60"/>
            <w:col w:w="6700"/>
          </w:cols>
          <w:pgMar w:left="240" w:top="140" w:right="239" w:bottom="1440" w:gutter="0" w:footer="0" w:header="0"/>
          <w:type w:val="continuous"/>
        </w:sectPr>
      </w:pPr>
    </w:p>
    <w:p>
      <w:pPr>
        <w:spacing w:after="0" w:line="15" w:lineRule="exact"/>
        <w:rPr>
          <w:sz w:val="20"/>
          <w:szCs w:val="20"/>
          <w:color w:val="auto"/>
        </w:rPr>
      </w:pPr>
    </w:p>
    <w:p>
      <w:pPr>
        <w:jc w:val="both"/>
        <w:ind w:left="500" w:right="900"/>
        <w:spacing w:after="0" w:line="291" w:lineRule="auto"/>
        <w:rPr>
          <w:sz w:val="20"/>
          <w:szCs w:val="20"/>
          <w:color w:val="auto"/>
        </w:rPr>
      </w:pPr>
      <w:r>
        <w:rPr>
          <w:rFonts w:ascii="Arial" w:cs="Arial" w:eastAsia="Arial" w:hAnsi="Arial"/>
          <w:sz w:val="17"/>
          <w:szCs w:val="17"/>
          <w:color w:val="auto"/>
        </w:rPr>
        <w:t>The following table provides a reconciliation of the cash and cash equivalents, program and restricted cash reported within the Consolidating Condensed Balance Sheets to the amounts shown in the Consolidating Condensed Statements of Cash Flows.</w:t>
      </w:r>
    </w:p>
    <w:p>
      <w:pPr>
        <w:sectPr>
          <w:pgSz w:w="11900" w:h="16838" w:orient="portrait"/>
          <w:cols w:equalWidth="0" w:num="1">
            <w:col w:w="11420"/>
          </w:cols>
          <w:pgMar w:left="240" w:top="14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Cash and cash equivalents</w:t>
      </w:r>
    </w:p>
    <w:p>
      <w:pPr>
        <w:spacing w:after="0" w:line="10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Program cash</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xml:space="preserve">Restricted cash </w:t>
      </w:r>
      <w:r>
        <w:rPr>
          <w:rFonts w:ascii="Arial" w:cs="Arial" w:eastAsia="Arial" w:hAnsi="Arial"/>
          <w:sz w:val="17"/>
          <w:szCs w:val="17"/>
          <w:color w:val="auto"/>
          <w:vertAlign w:val="superscript"/>
        </w:rPr>
        <w:t>(a)</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Total cash and cash equivalents, program and restricted cash</w:t>
      </w:r>
    </w:p>
    <w:p>
      <w:pPr>
        <w:spacing w:after="0" w:line="97" w:lineRule="exact"/>
        <w:rPr>
          <w:sz w:val="20"/>
          <w:szCs w:val="20"/>
          <w:color w:val="auto"/>
        </w:rPr>
      </w:pPr>
    </w:p>
    <w:p>
      <w:pPr>
        <w:ind w:left="500"/>
        <w:spacing w:after="0"/>
        <w:rPr>
          <w:sz w:val="20"/>
          <w:szCs w:val="20"/>
          <w:color w:val="auto"/>
        </w:rPr>
      </w:pPr>
      <w:r>
        <w:rPr>
          <w:rFonts w:ascii="Arial" w:cs="Arial" w:eastAsia="Arial" w:hAnsi="Arial"/>
          <w:sz w:val="13"/>
          <w:szCs w:val="13"/>
          <w:color w:val="auto"/>
        </w:rPr>
        <w:t>_________</w:t>
      </w:r>
    </w:p>
    <w:p>
      <w:pPr>
        <w:ind w:left="820" w:hanging="326"/>
        <w:spacing w:after="0"/>
        <w:tabs>
          <w:tab w:leader="none" w:pos="820" w:val="left"/>
        </w:tabs>
        <w:numPr>
          <w:ilvl w:val="0"/>
          <w:numId w:val="39"/>
        </w:numPr>
        <w:rPr>
          <w:rFonts w:ascii="Arial" w:cs="Arial" w:eastAsia="Arial" w:hAnsi="Arial"/>
          <w:sz w:val="9"/>
          <w:szCs w:val="9"/>
          <w:color w:val="auto"/>
        </w:rPr>
      </w:pPr>
      <w:r>
        <w:rPr>
          <w:rFonts w:ascii="Arial" w:cs="Arial" w:eastAsia="Arial" w:hAnsi="Arial"/>
          <w:sz w:val="13"/>
          <w:szCs w:val="13"/>
          <w:color w:val="auto"/>
        </w:rPr>
        <w:t>Included within other current assets.</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jc w:val="center"/>
        <w:ind w:right="580"/>
        <w:spacing w:after="0"/>
        <w:rPr>
          <w:sz w:val="20"/>
          <w:szCs w:val="20"/>
          <w:color w:val="auto"/>
        </w:rPr>
      </w:pPr>
      <w:r>
        <w:rPr>
          <w:rFonts w:ascii="Arial" w:cs="Arial" w:eastAsia="Arial" w:hAnsi="Arial"/>
          <w:sz w:val="14"/>
          <w:szCs w:val="14"/>
          <w:b w:val="1"/>
          <w:bCs w:val="1"/>
          <w:color w:val="auto"/>
        </w:rPr>
        <w:t>As of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26035</wp:posOffset>
            </wp:positionV>
            <wp:extent cx="38677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6778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2018</w:t>
            </w:r>
          </w:p>
        </w:tc>
        <w:tc>
          <w:tcPr>
            <w:tcW w:w="11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96"/>
              </w:rPr>
              <w:t>2017</w:t>
            </w:r>
          </w:p>
        </w:tc>
        <w:tc>
          <w:tcPr>
            <w:tcW w:w="1100" w:type="dxa"/>
            <w:vAlign w:val="bottom"/>
            <w:tcBorders>
              <w:bottom w:val="single" w:sz="8" w:color="auto"/>
            </w:tcBorders>
          </w:tcPr>
          <w:p>
            <w:pPr>
              <w:spacing w:after="0"/>
              <w:rPr>
                <w:sz w:val="17"/>
                <w:szCs w:val="17"/>
                <w:color w:val="auto"/>
              </w:rPr>
            </w:pPr>
          </w:p>
        </w:tc>
      </w:tr>
      <w:tr>
        <w:trPr>
          <w:trHeight w:val="264"/>
        </w:trPr>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Non-Guarantor</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Non-Guarantor</w:t>
            </w:r>
          </w:p>
        </w:tc>
        <w:tc>
          <w:tcPr>
            <w:tcW w:w="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Total</w:t>
            </w:r>
          </w:p>
        </w:tc>
      </w:tr>
      <w:tr>
        <w:trPr>
          <w:trHeight w:val="244"/>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475</w:t>
            </w:r>
          </w:p>
        </w:tc>
        <w:tc>
          <w:tcPr>
            <w:tcW w:w="120" w:type="dxa"/>
            <w:vAlign w:val="bottom"/>
          </w:tcPr>
          <w:p>
            <w:pPr>
              <w:spacing w:after="0"/>
              <w:rPr>
                <w:sz w:val="21"/>
                <w:szCs w:val="21"/>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489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652</w:t>
            </w:r>
          </w:p>
        </w:tc>
        <w:tc>
          <w:tcPr>
            <w:tcW w:w="5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776</w:t>
            </w:r>
          </w:p>
        </w:tc>
      </w:tr>
      <w:tr>
        <w:trPr>
          <w:trHeight w:val="270"/>
        </w:trPr>
        <w:tc>
          <w:tcPr>
            <w:tcW w:w="16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161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161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65</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65</w:t>
            </w:r>
          </w:p>
        </w:tc>
      </w:tr>
      <w:tr>
        <w:trPr>
          <w:trHeight w:val="276"/>
        </w:trPr>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w:t>
            </w:r>
          </w:p>
        </w:tc>
      </w:tr>
      <w:tr>
        <w:trPr>
          <w:trHeight w:val="237"/>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647</w:t>
            </w:r>
          </w:p>
        </w:tc>
        <w:tc>
          <w:tcPr>
            <w:tcW w:w="120" w:type="dxa"/>
            <w:vAlign w:val="bottom"/>
          </w:tcPr>
          <w:p>
            <w:pPr>
              <w:spacing w:after="0"/>
              <w:rPr>
                <w:sz w:val="20"/>
                <w:szCs w:val="20"/>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661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724</w:t>
            </w:r>
          </w:p>
        </w:tc>
        <w:tc>
          <w:tcPr>
            <w:tcW w:w="5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848</w:t>
            </w: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492" w:lineRule="exact"/>
        <w:rPr>
          <w:sz w:val="20"/>
          <w:szCs w:val="20"/>
          <w:color w:val="auto"/>
        </w:rPr>
      </w:pPr>
    </w:p>
    <w:p>
      <w:pPr>
        <w:sectPr>
          <w:pgSz w:w="11900" w:h="16838" w:orient="portrait"/>
          <w:cols w:equalWidth="0" w:num="2">
            <w:col w:w="4440" w:space="300"/>
            <w:col w:w="6680"/>
          </w:cols>
          <w:pgMar w:left="240" w:top="140" w:right="239" w:bottom="1440" w:gutter="0" w:footer="0" w:header="0"/>
          <w:type w:val="continuous"/>
        </w:sectPr>
      </w:pPr>
    </w:p>
    <w:p>
      <w:pPr>
        <w:spacing w:after="0" w:line="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140" w:right="2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Consolidating Condensed Statements of Comprehensive Income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June 30, 2018</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6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Parent</w:t>
            </w:r>
          </w:p>
        </w:tc>
        <w:tc>
          <w:tcPr>
            <w:tcW w:w="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Issuers</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46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88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1,395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1,590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(657)</w:t>
            </w:r>
          </w:p>
        </w:tc>
        <w:tc>
          <w:tcPr>
            <w:tcW w:w="12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2,328</w:t>
            </w:r>
          </w:p>
        </w:tc>
        <w:tc>
          <w:tcPr>
            <w:tcW w:w="0" w:type="dxa"/>
            <w:vAlign w:val="bottom"/>
          </w:tcPr>
          <w:p>
            <w:pPr>
              <w:spacing w:after="0"/>
              <w:rPr>
                <w:sz w:val="1"/>
                <w:szCs w:val="1"/>
                <w:color w:val="auto"/>
              </w:rPr>
            </w:pPr>
          </w:p>
        </w:tc>
      </w:tr>
      <w:tr>
        <w:trPr>
          <w:trHeight w:val="488"/>
        </w:trPr>
        <w:tc>
          <w:tcPr>
            <w:tcW w:w="346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8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Operating</w:t>
            </w:r>
          </w:p>
        </w:tc>
        <w:tc>
          <w:tcPr>
            <w:tcW w:w="880" w:type="dxa"/>
            <w:vAlign w:val="bottom"/>
          </w:tcPr>
          <w:p>
            <w:pPr>
              <w:spacing w:after="0"/>
              <w:rPr>
                <w:sz w:val="23"/>
                <w:szCs w:val="23"/>
                <w:color w:val="auto"/>
              </w:rPr>
            </w:pP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677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1,175</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Vehicle depreciation and lease charges, net</w:t>
            </w:r>
          </w:p>
        </w:tc>
        <w:tc>
          <w:tcPr>
            <w:tcW w:w="88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605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582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(596)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591</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Selling, general and administrative</w:t>
            </w:r>
          </w:p>
        </w:tc>
        <w:tc>
          <w:tcPr>
            <w:tcW w:w="880" w:type="dxa"/>
            <w:vAlign w:val="bottom"/>
          </w:tcPr>
          <w:p>
            <w:pPr>
              <w:spacing w:after="0"/>
              <w:rPr>
                <w:sz w:val="23"/>
                <w:szCs w:val="23"/>
                <w:color w:val="auto"/>
              </w:rPr>
            </w:pP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321</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Vehicle interest, net</w:t>
            </w:r>
          </w:p>
        </w:tc>
        <w:tc>
          <w:tcPr>
            <w:tcW w:w="88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Non-vehicle related depreciation and amortization</w:t>
            </w:r>
          </w:p>
        </w:tc>
        <w:tc>
          <w:tcPr>
            <w:tcW w:w="88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Interest expense related to corporate debt, net:</w:t>
            </w:r>
          </w:p>
        </w:tc>
        <w:tc>
          <w:tcPr>
            <w:tcW w:w="8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60" w:type="dxa"/>
            <w:vAlign w:val="bottom"/>
          </w:tcPr>
          <w:p>
            <w:pPr>
              <w:ind w:left="300"/>
              <w:spacing w:after="0"/>
              <w:rPr>
                <w:sz w:val="20"/>
                <w:szCs w:val="20"/>
                <w:color w:val="auto"/>
              </w:rPr>
            </w:pPr>
            <w:r>
              <w:rPr>
                <w:rFonts w:ascii="Arial" w:cs="Arial" w:eastAsia="Arial" w:hAnsi="Arial"/>
                <w:sz w:val="14"/>
                <w:szCs w:val="14"/>
                <w:color w:val="auto"/>
              </w:rPr>
              <w:t>Interest expense</w:t>
            </w:r>
          </w:p>
        </w:tc>
        <w:tc>
          <w:tcPr>
            <w:tcW w:w="88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70"/>
        </w:trPr>
        <w:tc>
          <w:tcPr>
            <w:tcW w:w="3460" w:type="dxa"/>
            <w:vAlign w:val="bottom"/>
          </w:tcPr>
          <w:p>
            <w:pPr>
              <w:ind w:left="300"/>
              <w:spacing w:after="0"/>
              <w:rPr>
                <w:sz w:val="20"/>
                <w:szCs w:val="20"/>
                <w:color w:val="auto"/>
              </w:rPr>
            </w:pPr>
            <w:r>
              <w:rPr>
                <w:rFonts w:ascii="Arial" w:cs="Arial" w:eastAsia="Arial" w:hAnsi="Arial"/>
                <w:sz w:val="14"/>
                <w:szCs w:val="14"/>
                <w:color w:val="auto"/>
              </w:rPr>
              <w:t>Intercompany interest expense (income)</w:t>
            </w:r>
          </w:p>
        </w:tc>
        <w:tc>
          <w:tcPr>
            <w:tcW w:w="88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Restructuring and other related charges</w:t>
            </w:r>
          </w:p>
        </w:tc>
        <w:tc>
          <w:tcPr>
            <w:tcW w:w="88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76"/>
        </w:trPr>
        <w:tc>
          <w:tcPr>
            <w:tcW w:w="3460" w:type="dxa"/>
            <w:vAlign w:val="bottom"/>
          </w:tcPr>
          <w:p>
            <w:pPr>
              <w:ind w:left="100"/>
              <w:spacing w:after="0"/>
              <w:rPr>
                <w:sz w:val="20"/>
                <w:szCs w:val="20"/>
                <w:color w:val="auto"/>
              </w:rPr>
            </w:pPr>
            <w:r>
              <w:rPr>
                <w:rFonts w:ascii="Arial" w:cs="Arial" w:eastAsia="Arial" w:hAnsi="Arial"/>
                <w:sz w:val="14"/>
                <w:szCs w:val="14"/>
                <w:color w:val="auto"/>
              </w:rPr>
              <w:t>Transaction-related costs, net</w:t>
            </w:r>
          </w:p>
        </w:tc>
        <w:tc>
          <w:tcPr>
            <w:tcW w:w="880" w:type="dxa"/>
            <w:vAlign w:val="bottom"/>
          </w:tcPr>
          <w:p>
            <w:pPr>
              <w:spacing w:after="0"/>
              <w:rPr>
                <w:sz w:val="24"/>
                <w:szCs w:val="24"/>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50"/>
        </w:trPr>
        <w:tc>
          <w:tcPr>
            <w:tcW w:w="3460" w:type="dxa"/>
            <w:vAlign w:val="bottom"/>
          </w:tcPr>
          <w:p>
            <w:pPr>
              <w:spacing w:after="0"/>
              <w:rPr>
                <w:sz w:val="20"/>
                <w:szCs w:val="20"/>
                <w:color w:val="auto"/>
              </w:rPr>
            </w:pPr>
            <w:r>
              <w:rPr>
                <w:rFonts w:ascii="Arial" w:cs="Arial" w:eastAsia="Arial" w:hAnsi="Arial"/>
                <w:sz w:val="14"/>
                <w:szCs w:val="14"/>
                <w:color w:val="auto"/>
              </w:rPr>
              <w:t>Total expenses</w:t>
            </w:r>
          </w:p>
        </w:tc>
        <w:tc>
          <w:tcPr>
            <w:tcW w:w="88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1,563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1,366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(657)</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2,290</w:t>
            </w:r>
          </w:p>
        </w:tc>
        <w:tc>
          <w:tcPr>
            <w:tcW w:w="0" w:type="dxa"/>
            <w:vAlign w:val="bottom"/>
          </w:tcPr>
          <w:p>
            <w:pPr>
              <w:spacing w:after="0"/>
              <w:rPr>
                <w:sz w:val="1"/>
                <w:szCs w:val="1"/>
                <w:color w:val="auto"/>
              </w:rPr>
            </w:pPr>
          </w:p>
        </w:tc>
      </w:tr>
      <w:tr>
        <w:trPr>
          <w:trHeight w:val="162"/>
        </w:trPr>
        <w:tc>
          <w:tcPr>
            <w:tcW w:w="3460" w:type="dxa"/>
            <w:vAlign w:val="bottom"/>
          </w:tcPr>
          <w:p>
            <w:pPr>
              <w:spacing w:after="0"/>
              <w:rPr>
                <w:sz w:val="20"/>
                <w:szCs w:val="20"/>
                <w:color w:val="auto"/>
              </w:rPr>
            </w:pPr>
            <w:r>
              <w:rPr>
                <w:rFonts w:ascii="Arial" w:cs="Arial" w:eastAsia="Arial" w:hAnsi="Arial"/>
                <w:sz w:val="14"/>
                <w:szCs w:val="14"/>
                <w:b w:val="1"/>
                <w:bCs w:val="1"/>
                <w:color w:val="auto"/>
              </w:rPr>
              <w:t>Income (loss) before income taxes and equity in</w:t>
            </w: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460" w:type="dxa"/>
            <w:vAlign w:val="bottom"/>
          </w:tcPr>
          <w:p>
            <w:pPr>
              <w:ind w:left="160"/>
              <w:spacing w:after="0"/>
              <w:rPr>
                <w:sz w:val="20"/>
                <w:szCs w:val="20"/>
                <w:color w:val="auto"/>
              </w:rPr>
            </w:pPr>
            <w:r>
              <w:rPr>
                <w:rFonts w:ascii="Arial" w:cs="Arial" w:eastAsia="Arial" w:hAnsi="Arial"/>
                <w:sz w:val="14"/>
                <w:szCs w:val="14"/>
                <w:b w:val="1"/>
                <w:bCs w:val="1"/>
                <w:color w:val="auto"/>
              </w:rPr>
              <w:t>earnings of subsidiaries</w:t>
            </w:r>
          </w:p>
        </w:tc>
        <w:tc>
          <w:tcPr>
            <w:tcW w:w="8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70"/>
        </w:trPr>
        <w:tc>
          <w:tcPr>
            <w:tcW w:w="346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88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76"/>
        </w:trPr>
        <w:tc>
          <w:tcPr>
            <w:tcW w:w="3460" w:type="dxa"/>
            <w:vAlign w:val="bottom"/>
          </w:tcPr>
          <w:p>
            <w:pPr>
              <w:spacing w:after="0"/>
              <w:rPr>
                <w:sz w:val="20"/>
                <w:szCs w:val="20"/>
                <w:color w:val="auto"/>
              </w:rPr>
            </w:pPr>
            <w:r>
              <w:rPr>
                <w:rFonts w:ascii="Arial" w:cs="Arial" w:eastAsia="Arial" w:hAnsi="Arial"/>
                <w:sz w:val="14"/>
                <w:szCs w:val="14"/>
                <w:color w:val="auto"/>
              </w:rPr>
              <w:t>Equity in earnings of subsidiaries</w:t>
            </w:r>
          </w:p>
        </w:tc>
        <w:tc>
          <w:tcPr>
            <w:tcW w:w="880" w:type="dxa"/>
            <w:vAlign w:val="bottom"/>
          </w:tcPr>
          <w:p>
            <w:pPr>
              <w:spacing w:after="0"/>
              <w:rPr>
                <w:sz w:val="23"/>
                <w:szCs w:val="23"/>
                <w:color w:val="auto"/>
              </w:rPr>
            </w:pP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880" w:type="dxa"/>
            <w:vAlign w:val="bottom"/>
            <w:tcBorders>
              <w:top w:val="single" w:sz="8" w:color="auto"/>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218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(283)</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 (loss)</w:t>
            </w: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3460" w:type="dxa"/>
            <w:vAlign w:val="bottom"/>
            <w:vMerge w:val="continue"/>
          </w:tcPr>
          <w:p>
            <w:pPr>
              <w:spacing w:after="0"/>
              <w:rPr>
                <w:sz w:val="24"/>
                <w:szCs w:val="24"/>
                <w:color w:val="auto"/>
              </w:rPr>
            </w:pPr>
          </w:p>
        </w:tc>
        <w:tc>
          <w:tcPr>
            <w:tcW w:w="88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165</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w:t>
            </w:r>
          </w:p>
        </w:tc>
        <w:tc>
          <w:tcPr>
            <w:tcW w:w="120" w:type="dxa"/>
            <w:vAlign w:val="bottom"/>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40"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Six Months Ended June 30, 2018</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Parent</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07"/>
              <w:spacing w:after="0"/>
              <w:rPr>
                <w:sz w:val="20"/>
                <w:szCs w:val="20"/>
                <w:color w:val="auto"/>
              </w:rPr>
            </w:pPr>
            <w:r>
              <w:rPr>
                <w:rFonts w:ascii="Arial" w:cs="Arial" w:eastAsia="Arial" w:hAnsi="Arial"/>
                <w:sz w:val="14"/>
                <w:szCs w:val="14"/>
                <w:b w:val="1"/>
                <w:bCs w:val="1"/>
                <w:color w:val="auto"/>
              </w:rPr>
              <w:t>Issuers</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46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2,579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2,949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(1,232)</w:t>
            </w:r>
          </w:p>
        </w:tc>
        <w:tc>
          <w:tcPr>
            <w:tcW w:w="12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4,296</w:t>
            </w:r>
          </w:p>
        </w:tc>
        <w:tc>
          <w:tcPr>
            <w:tcW w:w="0" w:type="dxa"/>
            <w:vAlign w:val="bottom"/>
          </w:tcPr>
          <w:p>
            <w:pPr>
              <w:spacing w:after="0"/>
              <w:rPr>
                <w:sz w:val="1"/>
                <w:szCs w:val="1"/>
                <w:color w:val="auto"/>
              </w:rPr>
            </w:pPr>
          </w:p>
        </w:tc>
      </w:tr>
      <w:tr>
        <w:trPr>
          <w:trHeight w:val="488"/>
        </w:trPr>
        <w:tc>
          <w:tcPr>
            <w:tcW w:w="346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Operating</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7"/>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1,298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966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2,267</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Vehicle depreciation and lease charges,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1,141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1,086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(1,121)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1,106</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Selling, general and administrative</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7"/>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331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617</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Vehicle interest,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Non-vehicle related depreciation and amortization</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7"/>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Interest expense related to corporate debt, net:</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60" w:type="dxa"/>
            <w:vAlign w:val="bottom"/>
          </w:tcPr>
          <w:p>
            <w:pPr>
              <w:ind w:left="300"/>
              <w:spacing w:after="0"/>
              <w:rPr>
                <w:sz w:val="20"/>
                <w:szCs w:val="20"/>
                <w:color w:val="auto"/>
              </w:rPr>
            </w:pPr>
            <w:r>
              <w:rPr>
                <w:rFonts w:ascii="Arial" w:cs="Arial" w:eastAsia="Arial" w:hAnsi="Arial"/>
                <w:sz w:val="14"/>
                <w:szCs w:val="14"/>
                <w:color w:val="auto"/>
              </w:rPr>
              <w:t>Interest expense</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7"/>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270"/>
        </w:trPr>
        <w:tc>
          <w:tcPr>
            <w:tcW w:w="3460" w:type="dxa"/>
            <w:vAlign w:val="bottom"/>
          </w:tcPr>
          <w:p>
            <w:pPr>
              <w:ind w:left="300"/>
              <w:spacing w:after="0"/>
              <w:rPr>
                <w:sz w:val="20"/>
                <w:szCs w:val="20"/>
                <w:color w:val="auto"/>
              </w:rPr>
            </w:pPr>
            <w:r>
              <w:rPr>
                <w:rFonts w:ascii="Arial" w:cs="Arial" w:eastAsia="Arial" w:hAnsi="Arial"/>
                <w:sz w:val="14"/>
                <w:szCs w:val="14"/>
                <w:color w:val="auto"/>
              </w:rPr>
              <w:t>Intercompany interest expense (income)</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460" w:type="dxa"/>
            <w:vAlign w:val="bottom"/>
          </w:tcPr>
          <w:p>
            <w:pPr>
              <w:ind w:left="300"/>
              <w:spacing w:after="0"/>
              <w:rPr>
                <w:sz w:val="20"/>
                <w:szCs w:val="20"/>
                <w:color w:val="auto"/>
              </w:rPr>
            </w:pPr>
            <w:r>
              <w:rPr>
                <w:rFonts w:ascii="Arial" w:cs="Arial" w:eastAsia="Arial" w:hAnsi="Arial"/>
                <w:sz w:val="14"/>
                <w:szCs w:val="14"/>
                <w:color w:val="auto"/>
              </w:rPr>
              <w:t>Early extinguishment of debt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7"/>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Restructuring and other related charges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6"/>
        </w:trPr>
        <w:tc>
          <w:tcPr>
            <w:tcW w:w="3460" w:type="dxa"/>
            <w:vAlign w:val="bottom"/>
          </w:tcPr>
          <w:p>
            <w:pPr>
              <w:ind w:left="100"/>
              <w:spacing w:after="0"/>
              <w:rPr>
                <w:sz w:val="20"/>
                <w:szCs w:val="20"/>
                <w:color w:val="auto"/>
              </w:rPr>
            </w:pPr>
            <w:r>
              <w:rPr>
                <w:rFonts w:ascii="Arial" w:cs="Arial" w:eastAsia="Arial" w:hAnsi="Arial"/>
                <w:sz w:val="14"/>
                <w:szCs w:val="14"/>
                <w:color w:val="auto"/>
              </w:rPr>
              <w:t>Transaction-related costs, net</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7"/>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50"/>
        </w:trPr>
        <w:tc>
          <w:tcPr>
            <w:tcW w:w="3460" w:type="dxa"/>
            <w:vAlign w:val="bottom"/>
          </w:tcPr>
          <w:p>
            <w:pPr>
              <w:spacing w:after="0"/>
              <w:rPr>
                <w:sz w:val="20"/>
                <w:szCs w:val="20"/>
                <w:color w:val="auto"/>
              </w:rPr>
            </w:pPr>
            <w:r>
              <w:rPr>
                <w:rFonts w:ascii="Arial" w:cs="Arial" w:eastAsia="Arial" w:hAnsi="Arial"/>
                <w:sz w:val="14"/>
                <w:szCs w:val="14"/>
                <w:color w:val="auto"/>
              </w:rPr>
              <w:t>Total expenses</w:t>
            </w:r>
          </w:p>
        </w:tc>
        <w:tc>
          <w:tcPr>
            <w:tcW w:w="2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2,973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2,539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(1,232)</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4,387</w:t>
            </w:r>
          </w:p>
        </w:tc>
        <w:tc>
          <w:tcPr>
            <w:tcW w:w="0" w:type="dxa"/>
            <w:vAlign w:val="bottom"/>
          </w:tcPr>
          <w:p>
            <w:pPr>
              <w:spacing w:after="0"/>
              <w:rPr>
                <w:sz w:val="1"/>
                <w:szCs w:val="1"/>
                <w:color w:val="auto"/>
              </w:rPr>
            </w:pPr>
          </w:p>
        </w:tc>
      </w:tr>
      <w:tr>
        <w:trPr>
          <w:trHeight w:val="162"/>
        </w:trPr>
        <w:tc>
          <w:tcPr>
            <w:tcW w:w="3460" w:type="dxa"/>
            <w:vAlign w:val="bottom"/>
          </w:tcPr>
          <w:p>
            <w:pPr>
              <w:spacing w:after="0"/>
              <w:rPr>
                <w:sz w:val="20"/>
                <w:szCs w:val="20"/>
                <w:color w:val="auto"/>
              </w:rPr>
            </w:pPr>
            <w:r>
              <w:rPr>
                <w:rFonts w:ascii="Arial" w:cs="Arial" w:eastAsia="Arial" w:hAnsi="Arial"/>
                <w:sz w:val="14"/>
                <w:szCs w:val="14"/>
                <w:b w:val="1"/>
                <w:bCs w:val="1"/>
                <w:color w:val="auto"/>
              </w:rPr>
              <w:t>Income (loss) before income taxes and equity in</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460" w:type="dxa"/>
            <w:vAlign w:val="bottom"/>
          </w:tcPr>
          <w:p>
            <w:pPr>
              <w:ind w:left="160"/>
              <w:spacing w:after="0"/>
              <w:rPr>
                <w:sz w:val="20"/>
                <w:szCs w:val="20"/>
                <w:color w:val="auto"/>
              </w:rPr>
            </w:pPr>
            <w:r>
              <w:rPr>
                <w:rFonts w:ascii="Arial" w:cs="Arial" w:eastAsia="Arial" w:hAnsi="Arial"/>
                <w:sz w:val="14"/>
                <w:szCs w:val="14"/>
                <w:b w:val="1"/>
                <w:bCs w:val="1"/>
                <w:color w:val="auto"/>
              </w:rPr>
              <w:t>earnings of subsidiaries</w:t>
            </w: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(394)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410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270"/>
        </w:trPr>
        <w:tc>
          <w:tcPr>
            <w:tcW w:w="346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76"/>
        </w:trPr>
        <w:tc>
          <w:tcPr>
            <w:tcW w:w="3460" w:type="dxa"/>
            <w:vAlign w:val="bottom"/>
          </w:tcPr>
          <w:p>
            <w:pPr>
              <w:spacing w:after="0"/>
              <w:rPr>
                <w:sz w:val="20"/>
                <w:szCs w:val="20"/>
                <w:color w:val="auto"/>
              </w:rPr>
            </w:pPr>
            <w:r>
              <w:rPr>
                <w:rFonts w:ascii="Arial" w:cs="Arial" w:eastAsia="Arial" w:hAnsi="Arial"/>
                <w:sz w:val="14"/>
                <w:szCs w:val="14"/>
                <w:color w:val="auto"/>
              </w:rPr>
              <w:t>Equity in earnings (loss) of subsidiaries</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7"/>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402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(367)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0"/>
                <w:szCs w:val="20"/>
                <w:color w:val="auto"/>
              </w:rPr>
            </w:pPr>
            <w:r>
              <w:rPr>
                <w:rFonts w:ascii="Arial" w:cs="Arial" w:eastAsia="Arial" w:hAnsi="Arial"/>
                <w:sz w:val="14"/>
                <w:szCs w:val="14"/>
                <w:b w:val="1"/>
                <w:bCs w:val="1"/>
                <w:color w:val="auto"/>
              </w:rPr>
              <w:t>Net income (loss)</w:t>
            </w: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402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(367)</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 (loss)</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3460" w:type="dxa"/>
            <w:vAlign w:val="bottom"/>
            <w:vMerge w:val="continue"/>
          </w:tcPr>
          <w:p>
            <w:pPr>
              <w:spacing w:after="0"/>
              <w:rPr>
                <w:sz w:val="24"/>
                <w:szCs w:val="24"/>
                <w:color w:val="auto"/>
              </w:rPr>
            </w:pP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349</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w:t>
            </w:r>
          </w:p>
        </w:tc>
        <w:tc>
          <w:tcPr>
            <w:tcW w:w="120" w:type="dxa"/>
            <w:vAlign w:val="bottom"/>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459"/>
        </w:trPr>
        <w:tc>
          <w:tcPr>
            <w:tcW w:w="3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187"/>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40"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June 30, 2017</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Parent</w:t>
            </w:r>
          </w:p>
        </w:tc>
        <w:tc>
          <w:tcPr>
            <w:tcW w:w="3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87"/>
              <w:spacing w:after="0"/>
              <w:rPr>
                <w:sz w:val="20"/>
                <w:szCs w:val="20"/>
                <w:color w:val="auto"/>
              </w:rPr>
            </w:pPr>
            <w:r>
              <w:rPr>
                <w:rFonts w:ascii="Arial" w:cs="Arial" w:eastAsia="Arial" w:hAnsi="Arial"/>
                <w:sz w:val="14"/>
                <w:szCs w:val="14"/>
                <w:b w:val="1"/>
                <w:bCs w:val="1"/>
                <w:color w:val="auto"/>
              </w:rPr>
              <w:t>Issuers</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90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1,371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1,530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(663)</w:t>
            </w:r>
          </w:p>
        </w:tc>
        <w:tc>
          <w:tcPr>
            <w:tcW w:w="12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2,238</w:t>
            </w:r>
          </w:p>
        </w:tc>
        <w:tc>
          <w:tcPr>
            <w:tcW w:w="0" w:type="dxa"/>
            <w:vAlign w:val="bottom"/>
          </w:tcPr>
          <w:p>
            <w:pPr>
              <w:spacing w:after="0"/>
              <w:rPr>
                <w:sz w:val="1"/>
                <w:szCs w:val="1"/>
                <w:color w:val="auto"/>
              </w:rPr>
            </w:pPr>
          </w:p>
        </w:tc>
      </w:tr>
      <w:tr>
        <w:trPr>
          <w:trHeight w:val="488"/>
        </w:trPr>
        <w:tc>
          <w:tcPr>
            <w:tcW w:w="354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9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Operating</w:t>
            </w:r>
          </w:p>
        </w:tc>
        <w:tc>
          <w:tcPr>
            <w:tcW w:w="900" w:type="dxa"/>
            <w:vAlign w:val="bottom"/>
          </w:tcPr>
          <w:p>
            <w:pPr>
              <w:spacing w:after="0"/>
              <w:rPr>
                <w:sz w:val="23"/>
                <w:szCs w:val="23"/>
                <w:color w:val="auto"/>
              </w:rPr>
            </w:pP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7"/>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644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454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1,108</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 depreciation and lease charges, net</w:t>
            </w:r>
          </w:p>
        </w:tc>
        <w:tc>
          <w:tcPr>
            <w:tcW w:w="900" w:type="dxa"/>
            <w:vAlign w:val="bottom"/>
          </w:tcPr>
          <w:p>
            <w:pPr>
              <w:spacing w:after="0"/>
              <w:rPr>
                <w:sz w:val="23"/>
                <w:szCs w:val="23"/>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614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592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(609)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597</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Selling, general and administrative</w:t>
            </w:r>
          </w:p>
        </w:tc>
        <w:tc>
          <w:tcPr>
            <w:tcW w:w="900" w:type="dxa"/>
            <w:vAlign w:val="bottom"/>
          </w:tcPr>
          <w:p>
            <w:pPr>
              <w:spacing w:after="0"/>
              <w:rPr>
                <w:sz w:val="23"/>
                <w:szCs w:val="23"/>
                <w:color w:val="auto"/>
              </w:rPr>
            </w:pP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7"/>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293</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 interest, net</w:t>
            </w:r>
          </w:p>
        </w:tc>
        <w:tc>
          <w:tcPr>
            <w:tcW w:w="900" w:type="dxa"/>
            <w:vAlign w:val="bottom"/>
          </w:tcPr>
          <w:p>
            <w:pPr>
              <w:spacing w:after="0"/>
              <w:rPr>
                <w:sz w:val="23"/>
                <w:szCs w:val="23"/>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Non-vehicle related depreciation and amortization</w:t>
            </w:r>
          </w:p>
        </w:tc>
        <w:tc>
          <w:tcPr>
            <w:tcW w:w="900" w:type="dxa"/>
            <w:vAlign w:val="bottom"/>
          </w:tcPr>
          <w:p>
            <w:pPr>
              <w:spacing w:after="0"/>
              <w:rPr>
                <w:sz w:val="23"/>
                <w:szCs w:val="23"/>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7"/>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Interest expense related to corporate debt, net:</w:t>
            </w: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380"/>
              <w:spacing w:after="0"/>
              <w:rPr>
                <w:sz w:val="20"/>
                <w:szCs w:val="20"/>
                <w:color w:val="auto"/>
              </w:rPr>
            </w:pPr>
            <w:r>
              <w:rPr>
                <w:rFonts w:ascii="Arial" w:cs="Arial" w:eastAsia="Arial" w:hAnsi="Arial"/>
                <w:sz w:val="14"/>
                <w:szCs w:val="14"/>
                <w:color w:val="auto"/>
              </w:rPr>
              <w:t>Interest expense</w:t>
            </w:r>
          </w:p>
        </w:tc>
        <w:tc>
          <w:tcPr>
            <w:tcW w:w="900" w:type="dxa"/>
            <w:vAlign w:val="bottom"/>
          </w:tcPr>
          <w:p>
            <w:pPr>
              <w:spacing w:after="0"/>
              <w:rPr>
                <w:sz w:val="23"/>
                <w:szCs w:val="23"/>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7"/>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70"/>
        </w:trPr>
        <w:tc>
          <w:tcPr>
            <w:tcW w:w="3540" w:type="dxa"/>
            <w:vAlign w:val="bottom"/>
          </w:tcPr>
          <w:p>
            <w:pPr>
              <w:ind w:left="380"/>
              <w:spacing w:after="0"/>
              <w:rPr>
                <w:sz w:val="20"/>
                <w:szCs w:val="20"/>
                <w:color w:val="auto"/>
              </w:rPr>
            </w:pPr>
            <w:r>
              <w:rPr>
                <w:rFonts w:ascii="Arial" w:cs="Arial" w:eastAsia="Arial" w:hAnsi="Arial"/>
                <w:sz w:val="14"/>
                <w:szCs w:val="14"/>
                <w:color w:val="auto"/>
              </w:rPr>
              <w:t>Intercompany interest expense (income)</w:t>
            </w:r>
          </w:p>
        </w:tc>
        <w:tc>
          <w:tcPr>
            <w:tcW w:w="90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7"/>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540" w:type="dxa"/>
            <w:vAlign w:val="bottom"/>
          </w:tcPr>
          <w:p>
            <w:pPr>
              <w:ind w:left="380"/>
              <w:spacing w:after="0"/>
              <w:rPr>
                <w:sz w:val="20"/>
                <w:szCs w:val="20"/>
                <w:color w:val="auto"/>
              </w:rPr>
            </w:pPr>
            <w:r>
              <w:rPr>
                <w:rFonts w:ascii="Arial" w:cs="Arial" w:eastAsia="Arial" w:hAnsi="Arial"/>
                <w:sz w:val="14"/>
                <w:szCs w:val="14"/>
                <w:color w:val="auto"/>
              </w:rPr>
              <w:t>Early extinguishment of debt</w:t>
            </w:r>
          </w:p>
        </w:tc>
        <w:tc>
          <w:tcPr>
            <w:tcW w:w="900" w:type="dxa"/>
            <w:vAlign w:val="bottom"/>
          </w:tcPr>
          <w:p>
            <w:pPr>
              <w:spacing w:after="0"/>
              <w:rPr>
                <w:sz w:val="23"/>
                <w:szCs w:val="23"/>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7"/>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Restructuring and other related charges</w:t>
            </w:r>
          </w:p>
        </w:tc>
        <w:tc>
          <w:tcPr>
            <w:tcW w:w="900" w:type="dxa"/>
            <w:vAlign w:val="bottom"/>
          </w:tcPr>
          <w:p>
            <w:pPr>
              <w:spacing w:after="0"/>
              <w:rPr>
                <w:sz w:val="23"/>
                <w:szCs w:val="23"/>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7"/>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76"/>
        </w:trPr>
        <w:tc>
          <w:tcPr>
            <w:tcW w:w="3540" w:type="dxa"/>
            <w:vAlign w:val="bottom"/>
          </w:tcPr>
          <w:p>
            <w:pPr>
              <w:ind w:left="180"/>
              <w:spacing w:after="0"/>
              <w:rPr>
                <w:sz w:val="20"/>
                <w:szCs w:val="20"/>
                <w:color w:val="auto"/>
              </w:rPr>
            </w:pPr>
            <w:r>
              <w:rPr>
                <w:rFonts w:ascii="Arial" w:cs="Arial" w:eastAsia="Arial" w:hAnsi="Arial"/>
                <w:sz w:val="14"/>
                <w:szCs w:val="14"/>
                <w:color w:val="auto"/>
              </w:rPr>
              <w:t>Transaction-related costs, net</w:t>
            </w:r>
          </w:p>
        </w:tc>
        <w:tc>
          <w:tcPr>
            <w:tcW w:w="900" w:type="dxa"/>
            <w:vAlign w:val="bottom"/>
          </w:tcPr>
          <w:p>
            <w:pPr>
              <w:spacing w:after="0"/>
              <w:rPr>
                <w:sz w:val="24"/>
                <w:szCs w:val="24"/>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color w:val="auto"/>
              </w:rPr>
              <w:t>Total expenses</w:t>
            </w:r>
          </w:p>
        </w:tc>
        <w:tc>
          <w:tcPr>
            <w:tcW w:w="90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1,546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1,233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(663)</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2,227</w:t>
            </w:r>
          </w:p>
        </w:tc>
        <w:tc>
          <w:tcPr>
            <w:tcW w:w="0" w:type="dxa"/>
            <w:vAlign w:val="bottom"/>
          </w:tcPr>
          <w:p>
            <w:pPr>
              <w:spacing w:after="0"/>
              <w:rPr>
                <w:sz w:val="1"/>
                <w:szCs w:val="1"/>
                <w:color w:val="auto"/>
              </w:rPr>
            </w:pPr>
          </w:p>
        </w:tc>
      </w:tr>
      <w:tr>
        <w:trPr>
          <w:trHeight w:val="162"/>
        </w:trPr>
        <w:tc>
          <w:tcPr>
            <w:tcW w:w="3540" w:type="dxa"/>
            <w:vAlign w:val="bottom"/>
          </w:tcPr>
          <w:p>
            <w:pPr>
              <w:spacing w:after="0"/>
              <w:rPr>
                <w:sz w:val="20"/>
                <w:szCs w:val="20"/>
                <w:color w:val="auto"/>
              </w:rPr>
            </w:pPr>
            <w:r>
              <w:rPr>
                <w:rFonts w:ascii="Arial" w:cs="Arial" w:eastAsia="Arial" w:hAnsi="Arial"/>
                <w:sz w:val="14"/>
                <w:szCs w:val="14"/>
                <w:b w:val="1"/>
                <w:bCs w:val="1"/>
                <w:color w:val="auto"/>
              </w:rPr>
              <w:t>Income (loss) before income taxes and equity in</w:t>
            </w: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540" w:type="dxa"/>
            <w:vAlign w:val="bottom"/>
          </w:tcPr>
          <w:p>
            <w:pPr>
              <w:ind w:left="160"/>
              <w:spacing w:after="0"/>
              <w:rPr>
                <w:sz w:val="20"/>
                <w:szCs w:val="20"/>
                <w:color w:val="auto"/>
              </w:rPr>
            </w:pPr>
            <w:r>
              <w:rPr>
                <w:rFonts w:ascii="Arial" w:cs="Arial" w:eastAsia="Arial" w:hAnsi="Arial"/>
                <w:sz w:val="14"/>
                <w:szCs w:val="14"/>
                <w:b w:val="1"/>
                <w:bCs w:val="1"/>
                <w:color w:val="auto"/>
              </w:rPr>
              <w:t>earnings of subsidiaries</w:t>
            </w:r>
          </w:p>
        </w:tc>
        <w:tc>
          <w:tcPr>
            <w:tcW w:w="9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297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90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Equity in earnings of subsidiaries</w:t>
            </w:r>
          </w:p>
        </w:tc>
        <w:tc>
          <w:tcPr>
            <w:tcW w:w="900" w:type="dxa"/>
            <w:vAlign w:val="bottom"/>
          </w:tcPr>
          <w:p>
            <w:pPr>
              <w:spacing w:after="0"/>
              <w:rPr>
                <w:sz w:val="23"/>
                <w:szCs w:val="23"/>
                <w:color w:val="auto"/>
              </w:rPr>
            </w:pP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7"/>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(341)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900" w:type="dxa"/>
            <w:vAlign w:val="bottom"/>
            <w:tcBorders>
              <w:top w:val="single" w:sz="8" w:color="auto"/>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259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(341)</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w:t>
            </w: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3540" w:type="dxa"/>
            <w:vAlign w:val="bottom"/>
            <w:vMerge w:val="continue"/>
          </w:tcPr>
          <w:p>
            <w:pPr>
              <w:spacing w:after="0"/>
              <w:rPr>
                <w:sz w:val="24"/>
                <w:szCs w:val="24"/>
                <w:color w:val="auto"/>
              </w:rPr>
            </w:pPr>
          </w:p>
        </w:tc>
        <w:tc>
          <w:tcPr>
            <w:tcW w:w="90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309</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(490)</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459"/>
        </w:trPr>
        <w:tc>
          <w:tcPr>
            <w:tcW w:w="3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267"/>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40"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Six Months Ended June 30, 2017</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Parent</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07"/>
              <w:spacing w:after="0"/>
              <w:rPr>
                <w:sz w:val="20"/>
                <w:szCs w:val="20"/>
                <w:color w:val="auto"/>
              </w:rPr>
            </w:pPr>
            <w:r>
              <w:rPr>
                <w:rFonts w:ascii="Arial" w:cs="Arial" w:eastAsia="Arial" w:hAnsi="Arial"/>
                <w:sz w:val="14"/>
                <w:szCs w:val="14"/>
                <w:b w:val="1"/>
                <w:bCs w:val="1"/>
                <w:color w:val="auto"/>
              </w:rPr>
              <w:t>Issuers</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46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2,524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2,801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(1,248)</w:t>
            </w:r>
          </w:p>
        </w:tc>
        <w:tc>
          <w:tcPr>
            <w:tcW w:w="12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4,077</w:t>
            </w:r>
          </w:p>
        </w:tc>
        <w:tc>
          <w:tcPr>
            <w:tcW w:w="0" w:type="dxa"/>
            <w:vAlign w:val="bottom"/>
          </w:tcPr>
          <w:p>
            <w:pPr>
              <w:spacing w:after="0"/>
              <w:rPr>
                <w:sz w:val="1"/>
                <w:szCs w:val="1"/>
                <w:color w:val="auto"/>
              </w:rPr>
            </w:pPr>
          </w:p>
        </w:tc>
      </w:tr>
      <w:tr>
        <w:trPr>
          <w:trHeight w:val="488"/>
        </w:trPr>
        <w:tc>
          <w:tcPr>
            <w:tcW w:w="346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Operating</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7"/>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1,284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858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2,157</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Vehicle depreciation and lease charges,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1,160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1,085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(1,144)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1,101</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Selling, general and administrative</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7"/>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555</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Vehicle interest,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Non-vehicle related depreciation and amortization</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7"/>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Interest expense related to corporate debt, net:</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60" w:type="dxa"/>
            <w:vAlign w:val="bottom"/>
          </w:tcPr>
          <w:p>
            <w:pPr>
              <w:ind w:left="300"/>
              <w:spacing w:after="0"/>
              <w:rPr>
                <w:sz w:val="20"/>
                <w:szCs w:val="20"/>
                <w:color w:val="auto"/>
              </w:rPr>
            </w:pPr>
            <w:r>
              <w:rPr>
                <w:rFonts w:ascii="Arial" w:cs="Arial" w:eastAsia="Arial" w:hAnsi="Arial"/>
                <w:sz w:val="14"/>
                <w:szCs w:val="14"/>
                <w:color w:val="auto"/>
              </w:rPr>
              <w:t>Interest expense</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7"/>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270"/>
        </w:trPr>
        <w:tc>
          <w:tcPr>
            <w:tcW w:w="3460" w:type="dxa"/>
            <w:vAlign w:val="bottom"/>
          </w:tcPr>
          <w:p>
            <w:pPr>
              <w:ind w:left="300"/>
              <w:spacing w:after="0"/>
              <w:rPr>
                <w:sz w:val="20"/>
                <w:szCs w:val="20"/>
                <w:color w:val="auto"/>
              </w:rPr>
            </w:pPr>
            <w:r>
              <w:rPr>
                <w:rFonts w:ascii="Arial" w:cs="Arial" w:eastAsia="Arial" w:hAnsi="Arial"/>
                <w:sz w:val="14"/>
                <w:szCs w:val="14"/>
                <w:color w:val="auto"/>
              </w:rPr>
              <w:t>Intercompany interest expense (income)</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7"/>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460" w:type="dxa"/>
            <w:vAlign w:val="bottom"/>
          </w:tcPr>
          <w:p>
            <w:pPr>
              <w:ind w:left="300"/>
              <w:spacing w:after="0"/>
              <w:rPr>
                <w:sz w:val="20"/>
                <w:szCs w:val="20"/>
                <w:color w:val="auto"/>
              </w:rPr>
            </w:pPr>
            <w:r>
              <w:rPr>
                <w:rFonts w:ascii="Arial" w:cs="Arial" w:eastAsia="Arial" w:hAnsi="Arial"/>
                <w:sz w:val="14"/>
                <w:szCs w:val="14"/>
                <w:color w:val="auto"/>
              </w:rPr>
              <w:t>Early extinguishment of debt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7"/>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Restructuring and other related charges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7"/>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76"/>
        </w:trPr>
        <w:tc>
          <w:tcPr>
            <w:tcW w:w="3460" w:type="dxa"/>
            <w:vAlign w:val="bottom"/>
          </w:tcPr>
          <w:p>
            <w:pPr>
              <w:ind w:left="100"/>
              <w:spacing w:after="0"/>
              <w:rPr>
                <w:sz w:val="20"/>
                <w:szCs w:val="20"/>
                <w:color w:val="auto"/>
              </w:rPr>
            </w:pPr>
            <w:r>
              <w:rPr>
                <w:rFonts w:ascii="Arial" w:cs="Arial" w:eastAsia="Arial" w:hAnsi="Arial"/>
                <w:sz w:val="14"/>
                <w:szCs w:val="14"/>
                <w:color w:val="auto"/>
              </w:rPr>
              <w:t>Transaction-related costs, net</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50"/>
        </w:trPr>
        <w:tc>
          <w:tcPr>
            <w:tcW w:w="3460" w:type="dxa"/>
            <w:vAlign w:val="bottom"/>
          </w:tcPr>
          <w:p>
            <w:pPr>
              <w:spacing w:after="0"/>
              <w:rPr>
                <w:sz w:val="20"/>
                <w:szCs w:val="20"/>
                <w:color w:val="auto"/>
              </w:rPr>
            </w:pPr>
            <w:r>
              <w:rPr>
                <w:rFonts w:ascii="Arial" w:cs="Arial" w:eastAsia="Arial" w:hAnsi="Arial"/>
                <w:sz w:val="14"/>
                <w:szCs w:val="14"/>
                <w:color w:val="auto"/>
              </w:rPr>
              <w:t>Total expenses</w:t>
            </w:r>
          </w:p>
        </w:tc>
        <w:tc>
          <w:tcPr>
            <w:tcW w:w="2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2,983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2,321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(1,248)</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4,231</w:t>
            </w:r>
          </w:p>
        </w:tc>
        <w:tc>
          <w:tcPr>
            <w:tcW w:w="0" w:type="dxa"/>
            <w:vAlign w:val="bottom"/>
          </w:tcPr>
          <w:p>
            <w:pPr>
              <w:spacing w:after="0"/>
              <w:rPr>
                <w:sz w:val="1"/>
                <w:szCs w:val="1"/>
                <w:color w:val="auto"/>
              </w:rPr>
            </w:pPr>
          </w:p>
        </w:tc>
      </w:tr>
      <w:tr>
        <w:trPr>
          <w:trHeight w:val="162"/>
        </w:trPr>
        <w:tc>
          <w:tcPr>
            <w:tcW w:w="3460" w:type="dxa"/>
            <w:vAlign w:val="bottom"/>
          </w:tcPr>
          <w:p>
            <w:pPr>
              <w:spacing w:after="0"/>
              <w:rPr>
                <w:sz w:val="20"/>
                <w:szCs w:val="20"/>
                <w:color w:val="auto"/>
              </w:rPr>
            </w:pPr>
            <w:r>
              <w:rPr>
                <w:rFonts w:ascii="Arial" w:cs="Arial" w:eastAsia="Arial" w:hAnsi="Arial"/>
                <w:sz w:val="14"/>
                <w:szCs w:val="14"/>
                <w:b w:val="1"/>
                <w:bCs w:val="1"/>
                <w:color w:val="auto"/>
              </w:rPr>
              <w:t>Income (loss) before income taxes and equity in</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460" w:type="dxa"/>
            <w:vAlign w:val="bottom"/>
          </w:tcPr>
          <w:p>
            <w:pPr>
              <w:ind w:left="160"/>
              <w:spacing w:after="0"/>
              <w:rPr>
                <w:sz w:val="20"/>
                <w:szCs w:val="20"/>
                <w:color w:val="auto"/>
              </w:rPr>
            </w:pPr>
            <w:r>
              <w:rPr>
                <w:rFonts w:ascii="Arial" w:cs="Arial" w:eastAsia="Arial" w:hAnsi="Arial"/>
                <w:sz w:val="14"/>
                <w:szCs w:val="14"/>
                <w:b w:val="1"/>
                <w:bCs w:val="1"/>
                <w:color w:val="auto"/>
              </w:rPr>
              <w:t>earnings of subsidiaries</w:t>
            </w: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(459)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480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270"/>
        </w:trPr>
        <w:tc>
          <w:tcPr>
            <w:tcW w:w="346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76"/>
        </w:trPr>
        <w:tc>
          <w:tcPr>
            <w:tcW w:w="3460" w:type="dxa"/>
            <w:vAlign w:val="bottom"/>
          </w:tcPr>
          <w:p>
            <w:pPr>
              <w:spacing w:after="0"/>
              <w:rPr>
                <w:sz w:val="20"/>
                <w:szCs w:val="20"/>
                <w:color w:val="auto"/>
              </w:rPr>
            </w:pPr>
            <w:r>
              <w:rPr>
                <w:rFonts w:ascii="Arial" w:cs="Arial" w:eastAsia="Arial" w:hAnsi="Arial"/>
                <w:sz w:val="14"/>
                <w:szCs w:val="14"/>
                <w:color w:val="auto"/>
              </w:rPr>
              <w:t>Equity in earnings (loss) of subsidiaries</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7"/>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436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(349)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0"/>
                <w:szCs w:val="20"/>
                <w:color w:val="auto"/>
              </w:rPr>
            </w:pPr>
            <w:r>
              <w:rPr>
                <w:rFonts w:ascii="Arial" w:cs="Arial" w:eastAsia="Arial" w:hAnsi="Arial"/>
                <w:sz w:val="14"/>
                <w:szCs w:val="14"/>
                <w:b w:val="1"/>
                <w:bCs w:val="1"/>
                <w:color w:val="auto"/>
              </w:rPr>
              <w:t>Net income (loss)</w:t>
            </w: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436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(349)</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 (loss)</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3460" w:type="dxa"/>
            <w:vAlign w:val="bottom"/>
            <w:vMerge w:val="continue"/>
          </w:tcPr>
          <w:p>
            <w:pPr>
              <w:spacing w:after="0"/>
              <w:rPr>
                <w:sz w:val="24"/>
                <w:szCs w:val="24"/>
                <w:color w:val="auto"/>
              </w:rPr>
            </w:pP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512</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(578)</w:t>
            </w:r>
          </w:p>
        </w:tc>
        <w:tc>
          <w:tcPr>
            <w:tcW w:w="120" w:type="dxa"/>
            <w:vAlign w:val="bottom"/>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459"/>
        </w:trPr>
        <w:tc>
          <w:tcPr>
            <w:tcW w:w="3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187"/>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40"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Consolidating Condensed Balance Sheets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2018</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Issuers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2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Cash and cash equivalents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475</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489</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Receivables,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248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654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902</w:t>
            </w:r>
          </w:p>
        </w:tc>
        <w:tc>
          <w:tcPr>
            <w:tcW w:w="0" w:type="dxa"/>
            <w:vAlign w:val="bottom"/>
          </w:tcPr>
          <w:p>
            <w:pPr>
              <w:spacing w:after="0"/>
              <w:rPr>
                <w:sz w:val="1"/>
                <w:szCs w:val="1"/>
                <w:color w:val="auto"/>
              </w:rPr>
            </w:pPr>
          </w:p>
        </w:tc>
      </w:tr>
      <w:tr>
        <w:trPr>
          <w:trHeight w:val="276"/>
        </w:trPr>
        <w:tc>
          <w:tcPr>
            <w:tcW w:w="3540" w:type="dxa"/>
            <w:vAlign w:val="bottom"/>
          </w:tcPr>
          <w:p>
            <w:pPr>
              <w:ind w:left="180"/>
              <w:spacing w:after="0"/>
              <w:rPr>
                <w:sz w:val="20"/>
                <w:szCs w:val="20"/>
                <w:color w:val="auto"/>
              </w:rPr>
            </w:pPr>
            <w:r>
              <w:rPr>
                <w:rFonts w:ascii="Arial" w:cs="Arial" w:eastAsia="Arial" w:hAnsi="Arial"/>
                <w:sz w:val="14"/>
                <w:szCs w:val="14"/>
                <w:color w:val="auto"/>
              </w:rPr>
              <w:t>Other current assets</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597</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832</w:t>
            </w:r>
          </w:p>
        </w:tc>
        <w:tc>
          <w:tcPr>
            <w:tcW w:w="0" w:type="dxa"/>
            <w:vAlign w:val="bottom"/>
          </w:tcPr>
          <w:p>
            <w:pPr>
              <w:spacing w:after="0"/>
              <w:rPr>
                <w:sz w:val="1"/>
                <w:szCs w:val="1"/>
                <w:color w:val="auto"/>
              </w:rPr>
            </w:pPr>
          </w:p>
        </w:tc>
      </w:tr>
      <w:tr>
        <w:trPr>
          <w:trHeight w:val="244"/>
        </w:trPr>
        <w:tc>
          <w:tcPr>
            <w:tcW w:w="3540" w:type="dxa"/>
            <w:vAlign w:val="bottom"/>
          </w:tcPr>
          <w:p>
            <w:pPr>
              <w:spacing w:after="0"/>
              <w:rPr>
                <w:sz w:val="20"/>
                <w:szCs w:val="20"/>
                <w:color w:val="auto"/>
              </w:rPr>
            </w:pPr>
            <w:r>
              <w:rPr>
                <w:rFonts w:ascii="Arial" w:cs="Arial" w:eastAsia="Arial" w:hAnsi="Arial"/>
                <w:sz w:val="14"/>
                <w:szCs w:val="14"/>
                <w:color w:val="auto"/>
              </w:rPr>
              <w:t>Total current assets</w:t>
            </w:r>
          </w:p>
        </w:tc>
        <w:tc>
          <w:tcPr>
            <w:tcW w:w="26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367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2,223</w:t>
            </w:r>
          </w:p>
        </w:tc>
        <w:tc>
          <w:tcPr>
            <w:tcW w:w="0" w:type="dxa"/>
            <w:vAlign w:val="bottom"/>
          </w:tcPr>
          <w:p>
            <w:pPr>
              <w:spacing w:after="0"/>
              <w:rPr>
                <w:sz w:val="1"/>
                <w:szCs w:val="1"/>
                <w:color w:val="auto"/>
              </w:rPr>
            </w:pPr>
          </w:p>
        </w:tc>
      </w:tr>
      <w:tr>
        <w:trPr>
          <w:trHeight w:val="500"/>
        </w:trPr>
        <w:tc>
          <w:tcPr>
            <w:tcW w:w="354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183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317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715</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887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1,120</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Goodwill</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471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578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1,049</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intangibles,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477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843</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non-current assets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Intercompany receivables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393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1,747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924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(3,255)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Investment in subsidiaries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4,595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3,900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(8,664)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20"/>
                <w:szCs w:val="20"/>
                <w:color w:val="auto"/>
              </w:rPr>
            </w:pPr>
            <w:r>
              <w:rPr>
                <w:rFonts w:ascii="Arial" w:cs="Arial" w:eastAsia="Arial" w:hAnsi="Arial"/>
                <w:sz w:val="14"/>
                <w:szCs w:val="14"/>
                <w:color w:val="auto"/>
              </w:rPr>
              <w:t>Total assets exclusive of assets under vehicle</w:t>
            </w: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424</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6,248</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7,464</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3,976</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(11,919)</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6,193</w:t>
            </w:r>
          </w:p>
        </w:tc>
        <w:tc>
          <w:tcPr>
            <w:tcW w:w="0" w:type="dxa"/>
            <w:vAlign w:val="bottom"/>
          </w:tcPr>
          <w:p>
            <w:pPr>
              <w:spacing w:after="0"/>
              <w:rPr>
                <w:sz w:val="1"/>
                <w:szCs w:val="1"/>
                <w:color w:val="auto"/>
              </w:rPr>
            </w:pPr>
          </w:p>
        </w:tc>
      </w:tr>
      <w:tr>
        <w:trPr>
          <w:trHeight w:val="488"/>
        </w:trPr>
        <w:tc>
          <w:tcPr>
            <w:tcW w:w="3540" w:type="dxa"/>
            <w:vAlign w:val="bottom"/>
          </w:tcPr>
          <w:p>
            <w:pPr>
              <w:spacing w:after="0"/>
              <w:rPr>
                <w:sz w:val="20"/>
                <w:szCs w:val="20"/>
                <w:color w:val="auto"/>
              </w:rPr>
            </w:pPr>
            <w:r>
              <w:rPr>
                <w:rFonts w:ascii="Arial" w:cs="Arial" w:eastAsia="Arial" w:hAnsi="Arial"/>
                <w:sz w:val="14"/>
                <w:szCs w:val="14"/>
                <w:color w:val="auto"/>
              </w:rPr>
              <w:t>Assets under vehicle programs: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Program cash</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13,767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13,867</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Receivables from vehicle manufacturers and other</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Investment in Avis Budget Rental Car Funding</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340"/>
              <w:spacing w:after="0"/>
              <w:rPr>
                <w:sz w:val="20"/>
                <w:szCs w:val="20"/>
                <w:color w:val="auto"/>
              </w:rPr>
            </w:pPr>
            <w:r>
              <w:rPr>
                <w:rFonts w:ascii="Arial" w:cs="Arial" w:eastAsia="Arial" w:hAnsi="Arial"/>
                <w:sz w:val="14"/>
                <w:szCs w:val="14"/>
                <w:color w:val="auto"/>
              </w:rPr>
              <w:t>(AESOP) LLC-related party</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445</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445</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14,623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14,726</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424</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6,294</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7,521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18,599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(11,919)</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20,919</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35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Current liabilities:</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Accounts payable and other current liabilities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251</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664</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904</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1,832</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Short-term debt and current portion of long-term</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340"/>
              <w:spacing w:after="0"/>
              <w:rPr>
                <w:sz w:val="20"/>
                <w:szCs w:val="20"/>
                <w:color w:val="auto"/>
              </w:rPr>
            </w:pPr>
            <w:r>
              <w:rPr>
                <w:rFonts w:ascii="Arial" w:cs="Arial" w:eastAsia="Arial" w:hAnsi="Arial"/>
                <w:sz w:val="14"/>
                <w:szCs w:val="14"/>
                <w:color w:val="auto"/>
              </w:rPr>
              <w:t>debt</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44"/>
        </w:trPr>
        <w:tc>
          <w:tcPr>
            <w:tcW w:w="354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26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1,856</w:t>
            </w:r>
          </w:p>
        </w:tc>
        <w:tc>
          <w:tcPr>
            <w:tcW w:w="0" w:type="dxa"/>
            <w:vAlign w:val="bottom"/>
          </w:tcPr>
          <w:p>
            <w:pPr>
              <w:spacing w:after="0"/>
              <w:rPr>
                <w:sz w:val="1"/>
                <w:szCs w:val="1"/>
                <w:color w:val="auto"/>
              </w:rPr>
            </w:pPr>
          </w:p>
        </w:tc>
      </w:tr>
      <w:tr>
        <w:trPr>
          <w:trHeight w:val="500"/>
        </w:trPr>
        <w:tc>
          <w:tcPr>
            <w:tcW w:w="3540" w:type="dxa"/>
            <w:vAlign w:val="bottom"/>
          </w:tcPr>
          <w:p>
            <w:pPr>
              <w:spacing w:after="0"/>
              <w:rPr>
                <w:sz w:val="20"/>
                <w:szCs w:val="20"/>
                <w:color w:val="auto"/>
              </w:rPr>
            </w:pPr>
            <w:r>
              <w:rPr>
                <w:rFonts w:ascii="Arial" w:cs="Arial" w:eastAsia="Arial" w:hAnsi="Arial"/>
                <w:sz w:val="14"/>
                <w:szCs w:val="14"/>
                <w:color w:val="auto"/>
              </w:rPr>
              <w:t>Long-term debt</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2,900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641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3,544</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366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745</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Intercompany payables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2,860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393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(3,255)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20"/>
                <w:szCs w:val="20"/>
                <w:color w:val="auto"/>
              </w:rPr>
            </w:pPr>
            <w:r>
              <w:rPr>
                <w:rFonts w:ascii="Arial" w:cs="Arial" w:eastAsia="Arial" w:hAnsi="Arial"/>
                <w:sz w:val="14"/>
                <w:szCs w:val="14"/>
                <w:color w:val="auto"/>
              </w:rPr>
              <w:t>Total liabilities exclusive of liabilities under vehicle</w:t>
            </w: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6,109</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1,321</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1,918</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(3,255)</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6,145</w:t>
            </w:r>
          </w:p>
        </w:tc>
        <w:tc>
          <w:tcPr>
            <w:tcW w:w="0" w:type="dxa"/>
            <w:vAlign w:val="bottom"/>
          </w:tcPr>
          <w:p>
            <w:pPr>
              <w:spacing w:after="0"/>
              <w:rPr>
                <w:sz w:val="1"/>
                <w:szCs w:val="1"/>
                <w:color w:val="auto"/>
              </w:rPr>
            </w:pPr>
          </w:p>
        </w:tc>
      </w:tr>
      <w:tr>
        <w:trPr>
          <w:trHeight w:val="488"/>
        </w:trPr>
        <w:tc>
          <w:tcPr>
            <w:tcW w:w="3540" w:type="dxa"/>
            <w:vAlign w:val="bottom"/>
          </w:tcPr>
          <w:p>
            <w:pPr>
              <w:spacing w:after="0"/>
              <w:rPr>
                <w:sz w:val="20"/>
                <w:szCs w:val="20"/>
                <w:color w:val="auto"/>
              </w:rPr>
            </w:pPr>
            <w:r>
              <w:rPr>
                <w:rFonts w:ascii="Arial" w:cs="Arial" w:eastAsia="Arial" w:hAnsi="Arial"/>
                <w:sz w:val="14"/>
                <w:szCs w:val="14"/>
                <w:color w:val="auto"/>
              </w:rPr>
              <w:t>Liabilities under vehicle programs: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Debt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3,443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3,511</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Due to Avis Budget Rental Car Funding (AESOP)</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540" w:type="dxa"/>
            <w:vAlign w:val="bottom"/>
          </w:tcPr>
          <w:p>
            <w:pPr>
              <w:ind w:left="340"/>
              <w:spacing w:after="0"/>
              <w:rPr>
                <w:sz w:val="20"/>
                <w:szCs w:val="20"/>
                <w:color w:val="auto"/>
              </w:rPr>
            </w:pPr>
            <w:r>
              <w:rPr>
                <w:rFonts w:ascii="Arial" w:cs="Arial" w:eastAsia="Arial" w:hAnsi="Arial"/>
                <w:sz w:val="14"/>
                <w:szCs w:val="14"/>
                <w:color w:val="auto"/>
              </w:rPr>
              <w:t>LLC-related party</w:t>
            </w:r>
          </w:p>
        </w:tc>
        <w:tc>
          <w:tcPr>
            <w:tcW w:w="26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8,265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8,265</w:t>
            </w:r>
          </w:p>
        </w:tc>
        <w:tc>
          <w:tcPr>
            <w:tcW w:w="0" w:type="dxa"/>
            <w:vAlign w:val="bottom"/>
          </w:tcPr>
          <w:p>
            <w:pPr>
              <w:spacing w:after="0"/>
              <w:rPr>
                <w:sz w:val="1"/>
                <w:szCs w:val="1"/>
                <w:color w:val="auto"/>
              </w:rPr>
            </w:pPr>
          </w:p>
        </w:tc>
      </w:tr>
      <w:tr>
        <w:trPr>
          <w:trHeight w:val="270"/>
        </w:trPr>
        <w:tc>
          <w:tcPr>
            <w:tcW w:w="3540" w:type="dxa"/>
            <w:vAlign w:val="bottom"/>
          </w:tcPr>
          <w:p>
            <w:pPr>
              <w:ind w:left="160"/>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1,553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1,727</w:t>
            </w:r>
          </w:p>
        </w:tc>
        <w:tc>
          <w:tcPr>
            <w:tcW w:w="0" w:type="dxa"/>
            <w:vAlign w:val="bottom"/>
          </w:tcPr>
          <w:p>
            <w:pPr>
              <w:spacing w:after="0"/>
              <w:rPr>
                <w:sz w:val="1"/>
                <w:szCs w:val="1"/>
                <w:color w:val="auto"/>
              </w:rPr>
            </w:pPr>
          </w:p>
        </w:tc>
      </w:tr>
      <w:tr>
        <w:trPr>
          <w:trHeight w:val="276"/>
        </w:trPr>
        <w:tc>
          <w:tcPr>
            <w:tcW w:w="3540" w:type="dxa"/>
            <w:vAlign w:val="bottom"/>
          </w:tcPr>
          <w:p>
            <w:pPr>
              <w:ind w:left="16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899</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899</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12,781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14,402</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2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372</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4,595</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3,900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(8,664)</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372</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Total liabilities and stockholders’ equity</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424</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6,294</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7,521</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18,599</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(11,919)</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20,919</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40" w:right="259" w:bottom="1440" w:gutter="0" w:footer="0" w:header="0"/>
        </w:sectPr>
      </w:pPr>
    </w:p>
    <w:p>
      <w:pPr>
        <w:spacing w:after="0" w:line="4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00"/>
          </w:cols>
          <w:pgMar w:left="240" w:top="140" w:right="25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Issuers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2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Cash and cash equivalents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593</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611</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Receivables,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667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922</w:t>
            </w:r>
          </w:p>
        </w:tc>
        <w:tc>
          <w:tcPr>
            <w:tcW w:w="0" w:type="dxa"/>
            <w:vAlign w:val="bottom"/>
          </w:tcPr>
          <w:p>
            <w:pPr>
              <w:spacing w:after="0"/>
              <w:rPr>
                <w:sz w:val="1"/>
                <w:szCs w:val="1"/>
                <w:color w:val="auto"/>
              </w:rPr>
            </w:pPr>
          </w:p>
        </w:tc>
      </w:tr>
      <w:tr>
        <w:trPr>
          <w:trHeight w:val="276"/>
        </w:trPr>
        <w:tc>
          <w:tcPr>
            <w:tcW w:w="3540" w:type="dxa"/>
            <w:vAlign w:val="bottom"/>
          </w:tcPr>
          <w:p>
            <w:pPr>
              <w:ind w:left="180"/>
              <w:spacing w:after="0"/>
              <w:rPr>
                <w:sz w:val="20"/>
                <w:szCs w:val="20"/>
                <w:color w:val="auto"/>
              </w:rPr>
            </w:pPr>
            <w:r>
              <w:rPr>
                <w:rFonts w:ascii="Arial" w:cs="Arial" w:eastAsia="Arial" w:hAnsi="Arial"/>
                <w:sz w:val="14"/>
                <w:szCs w:val="14"/>
                <w:color w:val="auto"/>
              </w:rPr>
              <w:t>Other current assets</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339</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533</w:t>
            </w:r>
          </w:p>
        </w:tc>
        <w:tc>
          <w:tcPr>
            <w:tcW w:w="0" w:type="dxa"/>
            <w:vAlign w:val="bottom"/>
          </w:tcPr>
          <w:p>
            <w:pPr>
              <w:spacing w:after="0"/>
              <w:rPr>
                <w:sz w:val="1"/>
                <w:szCs w:val="1"/>
                <w:color w:val="auto"/>
              </w:rPr>
            </w:pPr>
          </w:p>
        </w:tc>
      </w:tr>
      <w:tr>
        <w:trPr>
          <w:trHeight w:val="244"/>
        </w:trPr>
        <w:tc>
          <w:tcPr>
            <w:tcW w:w="3540" w:type="dxa"/>
            <w:vAlign w:val="bottom"/>
          </w:tcPr>
          <w:p>
            <w:pPr>
              <w:spacing w:after="0"/>
              <w:rPr>
                <w:sz w:val="20"/>
                <w:szCs w:val="20"/>
                <w:color w:val="auto"/>
              </w:rPr>
            </w:pPr>
            <w:r>
              <w:rPr>
                <w:rFonts w:ascii="Arial" w:cs="Arial" w:eastAsia="Arial" w:hAnsi="Arial"/>
                <w:sz w:val="14"/>
                <w:szCs w:val="14"/>
                <w:color w:val="auto"/>
              </w:rPr>
              <w:t>Total current assets</w:t>
            </w:r>
          </w:p>
        </w:tc>
        <w:tc>
          <w:tcPr>
            <w:tcW w:w="26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1,599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2,066</w:t>
            </w:r>
          </w:p>
        </w:tc>
        <w:tc>
          <w:tcPr>
            <w:tcW w:w="0" w:type="dxa"/>
            <w:vAlign w:val="bottom"/>
          </w:tcPr>
          <w:p>
            <w:pPr>
              <w:spacing w:after="0"/>
              <w:rPr>
                <w:sz w:val="1"/>
                <w:szCs w:val="1"/>
                <w:color w:val="auto"/>
              </w:rPr>
            </w:pPr>
          </w:p>
        </w:tc>
      </w:tr>
      <w:tr>
        <w:trPr>
          <w:trHeight w:val="500"/>
        </w:trPr>
        <w:tc>
          <w:tcPr>
            <w:tcW w:w="354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321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704</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704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931</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Goodwill</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471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602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1,073</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intangibles,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480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850</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non-current assets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Intercompany receivables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382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1,506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824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(2,899)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Investment in subsidiaries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381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4,681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3,938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(9,000)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20"/>
                <w:szCs w:val="20"/>
                <w:color w:val="auto"/>
              </w:rPr>
            </w:pPr>
            <w:r>
              <w:rPr>
                <w:rFonts w:ascii="Arial" w:cs="Arial" w:eastAsia="Arial" w:hAnsi="Arial"/>
                <w:sz w:val="14"/>
                <w:szCs w:val="14"/>
                <w:color w:val="auto"/>
              </w:rPr>
              <w:t>Total assets exclusive of assets under vehicle</w:t>
            </w: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636</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6,093</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7,242</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3,748</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(11,899)</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5,820</w:t>
            </w:r>
          </w:p>
        </w:tc>
        <w:tc>
          <w:tcPr>
            <w:tcW w:w="0" w:type="dxa"/>
            <w:vAlign w:val="bottom"/>
          </w:tcPr>
          <w:p>
            <w:pPr>
              <w:spacing w:after="0"/>
              <w:rPr>
                <w:sz w:val="1"/>
                <w:szCs w:val="1"/>
                <w:color w:val="auto"/>
              </w:rPr>
            </w:pPr>
          </w:p>
        </w:tc>
      </w:tr>
      <w:tr>
        <w:trPr>
          <w:trHeight w:val="488"/>
        </w:trPr>
        <w:tc>
          <w:tcPr>
            <w:tcW w:w="3540" w:type="dxa"/>
            <w:vAlign w:val="bottom"/>
          </w:tcPr>
          <w:p>
            <w:pPr>
              <w:spacing w:after="0"/>
              <w:rPr>
                <w:sz w:val="20"/>
                <w:szCs w:val="20"/>
                <w:color w:val="auto"/>
              </w:rPr>
            </w:pPr>
            <w:r>
              <w:rPr>
                <w:rFonts w:ascii="Arial" w:cs="Arial" w:eastAsia="Arial" w:hAnsi="Arial"/>
                <w:sz w:val="14"/>
                <w:szCs w:val="14"/>
                <w:color w:val="auto"/>
              </w:rPr>
              <w:t>Assets under vehicle programs: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Program cash</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283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283</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10,531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10,626</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Receivables from vehicle manufacturers and other</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546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547</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Investment in Avis Budget Rental Car Funding</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340"/>
              <w:spacing w:after="0"/>
              <w:rPr>
                <w:sz w:val="20"/>
                <w:szCs w:val="20"/>
                <w:color w:val="auto"/>
              </w:rPr>
            </w:pPr>
            <w:r>
              <w:rPr>
                <w:rFonts w:ascii="Arial" w:cs="Arial" w:eastAsia="Arial" w:hAnsi="Arial"/>
                <w:sz w:val="14"/>
                <w:szCs w:val="14"/>
                <w:color w:val="auto"/>
              </w:rPr>
              <w:t>(AESOP) LLC-related party</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423</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423</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11,783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11,879</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636</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6,128</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7,303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15,531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(11,899)</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17,699</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35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Current liabilities:</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Accounts payable and other current liabilities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207</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552</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837</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1,619</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Short-term debt and current portion of long-term</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340"/>
              <w:spacing w:after="0"/>
              <w:rPr>
                <w:sz w:val="20"/>
                <w:szCs w:val="20"/>
                <w:color w:val="auto"/>
              </w:rPr>
            </w:pPr>
            <w:r>
              <w:rPr>
                <w:rFonts w:ascii="Arial" w:cs="Arial" w:eastAsia="Arial" w:hAnsi="Arial"/>
                <w:sz w:val="14"/>
                <w:szCs w:val="14"/>
                <w:color w:val="auto"/>
              </w:rPr>
              <w:t>debt</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44"/>
        </w:trPr>
        <w:tc>
          <w:tcPr>
            <w:tcW w:w="354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26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1,645</w:t>
            </w:r>
          </w:p>
        </w:tc>
        <w:tc>
          <w:tcPr>
            <w:tcW w:w="0" w:type="dxa"/>
            <w:vAlign w:val="bottom"/>
          </w:tcPr>
          <w:p>
            <w:pPr>
              <w:spacing w:after="0"/>
              <w:rPr>
                <w:sz w:val="1"/>
                <w:szCs w:val="1"/>
                <w:color w:val="auto"/>
              </w:rPr>
            </w:pPr>
          </w:p>
        </w:tc>
      </w:tr>
      <w:tr>
        <w:trPr>
          <w:trHeight w:val="500"/>
        </w:trPr>
        <w:tc>
          <w:tcPr>
            <w:tcW w:w="3540" w:type="dxa"/>
            <w:vAlign w:val="bottom"/>
          </w:tcPr>
          <w:p>
            <w:pPr>
              <w:spacing w:after="0"/>
              <w:rPr>
                <w:sz w:val="20"/>
                <w:szCs w:val="20"/>
                <w:color w:val="auto"/>
              </w:rPr>
            </w:pPr>
            <w:r>
              <w:rPr>
                <w:rFonts w:ascii="Arial" w:cs="Arial" w:eastAsia="Arial" w:hAnsi="Arial"/>
                <w:sz w:val="14"/>
                <w:szCs w:val="14"/>
                <w:color w:val="auto"/>
              </w:rPr>
              <w:t>Long-term debt</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2,910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660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3,573</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378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717</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Intercompany payables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2,515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382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(2,899)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20"/>
                <w:szCs w:val="20"/>
                <w:color w:val="auto"/>
              </w:rPr>
            </w:pPr>
            <w:r>
              <w:rPr>
                <w:rFonts w:ascii="Arial" w:cs="Arial" w:eastAsia="Arial" w:hAnsi="Arial"/>
                <w:sz w:val="14"/>
                <w:szCs w:val="14"/>
                <w:color w:val="auto"/>
              </w:rPr>
              <w:t>Total liabilities exclusive of liabilities under vehicle</w:t>
            </w: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5,732</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1,156</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1,883</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(2,899)</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5,935</w:t>
            </w:r>
          </w:p>
        </w:tc>
        <w:tc>
          <w:tcPr>
            <w:tcW w:w="0" w:type="dxa"/>
            <w:vAlign w:val="bottom"/>
          </w:tcPr>
          <w:p>
            <w:pPr>
              <w:spacing w:after="0"/>
              <w:rPr>
                <w:sz w:val="1"/>
                <w:szCs w:val="1"/>
                <w:color w:val="auto"/>
              </w:rPr>
            </w:pPr>
          </w:p>
        </w:tc>
      </w:tr>
      <w:tr>
        <w:trPr>
          <w:trHeight w:val="488"/>
        </w:trPr>
        <w:tc>
          <w:tcPr>
            <w:tcW w:w="3540" w:type="dxa"/>
            <w:vAlign w:val="bottom"/>
          </w:tcPr>
          <w:p>
            <w:pPr>
              <w:spacing w:after="0"/>
              <w:rPr>
                <w:sz w:val="20"/>
                <w:szCs w:val="20"/>
                <w:color w:val="auto"/>
              </w:rPr>
            </w:pPr>
            <w:r>
              <w:rPr>
                <w:rFonts w:ascii="Arial" w:cs="Arial" w:eastAsia="Arial" w:hAnsi="Arial"/>
                <w:sz w:val="14"/>
                <w:szCs w:val="14"/>
                <w:color w:val="auto"/>
              </w:rPr>
              <w:t>Liabilities under vehicle programs: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Debt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2,669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2,741</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Due to Avis Budget Rental Car Funding (AESOP)</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540" w:type="dxa"/>
            <w:vAlign w:val="bottom"/>
          </w:tcPr>
          <w:p>
            <w:pPr>
              <w:ind w:left="340"/>
              <w:spacing w:after="0"/>
              <w:rPr>
                <w:sz w:val="20"/>
                <w:szCs w:val="20"/>
                <w:color w:val="auto"/>
              </w:rPr>
            </w:pPr>
            <w:r>
              <w:rPr>
                <w:rFonts w:ascii="Arial" w:cs="Arial" w:eastAsia="Arial" w:hAnsi="Arial"/>
                <w:sz w:val="14"/>
                <w:szCs w:val="14"/>
                <w:color w:val="auto"/>
              </w:rPr>
              <w:t>LLC-related party</w:t>
            </w:r>
          </w:p>
        </w:tc>
        <w:tc>
          <w:tcPr>
            <w:tcW w:w="26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6,480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6,480</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1,407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1,594</w:t>
            </w:r>
          </w:p>
        </w:tc>
        <w:tc>
          <w:tcPr>
            <w:tcW w:w="0" w:type="dxa"/>
            <w:vAlign w:val="bottom"/>
          </w:tcPr>
          <w:p>
            <w:pPr>
              <w:spacing w:after="0"/>
              <w:rPr>
                <w:sz w:val="1"/>
                <w:szCs w:val="1"/>
                <w:color w:val="auto"/>
              </w:rPr>
            </w:pPr>
          </w:p>
        </w:tc>
      </w:tr>
      <w:tr>
        <w:trPr>
          <w:trHeight w:val="276"/>
        </w:trPr>
        <w:tc>
          <w:tcPr>
            <w:tcW w:w="3540" w:type="dxa"/>
            <w:vAlign w:val="bottom"/>
          </w:tcPr>
          <w:p>
            <w:pPr>
              <w:ind w:left="18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374</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9,710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11,191</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2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573</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381</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4,681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3,938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(9,000)</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573</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Total liabilities and stockholders’ equity</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636</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6,128</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7,303</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15,531</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(11,899)</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17,699</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40" w:right="259" w:bottom="1440" w:gutter="0" w:footer="0" w:header="0"/>
        </w:sectPr>
      </w:pPr>
    </w:p>
    <w:p>
      <w:pPr>
        <w:spacing w:after="0" w:line="4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00"/>
          </w:cols>
          <w:pgMar w:left="240" w:top="140" w:right="25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Consolidating Condensed Statements of Cash Flows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Six Months Ended June 30, 2018</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Guarantor</w:t>
            </w:r>
          </w:p>
        </w:tc>
        <w:tc>
          <w:tcPr>
            <w:tcW w:w="13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20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Issuers</w:t>
            </w:r>
          </w:p>
        </w:tc>
        <w:tc>
          <w:tcPr>
            <w:tcW w:w="16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operating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968</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1,121</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Arial" w:cs="Arial" w:eastAsia="Arial" w:hAnsi="Arial"/>
                <w:sz w:val="14"/>
                <w:szCs w:val="14"/>
                <w:color w:val="auto"/>
              </w:rPr>
              <w:t>Property and equipment additions</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Proceeds received on asset sales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Net assets acquired (net of cash acquired)</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60"/>
        </w:trPr>
        <w:tc>
          <w:tcPr>
            <w:tcW w:w="3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ind w:left="140"/>
              <w:spacing w:after="0"/>
              <w:rPr>
                <w:sz w:val="20"/>
                <w:szCs w:val="20"/>
                <w:color w:val="auto"/>
              </w:rPr>
            </w:pPr>
            <w:r>
              <w:rPr>
                <w:rFonts w:ascii="Arial" w:cs="Arial" w:eastAsia="Arial" w:hAnsi="Arial"/>
                <w:sz w:val="14"/>
                <w:szCs w:val="14"/>
                <w:color w:val="auto"/>
              </w:rPr>
              <w:t>Investment in vehicles</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(8,357)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(8,359)</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280" w:type="dxa"/>
            <w:vAlign w:val="bottom"/>
          </w:tcPr>
          <w:p>
            <w:pPr>
              <w:ind w:left="140"/>
              <w:spacing w:after="0"/>
              <w:rPr>
                <w:sz w:val="20"/>
                <w:szCs w:val="20"/>
                <w:color w:val="auto"/>
              </w:rPr>
            </w:pPr>
            <w:r>
              <w:rPr>
                <w:rFonts w:ascii="Arial" w:cs="Arial" w:eastAsia="Arial" w:hAnsi="Arial"/>
                <w:sz w:val="14"/>
                <w:szCs w:val="14"/>
                <w:color w:val="auto"/>
              </w:rPr>
              <w:t>Proceeds received on disposition of vehicles</w:t>
            </w:r>
          </w:p>
        </w:tc>
        <w:tc>
          <w:tcPr>
            <w:tcW w:w="26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4,790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4,807</w:t>
            </w:r>
          </w:p>
        </w:tc>
        <w:tc>
          <w:tcPr>
            <w:tcW w:w="0" w:type="dxa"/>
            <w:vAlign w:val="bottom"/>
          </w:tcPr>
          <w:p>
            <w:pPr>
              <w:spacing w:after="0"/>
              <w:rPr>
                <w:sz w:val="1"/>
                <w:szCs w:val="1"/>
                <w:color w:val="auto"/>
              </w:rPr>
            </w:pPr>
          </w:p>
        </w:tc>
      </w:tr>
      <w:tr>
        <w:trPr>
          <w:trHeight w:val="206"/>
        </w:trPr>
        <w:tc>
          <w:tcPr>
            <w:tcW w:w="3280" w:type="dxa"/>
            <w:vAlign w:val="bottom"/>
          </w:tcPr>
          <w:p>
            <w:pPr>
              <w:ind w:left="140"/>
              <w:spacing w:after="0"/>
              <w:rPr>
                <w:sz w:val="20"/>
                <w:szCs w:val="20"/>
                <w:color w:val="auto"/>
              </w:rPr>
            </w:pPr>
            <w:r>
              <w:rPr>
                <w:rFonts w:ascii="Arial" w:cs="Arial" w:eastAsia="Arial" w:hAnsi="Arial"/>
                <w:sz w:val="14"/>
                <w:szCs w:val="14"/>
                <w:color w:val="auto"/>
              </w:rPr>
              <w:t>Investment in debt securities of Avis Budget</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280" w:type="dxa"/>
            <w:vAlign w:val="bottom"/>
          </w:tcPr>
          <w:p>
            <w:pPr>
              <w:ind w:left="300"/>
              <w:spacing w:after="0"/>
              <w:rPr>
                <w:sz w:val="20"/>
                <w:szCs w:val="20"/>
                <w:color w:val="auto"/>
              </w:rPr>
            </w:pPr>
            <w:r>
              <w:rPr>
                <w:rFonts w:ascii="Arial" w:cs="Arial" w:eastAsia="Arial" w:hAnsi="Arial"/>
                <w:sz w:val="14"/>
                <w:szCs w:val="14"/>
                <w:color w:val="auto"/>
              </w:rPr>
              <w:t>Rental Car Funding (AESOP) LLC—related</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280" w:type="dxa"/>
            <w:vAlign w:val="bottom"/>
          </w:tcPr>
          <w:p>
            <w:pPr>
              <w:ind w:left="300"/>
              <w:spacing w:after="0"/>
              <w:rPr>
                <w:sz w:val="20"/>
                <w:szCs w:val="20"/>
                <w:color w:val="auto"/>
              </w:rPr>
            </w:pPr>
            <w:r>
              <w:rPr>
                <w:rFonts w:ascii="Arial" w:cs="Arial" w:eastAsia="Arial" w:hAnsi="Arial"/>
                <w:sz w:val="14"/>
                <w:szCs w:val="14"/>
                <w:color w:val="auto"/>
              </w:rPr>
              <w:t>party</w:t>
            </w: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(3,589)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(3,574)</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(3,682)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(3,748)</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Arial" w:cs="Arial" w:eastAsia="Arial" w:hAnsi="Arial"/>
                <w:sz w:val="14"/>
                <w:szCs w:val="14"/>
                <w:color w:val="auto"/>
              </w:rPr>
              <w:t>Proceeds from long-term borrowings</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Payments on long-term borrowings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Net change in short-term borrowings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Repurchases of common stock</w:t>
            </w:r>
          </w:p>
        </w:tc>
        <w:tc>
          <w:tcPr>
            <w:tcW w:w="26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60"/>
        </w:trPr>
        <w:tc>
          <w:tcPr>
            <w:tcW w:w="328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ind w:left="140"/>
              <w:spacing w:after="0"/>
              <w:rPr>
                <w:sz w:val="20"/>
                <w:szCs w:val="20"/>
                <w:color w:val="auto"/>
              </w:rPr>
            </w:pPr>
            <w:r>
              <w:rPr>
                <w:rFonts w:ascii="Arial" w:cs="Arial" w:eastAsia="Arial" w:hAnsi="Arial"/>
                <w:sz w:val="14"/>
                <w:szCs w:val="14"/>
                <w:color w:val="auto"/>
              </w:rPr>
              <w:t>Proceeds from borrowings</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10,145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10,145</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Payments on borrowings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(7,637)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(7,643)</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60"/>
        </w:trPr>
        <w:tc>
          <w:tcPr>
            <w:tcW w:w="328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2,495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2,489</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2,480</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2,389</w:t>
            </w:r>
          </w:p>
        </w:tc>
        <w:tc>
          <w:tcPr>
            <w:tcW w:w="0" w:type="dxa"/>
            <w:vAlign w:val="bottom"/>
          </w:tcPr>
          <w:p>
            <w:pPr>
              <w:spacing w:after="0"/>
              <w:rPr>
                <w:sz w:val="1"/>
                <w:szCs w:val="1"/>
                <w:color w:val="auto"/>
              </w:rPr>
            </w:pPr>
          </w:p>
        </w:tc>
      </w:tr>
      <w:tr>
        <w:trPr>
          <w:trHeight w:val="423"/>
        </w:trPr>
        <w:tc>
          <w:tcPr>
            <w:tcW w:w="3280" w:type="dxa"/>
            <w:vAlign w:val="bottom"/>
          </w:tcPr>
          <w:p>
            <w:pPr>
              <w:spacing w:after="0"/>
              <w:rPr>
                <w:sz w:val="20"/>
                <w:szCs w:val="20"/>
                <w:color w:val="auto"/>
              </w:rPr>
            </w:pPr>
            <w:r>
              <w:rPr>
                <w:rFonts w:ascii="Arial" w:cs="Arial" w:eastAsia="Arial" w:hAnsi="Arial"/>
                <w:sz w:val="14"/>
                <w:szCs w:val="14"/>
                <w:color w:val="auto"/>
              </w:rPr>
              <w:t>Effect of changes in exchange rates on cash and</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280" w:type="dxa"/>
            <w:vAlign w:val="bottom"/>
          </w:tcPr>
          <w:p>
            <w:pPr>
              <w:ind w:left="160"/>
              <w:spacing w:after="0"/>
              <w:rPr>
                <w:sz w:val="20"/>
                <w:szCs w:val="20"/>
                <w:color w:val="auto"/>
              </w:rPr>
            </w:pPr>
            <w:r>
              <w:rPr>
                <w:rFonts w:ascii="Arial" w:cs="Arial" w:eastAsia="Arial" w:hAnsi="Arial"/>
                <w:sz w:val="14"/>
                <w:szCs w:val="14"/>
                <w:color w:val="auto"/>
              </w:rPr>
              <w:t>cash equivalents, program and restricted cash</w:t>
            </w:r>
          </w:p>
        </w:tc>
        <w:tc>
          <w:tcPr>
            <w:tcW w:w="26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423"/>
        </w:trPr>
        <w:tc>
          <w:tcPr>
            <w:tcW w:w="3280" w:type="dxa"/>
            <w:vAlign w:val="bottom"/>
          </w:tcPr>
          <w:p>
            <w:pPr>
              <w:spacing w:after="0"/>
              <w:rPr>
                <w:sz w:val="20"/>
                <w:szCs w:val="20"/>
                <w:color w:val="auto"/>
              </w:rPr>
            </w:pPr>
            <w:r>
              <w:rPr>
                <w:rFonts w:ascii="Arial" w:cs="Arial" w:eastAsia="Arial" w:hAnsi="Arial"/>
                <w:sz w:val="14"/>
                <w:szCs w:val="14"/>
                <w:color w:val="auto"/>
              </w:rPr>
              <w:t>Net decrease in cash and cash equivalents,</w:t>
            </w: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280" w:type="dxa"/>
            <w:vAlign w:val="bottom"/>
          </w:tcPr>
          <w:p>
            <w:pPr>
              <w:ind w:left="160"/>
              <w:spacing w:after="0"/>
              <w:rPr>
                <w:sz w:val="20"/>
                <w:szCs w:val="20"/>
                <w:color w:val="auto"/>
              </w:rPr>
            </w:pPr>
            <w:r>
              <w:rPr>
                <w:rFonts w:ascii="Arial" w:cs="Arial" w:eastAsia="Arial" w:hAnsi="Arial"/>
                <w:sz w:val="14"/>
                <w:szCs w:val="14"/>
                <w:color w:val="auto"/>
              </w:rPr>
              <w:t>program and restricted cash</w:t>
            </w: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206"/>
        </w:trPr>
        <w:tc>
          <w:tcPr>
            <w:tcW w:w="3280" w:type="dxa"/>
            <w:vAlign w:val="bottom"/>
          </w:tcPr>
          <w:p>
            <w:pPr>
              <w:spacing w:after="0"/>
              <w:rPr>
                <w:sz w:val="20"/>
                <w:szCs w:val="20"/>
                <w:color w:val="auto"/>
              </w:rPr>
            </w:pPr>
            <w:r>
              <w:rPr>
                <w:rFonts w:ascii="Arial" w:cs="Arial" w:eastAsia="Arial" w:hAnsi="Arial"/>
                <w:sz w:val="14"/>
                <w:szCs w:val="14"/>
                <w:color w:val="auto"/>
              </w:rPr>
              <w:t>Cash and cash equivalents, program and</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280" w:type="dxa"/>
            <w:vAlign w:val="bottom"/>
          </w:tcPr>
          <w:p>
            <w:pPr>
              <w:ind w:left="160"/>
              <w:spacing w:after="0"/>
              <w:rPr>
                <w:sz w:val="20"/>
                <w:szCs w:val="20"/>
                <w:color w:val="auto"/>
              </w:rPr>
            </w:pPr>
            <w:r>
              <w:rPr>
                <w:rFonts w:ascii="Arial" w:cs="Arial" w:eastAsia="Arial" w:hAnsi="Arial"/>
                <w:sz w:val="14"/>
                <w:szCs w:val="14"/>
                <w:color w:val="auto"/>
              </w:rPr>
              <w:t>restricted cash, beginning of period</w:t>
            </w: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883</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901</w:t>
            </w:r>
          </w:p>
        </w:tc>
        <w:tc>
          <w:tcPr>
            <w:tcW w:w="0" w:type="dxa"/>
            <w:vAlign w:val="bottom"/>
          </w:tcPr>
          <w:p>
            <w:pPr>
              <w:spacing w:after="0"/>
              <w:rPr>
                <w:sz w:val="1"/>
                <w:szCs w:val="1"/>
                <w:color w:val="auto"/>
              </w:rPr>
            </w:pPr>
          </w:p>
        </w:tc>
      </w:tr>
      <w:tr>
        <w:trPr>
          <w:trHeight w:val="180"/>
        </w:trPr>
        <w:tc>
          <w:tcPr>
            <w:tcW w:w="3280" w:type="dxa"/>
            <w:vAlign w:val="bottom"/>
          </w:tcPr>
          <w:p>
            <w:pPr>
              <w:spacing w:after="0"/>
              <w:rPr>
                <w:sz w:val="20"/>
                <w:szCs w:val="20"/>
                <w:color w:val="auto"/>
              </w:rPr>
            </w:pPr>
            <w:r>
              <w:rPr>
                <w:rFonts w:ascii="Arial" w:cs="Arial" w:eastAsia="Arial" w:hAnsi="Arial"/>
                <w:sz w:val="14"/>
                <w:szCs w:val="14"/>
                <w:color w:val="auto"/>
              </w:rPr>
              <w:t>Cash and cash equivalents, program and</w:t>
            </w: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2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647</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661</w:t>
            </w:r>
          </w:p>
        </w:tc>
        <w:tc>
          <w:tcPr>
            <w:tcW w:w="0" w:type="dxa"/>
            <w:vAlign w:val="bottom"/>
          </w:tcPr>
          <w:p>
            <w:pPr>
              <w:spacing w:after="0"/>
              <w:rPr>
                <w:sz w:val="1"/>
                <w:szCs w:val="1"/>
                <w:color w:val="auto"/>
              </w:rPr>
            </w:pPr>
          </w:p>
        </w:tc>
      </w:tr>
      <w:tr>
        <w:trPr>
          <w:trHeight w:val="171"/>
        </w:trPr>
        <w:tc>
          <w:tcPr>
            <w:tcW w:w="3280" w:type="dxa"/>
            <w:vAlign w:val="bottom"/>
          </w:tcPr>
          <w:p>
            <w:pPr>
              <w:ind w:left="160"/>
              <w:spacing w:after="0"/>
              <w:rPr>
                <w:sz w:val="20"/>
                <w:szCs w:val="20"/>
                <w:color w:val="auto"/>
              </w:rPr>
            </w:pPr>
            <w:r>
              <w:rPr>
                <w:rFonts w:ascii="Arial" w:cs="Arial" w:eastAsia="Arial" w:hAnsi="Arial"/>
                <w:sz w:val="14"/>
                <w:szCs w:val="14"/>
                <w:color w:val="auto"/>
              </w:rPr>
              <w:t>restricted cash, end of period</w:t>
            </w:r>
          </w:p>
        </w:tc>
        <w:tc>
          <w:tcPr>
            <w:tcW w:w="2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40"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Six Months Ended June 30, 2017</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Guarantor</w:t>
            </w:r>
          </w:p>
        </w:tc>
        <w:tc>
          <w:tcPr>
            <w:tcW w:w="13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20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Issuers</w:t>
            </w:r>
          </w:p>
        </w:tc>
        <w:tc>
          <w:tcPr>
            <w:tcW w:w="16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operating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7"/>
                <w:szCs w:val="17"/>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1,124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1,139</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Arial" w:cs="Arial" w:eastAsia="Arial" w:hAnsi="Arial"/>
                <w:sz w:val="14"/>
                <w:szCs w:val="14"/>
                <w:color w:val="auto"/>
              </w:rPr>
              <w:t>Property and equipment additions</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Proceeds received on asset sales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Net assets acquired (net of cash acquired)</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Intercompany loan receipts (advances)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314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3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(350)</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214</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ind w:left="140"/>
              <w:spacing w:after="0"/>
              <w:rPr>
                <w:sz w:val="20"/>
                <w:szCs w:val="20"/>
                <w:color w:val="auto"/>
              </w:rPr>
            </w:pPr>
            <w:r>
              <w:rPr>
                <w:rFonts w:ascii="Arial" w:cs="Arial" w:eastAsia="Arial" w:hAnsi="Arial"/>
                <w:sz w:val="14"/>
                <w:szCs w:val="14"/>
                <w:color w:val="auto"/>
              </w:rPr>
              <w:t>Investment in vehicles</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(8,115)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(8,116)</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Proceeds received on disposition of vehicles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5,028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5,059</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3280" w:type="dxa"/>
            <w:vAlign w:val="bottom"/>
          </w:tcPr>
          <w:p>
            <w:pPr>
              <w:ind w:left="140"/>
              <w:spacing w:after="0"/>
              <w:rPr>
                <w:sz w:val="20"/>
                <w:szCs w:val="20"/>
                <w:color w:val="auto"/>
              </w:rPr>
            </w:pPr>
            <w:r>
              <w:rPr>
                <w:rFonts w:ascii="Arial" w:cs="Arial" w:eastAsia="Arial" w:hAnsi="Arial"/>
                <w:sz w:val="14"/>
                <w:szCs w:val="14"/>
                <w:color w:val="auto"/>
              </w:rPr>
              <w:t>Investment in debt securities of Avis Budget</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280" w:type="dxa"/>
            <w:vAlign w:val="bottom"/>
          </w:tcPr>
          <w:p>
            <w:pPr>
              <w:ind w:left="300"/>
              <w:spacing w:after="0"/>
              <w:rPr>
                <w:sz w:val="20"/>
                <w:szCs w:val="20"/>
                <w:color w:val="auto"/>
              </w:rPr>
            </w:pPr>
            <w:r>
              <w:rPr>
                <w:rFonts w:ascii="Arial" w:cs="Arial" w:eastAsia="Arial" w:hAnsi="Arial"/>
                <w:sz w:val="14"/>
                <w:szCs w:val="14"/>
                <w:color w:val="auto"/>
              </w:rPr>
              <w:t>Rental Car Funding (AESOP) LLC—related</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280" w:type="dxa"/>
            <w:vAlign w:val="bottom"/>
          </w:tcPr>
          <w:p>
            <w:pPr>
              <w:ind w:left="300"/>
              <w:spacing w:after="0"/>
              <w:rPr>
                <w:sz w:val="20"/>
                <w:szCs w:val="20"/>
                <w:color w:val="auto"/>
              </w:rPr>
            </w:pPr>
            <w:r>
              <w:rPr>
                <w:rFonts w:ascii="Arial" w:cs="Arial" w:eastAsia="Arial" w:hAnsi="Arial"/>
                <w:sz w:val="14"/>
                <w:szCs w:val="14"/>
                <w:color w:val="auto"/>
              </w:rPr>
              <w:t>party</w:t>
            </w: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(3,120)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(3,090)</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(3,470)</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214</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(3,186)</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Arial" w:cs="Arial" w:eastAsia="Arial" w:hAnsi="Arial"/>
                <w:sz w:val="14"/>
                <w:szCs w:val="14"/>
                <w:color w:val="auto"/>
              </w:rPr>
              <w:t>Proceeds from long-term borrowings</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325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264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589</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Payments on long-term borrowings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(396)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(591)</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Net change in short-term borrowings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Intercompany loan borrowings (payments)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313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Repurchases of common stock</w:t>
            </w:r>
          </w:p>
        </w:tc>
        <w:tc>
          <w:tcPr>
            <w:tcW w:w="26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3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139</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ind w:left="140"/>
              <w:spacing w:after="0"/>
              <w:rPr>
                <w:sz w:val="20"/>
                <w:szCs w:val="20"/>
                <w:color w:val="auto"/>
              </w:rPr>
            </w:pPr>
            <w:r>
              <w:rPr>
                <w:rFonts w:ascii="Arial" w:cs="Arial" w:eastAsia="Arial" w:hAnsi="Arial"/>
                <w:sz w:val="14"/>
                <w:szCs w:val="14"/>
                <w:color w:val="auto"/>
              </w:rPr>
              <w:t>Proceeds from borrowings</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11,255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11,255</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Payments on borrowings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(8,983)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(8,988)</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60"/>
        </w:trPr>
        <w:tc>
          <w:tcPr>
            <w:tcW w:w="328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2,259</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139</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2,329</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2,139</w:t>
            </w:r>
          </w:p>
        </w:tc>
        <w:tc>
          <w:tcPr>
            <w:tcW w:w="0" w:type="dxa"/>
            <w:vAlign w:val="bottom"/>
          </w:tcPr>
          <w:p>
            <w:pPr>
              <w:spacing w:after="0"/>
              <w:rPr>
                <w:sz w:val="1"/>
                <w:szCs w:val="1"/>
                <w:color w:val="auto"/>
              </w:rPr>
            </w:pPr>
          </w:p>
        </w:tc>
      </w:tr>
      <w:tr>
        <w:trPr>
          <w:trHeight w:val="423"/>
        </w:trPr>
        <w:tc>
          <w:tcPr>
            <w:tcW w:w="3280" w:type="dxa"/>
            <w:vAlign w:val="bottom"/>
          </w:tcPr>
          <w:p>
            <w:pPr>
              <w:spacing w:after="0"/>
              <w:rPr>
                <w:sz w:val="20"/>
                <w:szCs w:val="20"/>
                <w:color w:val="auto"/>
              </w:rPr>
            </w:pPr>
            <w:r>
              <w:rPr>
                <w:rFonts w:ascii="Arial" w:cs="Arial" w:eastAsia="Arial" w:hAnsi="Arial"/>
                <w:sz w:val="14"/>
                <w:szCs w:val="14"/>
                <w:color w:val="auto"/>
              </w:rPr>
              <w:t>Effect of changes in exchange rates on cash and</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280" w:type="dxa"/>
            <w:vAlign w:val="bottom"/>
          </w:tcPr>
          <w:p>
            <w:pPr>
              <w:ind w:left="160"/>
              <w:spacing w:after="0"/>
              <w:rPr>
                <w:sz w:val="20"/>
                <w:szCs w:val="20"/>
                <w:color w:val="auto"/>
              </w:rPr>
            </w:pPr>
            <w:r>
              <w:rPr>
                <w:rFonts w:ascii="Arial" w:cs="Arial" w:eastAsia="Arial" w:hAnsi="Arial"/>
                <w:sz w:val="14"/>
                <w:szCs w:val="14"/>
                <w:color w:val="auto"/>
              </w:rPr>
              <w:t>cash equivalents, program and restricted cash</w:t>
            </w:r>
          </w:p>
        </w:tc>
        <w:tc>
          <w:tcPr>
            <w:tcW w:w="26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423"/>
        </w:trPr>
        <w:tc>
          <w:tcPr>
            <w:tcW w:w="3280" w:type="dxa"/>
            <w:vAlign w:val="bottom"/>
          </w:tcPr>
          <w:p>
            <w:pPr>
              <w:spacing w:after="0"/>
              <w:rPr>
                <w:sz w:val="20"/>
                <w:szCs w:val="20"/>
                <w:color w:val="auto"/>
              </w:rPr>
            </w:pPr>
            <w:r>
              <w:rPr>
                <w:rFonts w:ascii="Arial" w:cs="Arial" w:eastAsia="Arial" w:hAnsi="Arial"/>
                <w:sz w:val="14"/>
                <w:szCs w:val="14"/>
                <w:color w:val="auto"/>
              </w:rPr>
              <w:t>Net increase in cash and cash equivalents,</w:t>
            </w: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280" w:type="dxa"/>
            <w:vAlign w:val="bottom"/>
          </w:tcPr>
          <w:p>
            <w:pPr>
              <w:ind w:left="160"/>
              <w:spacing w:after="0"/>
              <w:rPr>
                <w:sz w:val="20"/>
                <w:szCs w:val="20"/>
                <w:color w:val="auto"/>
              </w:rPr>
            </w:pPr>
            <w:r>
              <w:rPr>
                <w:rFonts w:ascii="Arial" w:cs="Arial" w:eastAsia="Arial" w:hAnsi="Arial"/>
                <w:sz w:val="14"/>
                <w:szCs w:val="14"/>
                <w:color w:val="auto"/>
              </w:rPr>
              <w:t>program and restricted cash</w:t>
            </w:r>
          </w:p>
        </w:tc>
        <w:tc>
          <w:tcPr>
            <w:tcW w:w="26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206"/>
        </w:trPr>
        <w:tc>
          <w:tcPr>
            <w:tcW w:w="3280" w:type="dxa"/>
            <w:vAlign w:val="bottom"/>
          </w:tcPr>
          <w:p>
            <w:pPr>
              <w:spacing w:after="0"/>
              <w:rPr>
                <w:sz w:val="20"/>
                <w:szCs w:val="20"/>
                <w:color w:val="auto"/>
              </w:rPr>
            </w:pPr>
            <w:r>
              <w:rPr>
                <w:rFonts w:ascii="Arial" w:cs="Arial" w:eastAsia="Arial" w:hAnsi="Arial"/>
                <w:sz w:val="14"/>
                <w:szCs w:val="14"/>
                <w:color w:val="auto"/>
              </w:rPr>
              <w:t>Cash and cash equivalents, program and</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280" w:type="dxa"/>
            <w:vAlign w:val="bottom"/>
          </w:tcPr>
          <w:p>
            <w:pPr>
              <w:ind w:left="160"/>
              <w:spacing w:after="0"/>
              <w:rPr>
                <w:sz w:val="20"/>
                <w:szCs w:val="20"/>
                <w:color w:val="auto"/>
              </w:rPr>
            </w:pPr>
            <w:r>
              <w:rPr>
                <w:rFonts w:ascii="Arial" w:cs="Arial" w:eastAsia="Arial" w:hAnsi="Arial"/>
                <w:sz w:val="14"/>
                <w:szCs w:val="14"/>
                <w:color w:val="auto"/>
              </w:rPr>
              <w:t>restricted cash, beginning of period</w:t>
            </w: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705</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720</w:t>
            </w:r>
          </w:p>
        </w:tc>
        <w:tc>
          <w:tcPr>
            <w:tcW w:w="0" w:type="dxa"/>
            <w:vAlign w:val="bottom"/>
          </w:tcPr>
          <w:p>
            <w:pPr>
              <w:spacing w:after="0"/>
              <w:rPr>
                <w:sz w:val="1"/>
                <w:szCs w:val="1"/>
                <w:color w:val="auto"/>
              </w:rPr>
            </w:pPr>
          </w:p>
        </w:tc>
      </w:tr>
      <w:tr>
        <w:trPr>
          <w:trHeight w:val="180"/>
        </w:trPr>
        <w:tc>
          <w:tcPr>
            <w:tcW w:w="3280" w:type="dxa"/>
            <w:vAlign w:val="bottom"/>
          </w:tcPr>
          <w:p>
            <w:pPr>
              <w:spacing w:after="0"/>
              <w:rPr>
                <w:sz w:val="20"/>
                <w:szCs w:val="20"/>
                <w:color w:val="auto"/>
              </w:rPr>
            </w:pPr>
            <w:r>
              <w:rPr>
                <w:rFonts w:ascii="Arial" w:cs="Arial" w:eastAsia="Arial" w:hAnsi="Arial"/>
                <w:sz w:val="14"/>
                <w:szCs w:val="14"/>
                <w:color w:val="auto"/>
              </w:rPr>
              <w:t>Cash and cash equivalents, program and</w:t>
            </w: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2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121</w:t>
            </w:r>
          </w:p>
        </w:tc>
        <w:tc>
          <w:tcPr>
            <w:tcW w:w="12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724</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848</w:t>
            </w:r>
          </w:p>
        </w:tc>
        <w:tc>
          <w:tcPr>
            <w:tcW w:w="0" w:type="dxa"/>
            <w:vAlign w:val="bottom"/>
          </w:tcPr>
          <w:p>
            <w:pPr>
              <w:spacing w:after="0"/>
              <w:rPr>
                <w:sz w:val="1"/>
                <w:szCs w:val="1"/>
                <w:color w:val="auto"/>
              </w:rPr>
            </w:pPr>
          </w:p>
        </w:tc>
      </w:tr>
      <w:tr>
        <w:trPr>
          <w:trHeight w:val="171"/>
        </w:trPr>
        <w:tc>
          <w:tcPr>
            <w:tcW w:w="3280" w:type="dxa"/>
            <w:vAlign w:val="bottom"/>
          </w:tcPr>
          <w:p>
            <w:pPr>
              <w:ind w:left="160"/>
              <w:spacing w:after="0"/>
              <w:rPr>
                <w:sz w:val="20"/>
                <w:szCs w:val="20"/>
                <w:color w:val="auto"/>
              </w:rPr>
            </w:pPr>
            <w:r>
              <w:rPr>
                <w:rFonts w:ascii="Arial" w:cs="Arial" w:eastAsia="Arial" w:hAnsi="Arial"/>
                <w:sz w:val="14"/>
                <w:szCs w:val="14"/>
                <w:color w:val="auto"/>
              </w:rPr>
              <w:t>restricted cash, end of period</w:t>
            </w:r>
          </w:p>
        </w:tc>
        <w:tc>
          <w:tcPr>
            <w:tcW w:w="2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40"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00"/>
          </w:cols>
          <w:pgMar w:left="240" w:top="140" w:right="25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hanging="492"/>
        <w:spacing w:after="0"/>
        <w:tabs>
          <w:tab w:leader="none" w:pos="5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47" w:lineRule="exact"/>
        <w:rPr>
          <w:rFonts w:ascii="Arial" w:cs="Arial" w:eastAsia="Arial" w:hAnsi="Arial"/>
          <w:sz w:val="18"/>
          <w:szCs w:val="18"/>
          <w:b w:val="1"/>
          <w:bCs w:val="1"/>
          <w:color w:val="auto"/>
        </w:rPr>
      </w:pPr>
    </w:p>
    <w:p>
      <w:pPr>
        <w:jc w:val="both"/>
        <w:ind w:left="50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In July 2018, the Company completed the acquisition of Morini S.p.A., a provider of vehicles primarily in Northern Italy, for approximately €35 million (approximately $41 million) plus potential earn-out payments of €5 million (approximately $6 million) based on Morini S.p.A.’s performance over the next two years.</w:t>
      </w:r>
    </w:p>
    <w:p>
      <w:pPr>
        <w:spacing w:after="0" w:line="20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In August 2018, the Company’s Board of Directors increased the Company’s share repurchase program authorization by $250 million.</w:t>
      </w:r>
    </w:p>
    <w:p>
      <w:pPr>
        <w:spacing w:after="0" w:line="200" w:lineRule="exact"/>
        <w:rPr>
          <w:sz w:val="20"/>
          <w:szCs w:val="20"/>
          <w:color w:val="auto"/>
        </w:rPr>
      </w:pPr>
    </w:p>
    <w:p>
      <w:pPr>
        <w:spacing w:after="0" w:line="249"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 * * *</w:t>
      </w: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20"/>
          </w:cols>
          <w:pgMar w:left="240" w:top="140"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The following discussion should be read in conjunction with our Consolidated Condensed Financial Statements and accompanying Notes thereto included elsewhere herein, and with our 2017 Form 10-K. Our actual results of operations may differ materially from those discussed in forward-looking statements as a result of various factors, including but not limited to those included elsewhere in this Quarterly Report on Form 10-Q and those included in the “Management</w:t>
      </w:r>
      <w:r>
        <w:rPr>
          <w:rFonts w:ascii="Arial" w:cs="Arial" w:eastAsia="Arial" w:hAnsi="Arial"/>
          <w:sz w:val="18"/>
          <w:szCs w:val="18"/>
          <w:color w:val="auto"/>
        </w:rPr>
        <w:t>’</w:t>
      </w:r>
      <w:r>
        <w:rPr>
          <w:rFonts w:ascii="Arial" w:cs="Arial" w:eastAsia="Arial" w:hAnsi="Arial"/>
          <w:sz w:val="18"/>
          <w:szCs w:val="18"/>
          <w:i w:val="1"/>
          <w:iCs w:val="1"/>
          <w:color w:val="auto"/>
        </w:rPr>
        <w:t>s Discussion and Analysis of Financial Condition and Results of Operations,” “Risk Factors” and other portions of our 2017 Form 10-K. Unless otherwise noted, all dollar amounts in tables are in millions and those relating to our results of operations are presented before taxes.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Company</w:t>
      </w:r>
    </w:p>
    <w:p>
      <w:pPr>
        <w:spacing w:after="0" w:line="247"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We operate three of the most globally recognized brands in the vehicle rental and other mobility solutions industry, Avis, Budget and Zipcar together with several brands well recognized in their respective markets, including Payless in the U.S. and certain other regions, Maggiore in Italy, FranceCars in France and Apex in both New Zealand and Australia. We are a leading vehicle rental operator in North America, Europe, Australasia and certain other regions we serve, with an average rental fleet of more than 620,000 vehicles. We also license the use of our trademarks to licensees in the areas in which we do not operate directly. We and our licensees operate our brands in approximately 180 countries throughout the world.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Segments</w:t>
      </w:r>
    </w:p>
    <w:p>
      <w:pPr>
        <w:spacing w:after="0" w:line="229"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 xml:space="preserve">We categorize our operations into two reportable business segments: </w:t>
      </w:r>
      <w:r>
        <w:rPr>
          <w:rFonts w:ascii="Arial" w:cs="Arial" w:eastAsia="Arial" w:hAnsi="Arial"/>
          <w:sz w:val="18"/>
          <w:szCs w:val="18"/>
          <w:i w:val="1"/>
          <w:iCs w:val="1"/>
          <w:color w:val="auto"/>
        </w:rPr>
        <w:t>Americas</w:t>
      </w:r>
      <w:r>
        <w:rPr>
          <w:rFonts w:ascii="Arial" w:cs="Arial" w:eastAsia="Arial" w:hAnsi="Arial"/>
          <w:sz w:val="18"/>
          <w:szCs w:val="18"/>
          <w:color w:val="auto"/>
        </w:rPr>
        <w:t xml:space="preserve">, consisting primarily of our vehicle rental operations in North America, South America, Central America and the Caribbean, car sharing operations in certain of these markets, and licensees in the areas in which the Company does not operate directly; and </w:t>
      </w:r>
      <w:r>
        <w:rPr>
          <w:rFonts w:ascii="Arial" w:cs="Arial" w:eastAsia="Arial" w:hAnsi="Arial"/>
          <w:sz w:val="18"/>
          <w:szCs w:val="18"/>
          <w:i w:val="1"/>
          <w:iCs w:val="1"/>
          <w:color w:val="auto"/>
        </w:rPr>
        <w:t>International</w:t>
      </w:r>
      <w:r>
        <w:rPr>
          <w:rFonts w:ascii="Arial" w:cs="Arial" w:eastAsia="Arial" w:hAnsi="Arial"/>
          <w:sz w:val="18"/>
          <w:szCs w:val="18"/>
          <w:color w:val="auto"/>
        </w:rPr>
        <w:t>, consisting primarily of our vehicle rental operations in Europe, the Middle East, Africa, Asia and Australasia, car sharing operations in certain of these markets, and licensees in the areas in which the Company does not operate directly.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and Trends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revenues are derived principally from vehicle rentals in our Company-owned operations and include:</w:t>
      </w:r>
    </w:p>
    <w:p>
      <w:pPr>
        <w:spacing w:after="0" w:line="171"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time &amp; mileage fees charged to our customers for vehicle rentals;</w:t>
      </w:r>
    </w:p>
    <w:p>
      <w:pPr>
        <w:spacing w:after="0" w:line="171" w:lineRule="exact"/>
        <w:rPr>
          <w:rFonts w:ascii="Arial" w:cs="Arial" w:eastAsia="Arial" w:hAnsi="Arial"/>
          <w:sz w:val="18"/>
          <w:szCs w:val="18"/>
          <w:color w:val="auto"/>
        </w:rPr>
      </w:pPr>
    </w:p>
    <w:p>
      <w:pPr>
        <w:ind w:left="660" w:right="300" w:hanging="328"/>
        <w:spacing w:after="0" w:line="262"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payments from our customers with respect to certain operating expenses we incur, including gasoline and vehicle licensing fees, as well as concession fees, which we pay in exchange for the right to operate at airports and certain other locations; and</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sales of loss damage waivers and insurance and other supplemental items in conjunction with vehicle rentals.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receive royalty revenue from our licensees in conjunction with their vehicle rental transactions.</w:t>
      </w:r>
    </w:p>
    <w:p>
      <w:pPr>
        <w:spacing w:after="0" w:line="22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Our operating results are subject to variability due to macroeconomic conditions, seasonality and other factors. Car rental volumes tend to be associated with the travel industry, particularly airline passenger volumes, or enplanements, which in turn tend to reflect general economic conditions. Our vehicle rental operations are also seasonal, with the third quarter of the year historically having been our strongest due to the increased level of leisure travel during such quarter. We have a partially variable cost structure and routinely adjust the size, and therefore the cost, of our rental fleet in response to fluctuations in demand.</w:t>
      </w:r>
    </w:p>
    <w:p>
      <w:pPr>
        <w:spacing w:after="0" w:line="20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Thus far in 2018, worldwide demand for vehicle rental and other mobility solutions has increased and used-vehicle values in the U.S. have been stable. We expect such economic conditions to continue throughout 2018, counterbalanced by the incremental impact of rising interest rates, primarily in the Americas, and certain other headwinds. We will continue to pursue opportunities to enhance our profitability and return on invested capital.</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40"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objective is to drive sustainable, profitable growth by delivering strategic initiatives aimed at winning customers through differentiated brands and products, increasing our margins via revenue growth and operational efficiency and enhancing our leadership in the mobility landscape. Our strategies are intended to support and strengthen our brands, to grow our earnings and Adjusted EBITDA over time and to achieve growth and efficiency opportunities as mobility solutions continue to evolve. We operate in a highly competitive industry and we expect to continue to face challenges and risks in managing our business. We seek to mitigate our exposure to risks in numerous ways, including delivering upon our core strategic initiatives, and through continued optimization of fleet levels to match changes in demand for vehicle rentals; maintenance of liquidity to fund our fleet investment and operations; appropriate investments in technology; and adjustments in the size and the nature and terms of our relationships with vehicle manufacturers.</w:t>
      </w:r>
    </w:p>
    <w:p>
      <w:pPr>
        <w:spacing w:after="0" w:line="20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2017, the U.S. enacted Public Law 115-97, commonly referred to as the U.S. Tax Reform Act (the “Tax Act”). The Tax Act makes broad and complex changes to U.S. corporate tax laws. We expect our 2018 provision for income taxes to be impacted by the reduced U.S. corporate tax rate, the inclusion in the U.S. tax base of certain foreign subsidiary earnings and the limitations on the deductibility of certain business expenses. While we are still evaluating the impact of these changes, certain of these changes could have a material impact on our financial condition or results of operations.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2018:</w:t>
      </w:r>
    </w:p>
    <w:p>
      <w:pPr>
        <w:spacing w:after="0" w:line="225" w:lineRule="exact"/>
        <w:rPr>
          <w:sz w:val="20"/>
          <w:szCs w:val="20"/>
          <w:color w:val="auto"/>
        </w:rPr>
      </w:pPr>
    </w:p>
    <w:p>
      <w:pPr>
        <w:ind w:left="660" w:hanging="328"/>
        <w:spacing w:after="0" w:line="262"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revenues totaled $4.3 billion and increased 5% compared to the six months ended June 30, 2017 due to higher rental volumes and a 3% benefit from currency exchange rate movements.</w:t>
      </w:r>
    </w:p>
    <w:p>
      <w:pPr>
        <w:spacing w:after="0" w:line="196" w:lineRule="exact"/>
        <w:rPr>
          <w:rFonts w:ascii="Arial" w:cs="Arial" w:eastAsia="Arial" w:hAnsi="Arial"/>
          <w:sz w:val="18"/>
          <w:szCs w:val="18"/>
          <w:color w:val="auto"/>
        </w:rPr>
      </w:pPr>
    </w:p>
    <w:p>
      <w:pPr>
        <w:ind w:left="660" w:right="120" w:hanging="328"/>
        <w:spacing w:after="0" w:line="256"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net loss was $61 million, representing a $43 million year-over-year improvement in earnings, and our Adjusted EBITDA was $163 million, representing a $50 million year-over-year increase, driven by higher revenues and Americas’ lower per-unit fleet costs and higher utilization.</w:t>
      </w:r>
    </w:p>
    <w:p>
      <w:pPr>
        <w:spacing w:after="0" w:line="201" w:lineRule="exact"/>
        <w:rPr>
          <w:rFonts w:ascii="Arial" w:cs="Arial" w:eastAsia="Arial" w:hAnsi="Arial"/>
          <w:sz w:val="18"/>
          <w:szCs w:val="18"/>
          <w:color w:val="auto"/>
        </w:rPr>
      </w:pPr>
    </w:p>
    <w:p>
      <w:pPr>
        <w:ind w:left="660" w:right="60" w:hanging="328"/>
        <w:spacing w:after="0" w:line="262"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repurchased approximately $67 million of our common stock, reducing our shares outstanding by approximately 1.6 million shares, or 2%.</w:t>
      </w:r>
    </w:p>
    <w:p>
      <w:pPr>
        <w:spacing w:after="0" w:line="196" w:lineRule="exact"/>
        <w:rPr>
          <w:rFonts w:ascii="Arial" w:cs="Arial" w:eastAsia="Arial" w:hAnsi="Arial"/>
          <w:sz w:val="18"/>
          <w:szCs w:val="18"/>
          <w:color w:val="auto"/>
        </w:rPr>
      </w:pPr>
    </w:p>
    <w:p>
      <w:pPr>
        <w:ind w:left="660" w:right="160" w:hanging="328"/>
        <w:spacing w:after="0" w:line="262"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amended the terms of our Floating Rate Term Loan due 2022 and our Senior revolving credit facility maturing 2021. We extended our Floating Rate Term Loan maturity term to 2025 and our Senior revolving credit facility maturity to 2023.</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w:t>
      </w:r>
    </w:p>
    <w:p>
      <w:pPr>
        <w:spacing w:after="0" w:line="247"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We measure performance principally using the following key operating statistics: (i) rental days, which represent the total number of days (or portion thereof) a vehicle was rented, (ii) revenue per day, which represents revenues divided by rental days, (iii) vehicle utilization, which represents rental days divided by available rental days, available rental days is defined as the average number of vehicles in our rental fleet times the number of days in the period, and (iv) per-unit fleet costs, which represent vehicle depreciation, lease charges and gain or loss on vehicle sales, divided by the average number of vehicles in our rental fleet. Our rental days, revenue per day and vehicle utilization operating statistics are all calculated based on the actual rental of the vehicle during a 24-hour period. We believe that this methodology provides us with the most relevant statistics in order to manage the business. Our calculation may not be comparable to other companies’ calculation of similarly-titled statistics. We present currency exchange rate effects to provide a method of assessing how our business performed excluding the effects of foreign currency rate fluctuations. Currency exchange rate effects are calculated by translating the current-year results at the prior-period average exchange rate plus any related gains and losses on currency hedges.</w:t>
      </w:r>
    </w:p>
    <w:p>
      <w:pPr>
        <w:spacing w:after="0" w:line="21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assess performance and allocate resources based upon the separate financial information of our operating segments. In identifying our reportable segments, we also consider the nature of services provided by our operating segments, the geographical areas in which our segments operate and other relevant factors. Management evaluates the operating results of each of our reportable segments based upon revenues and “Adjusted EBITDA,” which we define as income from continuing operations before non-vehicle related depreciation and amortization, any impairment charges, restructuring and other related charges, early extinguishment of debt costs, non-vehicle related interest, transaction-related costs, net charges for unprecedented personal-injury legal matters, non-operational charges related to shareholder activist activity and</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40"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income taxes. Net charges for unprecedented personal-injury legal matters are recorded within operating expenses in our consolidated condensed statement of operations. We have revised our definition of Adjusted EBITDA to exclude non-operational charges related to shareholder activist activity. Non-operational charges related to shareholder activist activity include third party advisory, legal and other professional service fees and are recorded within selling, general and administrative expenses in our consolidated condensed statement of operations. We did not revise prior years’ Adjusted EBITDA amounts because there were no costs similar in nature to these costs. We believe Adjusted EBITDA is useful as a supplemental measure in evaluating the performance of our operating businesses and in comparing our results from period to period. We also believe that Adjusted EBITDA is useful to investors because it allows investors to assess our results of operations and financial condition on the same basis that management uses internally. Adjusted EBITDA is a non-GAAP measure and should not be considered in isolation or as a substitute for net income or other income statement data prepared in accordance with U.S. GAAP. Our presentation of Adjusted EBITDA may not be comparable to similarly-titled measures used by other companies.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2018 vs. Three Months Ended June 30, 2017</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condensed results of operations comprised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0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60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0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2017</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 Change</w:t>
            </w:r>
          </w:p>
        </w:tc>
        <w:tc>
          <w:tcPr>
            <w:tcW w:w="100" w:type="dxa"/>
            <w:vAlign w:val="bottom"/>
          </w:tcPr>
          <w:p>
            <w:pPr>
              <w:spacing w:after="0"/>
              <w:rPr>
                <w:sz w:val="22"/>
                <w:szCs w:val="22"/>
                <w:color w:val="auto"/>
              </w:rPr>
            </w:pP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50"/>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2,328</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2,238</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90</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86"/>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Operating</w:t>
            </w:r>
          </w:p>
        </w:tc>
        <w:tc>
          <w:tcPr>
            <w:tcW w:w="2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1,175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1,108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Vehicle depreciation and lease charges, net</w:t>
            </w:r>
          </w:p>
        </w:tc>
        <w:tc>
          <w:tcPr>
            <w:tcW w:w="2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597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Vehicle interest, net</w:t>
            </w:r>
          </w:p>
        </w:tc>
        <w:tc>
          <w:tcPr>
            <w:tcW w:w="2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Non-vehicle related depreciation and amortization</w:t>
            </w:r>
          </w:p>
        </w:tc>
        <w:tc>
          <w:tcPr>
            <w:tcW w:w="2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Interest expense related to corporate debt, net</w:t>
            </w:r>
          </w:p>
        </w:tc>
        <w:tc>
          <w:tcPr>
            <w:tcW w:w="2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Restructuring and other related charges</w:t>
            </w:r>
          </w:p>
        </w:tc>
        <w:tc>
          <w:tcPr>
            <w:tcW w:w="2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7"/>
        </w:trPr>
        <w:tc>
          <w:tcPr>
            <w:tcW w:w="6000" w:type="dxa"/>
            <w:vAlign w:val="bottom"/>
          </w:tcPr>
          <w:p>
            <w:pPr>
              <w:ind w:left="240"/>
              <w:spacing w:after="0"/>
              <w:rPr>
                <w:sz w:val="20"/>
                <w:szCs w:val="20"/>
                <w:color w:val="auto"/>
              </w:rPr>
            </w:pPr>
            <w:r>
              <w:rPr>
                <w:rFonts w:ascii="Arial" w:cs="Arial" w:eastAsia="Arial" w:hAnsi="Arial"/>
                <w:sz w:val="18"/>
                <w:szCs w:val="18"/>
                <w:color w:val="auto"/>
              </w:rPr>
              <w:t>Transaction-related costs, net</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50"/>
        </w:trPr>
        <w:tc>
          <w:tcPr>
            <w:tcW w:w="600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2,290</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2,227</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86"/>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2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4"/>
                <w:szCs w:val="24"/>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7"/>
        </w:trPr>
        <w:tc>
          <w:tcPr>
            <w:tcW w:w="600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486"/>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0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000" w:type="dxa"/>
            <w:vAlign w:val="bottom"/>
          </w:tcPr>
          <w:p>
            <w:pPr>
              <w:spacing w:after="0"/>
              <w:rPr>
                <w:sz w:val="20"/>
                <w:szCs w:val="20"/>
                <w:color w:val="auto"/>
              </w:rPr>
            </w:pPr>
            <w:r>
              <w:rPr>
                <w:rFonts w:ascii="Arial" w:cs="Arial" w:eastAsia="Arial" w:hAnsi="Arial"/>
                <w:sz w:val="14"/>
                <w:szCs w:val="14"/>
                <w:color w:val="auto"/>
              </w:rPr>
              <w:t>n/m Not meaningful.</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During the three months ended June 30, 2018, our revenues increased as a result of a 4% increase in rental volumes and a $41 million benefit from currency exchange rate movements. Total expenses increased due to increased rental volumes, higher vehicle interest rates, increased marketing costs and commissions, partially offset by lower per-unit fleet costs in the Americas. These increases include a $23 million negative effect from currency exchange rate movements. Our effective tax rates were provisions of 32% and 73% during the three months ended June 30, 2018 and 2017, respectively. As a result of these items, our net income increased by $23 million.</w:t>
      </w:r>
    </w:p>
    <w:p>
      <w:pPr>
        <w:spacing w:after="0" w:line="20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During the three months ended June 30, 2018, the Company reported earnings of $0.32 per diluted share, which includes after-tax restructuring and other related charges of ($ 0.05) per share and after-tax transaction-related costs of ($0.03) per share. During the three months ended June 30, 2017, the Company reported earnings of $0.04 per diluted share, which includes after-tax restructuring and other related charges of ($0.28) per share, after-tax transaction-related costs of ($0.05) per share and after-tax reversal of charges for legal matter of $0.19 per share.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June 30, 2018:</w:t>
      </w:r>
    </w:p>
    <w:p>
      <w:pPr>
        <w:spacing w:after="0" w:line="225" w:lineRule="exact"/>
        <w:rPr>
          <w:sz w:val="20"/>
          <w:szCs w:val="20"/>
          <w:color w:val="auto"/>
        </w:rPr>
      </w:pPr>
    </w:p>
    <w:p>
      <w:pPr>
        <w:ind w:left="5620" w:right="2360" w:hanging="5288"/>
        <w:spacing w:after="0" w:line="543" w:lineRule="auto"/>
        <w:tabs>
          <w:tab w:leader="none" w:pos="662" w:val="left"/>
        </w:tabs>
        <w:numPr>
          <w:ilvl w:val="0"/>
          <w:numId w:val="43"/>
        </w:numPr>
        <w:rPr>
          <w:rFonts w:ascii="Arial" w:cs="Arial" w:eastAsia="Arial" w:hAnsi="Arial"/>
          <w:sz w:val="18"/>
          <w:szCs w:val="18"/>
          <w:color w:val="auto"/>
        </w:rPr>
      </w:pPr>
      <w:r>
        <w:rPr>
          <w:rFonts w:ascii="Arial" w:cs="Arial" w:eastAsia="Arial" w:hAnsi="Arial"/>
          <w:sz w:val="18"/>
          <w:szCs w:val="18"/>
          <w:color w:val="auto"/>
        </w:rPr>
        <w:t>Operating expenses increased to 50.5% of revenue compared to 49.5% during the similar period in 2017, 39</w:t>
      </w:r>
    </w:p>
    <w:p>
      <w:pPr>
        <w:sectPr>
          <w:pgSz w:w="11900" w:h="16838" w:orient="portrait"/>
          <w:cols w:equalWidth="0" w:num="1">
            <w:col w:w="11400"/>
          </w:cols>
          <w:pgMar w:left="240" w:top="140"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8" w:lineRule="exact"/>
        <w:rPr>
          <w:sz w:val="20"/>
          <w:szCs w:val="20"/>
          <w:color w:val="auto"/>
        </w:rPr>
      </w:pPr>
    </w:p>
    <w:p>
      <w:pPr>
        <w:ind w:left="660" w:right="40"/>
        <w:spacing w:after="0" w:line="309" w:lineRule="auto"/>
        <w:rPr>
          <w:sz w:val="20"/>
          <w:szCs w:val="20"/>
          <w:color w:val="auto"/>
        </w:rPr>
      </w:pPr>
      <w:r>
        <w:rPr>
          <w:rFonts w:ascii="Arial" w:cs="Arial" w:eastAsia="Arial" w:hAnsi="Arial"/>
          <w:sz w:val="18"/>
          <w:szCs w:val="18"/>
          <w:color w:val="auto"/>
        </w:rPr>
        <w:t>due to recoverable insurance proceeds recognized in connection with an unprecedented personal-injury legal matter recorded in 2017, partially offset by lower maintenance and damage costs in 2018.</w:t>
      </w:r>
    </w:p>
    <w:p>
      <w:pPr>
        <w:spacing w:after="0" w:line="169" w:lineRule="exact"/>
        <w:rPr>
          <w:sz w:val="20"/>
          <w:szCs w:val="20"/>
          <w:color w:val="auto"/>
        </w:rPr>
      </w:pPr>
    </w:p>
    <w:p>
      <w:pPr>
        <w:ind w:left="660" w:right="540" w:hanging="328"/>
        <w:spacing w:after="0" w:line="262"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Vehicle depreciation and lease charges were reduced to 25.4% of revenue compared to 26.7% during the similar period in 2017, primarily due to Americas’ lower per-unit fleet costs and higher utilization.</w:t>
      </w:r>
    </w:p>
    <w:p>
      <w:pPr>
        <w:spacing w:after="0" w:line="196" w:lineRule="exact"/>
        <w:rPr>
          <w:rFonts w:ascii="Arial" w:cs="Arial" w:eastAsia="Arial" w:hAnsi="Arial"/>
          <w:sz w:val="18"/>
          <w:szCs w:val="18"/>
          <w:color w:val="auto"/>
        </w:rPr>
      </w:pPr>
    </w:p>
    <w:p>
      <w:pPr>
        <w:ind w:left="660" w:right="200" w:hanging="328"/>
        <w:spacing w:after="0" w:line="262"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Selling, general and administrative costs increased to 13.8% of revenue compared to 13.1% during the similar period in 2017, due to higher marketing costs and commissions.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Vehicle interest costs increased to 3.5% of revenue compared to 3.3% during the similar period in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more detailed discussion of the results of each of our reportable segments and reconciliation of net income to Adjusted EBITDA:</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50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960" w:type="dxa"/>
            <w:vAlign w:val="bottom"/>
            <w:tcBorders>
              <w:bottom w:val="single" w:sz="8" w:color="auto"/>
            </w:tcBorders>
            <w:gridSpan w:val="5"/>
          </w:tcPr>
          <w:p>
            <w:pPr>
              <w:ind w:left="60"/>
              <w:spacing w:after="0"/>
              <w:rPr>
                <w:sz w:val="20"/>
                <w:szCs w:val="20"/>
                <w:color w:val="auto"/>
              </w:rPr>
            </w:pPr>
            <w:r>
              <w:rPr>
                <w:rFonts w:ascii="Arial" w:cs="Arial" w:eastAsia="Arial" w:hAnsi="Arial"/>
                <w:sz w:val="18"/>
                <w:szCs w:val="18"/>
                <w:b w:val="1"/>
                <w:bCs w:val="1"/>
                <w:color w:val="auto"/>
              </w:rPr>
              <w:t>Three Months Ended June 30,</w:t>
            </w: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r>
      <w:tr>
        <w:trPr>
          <w:trHeight w:val="264"/>
        </w:trPr>
        <w:tc>
          <w:tcPr>
            <w:tcW w:w="50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12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1240" w:type="dxa"/>
            <w:vAlign w:val="bottom"/>
            <w:tcBorders>
              <w:bottom w:val="single" w:sz="8" w:color="auto"/>
            </w:tcBorders>
          </w:tcPr>
          <w:p>
            <w:pPr>
              <w:spacing w:after="0"/>
              <w:rPr>
                <w:sz w:val="22"/>
                <w:szCs w:val="22"/>
                <w:color w:val="auto"/>
              </w:rPr>
            </w:pPr>
          </w:p>
        </w:tc>
      </w:tr>
      <w:tr>
        <w:trPr>
          <w:trHeight w:val="207"/>
        </w:trPr>
        <w:tc>
          <w:tcPr>
            <w:tcW w:w="5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Adjusted</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center"/>
              <w:ind w:right="170"/>
              <w:spacing w:after="0"/>
              <w:rPr>
                <w:sz w:val="20"/>
                <w:szCs w:val="20"/>
                <w:color w:val="auto"/>
              </w:rPr>
            </w:pPr>
            <w:r>
              <w:rPr>
                <w:rFonts w:ascii="Arial" w:cs="Arial" w:eastAsia="Arial" w:hAnsi="Arial"/>
                <w:sz w:val="18"/>
                <w:szCs w:val="18"/>
                <w:b w:val="1"/>
                <w:bCs w:val="1"/>
                <w:color w:val="auto"/>
              </w:rPr>
              <w:t>Adjusted</w:t>
            </w:r>
          </w:p>
        </w:tc>
      </w:tr>
      <w:tr>
        <w:trPr>
          <w:trHeight w:val="246"/>
        </w:trPr>
        <w:tc>
          <w:tcPr>
            <w:tcW w:w="50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EBITDA</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8"/>
              </w:rPr>
              <w:t>EBITDA</w:t>
            </w:r>
          </w:p>
        </w:tc>
      </w:tr>
      <w:tr>
        <w:trPr>
          <w:trHeight w:val="243"/>
        </w:trPr>
        <w:tc>
          <w:tcPr>
            <w:tcW w:w="5080" w:type="dxa"/>
            <w:vAlign w:val="bottom"/>
          </w:tcPr>
          <w:p>
            <w:pPr>
              <w:spacing w:after="0"/>
              <w:rPr>
                <w:sz w:val="20"/>
                <w:szCs w:val="20"/>
                <w:color w:val="auto"/>
              </w:rPr>
            </w:pPr>
            <w:r>
              <w:rPr>
                <w:rFonts w:ascii="Arial" w:cs="Arial" w:eastAsia="Arial" w:hAnsi="Arial"/>
                <w:sz w:val="18"/>
                <w:szCs w:val="18"/>
                <w:color w:val="auto"/>
              </w:rPr>
              <w:t>Americas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1,590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107</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1,565</w:t>
            </w:r>
          </w:p>
        </w:tc>
        <w:tc>
          <w:tcPr>
            <w:tcW w:w="100" w:type="dxa"/>
            <w:vAlign w:val="bottom"/>
          </w:tcPr>
          <w:p>
            <w:pPr>
              <w:spacing w:after="0"/>
              <w:rPr>
                <w:sz w:val="21"/>
                <w:szCs w:val="21"/>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96</w:t>
            </w:r>
          </w:p>
        </w:tc>
      </w:tr>
      <w:tr>
        <w:trPr>
          <w:trHeight w:val="270"/>
        </w:trPr>
        <w:tc>
          <w:tcPr>
            <w:tcW w:w="5080" w:type="dxa"/>
            <w:vAlign w:val="bottom"/>
          </w:tcPr>
          <w:p>
            <w:pPr>
              <w:spacing w:after="0"/>
              <w:rPr>
                <w:sz w:val="20"/>
                <w:szCs w:val="20"/>
                <w:color w:val="auto"/>
              </w:rPr>
            </w:pPr>
            <w:r>
              <w:rPr>
                <w:rFonts w:ascii="Arial" w:cs="Arial" w:eastAsia="Arial" w:hAnsi="Arial"/>
                <w:sz w:val="18"/>
                <w:szCs w:val="18"/>
                <w:color w:val="auto"/>
              </w:rPr>
              <w:t>International</w:t>
            </w:r>
          </w:p>
        </w:tc>
        <w:tc>
          <w:tcPr>
            <w:tcW w:w="22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59</w:t>
            </w:r>
          </w:p>
        </w:tc>
      </w:tr>
      <w:tr>
        <w:trPr>
          <w:trHeight w:val="283"/>
        </w:trPr>
        <w:tc>
          <w:tcPr>
            <w:tcW w:w="5080" w:type="dxa"/>
            <w:vAlign w:val="bottom"/>
          </w:tcPr>
          <w:p>
            <w:pPr>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8"/>
                <w:szCs w:val="18"/>
                <w:color w:val="auto"/>
                <w:vertAlign w:val="superscript"/>
              </w:rPr>
              <w:t>(a)</w:t>
            </w: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50"/>
        </w:trPr>
        <w:tc>
          <w:tcPr>
            <w:tcW w:w="5080" w:type="dxa"/>
            <w:vAlign w:val="bottom"/>
          </w:tcPr>
          <w:p>
            <w:pPr>
              <w:ind w:left="120"/>
              <w:spacing w:after="0"/>
              <w:rPr>
                <w:sz w:val="20"/>
                <w:szCs w:val="20"/>
                <w:color w:val="auto"/>
              </w:rPr>
            </w:pPr>
            <w:r>
              <w:rPr>
                <w:rFonts w:ascii="Arial" w:cs="Arial" w:eastAsia="Arial" w:hAnsi="Arial"/>
                <w:sz w:val="18"/>
                <w:szCs w:val="18"/>
                <w:color w:val="auto"/>
              </w:rPr>
              <w:t>Total Company</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2,328</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2,238</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140</w:t>
            </w:r>
          </w:p>
        </w:tc>
      </w:tr>
      <w:tr>
        <w:trPr>
          <w:trHeight w:val="20"/>
        </w:trPr>
        <w:tc>
          <w:tcPr>
            <w:tcW w:w="5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r>
      <w:tr>
        <w:trPr>
          <w:trHeight w:val="474"/>
        </w:trPr>
        <w:tc>
          <w:tcPr>
            <w:tcW w:w="50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b w:val="1"/>
                <w:bCs w:val="1"/>
                <w:color w:val="auto"/>
              </w:rPr>
              <w:t>Reconciliation to Adjusted EBITDA</w:t>
            </w:r>
          </w:p>
        </w:tc>
      </w:tr>
      <w:tr>
        <w:trPr>
          <w:trHeight w:val="257"/>
        </w:trPr>
        <w:tc>
          <w:tcPr>
            <w:tcW w:w="5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5279390</wp:posOffset>
            </wp:positionH>
            <wp:positionV relativeFrom="paragraph">
              <wp:posOffset>8890</wp:posOffset>
            </wp:positionV>
            <wp:extent cx="19551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ectPr>
          <w:pgSz w:w="11900" w:h="16838" w:orient="portrait"/>
          <w:cols w:equalWidth="0" w:num="1">
            <w:col w:w="11400"/>
          </w:cols>
          <w:pgMar w:left="240" w:top="140" w:right="259" w:bottom="1440" w:gutter="0" w:footer="0" w:header="0"/>
        </w:sectPr>
      </w:pPr>
    </w:p>
    <w:p>
      <w:pPr>
        <w:spacing w:after="0" w:line="5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Provision for income taxes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before income taxes</w:t>
      </w:r>
    </w:p>
    <w:p>
      <w:pPr>
        <w:spacing w:after="0" w:line="293"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Add:</w:t>
        <w:tab/>
        <w:t>Non-vehicle related depreciation and amortization</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Interest expense related to corporate debt, net</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Restructuring and other related charges</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 xml:space="preserve">Transaction-related costs, net </w:t>
      </w:r>
      <w:r>
        <w:rPr>
          <w:rFonts w:ascii="Arial" w:cs="Arial" w:eastAsia="Arial" w:hAnsi="Arial"/>
          <w:sz w:val="18"/>
          <w:szCs w:val="18"/>
          <w:color w:val="auto"/>
          <w:vertAlign w:val="superscript"/>
        </w:rPr>
        <w:t>(b)</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 xml:space="preserve">Charges for legal matter, net </w:t>
      </w:r>
      <w:r>
        <w:rPr>
          <w:rFonts w:ascii="Arial" w:cs="Arial" w:eastAsia="Arial" w:hAnsi="Arial"/>
          <w:sz w:val="18"/>
          <w:szCs w:val="18"/>
          <w:color w:val="auto"/>
          <w:vertAlign w:val="superscript"/>
        </w:rPr>
        <w:t>(c)</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Adjusted EBITDA</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ind w:left="340" w:hanging="332"/>
        <w:spacing w:after="0" w:line="197" w:lineRule="auto"/>
        <w:tabs>
          <w:tab w:leader="none" w:pos="340" w:val="left"/>
        </w:tabs>
        <w:numPr>
          <w:ilvl w:val="0"/>
          <w:numId w:val="45"/>
        </w:numPr>
        <w:rPr>
          <w:rFonts w:ascii="Arial" w:cs="Arial" w:eastAsia="Arial" w:hAnsi="Arial"/>
          <w:sz w:val="18"/>
          <w:szCs w:val="18"/>
          <w:color w:val="auto"/>
          <w:vertAlign w:val="superscript"/>
        </w:rPr>
      </w:pPr>
      <w:r>
        <w:rPr>
          <w:rFonts w:ascii="Arial" w:cs="Arial" w:eastAsia="Arial" w:hAnsi="Arial"/>
          <w:sz w:val="14"/>
          <w:szCs w:val="14"/>
          <w:color w:val="auto"/>
        </w:rPr>
        <w:t>Includes unallocated corporate overhead which is not attributable to a particular segment.</w:t>
      </w:r>
    </w:p>
    <w:p>
      <w:pPr>
        <w:ind w:left="340" w:hanging="332"/>
        <w:spacing w:after="0" w:line="187" w:lineRule="auto"/>
        <w:tabs>
          <w:tab w:leader="none" w:pos="340" w:val="left"/>
        </w:tabs>
        <w:numPr>
          <w:ilvl w:val="0"/>
          <w:numId w:val="45"/>
        </w:numPr>
        <w:rPr>
          <w:rFonts w:ascii="Arial" w:cs="Arial" w:eastAsia="Arial" w:hAnsi="Arial"/>
          <w:sz w:val="18"/>
          <w:szCs w:val="18"/>
          <w:color w:val="auto"/>
          <w:vertAlign w:val="superscript"/>
        </w:rPr>
      </w:pPr>
      <w:r>
        <w:rPr>
          <w:rFonts w:ascii="Arial" w:cs="Arial" w:eastAsia="Arial" w:hAnsi="Arial"/>
          <w:sz w:val="14"/>
          <w:szCs w:val="14"/>
          <w:color w:val="auto"/>
        </w:rPr>
        <w:t>Primarily comprised of acquisition- and integration-related expenses.</w:t>
      </w:r>
    </w:p>
    <w:p>
      <w:pPr>
        <w:ind w:left="340" w:hanging="332"/>
        <w:spacing w:after="0" w:line="199" w:lineRule="auto"/>
        <w:tabs>
          <w:tab w:leader="none" w:pos="340" w:val="left"/>
        </w:tabs>
        <w:numPr>
          <w:ilvl w:val="0"/>
          <w:numId w:val="45"/>
        </w:numPr>
        <w:rPr>
          <w:rFonts w:ascii="Arial" w:cs="Arial" w:eastAsia="Arial" w:hAnsi="Arial"/>
          <w:sz w:val="18"/>
          <w:szCs w:val="18"/>
          <w:color w:val="auto"/>
          <w:vertAlign w:val="superscript"/>
        </w:rPr>
      </w:pPr>
      <w:r>
        <w:rPr>
          <w:rFonts w:ascii="Arial" w:cs="Arial" w:eastAsia="Arial" w:hAnsi="Arial"/>
          <w:sz w:val="14"/>
          <w:szCs w:val="14"/>
          <w:color w:val="auto"/>
        </w:rPr>
        <w:t>Reported within operating expenses in our consolidated condensed results of operations.</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6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w:t>
            </w:r>
          </w:p>
        </w:tc>
      </w:tr>
      <w:tr>
        <w:trPr>
          <w:trHeight w:val="277"/>
        </w:trPr>
        <w:tc>
          <w:tcPr>
            <w:tcW w:w="6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r>
      <w:tr>
        <w:trPr>
          <w:trHeight w:val="243"/>
        </w:trPr>
        <w:tc>
          <w:tcPr>
            <w:tcW w:w="6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w:t>
            </w:r>
          </w:p>
        </w:tc>
      </w:tr>
      <w:tr>
        <w:trPr>
          <w:trHeight w:val="500"/>
        </w:trPr>
        <w:tc>
          <w:tcPr>
            <w:tcW w:w="60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65</w:t>
            </w:r>
          </w:p>
        </w:tc>
      </w:tr>
      <w:tr>
        <w:trPr>
          <w:trHeight w:val="270"/>
        </w:trPr>
        <w:tc>
          <w:tcPr>
            <w:tcW w:w="60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48</w:t>
            </w:r>
          </w:p>
        </w:tc>
      </w:tr>
      <w:tr>
        <w:trPr>
          <w:trHeight w:val="270"/>
        </w:trPr>
        <w:tc>
          <w:tcPr>
            <w:tcW w:w="60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38</w:t>
            </w:r>
          </w:p>
        </w:tc>
      </w:tr>
      <w:tr>
        <w:trPr>
          <w:trHeight w:val="270"/>
        </w:trPr>
        <w:tc>
          <w:tcPr>
            <w:tcW w:w="60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w:t>
            </w:r>
          </w:p>
        </w:tc>
      </w:tr>
      <w:tr>
        <w:trPr>
          <w:trHeight w:val="277"/>
        </w:trPr>
        <w:tc>
          <w:tcPr>
            <w:tcW w:w="60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50"/>
        </w:trPr>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6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140</w:t>
            </w: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868" w:lineRule="exact"/>
        <w:rPr>
          <w:sz w:val="20"/>
          <w:szCs w:val="20"/>
          <w:color w:val="auto"/>
        </w:rPr>
      </w:pPr>
    </w:p>
    <w:p>
      <w:pPr>
        <w:sectPr>
          <w:pgSz w:w="11900" w:h="16838" w:orient="portrait"/>
          <w:cols w:equalWidth="0" w:num="2">
            <w:col w:w="7600" w:space="720"/>
            <w:col w:w="3080"/>
          </w:cols>
          <w:pgMar w:left="240" w:top="140" w:right="259" w:bottom="1440" w:gutter="0" w:footer="0" w:header="0"/>
          <w:type w:val="continuous"/>
        </w:sectPr>
      </w:pPr>
    </w:p>
    <w:tbl>
      <w:tblPr>
        <w:tblLayout w:type="fixed"/>
        <w:tblInd w:w="0" w:type="dxa"/>
        <w:tblCellMar>
          <w:top w:w="0" w:type="dxa"/>
          <w:left w:w="0" w:type="dxa"/>
          <w:bottom w:w="0" w:type="dxa"/>
          <w:right w:w="0" w:type="dxa"/>
        </w:tblCellMar>
      </w:tblPr>
      <w:tr>
        <w:trPr>
          <w:trHeight w:val="239"/>
        </w:trPr>
        <w:tc>
          <w:tcPr>
            <w:tcW w:w="7560" w:type="dxa"/>
            <w:vAlign w:val="bottom"/>
          </w:tcPr>
          <w:p>
            <w:pPr>
              <w:spacing w:after="0"/>
              <w:rPr>
                <w:sz w:val="20"/>
                <w:szCs w:val="20"/>
                <w:color w:val="auto"/>
              </w:rPr>
            </w:pPr>
            <w:r>
              <w:rPr>
                <w:rFonts w:ascii="Arial" w:cs="Arial" w:eastAsia="Arial" w:hAnsi="Arial"/>
                <w:sz w:val="18"/>
                <w:szCs w:val="18"/>
                <w:b w:val="1"/>
                <w:bCs w:val="1"/>
                <w:i w:val="1"/>
                <w:iCs w:val="1"/>
                <w:color w:val="auto"/>
              </w:rPr>
              <w:t>Americas</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42"/>
        </w:trPr>
        <w:tc>
          <w:tcPr>
            <w:tcW w:w="7560" w:type="dxa"/>
            <w:vAlign w:val="bottom"/>
          </w:tcPr>
          <w:p>
            <w:pPr>
              <w:spacing w:after="0"/>
              <w:rPr>
                <w:sz w:val="24"/>
                <w:szCs w:val="24"/>
                <w:color w:val="auto"/>
              </w:rPr>
            </w:pPr>
          </w:p>
        </w:tc>
        <w:tc>
          <w:tcPr>
            <w:tcW w:w="2500" w:type="dxa"/>
            <w:vAlign w:val="bottom"/>
            <w:gridSpan w:val="7"/>
          </w:tcPr>
          <w:p>
            <w:pPr>
              <w:jc w:val="center"/>
              <w:ind w:right="80"/>
              <w:spacing w:after="0"/>
              <w:rPr>
                <w:sz w:val="20"/>
                <w:szCs w:val="20"/>
                <w:color w:val="auto"/>
              </w:rPr>
            </w:pPr>
            <w:r>
              <w:rPr>
                <w:rFonts w:ascii="Arial" w:cs="Arial" w:eastAsia="Arial" w:hAnsi="Arial"/>
                <w:sz w:val="18"/>
                <w:szCs w:val="18"/>
                <w:b w:val="1"/>
                <w:bCs w:val="1"/>
                <w:color w:val="auto"/>
              </w:rPr>
              <w:t>Three Months Ended June</w:t>
            </w:r>
          </w:p>
        </w:tc>
        <w:tc>
          <w:tcPr>
            <w:tcW w:w="1340" w:type="dxa"/>
            <w:vAlign w:val="bottom"/>
          </w:tcPr>
          <w:p>
            <w:pPr>
              <w:spacing w:after="0"/>
              <w:rPr>
                <w:sz w:val="24"/>
                <w:szCs w:val="24"/>
                <w:color w:val="auto"/>
              </w:rPr>
            </w:pPr>
          </w:p>
        </w:tc>
      </w:tr>
      <w:tr>
        <w:trPr>
          <w:trHeight w:val="246"/>
        </w:trPr>
        <w:tc>
          <w:tcPr>
            <w:tcW w:w="75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rPr>
              <w:t>30,</w:t>
            </w: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r>
      <w:tr>
        <w:trPr>
          <w:trHeight w:val="264"/>
        </w:trPr>
        <w:tc>
          <w:tcPr>
            <w:tcW w:w="75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2"/>
                <w:szCs w:val="22"/>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1,590</w:t>
            </w:r>
          </w:p>
        </w:tc>
        <w:tc>
          <w:tcPr>
            <w:tcW w:w="4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1,565</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756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w:t>
            </w:r>
          </w:p>
        </w:tc>
      </w:tr>
    </w:tbl>
    <w:p>
      <w:pPr>
        <w:spacing w:after="0" w:line="22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Revenues increased 2% during the three months ended June 30, 2018, compared to the similar period in 2017, primarily due to a 2% increase in rental volumes.</w:t>
      </w:r>
    </w:p>
    <w:p>
      <w:pPr>
        <w:spacing w:after="0" w:line="196"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Adjusted EBITDA was 11% higher during the three months ended June 30, 2018, compared to the similar period in 2017, due to increased revenues, 7% lower per-unit fleet costs and a 70 basis points increase in utilization, partially offset by increased marketing costs and commissions, and higher vehicle interest rates.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June 30, 2018:</w:t>
      </w:r>
    </w:p>
    <w:p>
      <w:pPr>
        <w:spacing w:after="0" w:line="225" w:lineRule="exact"/>
        <w:rPr>
          <w:sz w:val="20"/>
          <w:szCs w:val="20"/>
          <w:color w:val="auto"/>
        </w:rPr>
      </w:pPr>
    </w:p>
    <w:p>
      <w:pPr>
        <w:ind w:left="660" w:hanging="328"/>
        <w:spacing w:after="0" w:line="262"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Operating expenses increased to 49.2% of revenue compared to 47.6% during the similar period in 2017, due to recoverable insurance proceeds recognized in connection with an unprecedented personal-injury</w:t>
      </w:r>
    </w:p>
    <w:p>
      <w:pPr>
        <w:sectPr>
          <w:pgSz w:w="11900" w:h="16838" w:orient="portrait"/>
          <w:cols w:equalWidth="0" w:num="1">
            <w:col w:w="11400"/>
          </w:cols>
          <w:pgMar w:left="240" w:top="140" w:right="259" w:bottom="1440" w:gutter="0" w:footer="0" w:header="0"/>
          <w:type w:val="continuous"/>
        </w:sect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00"/>
          </w:cols>
          <w:pgMar w:left="240" w:top="140" w:right="25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legal matter recorded in 2017, partially offset by lower maintenance and damage costs in 2018.</w:t>
      </w:r>
    </w:p>
    <w:p>
      <w:pPr>
        <w:spacing w:after="0" w:line="239" w:lineRule="exact"/>
        <w:rPr>
          <w:sz w:val="20"/>
          <w:szCs w:val="20"/>
          <w:color w:val="auto"/>
        </w:rPr>
      </w:pPr>
    </w:p>
    <w:p>
      <w:pPr>
        <w:ind w:left="660" w:hanging="328"/>
        <w:spacing w:after="0" w:line="262"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Vehicle depreciation and lease charges were reduced to 27.5% of revenue compared to 29.5% during the similar period in 2017, due to lower per-unit fleet costs and higher utilization.</w:t>
      </w:r>
    </w:p>
    <w:p>
      <w:pPr>
        <w:spacing w:after="0" w:line="196" w:lineRule="exact"/>
        <w:rPr>
          <w:rFonts w:ascii="Arial" w:cs="Arial" w:eastAsia="Arial" w:hAnsi="Arial"/>
          <w:sz w:val="18"/>
          <w:szCs w:val="18"/>
          <w:color w:val="auto"/>
        </w:rPr>
      </w:pPr>
    </w:p>
    <w:p>
      <w:pPr>
        <w:ind w:left="660" w:right="220" w:hanging="328"/>
        <w:spacing w:after="0" w:line="262"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Selling, general and administrative costs increased to 12.3% of revenue compared to 11.3% during the similar period in 2017, due to higher marketing costs and commissions.</w:t>
      </w:r>
    </w:p>
    <w:p>
      <w:pPr>
        <w:spacing w:after="0" w:line="196" w:lineRule="exact"/>
        <w:rPr>
          <w:rFonts w:ascii="Arial" w:cs="Arial" w:eastAsia="Arial" w:hAnsi="Arial"/>
          <w:sz w:val="18"/>
          <w:szCs w:val="18"/>
          <w:color w:val="auto"/>
        </w:rPr>
      </w:pPr>
    </w:p>
    <w:p>
      <w:pPr>
        <w:ind w:left="660" w:right="40" w:hanging="328"/>
        <w:spacing w:after="0" w:line="262"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Vehicle interest costs increased to 4.3% of revenue compared to 3.8% during the similar period in 2017, primarily due to higher interest rates.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560" w:type="dxa"/>
            <w:vAlign w:val="bottom"/>
          </w:tcPr>
          <w:p>
            <w:pPr>
              <w:spacing w:after="0"/>
              <w:rPr>
                <w:sz w:val="20"/>
                <w:szCs w:val="20"/>
                <w:color w:val="auto"/>
              </w:rPr>
            </w:pPr>
            <w:r>
              <w:rPr>
                <w:rFonts w:ascii="Arial" w:cs="Arial" w:eastAsia="Arial" w:hAnsi="Arial"/>
                <w:sz w:val="18"/>
                <w:szCs w:val="18"/>
                <w:b w:val="1"/>
                <w:bCs w:val="1"/>
                <w:i w:val="1"/>
                <w:iCs w:val="1"/>
                <w:color w:val="auto"/>
              </w:rPr>
              <w:t>International</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42"/>
        </w:trPr>
        <w:tc>
          <w:tcPr>
            <w:tcW w:w="7560" w:type="dxa"/>
            <w:vAlign w:val="bottom"/>
          </w:tcPr>
          <w:p>
            <w:pPr>
              <w:spacing w:after="0"/>
              <w:rPr>
                <w:sz w:val="24"/>
                <w:szCs w:val="24"/>
                <w:color w:val="auto"/>
              </w:rPr>
            </w:pPr>
          </w:p>
        </w:tc>
        <w:tc>
          <w:tcPr>
            <w:tcW w:w="2500" w:type="dxa"/>
            <w:vAlign w:val="bottom"/>
            <w:gridSpan w:val="7"/>
          </w:tcPr>
          <w:p>
            <w:pPr>
              <w:jc w:val="center"/>
              <w:ind w:right="80"/>
              <w:spacing w:after="0"/>
              <w:rPr>
                <w:sz w:val="20"/>
                <w:szCs w:val="20"/>
                <w:color w:val="auto"/>
              </w:rPr>
            </w:pPr>
            <w:r>
              <w:rPr>
                <w:rFonts w:ascii="Arial" w:cs="Arial" w:eastAsia="Arial" w:hAnsi="Arial"/>
                <w:sz w:val="18"/>
                <w:szCs w:val="18"/>
                <w:b w:val="1"/>
                <w:bCs w:val="1"/>
                <w:color w:val="auto"/>
              </w:rPr>
              <w:t>Three Months Ended June</w:t>
            </w:r>
          </w:p>
        </w:tc>
        <w:tc>
          <w:tcPr>
            <w:tcW w:w="1340" w:type="dxa"/>
            <w:vAlign w:val="bottom"/>
          </w:tcPr>
          <w:p>
            <w:pPr>
              <w:spacing w:after="0"/>
              <w:rPr>
                <w:sz w:val="24"/>
                <w:szCs w:val="24"/>
                <w:color w:val="auto"/>
              </w:rPr>
            </w:pPr>
          </w:p>
        </w:tc>
      </w:tr>
      <w:tr>
        <w:trPr>
          <w:trHeight w:val="246"/>
        </w:trPr>
        <w:tc>
          <w:tcPr>
            <w:tcW w:w="75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rPr>
              <w:t>30,</w:t>
            </w: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r>
      <w:tr>
        <w:trPr>
          <w:trHeight w:val="264"/>
        </w:trPr>
        <w:tc>
          <w:tcPr>
            <w:tcW w:w="75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2"/>
                <w:szCs w:val="22"/>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738</w:t>
            </w:r>
          </w:p>
        </w:tc>
        <w:tc>
          <w:tcPr>
            <w:tcW w:w="4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756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w:t>
            </w:r>
          </w:p>
        </w:tc>
      </w:tr>
    </w:tbl>
    <w:p>
      <w:pPr>
        <w:spacing w:after="0" w:line="229" w:lineRule="exact"/>
        <w:rPr>
          <w:sz w:val="20"/>
          <w:szCs w:val="20"/>
          <w:color w:val="auto"/>
        </w:rPr>
      </w:pPr>
    </w:p>
    <w:p>
      <w:pPr>
        <w:jc w:val="both"/>
        <w:ind w:right="360"/>
        <w:spacing w:after="0" w:line="256" w:lineRule="auto"/>
        <w:rPr>
          <w:sz w:val="20"/>
          <w:szCs w:val="20"/>
          <w:color w:val="auto"/>
        </w:rPr>
      </w:pPr>
      <w:r>
        <w:rPr>
          <w:rFonts w:ascii="Arial" w:cs="Arial" w:eastAsia="Arial" w:hAnsi="Arial"/>
          <w:sz w:val="18"/>
          <w:szCs w:val="18"/>
          <w:color w:val="auto"/>
        </w:rPr>
        <w:t>Revenues were 10% higher during the three months ended June 30, 2018, compared to the similar period in 2017, due to 6% higher rental volumes and a $40 million benefit from currency exchange rate movements, partially offset by a 2% decrease in revenue per day excluding currency exchange rate movements.</w:t>
      </w:r>
    </w:p>
    <w:p>
      <w:pPr>
        <w:spacing w:after="0" w:line="202"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color w:val="auto"/>
        </w:rPr>
        <w:t>Adjusted EBITDA increased 20% during the three months ended June 30, 2018, compared to the similar period in 2017, primarily due to increased revenues and a $19 million benefit from currency exchange rate movements.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June 30, 2018:</w:t>
      </w:r>
    </w:p>
    <w:p>
      <w:pPr>
        <w:spacing w:after="0" w:line="225" w:lineRule="exact"/>
        <w:rPr>
          <w:sz w:val="20"/>
          <w:szCs w:val="20"/>
          <w:color w:val="auto"/>
        </w:rPr>
      </w:pPr>
    </w:p>
    <w:p>
      <w:pPr>
        <w:ind w:left="660" w:right="480" w:hanging="328"/>
        <w:spacing w:after="0" w:line="262"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Operating expenses decreased to 52.7% of revenue compared to 53.3% during the similar period in 2017, due to currency hedge gains, partially offset by higher maintenance and damage costs.</w:t>
      </w:r>
    </w:p>
    <w:p>
      <w:pPr>
        <w:spacing w:after="0" w:line="196" w:lineRule="exact"/>
        <w:rPr>
          <w:rFonts w:ascii="Arial" w:cs="Arial" w:eastAsia="Arial" w:hAnsi="Arial"/>
          <w:sz w:val="18"/>
          <w:szCs w:val="18"/>
          <w:color w:val="auto"/>
        </w:rPr>
      </w:pPr>
    </w:p>
    <w:p>
      <w:pPr>
        <w:ind w:left="660" w:right="140" w:hanging="328"/>
        <w:spacing w:after="0" w:line="262"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Vehicle depreciation and lease charges increased to 20.8% of revenue compared to 20.3% during the similar period in 2017, primarily due to lower revenue per day excluding exchange rate movements.</w:t>
      </w:r>
    </w:p>
    <w:p>
      <w:pPr>
        <w:spacing w:after="0" w:line="196" w:lineRule="exact"/>
        <w:rPr>
          <w:rFonts w:ascii="Arial" w:cs="Arial" w:eastAsia="Arial" w:hAnsi="Arial"/>
          <w:sz w:val="18"/>
          <w:szCs w:val="18"/>
          <w:color w:val="auto"/>
        </w:rPr>
      </w:pPr>
    </w:p>
    <w:p>
      <w:pPr>
        <w:ind w:left="660" w:right="120" w:hanging="328"/>
        <w:spacing w:after="0" w:line="262"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Selling, general and administrative costs were reduced to 15.2% of revenue compared to 15.6% during the similar period in 2017, due to increased revenues.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Vehicle interest costs were 1.7% of revenue compared to 2.1% during the similar period in 2017.</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40"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2018 vs. Six Months Ended June 30, 2017</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00" w:type="dxa"/>
            <w:vAlign w:val="bottom"/>
          </w:tcPr>
          <w:p>
            <w:pPr>
              <w:spacing w:after="0"/>
              <w:rPr>
                <w:sz w:val="20"/>
                <w:szCs w:val="20"/>
                <w:color w:val="auto"/>
              </w:rPr>
            </w:pPr>
            <w:r>
              <w:rPr>
                <w:rFonts w:ascii="Arial" w:cs="Arial" w:eastAsia="Arial" w:hAnsi="Arial"/>
                <w:sz w:val="18"/>
                <w:szCs w:val="18"/>
                <w:color w:val="auto"/>
              </w:rPr>
              <w:t>Our consolidated results of operations comprised the following:</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342"/>
        </w:trPr>
        <w:tc>
          <w:tcPr>
            <w:tcW w:w="6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60" w:type="dxa"/>
            <w:vAlign w:val="bottom"/>
            <w:gridSpan w:val="5"/>
          </w:tcPr>
          <w:p>
            <w:pPr>
              <w:ind w:left="160"/>
              <w:spacing w:after="0"/>
              <w:rPr>
                <w:sz w:val="20"/>
                <w:szCs w:val="20"/>
                <w:color w:val="auto"/>
              </w:rPr>
            </w:pPr>
            <w:r>
              <w:rPr>
                <w:rFonts w:ascii="Arial" w:cs="Arial" w:eastAsia="Arial" w:hAnsi="Arial"/>
                <w:sz w:val="18"/>
                <w:szCs w:val="18"/>
                <w:b w:val="1"/>
                <w:bCs w:val="1"/>
                <w:color w:val="auto"/>
              </w:rPr>
              <w:t>Six Months Ended</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46"/>
        </w:trPr>
        <w:tc>
          <w:tcPr>
            <w:tcW w:w="60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64"/>
        </w:trPr>
        <w:tc>
          <w:tcPr>
            <w:tcW w:w="60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2017</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 Change</w:t>
            </w:r>
          </w:p>
        </w:tc>
        <w:tc>
          <w:tcPr>
            <w:tcW w:w="100" w:type="dxa"/>
            <w:vAlign w:val="bottom"/>
          </w:tcPr>
          <w:p>
            <w:pPr>
              <w:spacing w:after="0"/>
              <w:rPr>
                <w:sz w:val="22"/>
                <w:szCs w:val="22"/>
                <w:color w:val="auto"/>
              </w:rPr>
            </w:pP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50"/>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4,296</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4,077</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219</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5%</w:t>
            </w:r>
          </w:p>
        </w:tc>
      </w:tr>
      <w:tr>
        <w:trPr>
          <w:trHeight w:val="486"/>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Operating</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2,267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2,157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Vehicle depreciation and lease charges, net</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1,106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1,101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0%</w:t>
            </w: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555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Vehicle interest, net</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Non-vehicle related depreciation and amortization</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0%</w:t>
            </w: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Interest expense related to corporate debt, net:</w:t>
            </w: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70"/>
        </w:trPr>
        <w:tc>
          <w:tcPr>
            <w:tcW w:w="600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2%</w:t>
            </w:r>
          </w:p>
        </w:tc>
      </w:tr>
      <w:tr>
        <w:trPr>
          <w:trHeight w:val="270"/>
        </w:trPr>
        <w:tc>
          <w:tcPr>
            <w:tcW w:w="6000" w:type="dxa"/>
            <w:vAlign w:val="bottom"/>
          </w:tcPr>
          <w:p>
            <w:pPr>
              <w:ind w:left="380"/>
              <w:spacing w:after="0"/>
              <w:rPr>
                <w:sz w:val="20"/>
                <w:szCs w:val="20"/>
                <w:color w:val="auto"/>
              </w:rPr>
            </w:pPr>
            <w:r>
              <w:rPr>
                <w:rFonts w:ascii="Arial" w:cs="Arial" w:eastAsia="Arial" w:hAnsi="Arial"/>
                <w:sz w:val="18"/>
                <w:szCs w:val="18"/>
                <w:color w:val="auto"/>
              </w:rPr>
              <w:t>Early extinguishment of debt</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(67%)</w:t>
            </w: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Restructuring and other related charges</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78%</w:t>
            </w:r>
          </w:p>
        </w:tc>
      </w:tr>
      <w:tr>
        <w:trPr>
          <w:trHeight w:val="277"/>
        </w:trPr>
        <w:tc>
          <w:tcPr>
            <w:tcW w:w="6000" w:type="dxa"/>
            <w:vAlign w:val="bottom"/>
          </w:tcPr>
          <w:p>
            <w:pPr>
              <w:ind w:left="240"/>
              <w:spacing w:after="0"/>
              <w:rPr>
                <w:sz w:val="20"/>
                <w:szCs w:val="20"/>
                <w:color w:val="auto"/>
              </w:rPr>
            </w:pPr>
            <w:r>
              <w:rPr>
                <w:rFonts w:ascii="Arial" w:cs="Arial" w:eastAsia="Arial" w:hAnsi="Arial"/>
                <w:sz w:val="18"/>
                <w:szCs w:val="18"/>
                <w:color w:val="auto"/>
              </w:rPr>
              <w:t>Transaction-related costs, net</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13%</w:t>
            </w:r>
          </w:p>
        </w:tc>
      </w:tr>
      <w:tr>
        <w:trPr>
          <w:trHeight w:val="250"/>
        </w:trPr>
        <w:tc>
          <w:tcPr>
            <w:tcW w:w="600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4,387</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4,231</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486"/>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Loss before income taxes</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63</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41%</w:t>
            </w:r>
          </w:p>
        </w:tc>
      </w:tr>
      <w:tr>
        <w:trPr>
          <w:trHeight w:val="277"/>
        </w:trPr>
        <w:tc>
          <w:tcPr>
            <w:tcW w:w="6000" w:type="dxa"/>
            <w:vAlign w:val="bottom"/>
          </w:tcPr>
          <w:p>
            <w:pPr>
              <w:ind w:left="40"/>
              <w:spacing w:after="0"/>
              <w:rPr>
                <w:sz w:val="20"/>
                <w:szCs w:val="20"/>
                <w:color w:val="auto"/>
              </w:rPr>
            </w:pPr>
            <w:r>
              <w:rPr>
                <w:rFonts w:ascii="Arial" w:cs="Arial" w:eastAsia="Arial" w:hAnsi="Arial"/>
                <w:sz w:val="18"/>
                <w:szCs w:val="18"/>
                <w:color w:val="auto"/>
              </w:rPr>
              <w:t>Benefit from income taxes</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(40%)</w:t>
            </w:r>
          </w:p>
        </w:tc>
      </w:tr>
      <w:tr>
        <w:trPr>
          <w:trHeight w:val="486"/>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Net loss</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41%</w:t>
            </w:r>
          </w:p>
        </w:tc>
      </w:tr>
      <w:tr>
        <w:trPr>
          <w:trHeight w:val="20"/>
        </w:trPr>
        <w:tc>
          <w:tcPr>
            <w:tcW w:w="6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During the six months ended June 30, 2018, our revenues increased as a result of a 4% increase in rental volumes and a $104 million benefit from currency exchange rate movements, partially offset by a 1% reduction in revenue per day excluding exchange rate movements. Total expenses increased as a result of increased volumes, increased marketing costs and commissions, and higher vehicle interest rates, partially offset by a 2% decrease in per-unit fleet costs (including a 2% negative impact from currency exchange rate movements). These increases include a $83 million negative effect from currency exchange rate movements. Our effective tax rates were a benefit of 33% and 32% during the six months ended June 30, 2018 and 2017, respectively. As a result of these items, our net loss decreased by $43 million.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2018, the Company reported a loss of $0.75 per diluted share, which includes after-tax restructuring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related charges of ($0.10) per share, after-tax non-operational charges related to shareholder activist activity of ($0.08) per share, after-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tax transaction-related costs of ($0.07) per share and after-tax debt extinguishment costs of ($0.05) per share. During the six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30, 2017, the Company reported a loss of $1.22 per diluted share, which includes after-tax restructuring and other related charges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($0.33) per share, after-tax transaction-related costs of ($0.08) per share, after-tax debt extinguishment costs of ($0.02) per share and after-tax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reversal of charges for legal matter of $0.10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2018:</w:t>
      </w:r>
    </w:p>
    <w:p>
      <w:pPr>
        <w:spacing w:after="0" w:line="225"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Operating expenses were 52.8% of revenue compared to 52.9% during the similar period in 2017.</w:t>
      </w:r>
    </w:p>
    <w:p>
      <w:pPr>
        <w:spacing w:after="0" w:line="225" w:lineRule="exact"/>
        <w:rPr>
          <w:rFonts w:ascii="Arial" w:cs="Arial" w:eastAsia="Arial" w:hAnsi="Arial"/>
          <w:sz w:val="18"/>
          <w:szCs w:val="18"/>
          <w:color w:val="auto"/>
        </w:rPr>
      </w:pPr>
    </w:p>
    <w:p>
      <w:pPr>
        <w:ind w:left="660" w:right="60" w:hanging="328"/>
        <w:spacing w:after="0" w:line="262"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Vehicle depreciation and lease charges decreased to 25.8% of revenue compared to 27.0% during the similar period in 2017, primarily due to the Americas’ lower per-unit fleet costs and higher utilization.</w:t>
      </w:r>
    </w:p>
    <w:p>
      <w:pPr>
        <w:spacing w:after="0" w:line="196"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Selling, general and administrative costs increased to 14.4% of revenue compared to 13.6% during the similar period in 2017, primarily due to higher marketing costs and commissions.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Vehicle interest costs were 3.5% of revenue compared to 3.4% during the similar period in 2017.</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40"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more detailed discussion of the results of each of our reportable segments and reconciliation of net loss to Adjusted EBITDA:</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50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gridSpan w:val="5"/>
          </w:tcPr>
          <w:p>
            <w:pPr>
              <w:ind w:left="120"/>
              <w:spacing w:after="0"/>
              <w:rPr>
                <w:sz w:val="20"/>
                <w:szCs w:val="20"/>
                <w:color w:val="auto"/>
              </w:rPr>
            </w:pPr>
            <w:r>
              <w:rPr>
                <w:rFonts w:ascii="Arial" w:cs="Arial" w:eastAsia="Arial" w:hAnsi="Arial"/>
                <w:sz w:val="18"/>
                <w:szCs w:val="18"/>
                <w:b w:val="1"/>
                <w:bCs w:val="1"/>
                <w:color w:val="auto"/>
              </w:rPr>
              <w:t>Six Months Ended June 30,</w:t>
            </w: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r>
      <w:tr>
        <w:trPr>
          <w:trHeight w:val="264"/>
        </w:trPr>
        <w:tc>
          <w:tcPr>
            <w:tcW w:w="50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12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1240" w:type="dxa"/>
            <w:vAlign w:val="bottom"/>
            <w:tcBorders>
              <w:bottom w:val="single" w:sz="8" w:color="auto"/>
            </w:tcBorders>
          </w:tcPr>
          <w:p>
            <w:pPr>
              <w:spacing w:after="0"/>
              <w:rPr>
                <w:sz w:val="22"/>
                <w:szCs w:val="22"/>
                <w:color w:val="auto"/>
              </w:rPr>
            </w:pPr>
          </w:p>
        </w:tc>
      </w:tr>
      <w:tr>
        <w:trPr>
          <w:trHeight w:val="207"/>
        </w:trPr>
        <w:tc>
          <w:tcPr>
            <w:tcW w:w="5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ind w:right="270"/>
              <w:spacing w:after="0"/>
              <w:rPr>
                <w:sz w:val="20"/>
                <w:szCs w:val="20"/>
                <w:color w:val="auto"/>
              </w:rPr>
            </w:pPr>
            <w:r>
              <w:rPr>
                <w:rFonts w:ascii="Arial" w:cs="Arial" w:eastAsia="Arial" w:hAnsi="Arial"/>
                <w:sz w:val="18"/>
                <w:szCs w:val="18"/>
                <w:b w:val="1"/>
                <w:bCs w:val="1"/>
                <w:color w:val="auto"/>
              </w:rPr>
              <w:t>Adjusted</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center"/>
              <w:ind w:right="170"/>
              <w:spacing w:after="0"/>
              <w:rPr>
                <w:sz w:val="20"/>
                <w:szCs w:val="20"/>
                <w:color w:val="auto"/>
              </w:rPr>
            </w:pPr>
            <w:r>
              <w:rPr>
                <w:rFonts w:ascii="Arial" w:cs="Arial" w:eastAsia="Arial" w:hAnsi="Arial"/>
                <w:sz w:val="18"/>
                <w:szCs w:val="18"/>
                <w:b w:val="1"/>
                <w:bCs w:val="1"/>
                <w:color w:val="auto"/>
              </w:rPr>
              <w:t>Adjusted</w:t>
            </w:r>
          </w:p>
        </w:tc>
      </w:tr>
      <w:tr>
        <w:trPr>
          <w:trHeight w:val="246"/>
        </w:trPr>
        <w:tc>
          <w:tcPr>
            <w:tcW w:w="50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EBITDA</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8"/>
              </w:rPr>
              <w:t>EBITDA</w:t>
            </w:r>
          </w:p>
        </w:tc>
      </w:tr>
      <w:tr>
        <w:trPr>
          <w:trHeight w:val="243"/>
        </w:trPr>
        <w:tc>
          <w:tcPr>
            <w:tcW w:w="5080" w:type="dxa"/>
            <w:vAlign w:val="bottom"/>
          </w:tcPr>
          <w:p>
            <w:pPr>
              <w:spacing w:after="0"/>
              <w:rPr>
                <w:sz w:val="20"/>
                <w:szCs w:val="20"/>
                <w:color w:val="auto"/>
              </w:rPr>
            </w:pPr>
            <w:r>
              <w:rPr>
                <w:rFonts w:ascii="Arial" w:cs="Arial" w:eastAsia="Arial" w:hAnsi="Arial"/>
                <w:sz w:val="18"/>
                <w:szCs w:val="18"/>
                <w:color w:val="auto"/>
              </w:rPr>
              <w:t>Americas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2,938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2,879</w:t>
            </w:r>
          </w:p>
        </w:tc>
        <w:tc>
          <w:tcPr>
            <w:tcW w:w="100" w:type="dxa"/>
            <w:vAlign w:val="bottom"/>
          </w:tcPr>
          <w:p>
            <w:pPr>
              <w:spacing w:after="0"/>
              <w:rPr>
                <w:sz w:val="21"/>
                <w:szCs w:val="21"/>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76</w:t>
            </w:r>
          </w:p>
        </w:tc>
      </w:tr>
      <w:tr>
        <w:trPr>
          <w:trHeight w:val="270"/>
        </w:trPr>
        <w:tc>
          <w:tcPr>
            <w:tcW w:w="5080" w:type="dxa"/>
            <w:vAlign w:val="bottom"/>
          </w:tcPr>
          <w:p>
            <w:pPr>
              <w:spacing w:after="0"/>
              <w:rPr>
                <w:sz w:val="20"/>
                <w:szCs w:val="20"/>
                <w:color w:val="auto"/>
              </w:rPr>
            </w:pPr>
            <w:r>
              <w:rPr>
                <w:rFonts w:ascii="Arial" w:cs="Arial" w:eastAsia="Arial" w:hAnsi="Arial"/>
                <w:sz w:val="18"/>
                <w:szCs w:val="18"/>
                <w:color w:val="auto"/>
              </w:rPr>
              <w:t>International</w:t>
            </w:r>
          </w:p>
        </w:tc>
        <w:tc>
          <w:tcPr>
            <w:tcW w:w="22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1,358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1,198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66</w:t>
            </w:r>
          </w:p>
        </w:tc>
      </w:tr>
      <w:tr>
        <w:trPr>
          <w:trHeight w:val="283"/>
        </w:trPr>
        <w:tc>
          <w:tcPr>
            <w:tcW w:w="5080" w:type="dxa"/>
            <w:vAlign w:val="bottom"/>
          </w:tcPr>
          <w:p>
            <w:pPr>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8"/>
                <w:szCs w:val="18"/>
                <w:color w:val="auto"/>
                <w:vertAlign w:val="superscript"/>
              </w:rPr>
              <w:t>(a)</w:t>
            </w: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50"/>
        </w:trPr>
        <w:tc>
          <w:tcPr>
            <w:tcW w:w="5080" w:type="dxa"/>
            <w:vAlign w:val="bottom"/>
          </w:tcPr>
          <w:p>
            <w:pPr>
              <w:ind w:left="120"/>
              <w:spacing w:after="0"/>
              <w:rPr>
                <w:sz w:val="20"/>
                <w:szCs w:val="20"/>
                <w:color w:val="auto"/>
              </w:rPr>
            </w:pPr>
            <w:r>
              <w:rPr>
                <w:rFonts w:ascii="Arial" w:cs="Arial" w:eastAsia="Arial" w:hAnsi="Arial"/>
                <w:sz w:val="18"/>
                <w:szCs w:val="18"/>
                <w:color w:val="auto"/>
              </w:rPr>
              <w:t>Total Company</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4,296</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4,077</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113</w:t>
            </w:r>
          </w:p>
        </w:tc>
      </w:tr>
      <w:tr>
        <w:trPr>
          <w:trHeight w:val="20"/>
        </w:trPr>
        <w:tc>
          <w:tcPr>
            <w:tcW w:w="5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r>
      <w:tr>
        <w:trPr>
          <w:trHeight w:val="474"/>
        </w:trPr>
        <w:tc>
          <w:tcPr>
            <w:tcW w:w="50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b w:val="1"/>
                <w:bCs w:val="1"/>
                <w:color w:val="auto"/>
              </w:rPr>
              <w:t>Reconciliation to Adjusted EBITDA</w:t>
            </w:r>
          </w:p>
        </w:tc>
      </w:tr>
      <w:tr>
        <w:trPr>
          <w:trHeight w:val="257"/>
        </w:trPr>
        <w:tc>
          <w:tcPr>
            <w:tcW w:w="5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5279390</wp:posOffset>
            </wp:positionH>
            <wp:positionV relativeFrom="paragraph">
              <wp:posOffset>8890</wp:posOffset>
            </wp:positionV>
            <wp:extent cx="19551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ectPr>
          <w:pgSz w:w="11900" w:h="16838" w:orient="portrait"/>
          <w:cols w:equalWidth="0" w:num="1">
            <w:col w:w="11400"/>
          </w:cols>
          <w:pgMar w:left="240" w:top="140" w:right="259" w:bottom="1440" w:gutter="0" w:footer="0" w:header="0"/>
        </w:sectPr>
      </w:pPr>
    </w:p>
    <w:p>
      <w:pPr>
        <w:spacing w:after="0" w:line="3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loss</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Benefit from income taxes</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Loss before income taxes</w:t>
      </w:r>
    </w:p>
    <w:p>
      <w:pPr>
        <w:spacing w:after="0" w:line="315" w:lineRule="exact"/>
        <w:rPr>
          <w:sz w:val="20"/>
          <w:szCs w:val="20"/>
          <w:color w:val="auto"/>
        </w:rPr>
      </w:pPr>
    </w:p>
    <w:p>
      <w:pPr>
        <w:ind w:left="620" w:right="3040" w:hanging="579"/>
        <w:spacing w:after="0" w:line="331" w:lineRule="auto"/>
        <w:tabs>
          <w:tab w:leader="none" w:pos="600" w:val="left"/>
        </w:tabs>
        <w:rPr>
          <w:sz w:val="20"/>
          <w:szCs w:val="20"/>
          <w:color w:val="auto"/>
        </w:rPr>
      </w:pPr>
      <w:r>
        <w:rPr>
          <w:rFonts w:ascii="Arial" w:cs="Arial" w:eastAsia="Arial" w:hAnsi="Arial"/>
          <w:sz w:val="17"/>
          <w:szCs w:val="17"/>
          <w:color w:val="auto"/>
        </w:rPr>
        <w:t>Add:</w:t>
        <w:tab/>
        <w:t>Non-vehicle related depreciation and amortization Interest expense related to corporate debt, net</w:t>
      </w:r>
    </w:p>
    <w:p>
      <w:pPr>
        <w:spacing w:after="0" w:line="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Interest expense</w:t>
      </w:r>
    </w:p>
    <w:p>
      <w:pPr>
        <w:spacing w:after="0" w:line="6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Early extinguishment of debt</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 xml:space="preserve">Non-operational charges related to shareholder activist activity </w:t>
      </w:r>
      <w:r>
        <w:rPr>
          <w:rFonts w:ascii="Arial" w:cs="Arial" w:eastAsia="Arial" w:hAnsi="Arial"/>
          <w:sz w:val="18"/>
          <w:szCs w:val="18"/>
          <w:color w:val="auto"/>
          <w:vertAlign w:val="superscript"/>
        </w:rPr>
        <w:t>(b)</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Restructuring and other related charges</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 xml:space="preserve">Transaction-related costs, net </w:t>
      </w:r>
      <w:r>
        <w:rPr>
          <w:rFonts w:ascii="Arial" w:cs="Arial" w:eastAsia="Arial" w:hAnsi="Arial"/>
          <w:sz w:val="18"/>
          <w:szCs w:val="18"/>
          <w:color w:val="auto"/>
          <w:vertAlign w:val="superscript"/>
        </w:rPr>
        <w:t>(c)</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 xml:space="preserve">Charges for legal matter, net </w:t>
      </w:r>
      <w:r>
        <w:rPr>
          <w:rFonts w:ascii="Arial" w:cs="Arial" w:eastAsia="Arial" w:hAnsi="Arial"/>
          <w:sz w:val="18"/>
          <w:szCs w:val="18"/>
          <w:color w:val="auto"/>
          <w:vertAlign w:val="superscript"/>
        </w:rPr>
        <w:t>(d)</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Adjusted EBITDA</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_________</w:t>
      </w:r>
    </w:p>
    <w:p>
      <w:pPr>
        <w:ind w:left="340" w:hanging="332"/>
        <w:spacing w:after="0" w:line="197" w:lineRule="auto"/>
        <w:tabs>
          <w:tab w:leader="none" w:pos="340" w:val="left"/>
        </w:tabs>
        <w:numPr>
          <w:ilvl w:val="0"/>
          <w:numId w:val="50"/>
        </w:numPr>
        <w:rPr>
          <w:rFonts w:ascii="Arial" w:cs="Arial" w:eastAsia="Arial" w:hAnsi="Arial"/>
          <w:sz w:val="18"/>
          <w:szCs w:val="18"/>
          <w:color w:val="auto"/>
          <w:vertAlign w:val="superscript"/>
        </w:rPr>
      </w:pPr>
      <w:r>
        <w:rPr>
          <w:rFonts w:ascii="Arial" w:cs="Arial" w:eastAsia="Arial" w:hAnsi="Arial"/>
          <w:sz w:val="14"/>
          <w:szCs w:val="14"/>
          <w:color w:val="auto"/>
        </w:rPr>
        <w:t>Includes unallocated corporate overhead which is not attributable to a particular segment.</w:t>
      </w:r>
    </w:p>
    <w:p>
      <w:pPr>
        <w:ind w:left="340" w:hanging="332"/>
        <w:spacing w:after="0" w:line="187" w:lineRule="auto"/>
        <w:tabs>
          <w:tab w:leader="none" w:pos="340" w:val="left"/>
        </w:tabs>
        <w:numPr>
          <w:ilvl w:val="0"/>
          <w:numId w:val="50"/>
        </w:numPr>
        <w:rPr>
          <w:rFonts w:ascii="Arial" w:cs="Arial" w:eastAsia="Arial" w:hAnsi="Arial"/>
          <w:sz w:val="18"/>
          <w:szCs w:val="18"/>
          <w:color w:val="auto"/>
          <w:vertAlign w:val="superscript"/>
        </w:rPr>
      </w:pPr>
      <w:r>
        <w:rPr>
          <w:rFonts w:ascii="Arial" w:cs="Arial" w:eastAsia="Arial" w:hAnsi="Arial"/>
          <w:sz w:val="14"/>
          <w:szCs w:val="14"/>
          <w:color w:val="auto"/>
        </w:rPr>
        <w:t>Reported within selling, general and administrative expenses in our consolidated condensed results of operations.</w:t>
      </w:r>
    </w:p>
    <w:p>
      <w:pPr>
        <w:ind w:left="340" w:hanging="332"/>
        <w:spacing w:after="0" w:line="187" w:lineRule="auto"/>
        <w:tabs>
          <w:tab w:leader="none" w:pos="340" w:val="left"/>
        </w:tabs>
        <w:numPr>
          <w:ilvl w:val="0"/>
          <w:numId w:val="50"/>
        </w:numPr>
        <w:rPr>
          <w:rFonts w:ascii="Arial" w:cs="Arial" w:eastAsia="Arial" w:hAnsi="Arial"/>
          <w:sz w:val="18"/>
          <w:szCs w:val="18"/>
          <w:color w:val="auto"/>
          <w:vertAlign w:val="superscript"/>
        </w:rPr>
      </w:pPr>
      <w:r>
        <w:rPr>
          <w:rFonts w:ascii="Arial" w:cs="Arial" w:eastAsia="Arial" w:hAnsi="Arial"/>
          <w:sz w:val="14"/>
          <w:szCs w:val="14"/>
          <w:color w:val="auto"/>
        </w:rPr>
        <w:t>Primarily comprised of acquisition- and integration-related expenses.</w:t>
      </w:r>
    </w:p>
    <w:p>
      <w:pPr>
        <w:ind w:left="340" w:hanging="332"/>
        <w:spacing w:after="0" w:line="199" w:lineRule="auto"/>
        <w:tabs>
          <w:tab w:leader="none" w:pos="340" w:val="left"/>
        </w:tabs>
        <w:numPr>
          <w:ilvl w:val="0"/>
          <w:numId w:val="50"/>
        </w:numPr>
        <w:rPr>
          <w:rFonts w:ascii="Arial" w:cs="Arial" w:eastAsia="Arial" w:hAnsi="Arial"/>
          <w:sz w:val="18"/>
          <w:szCs w:val="18"/>
          <w:color w:val="auto"/>
          <w:vertAlign w:val="superscript"/>
        </w:rPr>
      </w:pPr>
      <w:r>
        <w:rPr>
          <w:rFonts w:ascii="Arial" w:cs="Arial" w:eastAsia="Arial" w:hAnsi="Arial"/>
          <w:sz w:val="14"/>
          <w:szCs w:val="14"/>
          <w:color w:val="auto"/>
        </w:rPr>
        <w:t>Reported within operating expenses in our consolidated condensed results of operations.</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tabs>
          <w:tab w:leader="none" w:pos="1080" w:val="left"/>
          <w:tab w:leader="none" w:pos="1580" w:val="left"/>
          <w:tab w:leader="none" w:pos="25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(61)</w:t>
        <w:tab/>
        <w:t>$</w:t>
      </w:r>
      <w:r>
        <w:rPr>
          <w:sz w:val="20"/>
          <w:szCs w:val="20"/>
          <w:color w:val="auto"/>
        </w:rPr>
        <w:tab/>
      </w:r>
      <w:r>
        <w:rPr>
          <w:rFonts w:ascii="Arial" w:cs="Arial" w:eastAsia="Arial" w:hAnsi="Arial"/>
          <w:sz w:val="17"/>
          <w:szCs w:val="17"/>
          <w:color w:val="auto"/>
        </w:rPr>
        <w:t>(104)</w:t>
      </w:r>
    </w:p>
    <w:p>
      <w:pPr>
        <w:spacing w:after="0" w:line="63" w:lineRule="exact"/>
        <w:rPr>
          <w:sz w:val="20"/>
          <w:szCs w:val="20"/>
          <w:color w:val="auto"/>
        </w:rPr>
      </w:pPr>
    </w:p>
    <w:p>
      <w:pPr>
        <w:ind w:left="2680" w:hanging="1589"/>
        <w:spacing w:after="0"/>
        <w:tabs>
          <w:tab w:leader="none" w:pos="26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22225</wp:posOffset>
            </wp:positionV>
            <wp:extent cx="19551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55" w:lineRule="exact"/>
        <w:rPr>
          <w:sz w:val="20"/>
          <w:szCs w:val="20"/>
          <w:color w:val="auto"/>
        </w:rPr>
      </w:pPr>
    </w:p>
    <w:p>
      <w:pPr>
        <w:ind w:left="2580" w:hanging="1489"/>
        <w:spacing w:after="0"/>
        <w:tabs>
          <w:tab w:leader="none" w:pos="25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(154)</w:t>
      </w:r>
    </w:p>
    <w:p>
      <w:pPr>
        <w:spacing w:after="0" w:line="304" w:lineRule="exact"/>
        <w:rPr>
          <w:sz w:val="20"/>
          <w:szCs w:val="20"/>
          <w:color w:val="auto"/>
        </w:rPr>
      </w:pPr>
    </w:p>
    <w:tbl>
      <w:tblPr>
        <w:tblLayout w:type="fixed"/>
        <w:tblInd w:w="1060" w:type="dxa"/>
        <w:tblCellMar>
          <w:top w:w="0" w:type="dxa"/>
          <w:left w:w="0" w:type="dxa"/>
          <w:bottom w:w="0" w:type="dxa"/>
          <w:right w:w="0" w:type="dxa"/>
        </w:tblCellMar>
      </w:tblPr>
      <w:tr>
        <w:trPr>
          <w:trHeight w:val="217"/>
        </w:trPr>
        <w:tc>
          <w:tcPr>
            <w:tcW w:w="940" w:type="dxa"/>
            <w:vAlign w:val="bottom"/>
          </w:tcPr>
          <w:p>
            <w:pPr>
              <w:jc w:val="right"/>
              <w:ind w:right="550"/>
              <w:spacing w:after="0"/>
              <w:rPr>
                <w:sz w:val="20"/>
                <w:szCs w:val="20"/>
                <w:color w:val="auto"/>
              </w:rPr>
            </w:pPr>
            <w:r>
              <w:rPr>
                <w:rFonts w:ascii="Arial" w:cs="Arial" w:eastAsia="Arial" w:hAnsi="Arial"/>
                <w:sz w:val="18"/>
                <w:szCs w:val="18"/>
                <w:color w:val="auto"/>
                <w:w w:val="93"/>
              </w:rPr>
              <w:t>128</w:t>
            </w:r>
          </w:p>
        </w:tc>
        <w:tc>
          <w:tcPr>
            <w:tcW w:w="94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540"/>
        </w:trPr>
        <w:tc>
          <w:tcPr>
            <w:tcW w:w="940" w:type="dxa"/>
            <w:vAlign w:val="bottom"/>
          </w:tcPr>
          <w:p>
            <w:pPr>
              <w:jc w:val="right"/>
              <w:ind w:right="550"/>
              <w:spacing w:after="0"/>
              <w:rPr>
                <w:sz w:val="20"/>
                <w:szCs w:val="20"/>
                <w:color w:val="auto"/>
              </w:rPr>
            </w:pPr>
            <w:r>
              <w:rPr>
                <w:rFonts w:ascii="Arial" w:cs="Arial" w:eastAsia="Arial" w:hAnsi="Arial"/>
                <w:sz w:val="18"/>
                <w:szCs w:val="18"/>
                <w:color w:val="auto"/>
              </w:rPr>
              <w:t>95</w:t>
            </w:r>
          </w:p>
        </w:tc>
        <w:tc>
          <w:tcPr>
            <w:tcW w:w="9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70"/>
        </w:trPr>
        <w:tc>
          <w:tcPr>
            <w:tcW w:w="940" w:type="dxa"/>
            <w:vAlign w:val="bottom"/>
          </w:tcPr>
          <w:p>
            <w:pPr>
              <w:jc w:val="right"/>
              <w:ind w:right="550"/>
              <w:spacing w:after="0"/>
              <w:rPr>
                <w:sz w:val="20"/>
                <w:szCs w:val="20"/>
                <w:color w:val="auto"/>
              </w:rPr>
            </w:pPr>
            <w:r>
              <w:rPr>
                <w:rFonts w:ascii="Arial" w:cs="Arial" w:eastAsia="Arial" w:hAnsi="Arial"/>
                <w:sz w:val="18"/>
                <w:szCs w:val="18"/>
                <w:color w:val="auto"/>
              </w:rPr>
              <w:t>5</w:t>
            </w: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940" w:type="dxa"/>
            <w:vAlign w:val="bottom"/>
          </w:tcPr>
          <w:p>
            <w:pPr>
              <w:jc w:val="right"/>
              <w:ind w:right="550"/>
              <w:spacing w:after="0"/>
              <w:rPr>
                <w:sz w:val="20"/>
                <w:szCs w:val="20"/>
                <w:color w:val="auto"/>
              </w:rPr>
            </w:pPr>
            <w:r>
              <w:rPr>
                <w:rFonts w:ascii="Arial" w:cs="Arial" w:eastAsia="Arial" w:hAnsi="Arial"/>
                <w:sz w:val="18"/>
                <w:szCs w:val="18"/>
                <w:color w:val="auto"/>
              </w:rPr>
              <w:t>9</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940" w:type="dxa"/>
            <w:vAlign w:val="bottom"/>
          </w:tcPr>
          <w:p>
            <w:pPr>
              <w:jc w:val="right"/>
              <w:ind w:right="550"/>
              <w:spacing w:after="0"/>
              <w:rPr>
                <w:sz w:val="20"/>
                <w:szCs w:val="20"/>
                <w:color w:val="auto"/>
              </w:rPr>
            </w:pPr>
            <w:r>
              <w:rPr>
                <w:rFonts w:ascii="Arial" w:cs="Arial" w:eastAsia="Arial" w:hAnsi="Arial"/>
                <w:sz w:val="18"/>
                <w:szCs w:val="18"/>
                <w:color w:val="auto"/>
              </w:rPr>
              <w:t>10</w:t>
            </w:r>
          </w:p>
        </w:tc>
        <w:tc>
          <w:tcPr>
            <w:tcW w:w="9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940" w:type="dxa"/>
            <w:vAlign w:val="bottom"/>
          </w:tcPr>
          <w:p>
            <w:pPr>
              <w:jc w:val="right"/>
              <w:ind w:right="550"/>
              <w:spacing w:after="0"/>
              <w:rPr>
                <w:sz w:val="20"/>
                <w:szCs w:val="20"/>
                <w:color w:val="auto"/>
              </w:rPr>
            </w:pPr>
            <w:r>
              <w:rPr>
                <w:rFonts w:ascii="Arial" w:cs="Arial" w:eastAsia="Arial" w:hAnsi="Arial"/>
                <w:sz w:val="18"/>
                <w:szCs w:val="18"/>
                <w:color w:val="auto"/>
              </w:rPr>
              <w:t>7</w:t>
            </w: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r>
    </w:tbl>
    <w:p>
      <w:pPr>
        <w:spacing w:after="0" w:line="5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w:t>
      </w: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14605</wp:posOffset>
            </wp:positionV>
            <wp:extent cx="19551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43" w:lineRule="exact"/>
        <w:rPr>
          <w:sz w:val="20"/>
          <w:szCs w:val="20"/>
          <w:color w:val="auto"/>
        </w:rPr>
      </w:pPr>
    </w:p>
    <w:p>
      <w:pPr>
        <w:spacing w:after="0"/>
        <w:tabs>
          <w:tab w:leader="none" w:pos="1040" w:val="left"/>
          <w:tab w:leader="none" w:pos="1580" w:val="left"/>
          <w:tab w:leader="none" w:pos="26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163</w:t>
        <w:tab/>
        <w:t>$</w:t>
      </w:r>
      <w:r>
        <w:rPr>
          <w:sz w:val="20"/>
          <w:szCs w:val="20"/>
          <w:color w:val="auto"/>
        </w:rPr>
        <w:tab/>
      </w: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14605</wp:posOffset>
            </wp:positionV>
            <wp:extent cx="195516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55165" cy="26035"/>
                    </a:xfrm>
                    <a:prstGeom prst="rect">
                      <a:avLst/>
                    </a:prstGeom>
                    <a:noFill/>
                  </pic:spPr>
                </pic:pic>
              </a:graphicData>
            </a:graphic>
          </wp:anchor>
        </w:drawing>
      </w:r>
    </w:p>
    <w:p>
      <w:pPr>
        <w:spacing w:after="0" w:line="1094" w:lineRule="exact"/>
        <w:rPr>
          <w:sz w:val="20"/>
          <w:szCs w:val="20"/>
          <w:color w:val="auto"/>
        </w:rPr>
      </w:pPr>
    </w:p>
    <w:p>
      <w:pPr>
        <w:sectPr>
          <w:pgSz w:w="11900" w:h="16838" w:orient="portrait"/>
          <w:cols w:equalWidth="0" w:num="2">
            <w:col w:w="7620" w:space="720"/>
            <w:col w:w="3060"/>
          </w:cols>
          <w:pgMar w:left="240" w:top="140" w:right="259" w:bottom="1440" w:gutter="0" w:footer="0" w:header="0"/>
          <w:type w:val="continuous"/>
        </w:sectPr>
      </w:pPr>
    </w:p>
    <w:tbl>
      <w:tblPr>
        <w:tblLayout w:type="fixed"/>
        <w:tblInd w:w="0" w:type="dxa"/>
        <w:tblCellMar>
          <w:top w:w="0" w:type="dxa"/>
          <w:left w:w="0" w:type="dxa"/>
          <w:bottom w:w="0" w:type="dxa"/>
          <w:right w:w="0" w:type="dxa"/>
        </w:tblCellMar>
      </w:tblPr>
      <w:tr>
        <w:trPr>
          <w:trHeight w:val="239"/>
        </w:trPr>
        <w:tc>
          <w:tcPr>
            <w:tcW w:w="7560" w:type="dxa"/>
            <w:vAlign w:val="bottom"/>
          </w:tcPr>
          <w:p>
            <w:pPr>
              <w:spacing w:after="0"/>
              <w:rPr>
                <w:sz w:val="20"/>
                <w:szCs w:val="20"/>
                <w:color w:val="auto"/>
              </w:rPr>
            </w:pPr>
            <w:r>
              <w:rPr>
                <w:rFonts w:ascii="Arial" w:cs="Arial" w:eastAsia="Arial" w:hAnsi="Arial"/>
                <w:sz w:val="18"/>
                <w:szCs w:val="18"/>
                <w:b w:val="1"/>
                <w:bCs w:val="1"/>
                <w:i w:val="1"/>
                <w:iCs w:val="1"/>
                <w:color w:val="auto"/>
              </w:rPr>
              <w:t>Americas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99"/>
        </w:trPr>
        <w:tc>
          <w:tcPr>
            <w:tcW w:w="7560" w:type="dxa"/>
            <w:vAlign w:val="bottom"/>
          </w:tcPr>
          <w:p>
            <w:pPr>
              <w:spacing w:after="0"/>
              <w:rPr>
                <w:sz w:val="24"/>
                <w:szCs w:val="24"/>
                <w:color w:val="auto"/>
              </w:rPr>
            </w:pPr>
          </w:p>
        </w:tc>
        <w:tc>
          <w:tcPr>
            <w:tcW w:w="2500" w:type="dxa"/>
            <w:vAlign w:val="bottom"/>
            <w:gridSpan w:val="6"/>
          </w:tcPr>
          <w:p>
            <w:pPr>
              <w:ind w:left="40"/>
              <w:spacing w:after="0"/>
              <w:rPr>
                <w:sz w:val="20"/>
                <w:szCs w:val="20"/>
                <w:color w:val="auto"/>
              </w:rPr>
            </w:pPr>
            <w:r>
              <w:rPr>
                <w:rFonts w:ascii="Arial" w:cs="Arial" w:eastAsia="Arial" w:hAnsi="Arial"/>
                <w:sz w:val="18"/>
                <w:szCs w:val="18"/>
                <w:b w:val="1"/>
                <w:bCs w:val="1"/>
                <w:color w:val="auto"/>
              </w:rPr>
              <w:t>Six Months Ended June 30,</w:t>
            </w:r>
          </w:p>
        </w:tc>
        <w:tc>
          <w:tcPr>
            <w:tcW w:w="1340" w:type="dxa"/>
            <w:vAlign w:val="bottom"/>
          </w:tcPr>
          <w:p>
            <w:pPr>
              <w:spacing w:after="0"/>
              <w:rPr>
                <w:sz w:val="24"/>
                <w:szCs w:val="24"/>
                <w:color w:val="auto"/>
              </w:rPr>
            </w:pPr>
          </w:p>
        </w:tc>
      </w:tr>
      <w:tr>
        <w:trPr>
          <w:trHeight w:val="264"/>
        </w:trPr>
        <w:tc>
          <w:tcPr>
            <w:tcW w:w="756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2,938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2,879</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756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61%</w:t>
            </w:r>
          </w:p>
        </w:tc>
      </w:tr>
    </w:tbl>
    <w:p>
      <w:pPr>
        <w:spacing w:after="0" w:line="22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Revenues increased 2% during the six months ended June 30, 2018, compared to the similar period in 2017, primarily due to a 3% increase in rental volumes.</w:t>
      </w:r>
    </w:p>
    <w:p>
      <w:pPr>
        <w:spacing w:after="0" w:line="196"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Adjusted EBITDA increased 61% in the six months ended June 30, 2018, compared to the similar period in 2017, due to higher revenues, 5% lower per-unit fleet costs and a 90 basis points increase in utilization. Currency movements increased Adjusted EBITDA by $4 million.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2018:</w:t>
      </w:r>
    </w:p>
    <w:p>
      <w:pPr>
        <w:spacing w:after="0" w:line="225"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Operating expenses decreased to 51.1% of revenue compared to 51.3% during the similar period in 2017.</w:t>
      </w:r>
    </w:p>
    <w:p>
      <w:pPr>
        <w:spacing w:after="0" w:line="225" w:lineRule="exact"/>
        <w:rPr>
          <w:rFonts w:ascii="Arial" w:cs="Arial" w:eastAsia="Arial" w:hAnsi="Arial"/>
          <w:sz w:val="18"/>
          <w:szCs w:val="18"/>
          <w:color w:val="auto"/>
        </w:rPr>
      </w:pPr>
    </w:p>
    <w:p>
      <w:pPr>
        <w:ind w:left="660" w:right="60" w:hanging="328"/>
        <w:spacing w:after="0" w:line="262"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Vehicle depreciation and lease charges decreased to 28.0% of revenue compared to 29.8% during the similar period in 2017, primarily due to lower per-unit fleet costs and higher utilization.</w:t>
      </w:r>
    </w:p>
    <w:p>
      <w:pPr>
        <w:spacing w:after="0" w:line="196" w:lineRule="exact"/>
        <w:rPr>
          <w:rFonts w:ascii="Arial" w:cs="Arial" w:eastAsia="Arial" w:hAnsi="Arial"/>
          <w:sz w:val="18"/>
          <w:szCs w:val="18"/>
          <w:color w:val="auto"/>
        </w:rPr>
      </w:pPr>
    </w:p>
    <w:p>
      <w:pPr>
        <w:ind w:left="660" w:right="200" w:hanging="328"/>
        <w:spacing w:after="0" w:line="262"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Selling, general and administrative costs increased to 12.5% of revenue compared to 11.9% during the similar period in 2017, due to higher marketing costs and commissions.</w:t>
      </w:r>
    </w:p>
    <w:p>
      <w:pPr>
        <w:sectPr>
          <w:pgSz w:w="11900" w:h="16838" w:orient="portrait"/>
          <w:cols w:equalWidth="0" w:num="1">
            <w:col w:w="11400"/>
          </w:cols>
          <w:pgMar w:left="240" w:top="140" w:right="259" w:bottom="1440" w:gutter="0" w:footer="0" w:header="0"/>
          <w:type w:val="continuous"/>
        </w:sect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00"/>
          </w:cols>
          <w:pgMar w:left="240" w:top="140" w:right="25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660" w:right="20" w:hanging="328"/>
        <w:spacing w:after="0" w:line="262"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Vehicle interest costs increased to 4.2% of revenue compared to 3.9% during the similar period in 2017, primarily due to higher interest rates.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560" w:type="dxa"/>
            <w:vAlign w:val="bottom"/>
          </w:tcPr>
          <w:p>
            <w:pPr>
              <w:spacing w:after="0"/>
              <w:rPr>
                <w:sz w:val="20"/>
                <w:szCs w:val="20"/>
                <w:color w:val="auto"/>
              </w:rPr>
            </w:pPr>
            <w:r>
              <w:rPr>
                <w:rFonts w:ascii="Arial" w:cs="Arial" w:eastAsia="Arial" w:hAnsi="Arial"/>
                <w:sz w:val="18"/>
                <w:szCs w:val="18"/>
                <w:b w:val="1"/>
                <w:bCs w:val="1"/>
                <w:i w:val="1"/>
                <w:iCs w:val="1"/>
                <w:color w:val="auto"/>
              </w:rPr>
              <w:t>International</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99"/>
        </w:trPr>
        <w:tc>
          <w:tcPr>
            <w:tcW w:w="7560" w:type="dxa"/>
            <w:vAlign w:val="bottom"/>
          </w:tcPr>
          <w:p>
            <w:pPr>
              <w:spacing w:after="0"/>
              <w:rPr>
                <w:sz w:val="24"/>
                <w:szCs w:val="24"/>
                <w:color w:val="auto"/>
              </w:rPr>
            </w:pPr>
          </w:p>
        </w:tc>
        <w:tc>
          <w:tcPr>
            <w:tcW w:w="2500" w:type="dxa"/>
            <w:vAlign w:val="bottom"/>
            <w:gridSpan w:val="6"/>
          </w:tcPr>
          <w:p>
            <w:pPr>
              <w:ind w:left="40"/>
              <w:spacing w:after="0"/>
              <w:rPr>
                <w:sz w:val="20"/>
                <w:szCs w:val="20"/>
                <w:color w:val="auto"/>
              </w:rPr>
            </w:pPr>
            <w:r>
              <w:rPr>
                <w:rFonts w:ascii="Arial" w:cs="Arial" w:eastAsia="Arial" w:hAnsi="Arial"/>
                <w:sz w:val="18"/>
                <w:szCs w:val="18"/>
                <w:b w:val="1"/>
                <w:bCs w:val="1"/>
                <w:color w:val="auto"/>
              </w:rPr>
              <w:t>Six Months Ended June 30,</w:t>
            </w:r>
          </w:p>
        </w:tc>
        <w:tc>
          <w:tcPr>
            <w:tcW w:w="1340" w:type="dxa"/>
            <w:vAlign w:val="bottom"/>
          </w:tcPr>
          <w:p>
            <w:pPr>
              <w:spacing w:after="0"/>
              <w:rPr>
                <w:sz w:val="24"/>
                <w:szCs w:val="24"/>
                <w:color w:val="auto"/>
              </w:rPr>
            </w:pPr>
          </w:p>
        </w:tc>
      </w:tr>
      <w:tr>
        <w:trPr>
          <w:trHeight w:val="264"/>
        </w:trPr>
        <w:tc>
          <w:tcPr>
            <w:tcW w:w="756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1,358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1,198</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756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229"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Revenues increased 13% during the six months ended June 30, 2018, compared to the similar period in 2017, primarily due to a 7% increase in rental volumes and a $101 million favorable effect from currency movements, partially offset by a 2% reduction in revenue per day excluding exchange rate movements.</w:t>
      </w:r>
    </w:p>
    <w:p>
      <w:pPr>
        <w:spacing w:after="0" w:line="202" w:lineRule="exact"/>
        <w:rPr>
          <w:sz w:val="20"/>
          <w:szCs w:val="20"/>
          <w:color w:val="auto"/>
        </w:rPr>
      </w:pPr>
    </w:p>
    <w:p>
      <w:pPr>
        <w:ind w:right="660"/>
        <w:spacing w:after="0" w:line="262" w:lineRule="auto"/>
        <w:rPr>
          <w:sz w:val="20"/>
          <w:szCs w:val="20"/>
          <w:color w:val="auto"/>
        </w:rPr>
      </w:pPr>
      <w:r>
        <w:rPr>
          <w:rFonts w:ascii="Arial" w:cs="Arial" w:eastAsia="Arial" w:hAnsi="Arial"/>
          <w:sz w:val="18"/>
          <w:szCs w:val="18"/>
          <w:color w:val="auto"/>
        </w:rPr>
        <w:t>Adjusted EBITDA increased 12% during the six months ended June 30, 2018, compared to the similar period in 2017, due to increased revenues and a $23 million favorable effect from currency movements, partially offset by increased maintenance and damage costs.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2018:</w:t>
      </w:r>
    </w:p>
    <w:p>
      <w:pPr>
        <w:spacing w:after="0" w:line="225" w:lineRule="exact"/>
        <w:rPr>
          <w:sz w:val="20"/>
          <w:szCs w:val="20"/>
          <w:color w:val="auto"/>
        </w:rPr>
      </w:pPr>
    </w:p>
    <w:p>
      <w:pPr>
        <w:ind w:left="660" w:right="220" w:hanging="328"/>
        <w:spacing w:after="0" w:line="262"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Operating expenses were reduced to 55.8% of revenue compared to 56.4% during the similar period in 2017, due to currency hedge gains, partially offset by higher maintenance and damage costs.</w:t>
      </w:r>
    </w:p>
    <w:p>
      <w:pPr>
        <w:spacing w:after="0" w:line="196" w:lineRule="exact"/>
        <w:rPr>
          <w:rFonts w:ascii="Arial" w:cs="Arial" w:eastAsia="Arial" w:hAnsi="Arial"/>
          <w:sz w:val="18"/>
          <w:szCs w:val="18"/>
          <w:color w:val="auto"/>
        </w:rPr>
      </w:pPr>
    </w:p>
    <w:p>
      <w:pPr>
        <w:ind w:left="660" w:right="120" w:hanging="328"/>
        <w:spacing w:after="0" w:line="262"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Vehicle depreciation and lease charges increased to 20.8% of revenue compared to 20.3% during the similar period in 2017, primarily due to lower revenue per day excluding exchange rate movements.</w:t>
      </w:r>
    </w:p>
    <w:p>
      <w:pPr>
        <w:spacing w:after="0" w:line="196" w:lineRule="exact"/>
        <w:rPr>
          <w:rFonts w:ascii="Arial" w:cs="Arial" w:eastAsia="Arial" w:hAnsi="Arial"/>
          <w:sz w:val="18"/>
          <w:szCs w:val="18"/>
          <w:color w:val="auto"/>
        </w:rPr>
      </w:pPr>
    </w:p>
    <w:p>
      <w:pPr>
        <w:ind w:left="660" w:right="200" w:hanging="328"/>
        <w:spacing w:after="0" w:line="262"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Selling, general and administrative costs increased to 15.9% of revenue compared to 15.6% during the similar period in 2017, due to higher marketing costs and commissions.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Vehicle interest costs were 2.0% of revenue compared to 2.1% during the similar period in 2017.</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present separately the financial data of our vehicle programs. These programs are distinct from our other activities as the assets under vehicle programs are generally funded through the issuance of debt that is collateralized by such assets. The income generated by these assets is used, in part, to repay the principal and interest associated with the debt. Cash inflows and outflows relating to the generation or acquisition of such assets and the principal debt repayment or financing of such assets are classified as activities of our vehicle programs. We believe it is appropriate to segregate the financial data of our vehicle programs because, ultimately, the source of repayment of such debt is the realization of such assets.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120" w:type="dxa"/>
            <w:vAlign w:val="bottom"/>
          </w:tcPr>
          <w:p>
            <w:pPr>
              <w:spacing w:after="0"/>
              <w:rPr>
                <w:sz w:val="20"/>
                <w:szCs w:val="20"/>
                <w:color w:val="auto"/>
              </w:rPr>
            </w:pPr>
            <w:r>
              <w:rPr>
                <w:rFonts w:ascii="Arial" w:cs="Arial" w:eastAsia="Arial" w:hAnsi="Arial"/>
                <w:sz w:val="18"/>
                <w:szCs w:val="18"/>
                <w:b w:val="1"/>
                <w:bCs w:val="1"/>
                <w:color w:val="auto"/>
              </w:rPr>
              <w:t>FINANCIAL CONDITION</w:t>
            </w: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42"/>
        </w:trPr>
        <w:tc>
          <w:tcPr>
            <w:tcW w:w="6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24"/>
                <w:szCs w:val="24"/>
                <w:color w:val="auto"/>
              </w:rPr>
            </w:pPr>
          </w:p>
        </w:tc>
        <w:tc>
          <w:tcPr>
            <w:tcW w:w="16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46"/>
        </w:trPr>
        <w:tc>
          <w:tcPr>
            <w:tcW w:w="6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Change</w:t>
            </w: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color w:val="auto"/>
              </w:rPr>
              <w:t>Total assets exclusive of assets under vehicle programs</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6,193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5,820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373</w:t>
            </w:r>
          </w:p>
        </w:tc>
      </w:tr>
      <w:tr>
        <w:trPr>
          <w:trHeight w:val="270"/>
        </w:trPr>
        <w:tc>
          <w:tcPr>
            <w:tcW w:w="6120" w:type="dxa"/>
            <w:vAlign w:val="bottom"/>
          </w:tcPr>
          <w:p>
            <w:pPr>
              <w:ind w:left="40"/>
              <w:spacing w:after="0"/>
              <w:rPr>
                <w:sz w:val="20"/>
                <w:szCs w:val="20"/>
                <w:color w:val="auto"/>
              </w:rPr>
            </w:pPr>
            <w:r>
              <w:rPr>
                <w:rFonts w:ascii="Arial" w:cs="Arial" w:eastAsia="Arial" w:hAnsi="Arial"/>
                <w:sz w:val="18"/>
                <w:szCs w:val="18"/>
                <w:color w:val="auto"/>
              </w:rPr>
              <w:t>Total liabilities exclusive of liabilities under vehicle programs</w:t>
            </w:r>
          </w:p>
        </w:tc>
        <w:tc>
          <w:tcPr>
            <w:tcW w:w="30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6,145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5,935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210</w:t>
            </w:r>
          </w:p>
        </w:tc>
      </w:tr>
      <w:tr>
        <w:trPr>
          <w:trHeight w:val="270"/>
        </w:trPr>
        <w:tc>
          <w:tcPr>
            <w:tcW w:w="6120" w:type="dxa"/>
            <w:vAlign w:val="bottom"/>
          </w:tcPr>
          <w:p>
            <w:pPr>
              <w:ind w:left="40"/>
              <w:spacing w:after="0"/>
              <w:rPr>
                <w:sz w:val="20"/>
                <w:szCs w:val="20"/>
                <w:color w:val="auto"/>
              </w:rPr>
            </w:pPr>
            <w:r>
              <w:rPr>
                <w:rFonts w:ascii="Arial" w:cs="Arial" w:eastAsia="Arial" w:hAnsi="Arial"/>
                <w:sz w:val="18"/>
                <w:szCs w:val="18"/>
                <w:color w:val="auto"/>
              </w:rPr>
              <w:t>Assets under vehicle programs</w:t>
            </w:r>
          </w:p>
        </w:tc>
        <w:tc>
          <w:tcPr>
            <w:tcW w:w="30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14,726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11,879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2,847</w:t>
            </w:r>
          </w:p>
        </w:tc>
      </w:tr>
      <w:tr>
        <w:trPr>
          <w:trHeight w:val="270"/>
        </w:trPr>
        <w:tc>
          <w:tcPr>
            <w:tcW w:w="6120" w:type="dxa"/>
            <w:vAlign w:val="bottom"/>
          </w:tcPr>
          <w:p>
            <w:pPr>
              <w:ind w:left="40"/>
              <w:spacing w:after="0"/>
              <w:rPr>
                <w:sz w:val="20"/>
                <w:szCs w:val="20"/>
                <w:color w:val="auto"/>
              </w:rPr>
            </w:pPr>
            <w:r>
              <w:rPr>
                <w:rFonts w:ascii="Arial" w:cs="Arial" w:eastAsia="Arial" w:hAnsi="Arial"/>
                <w:sz w:val="18"/>
                <w:szCs w:val="18"/>
                <w:color w:val="auto"/>
              </w:rPr>
              <w:t>Liabilities under vehicle programs</w:t>
            </w:r>
          </w:p>
        </w:tc>
        <w:tc>
          <w:tcPr>
            <w:tcW w:w="30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14,402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11,191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3,211</w:t>
            </w:r>
          </w:p>
        </w:tc>
      </w:tr>
      <w:tr>
        <w:trPr>
          <w:trHeight w:val="270"/>
        </w:trPr>
        <w:tc>
          <w:tcPr>
            <w:tcW w:w="612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(201)</w:t>
            </w:r>
          </w:p>
        </w:tc>
      </w:tr>
    </w:tbl>
    <w:p>
      <w:pPr>
        <w:spacing w:after="0" w:line="229"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Total assets exclusive of assets under vehicle programs increased primarily due to a seasonal increase in value-added tax receivables, which are recoverable from government agencies. Total liabilities exclusive of liabilities under vehicle programs increased due to a seasonal increase in accounts payable and other current liabilities.</w:t>
      </w:r>
    </w:p>
    <w:p>
      <w:pPr>
        <w:spacing w:after="0" w:line="202"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The increases in assets under vehicle programs and liabilities under vehicle programs are principally related to the seasonal increase in the size of our vehicle rental fleet. The decrease in stockholders’ equity is due to our net</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40"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loss, our repurchases of common stock and the adoption of ASU 2014-09 (See Note 1 to our Consolidated Condensed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color w:val="auto"/>
        </w:rPr>
        <w:t>Our principal sources of liquidity are cash on hand and our ability to generate cash through operations and financing activities, as well as available funding arrangements and committed credit facilities, each of which is discussed below.</w:t>
      </w:r>
    </w:p>
    <w:p>
      <w:pPr>
        <w:spacing w:after="0" w:line="19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During the six months ended June 30, 2018, we amended the terms of our Floating Rate Term Loan due 2022 and our Senior revolving credit facility maturing 2021 and extended the maturity to 2025 and 2023, respectively. In addition, our Avis Budget Rental Car Funding subsidiary issued approximately $400 million in asset-backed notes with an expected final payment date of September 2023 and a weighted average interest rate of 4%. The proceeds from these borrowings were used to fund the repayment of maturing vehicle-back debt and the acquisition of rental cars in the United States. We also increased our capacity under our European rental fleet securitization program by €150 million (approximately $175 million), the proceeds of which were used to finance fleet purchases for certain of our European operations, and extended its maturity to 2021.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740" w:type="dxa"/>
            <w:vAlign w:val="bottom"/>
          </w:tcPr>
          <w:p>
            <w:pPr>
              <w:spacing w:after="0"/>
              <w:rPr>
                <w:sz w:val="20"/>
                <w:szCs w:val="20"/>
                <w:color w:val="auto"/>
              </w:rPr>
            </w:pPr>
            <w:r>
              <w:rPr>
                <w:rFonts w:ascii="Arial" w:cs="Arial" w:eastAsia="Arial" w:hAnsi="Arial"/>
                <w:sz w:val="18"/>
                <w:szCs w:val="18"/>
                <w:b w:val="1"/>
                <w:bCs w:val="1"/>
                <w:color w:val="auto"/>
              </w:rPr>
              <w:t>CASH FLOWS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32"/>
        </w:trPr>
        <w:tc>
          <w:tcPr>
            <w:tcW w:w="6740" w:type="dxa"/>
            <w:vAlign w:val="bottom"/>
          </w:tcPr>
          <w:p>
            <w:pPr>
              <w:spacing w:after="0"/>
              <w:rPr>
                <w:sz w:val="20"/>
                <w:szCs w:val="20"/>
                <w:color w:val="auto"/>
              </w:rPr>
            </w:pPr>
            <w:r>
              <w:rPr>
                <w:rFonts w:ascii="Arial" w:cs="Arial" w:eastAsia="Arial" w:hAnsi="Arial"/>
                <w:sz w:val="18"/>
                <w:szCs w:val="18"/>
                <w:color w:val="auto"/>
              </w:rPr>
              <w:t>The following table summarizes our cash flows: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9"/>
        </w:trPr>
        <w:tc>
          <w:tcPr>
            <w:tcW w:w="67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1100" w:type="dxa"/>
            <w:vAlign w:val="bottom"/>
            <w:tcBorders>
              <w:bottom w:val="single" w:sz="8" w:color="auto"/>
            </w:tcBorders>
          </w:tcPr>
          <w:p>
            <w:pPr>
              <w:spacing w:after="0"/>
              <w:rPr>
                <w:sz w:val="24"/>
                <w:szCs w:val="24"/>
                <w:color w:val="auto"/>
              </w:rPr>
            </w:pPr>
          </w:p>
        </w:tc>
      </w:tr>
      <w:tr>
        <w:trPr>
          <w:trHeight w:val="264"/>
        </w:trPr>
        <w:tc>
          <w:tcPr>
            <w:tcW w:w="67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Change</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Cash provided by (used in):</w:t>
            </w: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0"/>
        </w:trPr>
        <w:tc>
          <w:tcPr>
            <w:tcW w:w="6740" w:type="dxa"/>
            <w:vAlign w:val="bottom"/>
          </w:tcPr>
          <w:p>
            <w:pPr>
              <w:ind w:left="44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1,121</w:t>
            </w:r>
          </w:p>
        </w:tc>
        <w:tc>
          <w:tcPr>
            <w:tcW w:w="12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1,139</w:t>
            </w:r>
          </w:p>
        </w:tc>
        <w:tc>
          <w:tcPr>
            <w:tcW w:w="12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6740" w:type="dxa"/>
            <w:vAlign w:val="bottom"/>
          </w:tcPr>
          <w:p>
            <w:pPr>
              <w:ind w:left="440"/>
              <w:spacing w:after="0"/>
              <w:rPr>
                <w:sz w:val="20"/>
                <w:szCs w:val="20"/>
                <w:color w:val="auto"/>
              </w:rPr>
            </w:pPr>
            <w:r>
              <w:rPr>
                <w:rFonts w:ascii="Arial" w:cs="Arial" w:eastAsia="Arial" w:hAnsi="Arial"/>
                <w:sz w:val="18"/>
                <w:szCs w:val="18"/>
                <w:color w:val="auto"/>
              </w:rPr>
              <w:t>Investing activities</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(3,748)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(3,186)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(562)</w:t>
            </w:r>
          </w:p>
        </w:tc>
      </w:tr>
      <w:tr>
        <w:trPr>
          <w:trHeight w:val="270"/>
        </w:trPr>
        <w:tc>
          <w:tcPr>
            <w:tcW w:w="6740" w:type="dxa"/>
            <w:vAlign w:val="bottom"/>
          </w:tcPr>
          <w:p>
            <w:pPr>
              <w:ind w:left="44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2,389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2,139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250</w:t>
            </w:r>
          </w:p>
        </w:tc>
      </w:tr>
      <w:tr>
        <w:trPr>
          <w:trHeight w:val="242"/>
        </w:trPr>
        <w:tc>
          <w:tcPr>
            <w:tcW w:w="6740" w:type="dxa"/>
            <w:vAlign w:val="bottom"/>
          </w:tcPr>
          <w:p>
            <w:pPr>
              <w:ind w:left="40"/>
              <w:spacing w:after="0"/>
              <w:rPr>
                <w:sz w:val="20"/>
                <w:szCs w:val="20"/>
                <w:color w:val="auto"/>
              </w:rPr>
            </w:pPr>
            <w:r>
              <w:rPr>
                <w:rFonts w:ascii="Arial" w:cs="Arial" w:eastAsia="Arial" w:hAnsi="Arial"/>
                <w:sz w:val="18"/>
                <w:szCs w:val="18"/>
                <w:color w:val="auto"/>
              </w:rPr>
              <w:t>Effect of changes in exchange rates on cash and cash equivalents, program and</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24"/>
        </w:trPr>
        <w:tc>
          <w:tcPr>
            <w:tcW w:w="674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(decrease) increase in cash and cash equivalents, program and restricted cash</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(368)</w:t>
            </w:r>
          </w:p>
        </w:tc>
      </w:tr>
      <w:tr>
        <w:trPr>
          <w:trHeight w:val="277"/>
        </w:trPr>
        <w:tc>
          <w:tcPr>
            <w:tcW w:w="6740" w:type="dxa"/>
            <w:vAlign w:val="bottom"/>
          </w:tcPr>
          <w:p>
            <w:pPr>
              <w:ind w:left="40"/>
              <w:spacing w:after="0"/>
              <w:rPr>
                <w:sz w:val="20"/>
                <w:szCs w:val="20"/>
                <w:color w:val="auto"/>
              </w:rPr>
            </w:pPr>
            <w:r>
              <w:rPr>
                <w:rFonts w:ascii="Arial" w:cs="Arial" w:eastAsia="Arial" w:hAnsi="Arial"/>
                <w:sz w:val="18"/>
                <w:szCs w:val="18"/>
                <w:color w:val="auto"/>
              </w:rPr>
              <w:t>Cash and cash equivalents, program and restricted cash, beginning of period</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901</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181</w:t>
            </w:r>
          </w:p>
        </w:tc>
      </w:tr>
      <w:tr>
        <w:trPr>
          <w:trHeight w:val="250"/>
        </w:trPr>
        <w:tc>
          <w:tcPr>
            <w:tcW w:w="6740" w:type="dxa"/>
            <w:vAlign w:val="bottom"/>
          </w:tcPr>
          <w:p>
            <w:pPr>
              <w:ind w:left="40"/>
              <w:spacing w:after="0"/>
              <w:rPr>
                <w:sz w:val="20"/>
                <w:szCs w:val="20"/>
                <w:color w:val="auto"/>
              </w:rPr>
            </w:pPr>
            <w:r>
              <w:rPr>
                <w:rFonts w:ascii="Arial" w:cs="Arial" w:eastAsia="Arial" w:hAnsi="Arial"/>
                <w:sz w:val="18"/>
                <w:szCs w:val="18"/>
                <w:color w:val="auto"/>
              </w:rPr>
              <w:t>Cash and cash equivalents, program and restricted cash, end of period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661</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848</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The decrease in cash provided by operating activities during the six months ended June 30, 2018 compared with the same period in 2017 is principally due to changes in the components of working capital.</w:t>
      </w:r>
    </w:p>
    <w:p>
      <w:pPr>
        <w:spacing w:after="0" w:line="19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increase in cash used in investing activities during the six months ended June 30, 2018 compared with the same period in 2017 is primarily due to an increase in investment in vehicles and a decrease in proceeds received on the disposition of vehicles.</w:t>
      </w:r>
    </w:p>
    <w:p>
      <w:pPr>
        <w:spacing w:after="0" w:line="196"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The increase in cash provided by financing activities during the six months ended June 30, 2018 compared with the same period in 2017 is primarily due to an increase in net borrowings under vehicle programs.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FINANCING ARRANGEMENTS</w:t>
      </w:r>
    </w:p>
    <w:p>
      <w:pPr>
        <w:spacing w:after="0" w:line="247"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At June 30, 2018, we had approximately $15.4 billion of indebtedness, including corporate indebtedness of approximately $3.6 billion and debt under vehicle programs of approximately $11.8 billion. For detailed information regarding our debt and borrowing arrangements, see Notes 11 and 12 to our Consolidated Condensed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24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primary liquidity needs include the procurement of rental vehicles to be used in our operations, servicing of corporate and vehicle-related debt and the payment of operating expenses. Our primary sources of funding are operating revenues, cash received upon the sale of vehicles, borrowings under our vehicle-backed borrowing</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40"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arrangements and our senior revolving credit facility, and other financing activities.</w:t>
      </w:r>
    </w:p>
    <w:p>
      <w:pPr>
        <w:spacing w:after="0" w:line="171"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As a result of the Tax Act, we are subject to a one-time transition tax on cumulative earnings of foreign subsidiaries. We recorded a provisional charge for the one-time transition tax of $104 million in the fourth quarter of 2017. The Tax Act provides companies the ability to offset the one-time transition tax with available tax attributes or elect to pay the tax over an eight year period. Although the Tax Act generally eliminates U.S. federal income taxes on dividends from foreign subsidiaries effective for years beginning January 1, 2018, we continue to evaluate the expected manner of recovery to determine whether or not to continue to assert indefinite reinvestment on a part or all of our undistributed foreign earnings. This requires us to analyze our global working capital and cash requirements in light of the Tax Act and the potential tax liabilities attributable to a repatriation to the U.S., such as foreign withholding taxes and U.S. tax on currency transaction gains or losses. We did not record any deferred taxes attributable to our investments in our foreign subsidiaries. We will record the tax effects of any change in our assertion in the period that the analysis is complete.</w:t>
      </w:r>
    </w:p>
    <w:p>
      <w:pPr>
        <w:spacing w:after="0" w:line="21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As discussed above, as of June 30, 2018, we have cash and cash equivalents of approximately $0.5 billion, available borrowing capacity under our committed credit facilities of approximately $0.5 billion and available capacity under our vehicle programs of approximately $1.5 billion.</w:t>
      </w:r>
    </w:p>
    <w:p>
      <w:pPr>
        <w:spacing w:after="0" w:line="196"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Our liquidity position could be negatively affected by financial market disruptions or a downturn in the U.S. and worldwide economies, which may result in unfavorable conditions in the vehicle rental industry, in the asset-backed financing market, and in the credit markets generally. We believe these factors have in the past affected and could in the future affect the debt ratings assigned to us by credit rating agencies and the cost of our borrowings. Additionally, a downturn in the worldwide economy or a disruption in the credit markets could impact our liquidity due to</w:t>
      </w:r>
    </w:p>
    <w:p>
      <w:pPr>
        <w:spacing w:after="0" w:line="1" w:lineRule="exact"/>
        <w:rPr>
          <w:sz w:val="20"/>
          <w:szCs w:val="20"/>
          <w:color w:val="auto"/>
        </w:rPr>
      </w:pPr>
    </w:p>
    <w:p>
      <w:pPr>
        <w:jc w:val="both"/>
        <w:ind w:right="60" w:firstLine="8"/>
        <w:spacing w:after="0" w:line="254" w:lineRule="auto"/>
        <w:tabs>
          <w:tab w:leader="none" w:pos="21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decreased demand and pricing for vehicles in the used-vehicle market, (ii) increased costs associated with, and/or reduced capacity or increased collateral needs under, our financings, (iii) the adverse impact of vehicle manufacturers being unable or unwilling to honor their obligations to repurchase or guarantee the depreciation on the related program vehicles and (iv) disruption in our ability to obtain financing due to negative credit events specific to us or affecting the overall debt market.</w:t>
      </w:r>
    </w:p>
    <w:p>
      <w:pPr>
        <w:spacing w:after="0" w:line="20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liquidity position could also be negatively impacted if we are unable to remain in compliance with the financial and other covenants associated with our senior credit facility and other borrowings, including a maximum leverage ratio. As of June 30, 2018, we were in compliance with the financial covenants governing our indebtedness. For additional information regarding our liquidity risks, see Part I, Item 1A, “Risk Factors” of our 2017 Form 10-K.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future contractual obligations have not changed significantly from the amounts reported within our 2017 Form 10-K with the exception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our commitment to purchase vehicles, which decreased by approximately $5.3 billion from December 31, 2017, to approximately $2.8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billion at June 30, 2018. Changes to our obligations related to corporate indebtedness and debt under vehicle programs are presented above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within the section titled “Liquidity and Capital Resources—Debt and Financing Arrangements” and also within Notes 11 and 12 to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Condensed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results of the majority of our recurring operations are recorded in our financial statements using accounting policies that are not particularly subjective, nor complex. However, in presenting our financial statements in conformity with generally accepted accounting principles, we are required to make estimates and assumptions that affect the amounts reported therein. Several of the estimates and assumptions that we are required to make pertain to matters that are inherently uncertain as they relate to future events. Presented within the section titled “Critical Accounting Policies” of our 2017 Form 10-K are the accounting policies (related to goodwill and other indefinite-lived intangible assets, vehicles, income taxes and public liability, property damage and other insurance liabilities) that we believe require subjective and/or complex judgments that could potentially affect 2018 reported results. There have been no significant changes to those accounting policies or our assessment of which accounting policies we would consider to be critical accounting policies.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40" w:right="2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247"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For detailed information regarding new accounting standards and their impact on our business, see Note 1 to our Consolidated Condensed Financial Statements.</w:t>
      </w:r>
    </w:p>
    <w:p>
      <w:pPr>
        <w:spacing w:after="0" w:line="17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47"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We are exposed to a variety of market risks, including changes in currency exchange rates, interest rates and gasoline prices. We assess our market risks based on changes in interest and currency exchange rates utilizing a sensitivity analysis that measures the potential impact on earnings, fair values and cash flows based on a hypothetical 10% change (increase and decrease) in interest and foreign currency exchange rates. We used June 30, 2018 market rates to perform a sensitivity analysis separately for each of these market risk exposures. We have determined, through such analyses, that the impact of a 10% change in interest or currency exchange rates on our results of operations, balance sheet and cash flows would not be material. Additionally, we have commodity price exposure related to fluctuations in the price of unleaded gasoline. We anticipate that such commodity risk will remain a market risk exposure for the foreseeable future. We determined that a 10% change in the price of unleaded gasoline would not have a material impact on our earnings for the period ended June 30, 2018. For additional information regarding our long-term borrowings and financial instruments, see Notes 11, 12 and 16 to our Consolidated Condensed Financial Statements.</w:t>
      </w:r>
    </w:p>
    <w:p>
      <w:pPr>
        <w:spacing w:after="0" w:line="19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ind w:left="340" w:hanging="332"/>
        <w:spacing w:after="0" w:line="258"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Disclosure Controls and Procedures. </w:t>
      </w:r>
      <w:r>
        <w:rPr>
          <w:rFonts w:ascii="Arial" w:cs="Arial" w:eastAsia="Arial" w:hAnsi="Arial"/>
          <w:sz w:val="18"/>
          <w:szCs w:val="18"/>
          <w:color w:val="auto"/>
        </w:rPr>
        <w:t>Under the supervision and with the participation of our Chief Executive Officer and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our management conducted an evaluation of the effectiveness of our disclosure controls and procedures (as such term is defined in Rules 13a-15(e) and 15d-15(e) under the Securities Exchange Act of 1934, as amended (the “Exchange Act”)). Based on such evaluation, our Chief Executive Officer and Chief Financial Officer have concluded that our disclosure controls and procedures were effective as of June 30, 2018.</w:t>
      </w:r>
    </w:p>
    <w:p>
      <w:pPr>
        <w:spacing w:after="0" w:line="183" w:lineRule="exact"/>
        <w:rPr>
          <w:rFonts w:ascii="Arial" w:cs="Arial" w:eastAsia="Arial" w:hAnsi="Arial"/>
          <w:sz w:val="18"/>
          <w:szCs w:val="18"/>
          <w:color w:val="auto"/>
        </w:rPr>
      </w:pPr>
    </w:p>
    <w:p>
      <w:pPr>
        <w:ind w:left="340" w:right="20" w:hanging="332"/>
        <w:spacing w:after="0" w:line="266"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During the fiscal quarter to which this report relates, there has been no change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internal control over financial reporting (as such term is defined in Rules 13a-15(f) and 15d-15(f) under the Exchange Act) that has materially affected, or is reasonably likely to materially affect, the Company’s internal control over financial reporting.</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40"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4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During the quarter ended June 30, 2018, the Company had no material developments to report with respect to its legal proceedings. For additional information regarding the Company’s legal proceedings, see Note 13 to our Consolidated Condensed Financial Statements and refer to the Company’s 2017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7"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During the quarter ended June 30, 2018, the Company had no material developments to report with respect to its risk factors. For additional information regarding the Company’s risk factors, please refer to the Company’s 2017 Form 10-K.</w:t>
      </w:r>
    </w:p>
    <w:p>
      <w:pPr>
        <w:spacing w:after="0" w:line="17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tab/>
        <w:t>Unregistered Sales of Equity Securities and Use of Proceeds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common stock repurchases by month for the quarter ended June 30, 2018:</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8"/>
              </w:rPr>
              <w:t>Total Number of</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Approximate Dollar</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Shares Purchased as</w:t>
            </w:r>
          </w:p>
        </w:tc>
        <w:tc>
          <w:tcPr>
            <w:tcW w:w="120" w:type="dxa"/>
            <w:vAlign w:val="bottom"/>
          </w:tcPr>
          <w:p>
            <w:pPr>
              <w:spacing w:after="0"/>
              <w:rPr>
                <w:sz w:val="17"/>
                <w:szCs w:val="17"/>
                <w:color w:val="auto"/>
              </w:rPr>
            </w:pPr>
          </w:p>
        </w:tc>
        <w:tc>
          <w:tcPr>
            <w:tcW w:w="19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Value of Shares That</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Part of Publicly</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7"/>
              </w:rPr>
              <w:t>May Yet Be</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19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Total Number of</w:t>
            </w:r>
          </w:p>
        </w:tc>
        <w:tc>
          <w:tcPr>
            <w:tcW w:w="120" w:type="dxa"/>
            <w:vAlign w:val="bottom"/>
          </w:tcPr>
          <w:p>
            <w:pPr>
              <w:spacing w:after="0"/>
              <w:rPr>
                <w:sz w:val="17"/>
                <w:szCs w:val="17"/>
                <w:color w:val="auto"/>
              </w:rPr>
            </w:pPr>
          </w:p>
        </w:tc>
        <w:tc>
          <w:tcPr>
            <w:tcW w:w="1940" w:type="dxa"/>
            <w:vAlign w:val="bottom"/>
            <w:gridSpan w:val="3"/>
          </w:tcPr>
          <w:p>
            <w:pPr>
              <w:jc w:val="center"/>
              <w:ind w:right="120"/>
              <w:spacing w:after="0" w:line="202" w:lineRule="exact"/>
              <w:rPr>
                <w:sz w:val="20"/>
                <w:szCs w:val="20"/>
                <w:color w:val="auto"/>
              </w:rPr>
            </w:pPr>
            <w:r>
              <w:rPr>
                <w:rFonts w:ascii="Arial" w:cs="Arial" w:eastAsia="Arial" w:hAnsi="Arial"/>
                <w:sz w:val="18"/>
                <w:szCs w:val="18"/>
                <w:b w:val="1"/>
                <w:bCs w:val="1"/>
                <w:color w:val="auto"/>
                <w:w w:val="99"/>
              </w:rPr>
              <w:t>Average Price Paid</w:t>
            </w:r>
          </w:p>
        </w:tc>
        <w:tc>
          <w:tcPr>
            <w:tcW w:w="19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Announced Plans or</w:t>
            </w:r>
          </w:p>
        </w:tc>
        <w:tc>
          <w:tcPr>
            <w:tcW w:w="120" w:type="dxa"/>
            <w:vAlign w:val="bottom"/>
          </w:tcPr>
          <w:p>
            <w:pPr>
              <w:spacing w:after="0"/>
              <w:rPr>
                <w:sz w:val="17"/>
                <w:szCs w:val="17"/>
                <w:color w:val="auto"/>
              </w:rPr>
            </w:pPr>
          </w:p>
        </w:tc>
        <w:tc>
          <w:tcPr>
            <w:tcW w:w="19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rPr>
              <w:t>Purchased Under the</w:t>
            </w:r>
          </w:p>
        </w:tc>
        <w:tc>
          <w:tcPr>
            <w:tcW w:w="0" w:type="dxa"/>
            <w:vAlign w:val="bottom"/>
          </w:tcPr>
          <w:p>
            <w:pPr>
              <w:spacing w:after="0"/>
              <w:rPr>
                <w:sz w:val="1"/>
                <w:szCs w:val="1"/>
                <w:color w:val="auto"/>
              </w:rPr>
            </w:pPr>
          </w:p>
        </w:tc>
      </w:tr>
      <w:tr>
        <w:trPr>
          <w:trHeight w:val="296"/>
        </w:trPr>
        <w:tc>
          <w:tcPr>
            <w:tcW w:w="3440" w:type="dxa"/>
            <w:vAlign w:val="bottom"/>
          </w:tcPr>
          <w:p>
            <w:pPr>
              <w:spacing w:after="0"/>
              <w:rPr>
                <w:sz w:val="24"/>
                <w:szCs w:val="24"/>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b w:val="1"/>
                <w:bCs w:val="1"/>
                <w:color w:val="auto"/>
              </w:rPr>
              <w:t>Shares Purchased</w:t>
            </w:r>
            <w:r>
              <w:rPr>
                <w:rFonts w:ascii="Arial" w:cs="Arial" w:eastAsia="Arial" w:hAnsi="Arial"/>
                <w:sz w:val="21"/>
                <w:szCs w:val="21"/>
                <w:b w:val="1"/>
                <w:bCs w:val="1"/>
                <w:color w:val="auto"/>
                <w:vertAlign w:val="superscript"/>
              </w:rPr>
              <w:t>(a)</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8"/>
              </w:rPr>
              <w:t>per Share</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9"/>
              </w:rPr>
              <w:t>Programs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Plans or Programs</w:t>
            </w:r>
          </w:p>
        </w:tc>
        <w:tc>
          <w:tcPr>
            <w:tcW w:w="0" w:type="dxa"/>
            <w:vAlign w:val="bottom"/>
          </w:tcPr>
          <w:p>
            <w:pPr>
              <w:spacing w:after="0"/>
              <w:rPr>
                <w:sz w:val="1"/>
                <w:szCs w:val="1"/>
                <w:color w:val="auto"/>
              </w:rPr>
            </w:pPr>
          </w:p>
        </w:tc>
      </w:tr>
      <w:tr>
        <w:trPr>
          <w:trHeight w:val="37"/>
        </w:trPr>
        <w:tc>
          <w:tcPr>
            <w:tcW w:w="3440" w:type="dxa"/>
            <w:vAlign w:val="bottom"/>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8"/>
                <w:szCs w:val="18"/>
                <w:color w:val="auto"/>
              </w:rPr>
              <w:t>April 2018</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100,501,894</w:t>
            </w:r>
          </w:p>
        </w:tc>
        <w:tc>
          <w:tcPr>
            <w:tcW w:w="0" w:type="dxa"/>
            <w:vAlign w:val="bottom"/>
          </w:tcPr>
          <w:p>
            <w:pPr>
              <w:spacing w:after="0"/>
              <w:rPr>
                <w:sz w:val="1"/>
                <w:szCs w:val="1"/>
                <w:color w:val="auto"/>
              </w:rPr>
            </w:pPr>
          </w:p>
        </w:tc>
      </w:tr>
      <w:tr>
        <w:trPr>
          <w:trHeight w:val="270"/>
        </w:trPr>
        <w:tc>
          <w:tcPr>
            <w:tcW w:w="3440" w:type="dxa"/>
            <w:vAlign w:val="bottom"/>
          </w:tcPr>
          <w:p>
            <w:pPr>
              <w:ind w:left="40"/>
              <w:spacing w:after="0"/>
              <w:rPr>
                <w:sz w:val="20"/>
                <w:szCs w:val="20"/>
                <w:color w:val="auto"/>
              </w:rPr>
            </w:pPr>
            <w:r>
              <w:rPr>
                <w:rFonts w:ascii="Arial" w:cs="Arial" w:eastAsia="Arial" w:hAnsi="Arial"/>
                <w:sz w:val="18"/>
                <w:szCs w:val="18"/>
                <w:color w:val="auto"/>
              </w:rPr>
              <w:t>May 2018</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1,148,192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43.11</w:t>
            </w:r>
          </w:p>
        </w:tc>
        <w:tc>
          <w:tcPr>
            <w:tcW w:w="120" w:type="dxa"/>
            <w:vAlign w:val="bottom"/>
          </w:tcPr>
          <w:p>
            <w:pPr>
              <w:spacing w:after="0"/>
              <w:rPr>
                <w:sz w:val="23"/>
                <w:szCs w:val="23"/>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1,148,192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51,002,509</w:t>
            </w:r>
          </w:p>
        </w:tc>
        <w:tc>
          <w:tcPr>
            <w:tcW w:w="0" w:type="dxa"/>
            <w:vAlign w:val="bottom"/>
          </w:tcPr>
          <w:p>
            <w:pPr>
              <w:spacing w:after="0"/>
              <w:rPr>
                <w:sz w:val="1"/>
                <w:szCs w:val="1"/>
                <w:color w:val="auto"/>
              </w:rPr>
            </w:pPr>
          </w:p>
        </w:tc>
      </w:tr>
      <w:tr>
        <w:trPr>
          <w:trHeight w:val="277"/>
        </w:trPr>
        <w:tc>
          <w:tcPr>
            <w:tcW w:w="3440" w:type="dxa"/>
            <w:vAlign w:val="bottom"/>
          </w:tcPr>
          <w:p>
            <w:pPr>
              <w:ind w:left="40"/>
              <w:spacing w:after="0"/>
              <w:rPr>
                <w:sz w:val="20"/>
                <w:szCs w:val="20"/>
                <w:color w:val="auto"/>
              </w:rPr>
            </w:pPr>
            <w:r>
              <w:rPr>
                <w:rFonts w:ascii="Arial" w:cs="Arial" w:eastAsia="Arial" w:hAnsi="Arial"/>
                <w:sz w:val="18"/>
                <w:szCs w:val="18"/>
                <w:color w:val="auto"/>
              </w:rPr>
              <w:t>June 2018</w:t>
            </w: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475,609</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37.64</w:t>
            </w:r>
          </w:p>
        </w:tc>
        <w:tc>
          <w:tcPr>
            <w:tcW w:w="120" w:type="dxa"/>
            <w:vAlign w:val="bottom"/>
          </w:tcPr>
          <w:p>
            <w:pPr>
              <w:spacing w:after="0"/>
              <w:rPr>
                <w:sz w:val="24"/>
                <w:szCs w:val="24"/>
                <w:color w:val="auto"/>
              </w:rPr>
            </w:pPr>
          </w:p>
        </w:tc>
        <w:tc>
          <w:tcPr>
            <w:tcW w:w="1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475,609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33,099,564</w:t>
            </w:r>
          </w:p>
        </w:tc>
        <w:tc>
          <w:tcPr>
            <w:tcW w:w="0" w:type="dxa"/>
            <w:vAlign w:val="bottom"/>
          </w:tcPr>
          <w:p>
            <w:pPr>
              <w:spacing w:after="0"/>
              <w:rPr>
                <w:sz w:val="1"/>
                <w:szCs w:val="1"/>
                <w:color w:val="auto"/>
              </w:rPr>
            </w:pPr>
          </w:p>
        </w:tc>
      </w:tr>
      <w:tr>
        <w:trPr>
          <w:trHeight w:val="257"/>
        </w:trPr>
        <w:tc>
          <w:tcPr>
            <w:tcW w:w="34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1,623,801</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41.51</w:t>
            </w:r>
          </w:p>
        </w:tc>
        <w:tc>
          <w:tcPr>
            <w:tcW w:w="120" w:type="dxa"/>
            <w:vAlign w:val="bottom"/>
          </w:tcPr>
          <w:p>
            <w:pPr>
              <w:spacing w:after="0"/>
              <w:rPr>
                <w:sz w:val="22"/>
                <w:szCs w:val="22"/>
                <w:color w:val="auto"/>
              </w:rPr>
            </w:pPr>
          </w:p>
        </w:tc>
        <w:tc>
          <w:tcPr>
            <w:tcW w:w="1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1,623,801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33,099,564</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40" w:type="dxa"/>
            <w:vAlign w:val="bottom"/>
            <w:vMerge w:val="continue"/>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340" w:right="40" w:hanging="332"/>
        <w:spacing w:after="0" w:line="218" w:lineRule="auto"/>
        <w:tabs>
          <w:tab w:leader="none" w:pos="340" w:val="left"/>
        </w:tabs>
        <w:numPr>
          <w:ilvl w:val="0"/>
          <w:numId w:val="59"/>
        </w:numPr>
        <w:rPr>
          <w:rFonts w:ascii="Arial" w:cs="Arial" w:eastAsia="Arial" w:hAnsi="Arial"/>
          <w:sz w:val="18"/>
          <w:szCs w:val="18"/>
          <w:color w:val="auto"/>
          <w:vertAlign w:val="superscript"/>
        </w:rPr>
      </w:pPr>
      <w:r>
        <w:rPr>
          <w:rFonts w:ascii="Arial" w:cs="Arial" w:eastAsia="Arial" w:hAnsi="Arial"/>
          <w:sz w:val="14"/>
          <w:szCs w:val="14"/>
          <w:color w:val="auto"/>
        </w:rPr>
        <w:t>Excludes, for the three months ended June 30, 2018, 395 shares which were withheld by the Company to satisfy employees’ income tax liabilities attributable to the vesting of restricted stock unit awards.</w:t>
      </w:r>
    </w:p>
    <w:p>
      <w:pPr>
        <w:spacing w:after="0" w:line="200"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262626"/>
        </w:rPr>
        <w:t xml:space="preserve">As of </w:t>
      </w:r>
      <w:r>
        <w:rPr>
          <w:rFonts w:ascii="Arial" w:cs="Arial" w:eastAsia="Arial" w:hAnsi="Arial"/>
          <w:sz w:val="18"/>
          <w:szCs w:val="18"/>
          <w:color w:val="000000"/>
        </w:rPr>
        <w:t>June 30, 2018</w:t>
      </w:r>
      <w:r>
        <w:rPr>
          <w:rFonts w:ascii="Arial" w:cs="Arial" w:eastAsia="Arial" w:hAnsi="Arial"/>
          <w:sz w:val="18"/>
          <w:szCs w:val="18"/>
          <w:color w:val="262626"/>
        </w:rPr>
        <w:t>, the Company</w:t>
      </w:r>
      <w:r>
        <w:rPr>
          <w:rFonts w:ascii="Arial" w:cs="Arial" w:eastAsia="Arial" w:hAnsi="Arial"/>
          <w:sz w:val="18"/>
          <w:szCs w:val="18"/>
          <w:color w:val="000000"/>
        </w:rPr>
        <w:t>’</w:t>
      </w:r>
      <w:r>
        <w:rPr>
          <w:rFonts w:ascii="Arial" w:cs="Arial" w:eastAsia="Arial" w:hAnsi="Arial"/>
          <w:sz w:val="18"/>
          <w:szCs w:val="18"/>
          <w:color w:val="262626"/>
        </w:rPr>
        <w:t>s Board of Directors has authorized the repurchase of up to $1.5 billion of its common stock under a plan originally approved in 2013 and subsequently expanded</w:t>
      </w:r>
      <w:r>
        <w:rPr>
          <w:rFonts w:ascii="Arial" w:cs="Arial" w:eastAsia="Arial" w:hAnsi="Arial"/>
          <w:sz w:val="18"/>
          <w:szCs w:val="18"/>
          <w:color w:val="000000"/>
        </w:rPr>
        <w:t>. In August 2018, the Company’s Board of Directors increased the Company’s share</w:t>
      </w:r>
      <w:r>
        <w:rPr>
          <w:rFonts w:ascii="Arial" w:cs="Arial" w:eastAsia="Arial" w:hAnsi="Arial"/>
          <w:sz w:val="18"/>
          <w:szCs w:val="18"/>
          <w:color w:val="262626"/>
        </w:rPr>
        <w:t xml:space="preserve"> </w:t>
      </w:r>
      <w:r>
        <w:rPr>
          <w:rFonts w:ascii="Arial" w:cs="Arial" w:eastAsia="Arial" w:hAnsi="Arial"/>
          <w:sz w:val="18"/>
          <w:szCs w:val="18"/>
          <w:color w:val="000000"/>
        </w:rPr>
        <w:t>repurchase program authorization by $250 million. T</w:t>
      </w:r>
      <w:r>
        <w:rPr>
          <w:rFonts w:ascii="Arial" w:cs="Arial" w:eastAsia="Arial" w:hAnsi="Arial"/>
          <w:sz w:val="18"/>
          <w:szCs w:val="18"/>
          <w:color w:val="262626"/>
        </w:rPr>
        <w:t>he Company</w:t>
      </w:r>
      <w:r>
        <w:rPr>
          <w:rFonts w:ascii="Arial" w:cs="Arial" w:eastAsia="Arial" w:hAnsi="Arial"/>
          <w:sz w:val="18"/>
          <w:szCs w:val="18"/>
          <w:color w:val="000000"/>
        </w:rPr>
        <w:t>’</w:t>
      </w:r>
      <w:r>
        <w:rPr>
          <w:rFonts w:ascii="Arial" w:cs="Arial" w:eastAsia="Arial" w:hAnsi="Arial"/>
          <w:sz w:val="18"/>
          <w:szCs w:val="18"/>
          <w:color w:val="262626"/>
        </w:rPr>
        <w:t>s stock repurchases may occur through open market purchases or trading</w:t>
      </w:r>
      <w:r>
        <w:rPr>
          <w:rFonts w:ascii="Arial" w:cs="Arial" w:eastAsia="Arial" w:hAnsi="Arial"/>
          <w:sz w:val="18"/>
          <w:szCs w:val="18"/>
          <w:color w:val="000000"/>
        </w:rPr>
        <w:t xml:space="preserve"> </w:t>
      </w:r>
      <w:r>
        <w:rPr>
          <w:rFonts w:ascii="Arial" w:cs="Arial" w:eastAsia="Arial" w:hAnsi="Arial"/>
          <w:sz w:val="18"/>
          <w:szCs w:val="18"/>
          <w:color w:val="262626"/>
        </w:rPr>
        <w:t>plans pursuant to Rule 10b5-1 of the Securities Exchange Act of 1934. The amount and timing of specific repurchases are subject to market conditions, applicable legal requirements and other factors. The repurchase program may be suspended, modified or discontinued at any time without prior notice. The repurchase program has no set expiration or termination date.</w:t>
      </w:r>
    </w:p>
    <w:p>
      <w:pPr>
        <w:spacing w:after="0" w:line="18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40"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2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AVIS BUDGET GROUP, INC.</w:t>
      </w:r>
    </w:p>
    <w:p>
      <w:pPr>
        <w:spacing w:after="0" w:line="200" w:lineRule="exact"/>
        <w:rPr>
          <w:sz w:val="20"/>
          <w:szCs w:val="20"/>
          <w:color w:val="auto"/>
        </w:rPr>
      </w:pPr>
    </w:p>
    <w:p>
      <w:pPr>
        <w:spacing w:after="0" w:line="209"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7"/>
          <w:szCs w:val="17"/>
          <w:color w:val="auto"/>
        </w:rPr>
        <w:t>August 8, 2018</w:t>
      </w:r>
    </w:p>
    <w:p>
      <w:pPr>
        <w:spacing w:after="0" w:line="6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 Martyn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23495</wp:posOffset>
            </wp:positionV>
            <wp:extent cx="49225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57"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Martyn Smith</w:t>
      </w:r>
    </w:p>
    <w:p>
      <w:pPr>
        <w:spacing w:after="0" w:line="50"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Interim Chief Financial Officer</w:t>
      </w:r>
    </w:p>
    <w:p>
      <w:pPr>
        <w:spacing w:after="0" w:line="387"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7"/>
          <w:szCs w:val="17"/>
          <w:color w:val="auto"/>
        </w:rPr>
        <w:t>August 8, 2018</w:t>
      </w:r>
    </w:p>
    <w:p>
      <w:pPr>
        <w:spacing w:after="0" w:line="6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 David T. Calabria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23495</wp:posOffset>
            </wp:positionV>
            <wp:extent cx="49225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57"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David T. Calabria</w:t>
      </w:r>
    </w:p>
    <w:p>
      <w:pPr>
        <w:spacing w:after="0" w:line="50"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Senior Vice President and</w:t>
      </w:r>
    </w:p>
    <w:p>
      <w:pPr>
        <w:spacing w:after="0" w:line="6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Chief Accounting Officer</w:t>
      </w:r>
    </w:p>
    <w:p>
      <w:pPr>
        <w:spacing w:after="0" w:line="27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240" w:top="140" w:right="5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520" w:type="dxa"/>
            <w:vAlign w:val="bottom"/>
            <w:gridSpan w:val="18"/>
          </w:tcPr>
          <w:p>
            <w:pPr>
              <w:ind w:left="1280"/>
              <w:spacing w:after="0"/>
              <w:rPr>
                <w:sz w:val="20"/>
                <w:szCs w:val="20"/>
                <w:color w:val="auto"/>
              </w:rPr>
            </w:pPr>
            <w:r>
              <w:rPr>
                <w:rFonts w:ascii="Arial" w:cs="Arial" w:eastAsia="Arial" w:hAnsi="Arial"/>
                <w:sz w:val="18"/>
                <w:szCs w:val="18"/>
                <w:b w:val="1"/>
                <w:bCs w:val="1"/>
                <w:color w:val="auto"/>
              </w:rPr>
              <w:t>Exhibit Index</w:t>
            </w:r>
          </w:p>
        </w:tc>
      </w:tr>
      <w:tr>
        <w:trPr>
          <w:trHeight w:val="324"/>
        </w:trPr>
        <w:tc>
          <w:tcPr>
            <w:tcW w:w="1260" w:type="dxa"/>
            <w:vAlign w:val="bottom"/>
            <w:gridSpan w:val="2"/>
          </w:tcPr>
          <w:p>
            <w:pPr>
              <w:spacing w:after="0"/>
              <w:rPr>
                <w:sz w:val="20"/>
                <w:szCs w:val="20"/>
                <w:color w:val="auto"/>
              </w:rPr>
            </w:pPr>
            <w:r>
              <w:rPr>
                <w:rFonts w:ascii="Arial" w:cs="Arial" w:eastAsia="Arial" w:hAnsi="Arial"/>
                <w:sz w:val="16"/>
                <w:szCs w:val="16"/>
                <w:b w:val="1"/>
                <w:bCs w:val="1"/>
                <w:color w:val="auto"/>
              </w:rPr>
              <w:t>Exhibit No.</w:t>
            </w:r>
          </w:p>
        </w:tc>
        <w:tc>
          <w:tcPr>
            <w:tcW w:w="1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480" w:type="dxa"/>
            <w:vAlign w:val="bottom"/>
            <w:gridSpan w:val="17"/>
          </w:tcPr>
          <w:p>
            <w:pPr>
              <w:spacing w:after="0"/>
              <w:rPr>
                <w:sz w:val="20"/>
                <w:szCs w:val="20"/>
                <w:color w:val="auto"/>
              </w:rPr>
            </w:pPr>
            <w:r>
              <w:rPr>
                <w:rFonts w:ascii="Arial" w:cs="Arial" w:eastAsia="Arial" w:hAnsi="Arial"/>
                <w:sz w:val="16"/>
                <w:szCs w:val="16"/>
                <w:b w:val="1"/>
                <w:bCs w:val="1"/>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840" w:type="dxa"/>
            <w:vAlign w:val="bottom"/>
          </w:tcPr>
          <w:p>
            <w:pPr>
              <w:spacing w:after="0"/>
              <w:rPr>
                <w:sz w:val="20"/>
                <w:szCs w:val="20"/>
                <w:color w:val="auto"/>
              </w:rPr>
            </w:pPr>
            <w:r>
              <w:rPr>
                <w:rFonts w:ascii="Arial" w:cs="Arial" w:eastAsia="Arial" w:hAnsi="Arial"/>
                <w:sz w:val="18"/>
                <w:szCs w:val="18"/>
                <w:color w:val="auto"/>
              </w:rPr>
              <w:t>3.1</w:t>
            </w:r>
          </w:p>
        </w:tc>
        <w:tc>
          <w:tcPr>
            <w:tcW w:w="420" w:type="dxa"/>
            <w:vAlign w:val="bottom"/>
          </w:tcPr>
          <w:p>
            <w:pPr>
              <w:spacing w:after="0"/>
              <w:rPr>
                <w:sz w:val="20"/>
                <w:szCs w:val="20"/>
                <w:color w:val="auto"/>
              </w:rPr>
            </w:pPr>
          </w:p>
        </w:tc>
        <w:tc>
          <w:tcPr>
            <w:tcW w:w="10080" w:type="dxa"/>
            <w:vAlign w:val="bottom"/>
            <w:gridSpan w:val="21"/>
          </w:tcPr>
          <w:p>
            <w:pPr>
              <w:spacing w:after="0"/>
              <w:rPr>
                <w:rFonts w:ascii="Arial" w:cs="Arial" w:eastAsia="Arial" w:hAnsi="Arial"/>
                <w:sz w:val="18"/>
                <w:szCs w:val="18"/>
                <w:color w:val="0000FF"/>
              </w:rPr>
            </w:pPr>
            <w:hyperlink r:id="rId43">
              <w:r>
                <w:rPr>
                  <w:rFonts w:ascii="Arial" w:cs="Arial" w:eastAsia="Arial" w:hAnsi="Arial"/>
                  <w:sz w:val="18"/>
                  <w:szCs w:val="18"/>
                  <w:color w:val="0000FF"/>
                </w:rPr>
                <w:t>Certificate of Elimination of Series S Preferred Stock of Avis Budget Group, Inc., dated April 16, 2018 (Incorporated by</w:t>
              </w:r>
            </w:hyperlink>
          </w:p>
        </w:tc>
      </w:tr>
      <w:tr>
        <w:trPr>
          <w:trHeight w:val="183"/>
        </w:trPr>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360" w:type="dxa"/>
            <w:vAlign w:val="bottom"/>
            <w:tcBorders>
              <w:top w:val="single" w:sz="8" w:color="0000FF"/>
              <w:bottom w:val="single" w:sz="8" w:color="0000FF"/>
            </w:tcBorders>
            <w:gridSpan w:val="8"/>
          </w:tcPr>
          <w:p>
            <w:pPr>
              <w:spacing w:after="0" w:line="182" w:lineRule="exact"/>
              <w:rPr>
                <w:rFonts w:ascii="Arial" w:cs="Arial" w:eastAsia="Arial" w:hAnsi="Arial"/>
                <w:sz w:val="18"/>
                <w:szCs w:val="18"/>
                <w:color w:val="0000FF"/>
                <w:w w:val="99"/>
              </w:rPr>
            </w:pPr>
            <w:hyperlink r:id="rId43">
              <w:r>
                <w:rPr>
                  <w:rFonts w:ascii="Arial" w:cs="Arial" w:eastAsia="Arial" w:hAnsi="Arial"/>
                  <w:sz w:val="18"/>
                  <w:szCs w:val="18"/>
                  <w:color w:val="0000FF"/>
                  <w:w w:val="99"/>
                </w:rPr>
                <w:t>reference to Exhibit 3.1 to the Company’s Current Report on Form 8-K dated April 16, 2018).</w:t>
              </w:r>
            </w:hyperlink>
          </w:p>
        </w:tc>
        <w:tc>
          <w:tcPr>
            <w:tcW w:w="2020" w:type="dxa"/>
            <w:vAlign w:val="bottom"/>
            <w:tcBorders>
              <w:top w:val="single" w:sz="8" w:color="0000FF"/>
            </w:tcBorders>
            <w:gridSpan w:val="3"/>
          </w:tcPr>
          <w:p>
            <w:pPr>
              <w:spacing w:after="0"/>
              <w:rPr>
                <w:sz w:val="15"/>
                <w:szCs w:val="15"/>
                <w:color w:val="auto"/>
              </w:rPr>
            </w:pPr>
          </w:p>
        </w:tc>
        <w:tc>
          <w:tcPr>
            <w:tcW w:w="700" w:type="dxa"/>
            <w:vAlign w:val="bottom"/>
            <w:gridSpan w:val="10"/>
          </w:tcPr>
          <w:p>
            <w:pPr>
              <w:spacing w:after="0"/>
              <w:rPr>
                <w:sz w:val="15"/>
                <w:szCs w:val="15"/>
                <w:color w:val="auto"/>
              </w:rPr>
            </w:pPr>
          </w:p>
        </w:tc>
      </w:tr>
      <w:tr>
        <w:trPr>
          <w:trHeight w:val="237"/>
        </w:trPr>
        <w:tc>
          <w:tcPr>
            <w:tcW w:w="840" w:type="dxa"/>
            <w:vAlign w:val="bottom"/>
          </w:tcPr>
          <w:p>
            <w:pPr>
              <w:spacing w:after="0"/>
              <w:rPr>
                <w:sz w:val="20"/>
                <w:szCs w:val="20"/>
                <w:color w:val="auto"/>
              </w:rPr>
            </w:pPr>
            <w:r>
              <w:rPr>
                <w:rFonts w:ascii="Arial" w:cs="Arial" w:eastAsia="Arial" w:hAnsi="Arial"/>
                <w:sz w:val="18"/>
                <w:szCs w:val="18"/>
                <w:color w:val="auto"/>
              </w:rPr>
              <w:t>3.2</w:t>
            </w:r>
          </w:p>
        </w:tc>
        <w:tc>
          <w:tcPr>
            <w:tcW w:w="420" w:type="dxa"/>
            <w:vAlign w:val="bottom"/>
          </w:tcPr>
          <w:p>
            <w:pPr>
              <w:spacing w:after="0"/>
              <w:rPr>
                <w:sz w:val="20"/>
                <w:szCs w:val="20"/>
                <w:color w:val="auto"/>
              </w:rPr>
            </w:pPr>
          </w:p>
        </w:tc>
        <w:tc>
          <w:tcPr>
            <w:tcW w:w="10080" w:type="dxa"/>
            <w:vAlign w:val="bottom"/>
            <w:gridSpan w:val="21"/>
          </w:tcPr>
          <w:p>
            <w:pPr>
              <w:spacing w:after="0"/>
              <w:rPr>
                <w:rFonts w:ascii="Arial" w:cs="Arial" w:eastAsia="Arial" w:hAnsi="Arial"/>
                <w:sz w:val="18"/>
                <w:szCs w:val="18"/>
                <w:color w:val="0000FF"/>
              </w:rPr>
            </w:pPr>
            <w:hyperlink r:id="rId44">
              <w:r>
                <w:rPr>
                  <w:rFonts w:ascii="Arial" w:cs="Arial" w:eastAsia="Arial" w:hAnsi="Arial"/>
                  <w:sz w:val="18"/>
                  <w:szCs w:val="18"/>
                  <w:color w:val="0000FF"/>
                </w:rPr>
                <w:t>Amended and Restated By-Laws of Avis Budget Group, Inc., as of May 23, 2018 (Incorporated by reference to Exhibit 3.2 to</w:t>
              </w:r>
            </w:hyperlink>
          </w:p>
        </w:tc>
      </w:tr>
      <w:tr>
        <w:trPr>
          <w:trHeight w:val="183"/>
        </w:trPr>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40" w:type="dxa"/>
            <w:vAlign w:val="bottom"/>
            <w:tcBorders>
              <w:top w:val="single" w:sz="8" w:color="0000FF"/>
              <w:bottom w:val="single" w:sz="8" w:color="0000FF"/>
            </w:tcBorders>
            <w:gridSpan w:val="6"/>
          </w:tcPr>
          <w:p>
            <w:pPr>
              <w:spacing w:after="0" w:line="182" w:lineRule="exact"/>
              <w:rPr>
                <w:rFonts w:ascii="Arial" w:cs="Arial" w:eastAsia="Arial" w:hAnsi="Arial"/>
                <w:sz w:val="18"/>
                <w:szCs w:val="18"/>
                <w:color w:val="0000FF"/>
                <w:w w:val="99"/>
              </w:rPr>
            </w:pPr>
            <w:hyperlink r:id="rId44">
              <w:r>
                <w:rPr>
                  <w:rFonts w:ascii="Arial" w:cs="Arial" w:eastAsia="Arial" w:hAnsi="Arial"/>
                  <w:sz w:val="18"/>
                  <w:szCs w:val="18"/>
                  <w:color w:val="0000FF"/>
                  <w:w w:val="99"/>
                </w:rPr>
                <w:t>the Company’s Current Report on Form 8-K dated May 24, 2018).</w:t>
              </w:r>
            </w:hyperlink>
          </w:p>
        </w:tc>
        <w:tc>
          <w:tcPr>
            <w:tcW w:w="4620" w:type="dxa"/>
            <w:vAlign w:val="bottom"/>
            <w:tcBorders>
              <w:top w:val="single" w:sz="8" w:color="0000FF"/>
            </w:tcBorders>
            <w:gridSpan w:val="10"/>
          </w:tcPr>
          <w:p>
            <w:pPr>
              <w:spacing w:after="0"/>
              <w:rPr>
                <w:sz w:val="15"/>
                <w:szCs w:val="15"/>
                <w:color w:val="auto"/>
              </w:rPr>
            </w:pPr>
          </w:p>
        </w:tc>
        <w:tc>
          <w:tcPr>
            <w:tcW w:w="220" w:type="dxa"/>
            <w:vAlign w:val="bottom"/>
            <w:gridSpan w:val="5"/>
          </w:tcPr>
          <w:p>
            <w:pPr>
              <w:spacing w:after="0"/>
              <w:rPr>
                <w:sz w:val="15"/>
                <w:szCs w:val="15"/>
                <w:color w:val="auto"/>
              </w:rPr>
            </w:pPr>
          </w:p>
        </w:tc>
      </w:tr>
      <w:tr>
        <w:trPr>
          <w:trHeight w:val="237"/>
        </w:trPr>
        <w:tc>
          <w:tcPr>
            <w:tcW w:w="840" w:type="dxa"/>
            <w:vAlign w:val="bottom"/>
          </w:tcPr>
          <w:p>
            <w:pPr>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20"/>
                <w:szCs w:val="20"/>
                <w:color w:val="auto"/>
              </w:rPr>
            </w:pPr>
          </w:p>
        </w:tc>
        <w:tc>
          <w:tcPr>
            <w:tcW w:w="10060" w:type="dxa"/>
            <w:vAlign w:val="bottom"/>
            <w:tcBorders>
              <w:bottom w:val="single" w:sz="8" w:color="0000FF"/>
            </w:tcBorders>
            <w:gridSpan w:val="20"/>
          </w:tcPr>
          <w:p>
            <w:pPr>
              <w:spacing w:after="0"/>
              <w:rPr>
                <w:rFonts w:ascii="Arial" w:cs="Arial" w:eastAsia="Arial" w:hAnsi="Arial"/>
                <w:sz w:val="18"/>
                <w:szCs w:val="18"/>
                <w:color w:val="0000FF"/>
                <w:w w:val="99"/>
              </w:rPr>
            </w:pPr>
            <w:hyperlink r:id="rId45">
              <w:r>
                <w:rPr>
                  <w:rFonts w:ascii="Arial" w:cs="Arial" w:eastAsia="Arial" w:hAnsi="Arial"/>
                  <w:sz w:val="18"/>
                  <w:szCs w:val="18"/>
                  <w:color w:val="0000FF"/>
                  <w:w w:val="99"/>
                </w:rPr>
                <w:t>Amendment No. 1, dated April 16, 2018, to Rights Agreement, dated as of January 14, 2018, between Avis Budget Group, Inc.</w:t>
              </w:r>
            </w:hyperlink>
          </w:p>
        </w:tc>
        <w:tc>
          <w:tcPr>
            <w:tcW w:w="20" w:type="dxa"/>
            <w:vAlign w:val="bottom"/>
          </w:tcPr>
          <w:p>
            <w:pPr>
              <w:spacing w:after="0"/>
              <w:rPr>
                <w:sz w:val="20"/>
                <w:szCs w:val="20"/>
                <w:color w:val="auto"/>
              </w:rPr>
            </w:pPr>
          </w:p>
        </w:tc>
      </w:tr>
      <w:tr>
        <w:trPr>
          <w:trHeight w:val="183"/>
        </w:trPr>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80" w:type="dxa"/>
            <w:vAlign w:val="bottom"/>
            <w:gridSpan w:val="21"/>
          </w:tcPr>
          <w:p>
            <w:pPr>
              <w:spacing w:after="0" w:line="182" w:lineRule="exact"/>
              <w:rPr>
                <w:rFonts w:ascii="Arial" w:cs="Arial" w:eastAsia="Arial" w:hAnsi="Arial"/>
                <w:sz w:val="18"/>
                <w:szCs w:val="18"/>
                <w:color w:val="0000FF"/>
              </w:rPr>
            </w:pPr>
            <w:hyperlink r:id="rId45">
              <w:r>
                <w:rPr>
                  <w:rFonts w:ascii="Arial" w:cs="Arial" w:eastAsia="Arial" w:hAnsi="Arial"/>
                  <w:sz w:val="18"/>
                  <w:szCs w:val="18"/>
                  <w:color w:val="0000FF"/>
                </w:rPr>
                <w:t>and Computershare Trust Company, N.A. (Incorporated by reference to Exhibit 4.1 to the Company’s Current Report on Form</w:t>
              </w:r>
            </w:hyperlink>
          </w:p>
        </w:tc>
      </w:tr>
      <w:tr>
        <w:trPr>
          <w:trHeight w:val="183"/>
        </w:trPr>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960" w:type="dxa"/>
            <w:vAlign w:val="bottom"/>
            <w:tcBorders>
              <w:top w:val="single" w:sz="8" w:color="0000FF"/>
            </w:tcBorders>
            <w:gridSpan w:val="18"/>
          </w:tcPr>
          <w:p>
            <w:pPr>
              <w:spacing w:after="0" w:line="182" w:lineRule="exact"/>
              <w:rPr>
                <w:rFonts w:ascii="Arial" w:cs="Arial" w:eastAsia="Arial" w:hAnsi="Arial"/>
                <w:sz w:val="18"/>
                <w:szCs w:val="18"/>
                <w:color w:val="0000FF"/>
              </w:rPr>
            </w:pPr>
            <w:hyperlink r:id="rId45">
              <w:r>
                <w:rPr>
                  <w:rFonts w:ascii="Arial" w:cs="Arial" w:eastAsia="Arial" w:hAnsi="Arial"/>
                  <w:sz w:val="18"/>
                  <w:szCs w:val="18"/>
                  <w:color w:val="0000FF"/>
                </w:rPr>
                <w:t>8-K dated April 16, 2018).</w:t>
              </w:r>
            </w:hyperlink>
          </w:p>
        </w:tc>
        <w:tc>
          <w:tcPr>
            <w:tcW w:w="120" w:type="dxa"/>
            <w:vAlign w:val="bottom"/>
            <w:gridSpan w:val="3"/>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366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420" w:type="dxa"/>
            <w:vAlign w:val="bottom"/>
          </w:tcPr>
          <w:p>
            <w:pPr>
              <w:spacing w:after="0"/>
              <w:rPr>
                <w:sz w:val="20"/>
                <w:szCs w:val="20"/>
                <w:color w:val="auto"/>
              </w:rPr>
            </w:pPr>
          </w:p>
        </w:tc>
        <w:tc>
          <w:tcPr>
            <w:tcW w:w="9760" w:type="dxa"/>
            <w:vAlign w:val="bottom"/>
            <w:tcBorders>
              <w:bottom w:val="single" w:sz="8" w:color="0000FF"/>
            </w:tcBorders>
            <w:gridSpan w:val="14"/>
          </w:tcPr>
          <w:p>
            <w:pPr>
              <w:spacing w:after="0"/>
              <w:rPr>
                <w:rFonts w:ascii="Arial" w:cs="Arial" w:eastAsia="Arial" w:hAnsi="Arial"/>
                <w:sz w:val="18"/>
                <w:szCs w:val="18"/>
                <w:color w:val="0000FF"/>
                <w:w w:val="99"/>
              </w:rPr>
            </w:pPr>
            <w:hyperlink r:id="rId46">
              <w:r>
                <w:rPr>
                  <w:rFonts w:ascii="Arial" w:cs="Arial" w:eastAsia="Arial" w:hAnsi="Arial"/>
                  <w:sz w:val="18"/>
                  <w:szCs w:val="18"/>
                  <w:color w:val="0000FF"/>
                  <w:w w:val="99"/>
                </w:rPr>
                <w:t>Second Amended and Restated Cooperation Agreement, dated April 16, 2018, by and among Avis Budget Group, Inc. and</w:t>
              </w:r>
            </w:hyperlink>
          </w:p>
        </w:tc>
        <w:tc>
          <w:tcPr>
            <w:tcW w:w="320" w:type="dxa"/>
            <w:vAlign w:val="bottom"/>
            <w:gridSpan w:val="7"/>
          </w:tcPr>
          <w:p>
            <w:pPr>
              <w:spacing w:after="0"/>
              <w:rPr>
                <w:sz w:val="20"/>
                <w:szCs w:val="20"/>
                <w:color w:val="auto"/>
              </w:rPr>
            </w:pPr>
          </w:p>
        </w:tc>
      </w:tr>
      <w:tr>
        <w:trPr>
          <w:trHeight w:val="183"/>
        </w:trPr>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80" w:type="dxa"/>
            <w:vAlign w:val="bottom"/>
            <w:gridSpan w:val="21"/>
          </w:tcPr>
          <w:p>
            <w:pPr>
              <w:spacing w:after="0" w:line="182" w:lineRule="exact"/>
              <w:rPr>
                <w:rFonts w:ascii="Arial" w:cs="Arial" w:eastAsia="Arial" w:hAnsi="Arial"/>
                <w:sz w:val="18"/>
                <w:szCs w:val="18"/>
                <w:color w:val="0000FF"/>
              </w:rPr>
            </w:pPr>
            <w:hyperlink r:id="rId46">
              <w:r>
                <w:rPr>
                  <w:rFonts w:ascii="Arial" w:cs="Arial" w:eastAsia="Arial" w:hAnsi="Arial"/>
                  <w:sz w:val="18"/>
                  <w:szCs w:val="18"/>
                  <w:color w:val="0000FF"/>
                </w:rPr>
                <w:t>SRS Investment Management, LLC (Incorporated by reference to Exhibit 10.1 to the Company’s Current Report on Form 8-K</w:t>
              </w:r>
            </w:hyperlink>
          </w:p>
        </w:tc>
      </w:tr>
      <w:tr>
        <w:trPr>
          <w:trHeight w:val="183"/>
        </w:trPr>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2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8"/>
              </w:rPr>
            </w:pPr>
            <w:hyperlink r:id="rId46">
              <w:r>
                <w:rPr>
                  <w:rFonts w:ascii="Arial" w:cs="Arial" w:eastAsia="Arial" w:hAnsi="Arial"/>
                  <w:sz w:val="18"/>
                  <w:szCs w:val="18"/>
                  <w:color w:val="0000FF"/>
                  <w:w w:val="98"/>
                </w:rPr>
                <w:t>dated April 16, 2018).</w:t>
              </w:r>
            </w:hyperlink>
          </w:p>
        </w:tc>
        <w:tc>
          <w:tcPr>
            <w:tcW w:w="8200" w:type="dxa"/>
            <w:vAlign w:val="bottom"/>
            <w:tcBorders>
              <w:top w:val="single" w:sz="8" w:color="0000FF"/>
            </w:tcBorders>
            <w:gridSpan w:val="16"/>
          </w:tcPr>
          <w:p>
            <w:pPr>
              <w:spacing w:after="0"/>
              <w:rPr>
                <w:sz w:val="15"/>
                <w:szCs w:val="15"/>
                <w:color w:val="auto"/>
              </w:rPr>
            </w:pPr>
          </w:p>
        </w:tc>
        <w:tc>
          <w:tcPr>
            <w:tcW w:w="160" w:type="dxa"/>
            <w:vAlign w:val="bottom"/>
            <w:gridSpan w:val="4"/>
          </w:tcPr>
          <w:p>
            <w:pPr>
              <w:spacing w:after="0"/>
              <w:rPr>
                <w:sz w:val="15"/>
                <w:szCs w:val="15"/>
                <w:color w:val="auto"/>
              </w:rPr>
            </w:pPr>
          </w:p>
        </w:tc>
      </w:tr>
      <w:tr>
        <w:trPr>
          <w:trHeight w:val="237"/>
        </w:trPr>
        <w:tc>
          <w:tcPr>
            <w:tcW w:w="840" w:type="dxa"/>
            <w:vAlign w:val="bottom"/>
          </w:tcPr>
          <w:p>
            <w:pPr>
              <w:spacing w:after="0"/>
              <w:rPr>
                <w:sz w:val="20"/>
                <w:szCs w:val="20"/>
                <w:color w:val="auto"/>
              </w:rPr>
            </w:pPr>
            <w:r>
              <w:rPr>
                <w:rFonts w:ascii="Arial" w:cs="Arial" w:eastAsia="Arial" w:hAnsi="Arial"/>
                <w:sz w:val="18"/>
                <w:szCs w:val="18"/>
                <w:color w:val="auto"/>
              </w:rPr>
              <w:t>10.2</w:t>
            </w:r>
          </w:p>
        </w:tc>
        <w:tc>
          <w:tcPr>
            <w:tcW w:w="420" w:type="dxa"/>
            <w:vAlign w:val="bottom"/>
          </w:tcPr>
          <w:p>
            <w:pPr>
              <w:spacing w:after="0"/>
              <w:rPr>
                <w:sz w:val="20"/>
                <w:szCs w:val="20"/>
                <w:color w:val="auto"/>
              </w:rPr>
            </w:pPr>
          </w:p>
        </w:tc>
        <w:tc>
          <w:tcPr>
            <w:tcW w:w="10020" w:type="dxa"/>
            <w:vAlign w:val="bottom"/>
            <w:tcBorders>
              <w:bottom w:val="single" w:sz="8" w:color="0000FF"/>
            </w:tcBorders>
            <w:gridSpan w:val="19"/>
          </w:tcPr>
          <w:p>
            <w:pPr>
              <w:spacing w:after="0"/>
              <w:rPr>
                <w:rFonts w:ascii="Arial" w:cs="Arial" w:eastAsia="Arial" w:hAnsi="Arial"/>
                <w:sz w:val="18"/>
                <w:szCs w:val="18"/>
                <w:color w:val="0000FF"/>
                <w:w w:val="99"/>
              </w:rPr>
            </w:pPr>
            <w:hyperlink r:id="rId47">
              <w:r>
                <w:rPr>
                  <w:rFonts w:ascii="Arial" w:cs="Arial" w:eastAsia="Arial" w:hAnsi="Arial"/>
                  <w:sz w:val="18"/>
                  <w:szCs w:val="18"/>
                  <w:color w:val="0000FF"/>
                  <w:w w:val="99"/>
                </w:rPr>
                <w:t>Series 2018-1 Supplement, dated as of April 30, 2018, between Avis Budget Rental Car Funding (AESOP) LLC and The Bank</w:t>
              </w:r>
            </w:hyperlink>
          </w:p>
        </w:tc>
        <w:tc>
          <w:tcPr>
            <w:tcW w:w="60" w:type="dxa"/>
            <w:vAlign w:val="bottom"/>
            <w:gridSpan w:val="2"/>
          </w:tcPr>
          <w:p>
            <w:pPr>
              <w:spacing w:after="0"/>
              <w:rPr>
                <w:sz w:val="20"/>
                <w:szCs w:val="20"/>
                <w:color w:val="auto"/>
              </w:rPr>
            </w:pPr>
          </w:p>
        </w:tc>
      </w:tr>
      <w:tr>
        <w:trPr>
          <w:trHeight w:val="183"/>
        </w:trPr>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80" w:type="dxa"/>
            <w:vAlign w:val="bottom"/>
            <w:gridSpan w:val="21"/>
          </w:tcPr>
          <w:p>
            <w:pPr>
              <w:spacing w:after="0" w:line="182" w:lineRule="exact"/>
              <w:rPr>
                <w:rFonts w:ascii="Arial" w:cs="Arial" w:eastAsia="Arial" w:hAnsi="Arial"/>
                <w:sz w:val="18"/>
                <w:szCs w:val="18"/>
                <w:color w:val="0000FF"/>
                <w:w w:val="99"/>
              </w:rPr>
            </w:pPr>
            <w:hyperlink r:id="rId47">
              <w:r>
                <w:rPr>
                  <w:rFonts w:ascii="Arial" w:cs="Arial" w:eastAsia="Arial" w:hAnsi="Arial"/>
                  <w:sz w:val="18"/>
                  <w:szCs w:val="18"/>
                  <w:color w:val="0000FF"/>
                  <w:w w:val="99"/>
                </w:rPr>
                <w:t>of New York Mellon Trust Company, N.A., as trustee and as Series 2018-1 Agent. (Incorporated by reference to Exhibit 10.1 to</w:t>
              </w:r>
            </w:hyperlink>
          </w:p>
        </w:tc>
      </w:tr>
      <w:tr>
        <w:trPr>
          <w:trHeight w:val="183"/>
        </w:trPr>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14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99"/>
              </w:rPr>
            </w:pPr>
            <w:hyperlink r:id="rId47">
              <w:r>
                <w:rPr>
                  <w:rFonts w:ascii="Arial" w:cs="Arial" w:eastAsia="Arial" w:hAnsi="Arial"/>
                  <w:sz w:val="18"/>
                  <w:szCs w:val="18"/>
                  <w:color w:val="0000FF"/>
                  <w:w w:val="99"/>
                </w:rPr>
                <w:t>the Company’s Current Report on Form 8-K dated May 4, 2018).</w:t>
              </w:r>
            </w:hyperlink>
          </w:p>
        </w:tc>
        <w:tc>
          <w:tcPr>
            <w:tcW w:w="4880" w:type="dxa"/>
            <w:vAlign w:val="bottom"/>
            <w:tcBorders>
              <w:top w:val="single" w:sz="8" w:color="0000FF"/>
            </w:tcBorders>
            <w:gridSpan w:val="14"/>
          </w:tcPr>
          <w:p>
            <w:pPr>
              <w:spacing w:after="0"/>
              <w:rPr>
                <w:sz w:val="15"/>
                <w:szCs w:val="15"/>
                <w:color w:val="auto"/>
              </w:rPr>
            </w:pPr>
          </w:p>
        </w:tc>
        <w:tc>
          <w:tcPr>
            <w:tcW w:w="60" w:type="dxa"/>
            <w:vAlign w:val="bottom"/>
            <w:gridSpan w:val="2"/>
          </w:tcPr>
          <w:p>
            <w:pPr>
              <w:spacing w:after="0"/>
              <w:rPr>
                <w:sz w:val="15"/>
                <w:szCs w:val="15"/>
                <w:color w:val="auto"/>
              </w:rPr>
            </w:pPr>
          </w:p>
        </w:tc>
      </w:tr>
      <w:tr>
        <w:trPr>
          <w:trHeight w:val="237"/>
        </w:trPr>
        <w:tc>
          <w:tcPr>
            <w:tcW w:w="840" w:type="dxa"/>
            <w:vAlign w:val="bottom"/>
          </w:tcPr>
          <w:p>
            <w:pPr>
              <w:spacing w:after="0"/>
              <w:rPr>
                <w:sz w:val="20"/>
                <w:szCs w:val="20"/>
                <w:color w:val="auto"/>
              </w:rPr>
            </w:pPr>
            <w:r>
              <w:rPr>
                <w:rFonts w:ascii="Arial" w:cs="Arial" w:eastAsia="Arial" w:hAnsi="Arial"/>
                <w:sz w:val="18"/>
                <w:szCs w:val="18"/>
                <w:color w:val="auto"/>
              </w:rPr>
              <w:t>10.3</w:t>
            </w:r>
          </w:p>
        </w:tc>
        <w:tc>
          <w:tcPr>
            <w:tcW w:w="420" w:type="dxa"/>
            <w:vAlign w:val="bottom"/>
          </w:tcPr>
          <w:p>
            <w:pPr>
              <w:spacing w:after="0"/>
              <w:rPr>
                <w:sz w:val="20"/>
                <w:szCs w:val="20"/>
                <w:color w:val="auto"/>
              </w:rPr>
            </w:pPr>
          </w:p>
        </w:tc>
        <w:tc>
          <w:tcPr>
            <w:tcW w:w="9200" w:type="dxa"/>
            <w:vAlign w:val="bottom"/>
            <w:tcBorders>
              <w:bottom w:val="single" w:sz="8" w:color="0000FF"/>
            </w:tcBorders>
            <w:gridSpan w:val="10"/>
          </w:tcPr>
          <w:p>
            <w:pPr>
              <w:spacing w:after="0"/>
              <w:rPr>
                <w:rFonts w:ascii="Arial" w:cs="Arial" w:eastAsia="Arial" w:hAnsi="Arial"/>
                <w:sz w:val="18"/>
                <w:szCs w:val="18"/>
                <w:color w:val="0000FF"/>
                <w:w w:val="99"/>
              </w:rPr>
            </w:pPr>
            <w:hyperlink r:id="rId48">
              <w:r>
                <w:rPr>
                  <w:rFonts w:ascii="Arial" w:cs="Arial" w:eastAsia="Arial" w:hAnsi="Arial"/>
                  <w:sz w:val="18"/>
                  <w:szCs w:val="18"/>
                  <w:color w:val="0000FF"/>
                  <w:w w:val="99"/>
                </w:rPr>
                <w:t>Separation and Consulting Agreement between Avis Budget Group, Inc. and Ronald L .Nelson, dated May 23, 2018</w:t>
              </w:r>
            </w:hyperlink>
          </w:p>
        </w:tc>
        <w:tc>
          <w:tcPr>
            <w:tcW w:w="880" w:type="dxa"/>
            <w:vAlign w:val="bottom"/>
            <w:gridSpan w:val="11"/>
          </w:tcPr>
          <w:p>
            <w:pPr>
              <w:spacing w:after="0"/>
              <w:rPr>
                <w:sz w:val="20"/>
                <w:szCs w:val="20"/>
                <w:color w:val="auto"/>
              </w:rPr>
            </w:pPr>
          </w:p>
        </w:tc>
      </w:tr>
      <w:tr>
        <w:trPr>
          <w:trHeight w:val="183"/>
        </w:trPr>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0" w:type="dxa"/>
            <w:vAlign w:val="bottom"/>
            <w:tcBorders>
              <w:bottom w:val="single" w:sz="8" w:color="0000FF"/>
            </w:tcBorders>
            <w:gridSpan w:val="9"/>
          </w:tcPr>
          <w:p>
            <w:pPr>
              <w:spacing w:after="0" w:line="182" w:lineRule="exact"/>
              <w:rPr>
                <w:rFonts w:ascii="Arial" w:cs="Arial" w:eastAsia="Arial" w:hAnsi="Arial"/>
                <w:sz w:val="18"/>
                <w:szCs w:val="18"/>
                <w:color w:val="0000FF"/>
                <w:w w:val="99"/>
              </w:rPr>
            </w:pPr>
            <w:hyperlink r:id="rId48">
              <w:r>
                <w:rPr>
                  <w:rFonts w:ascii="Arial" w:cs="Arial" w:eastAsia="Arial" w:hAnsi="Arial"/>
                  <w:sz w:val="18"/>
                  <w:szCs w:val="18"/>
                  <w:color w:val="0000FF"/>
                  <w:w w:val="99"/>
                </w:rPr>
                <w:t>(Incorporated by reference to Exhibit 10.1 to the Company’s Current Report on Form 8-K dated May 24, 2018).</w:t>
              </w:r>
            </w:hyperlink>
          </w:p>
        </w:tc>
        <w:tc>
          <w:tcPr>
            <w:tcW w:w="1280" w:type="dxa"/>
            <w:vAlign w:val="bottom"/>
            <w:gridSpan w:val="12"/>
          </w:tcPr>
          <w:p>
            <w:pPr>
              <w:spacing w:after="0"/>
              <w:rPr>
                <w:sz w:val="15"/>
                <w:szCs w:val="15"/>
                <w:color w:val="auto"/>
              </w:rPr>
            </w:pPr>
          </w:p>
        </w:tc>
      </w:tr>
      <w:tr>
        <w:trPr>
          <w:trHeight w:val="237"/>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0"/>
                <w:szCs w:val="20"/>
                <w:color w:val="auto"/>
              </w:rPr>
            </w:pPr>
          </w:p>
        </w:tc>
        <w:tc>
          <w:tcPr>
            <w:tcW w:w="10080" w:type="dxa"/>
            <w:vAlign w:val="bottom"/>
            <w:tcBorders>
              <w:bottom w:val="single" w:sz="8" w:color="0000FF"/>
            </w:tcBorders>
            <w:gridSpan w:val="21"/>
          </w:tcPr>
          <w:p>
            <w:pPr>
              <w:spacing w:after="0"/>
              <w:rPr>
                <w:rFonts w:ascii="Arial" w:cs="Arial" w:eastAsia="Arial" w:hAnsi="Arial"/>
                <w:sz w:val="18"/>
                <w:szCs w:val="18"/>
                <w:color w:val="0000FF"/>
                <w:w w:val="99"/>
              </w:rPr>
            </w:pPr>
            <w:hyperlink r:id="rId49">
              <w:r>
                <w:rPr>
                  <w:rFonts w:ascii="Arial" w:cs="Arial" w:eastAsia="Arial" w:hAnsi="Arial"/>
                  <w:sz w:val="18"/>
                  <w:szCs w:val="18"/>
                  <w:color w:val="0000FF"/>
                  <w:w w:val="99"/>
                </w:rPr>
                <w:t>Tenth Master Amendment and Restatement Deed, by and among CarFin Finance International DAC, Credit Agricole Corporate</w:t>
              </w:r>
            </w:hyperlink>
          </w:p>
        </w:tc>
      </w:tr>
      <w:tr>
        <w:trPr>
          <w:trHeight w:val="183"/>
        </w:trPr>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80" w:type="dxa"/>
            <w:vAlign w:val="bottom"/>
            <w:gridSpan w:val="21"/>
          </w:tcPr>
          <w:p>
            <w:pPr>
              <w:spacing w:after="0" w:line="182" w:lineRule="exact"/>
              <w:rPr>
                <w:rFonts w:ascii="Arial" w:cs="Arial" w:eastAsia="Arial" w:hAnsi="Arial"/>
                <w:sz w:val="18"/>
                <w:szCs w:val="18"/>
                <w:color w:val="0000FF"/>
              </w:rPr>
            </w:pPr>
            <w:hyperlink r:id="rId49">
              <w:r>
                <w:rPr>
                  <w:rFonts w:ascii="Arial" w:cs="Arial" w:eastAsia="Arial" w:hAnsi="Arial"/>
                  <w:sz w:val="18"/>
                  <w:szCs w:val="18"/>
                  <w:color w:val="0000FF"/>
                </w:rPr>
                <w:t>And Investment Bank, Deutsche Trustee Company Limited, Credit Agricole Corporate And Investment Bank, the Opcos,</w:t>
              </w:r>
            </w:hyperlink>
          </w:p>
        </w:tc>
      </w:tr>
      <w:tr>
        <w:trPr>
          <w:trHeight w:val="20"/>
        </w:trPr>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560" w:type="dxa"/>
            <w:vAlign w:val="bottom"/>
            <w:gridSpan w:val="3"/>
            <w:shd w:val="clear" w:color="auto" w:fill="0000FF"/>
          </w:tcPr>
          <w:p>
            <w:pPr>
              <w:spacing w:after="0" w:line="20" w:lineRule="exact"/>
              <w:rPr>
                <w:sz w:val="1"/>
                <w:szCs w:val="1"/>
                <w:color w:val="auto"/>
              </w:rPr>
            </w:pPr>
          </w:p>
        </w:tc>
        <w:tc>
          <w:tcPr>
            <w:tcW w:w="6960" w:type="dxa"/>
            <w:vAlign w:val="bottom"/>
            <w:gridSpan w:val="9"/>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740" w:type="dxa"/>
            <w:vAlign w:val="bottom"/>
            <w:tcBorders>
              <w:bottom w:val="single" w:sz="8" w:color="0000FF"/>
            </w:tcBorders>
            <w:gridSpan w:val="13"/>
          </w:tcPr>
          <w:p>
            <w:pPr>
              <w:spacing w:after="0" w:line="182" w:lineRule="exact"/>
              <w:rPr>
                <w:rFonts w:ascii="Arial" w:cs="Arial" w:eastAsia="Arial" w:hAnsi="Arial"/>
                <w:sz w:val="18"/>
                <w:szCs w:val="18"/>
                <w:color w:val="0000FF"/>
                <w:w w:val="99"/>
              </w:rPr>
            </w:pPr>
            <w:hyperlink r:id="rId49">
              <w:r>
                <w:rPr>
                  <w:rFonts w:ascii="Arial" w:cs="Arial" w:eastAsia="Arial" w:hAnsi="Arial"/>
                  <w:sz w:val="18"/>
                  <w:szCs w:val="18"/>
                  <w:color w:val="0000FF"/>
                  <w:w w:val="99"/>
                </w:rPr>
                <w:t>Servicers, Lessees and FleetCos listed therein, Avis Budget Car Rental, LLC, Avis Finance Company Limited, Avis Budget</w:t>
              </w:r>
            </w:hyperlink>
          </w:p>
        </w:tc>
        <w:tc>
          <w:tcPr>
            <w:tcW w:w="340" w:type="dxa"/>
            <w:vAlign w:val="bottom"/>
            <w:gridSpan w:val="8"/>
          </w:tcPr>
          <w:p>
            <w:pPr>
              <w:spacing w:after="0"/>
              <w:rPr>
                <w:sz w:val="15"/>
                <w:szCs w:val="15"/>
                <w:color w:val="auto"/>
              </w:rPr>
            </w:pPr>
          </w:p>
        </w:tc>
      </w:tr>
      <w:tr>
        <w:trPr>
          <w:trHeight w:val="183"/>
        </w:trPr>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60" w:type="dxa"/>
            <w:vAlign w:val="bottom"/>
            <w:tcBorders>
              <w:bottom w:val="single" w:sz="8" w:color="0000FF"/>
            </w:tcBorders>
            <w:gridSpan w:val="20"/>
          </w:tcPr>
          <w:p>
            <w:pPr>
              <w:spacing w:after="0" w:line="182" w:lineRule="exact"/>
              <w:rPr>
                <w:rFonts w:ascii="Arial" w:cs="Arial" w:eastAsia="Arial" w:hAnsi="Arial"/>
                <w:sz w:val="18"/>
                <w:szCs w:val="18"/>
                <w:color w:val="0000FF"/>
                <w:w w:val="99"/>
              </w:rPr>
            </w:pPr>
            <w:hyperlink r:id="rId49">
              <w:r>
                <w:rPr>
                  <w:rFonts w:ascii="Arial" w:cs="Arial" w:eastAsia="Arial" w:hAnsi="Arial"/>
                  <w:sz w:val="18"/>
                  <w:szCs w:val="18"/>
                  <w:color w:val="0000FF"/>
                  <w:w w:val="99"/>
                </w:rPr>
                <w:t>EMEA Limited, the Account Banks listed therein, Deutsche Bank Ag, London Branch, the Senior Noteholders and certain other</w:t>
              </w:r>
            </w:hyperlink>
          </w:p>
        </w:tc>
        <w:tc>
          <w:tcPr>
            <w:tcW w:w="20" w:type="dxa"/>
            <w:vAlign w:val="bottom"/>
          </w:tcPr>
          <w:p>
            <w:pPr>
              <w:spacing w:after="0"/>
              <w:rPr>
                <w:sz w:val="15"/>
                <w:szCs w:val="15"/>
                <w:color w:val="auto"/>
              </w:rPr>
            </w:pPr>
          </w:p>
        </w:tc>
      </w:tr>
      <w:tr>
        <w:trPr>
          <w:trHeight w:val="183"/>
        </w:trPr>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80" w:type="dxa"/>
            <w:vAlign w:val="bottom"/>
            <w:gridSpan w:val="21"/>
          </w:tcPr>
          <w:p>
            <w:pPr>
              <w:spacing w:after="0" w:line="182" w:lineRule="exact"/>
              <w:rPr>
                <w:rFonts w:ascii="Arial" w:cs="Arial" w:eastAsia="Arial" w:hAnsi="Arial"/>
                <w:sz w:val="18"/>
                <w:szCs w:val="18"/>
                <w:color w:val="0000FF"/>
              </w:rPr>
            </w:pPr>
            <w:hyperlink r:id="rId49">
              <w:r>
                <w:rPr>
                  <w:rFonts w:ascii="Arial" w:cs="Arial" w:eastAsia="Arial" w:hAnsi="Arial"/>
                  <w:sz w:val="18"/>
                  <w:szCs w:val="18"/>
                  <w:color w:val="0000FF"/>
                </w:rPr>
                <w:t>entities named therein, dated May 30, 2018. (Incorporated by reference to Exhibit 10.1 to the Company’s Current Report on</w:t>
              </w:r>
            </w:hyperlink>
          </w:p>
        </w:tc>
      </w:tr>
      <w:tr>
        <w:trPr>
          <w:trHeight w:val="183"/>
        </w:trPr>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0" w:type="dxa"/>
            <w:vAlign w:val="bottom"/>
            <w:tcBorders>
              <w:top w:val="single" w:sz="8" w:color="0000FF"/>
            </w:tcBorders>
            <w:gridSpan w:val="15"/>
          </w:tcPr>
          <w:p>
            <w:pPr>
              <w:spacing w:after="0" w:line="182" w:lineRule="exact"/>
              <w:rPr>
                <w:rFonts w:ascii="Arial" w:cs="Arial" w:eastAsia="Arial" w:hAnsi="Arial"/>
                <w:sz w:val="18"/>
                <w:szCs w:val="18"/>
                <w:color w:val="0000FF"/>
              </w:rPr>
            </w:pPr>
            <w:hyperlink r:id="rId49">
              <w:r>
                <w:rPr>
                  <w:rFonts w:ascii="Arial" w:cs="Arial" w:eastAsia="Arial" w:hAnsi="Arial"/>
                  <w:sz w:val="18"/>
                  <w:szCs w:val="18"/>
                  <w:color w:val="0000FF"/>
                </w:rPr>
                <w:t>Form 8-K dated June 5, 2018). *</w:t>
              </w:r>
            </w:hyperlink>
          </w:p>
        </w:tc>
        <w:tc>
          <w:tcPr>
            <w:tcW w:w="280" w:type="dxa"/>
            <w:vAlign w:val="bottom"/>
            <w:gridSpan w:val="6"/>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7" w:lineRule="exact"/>
        <w:rPr>
          <w:sz w:val="20"/>
          <w:szCs w:val="20"/>
          <w:color w:val="auto"/>
        </w:rPr>
      </w:pPr>
    </w:p>
    <w:p>
      <w:pPr>
        <w:ind w:left="1300" w:hanging="1265"/>
        <w:spacing w:after="0"/>
        <w:tabs>
          <w:tab w:leader="none" w:pos="1300" w:val="left"/>
        </w:tabs>
        <w:numPr>
          <w:ilvl w:val="0"/>
          <w:numId w:val="60"/>
        </w:numPr>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Statement re: Computation of Ratio of Earnings to Fixed Charges.</w:t>
        </w:r>
      </w:hyperlink>
    </w:p>
    <w:p>
      <w:pPr>
        <w:spacing w:after="0" w:line="1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260" w:type="dxa"/>
            <w:vAlign w:val="bottom"/>
          </w:tcPr>
          <w:p>
            <w:pPr>
              <w:jc w:val="right"/>
              <w:ind w:right="830"/>
              <w:spacing w:after="0"/>
              <w:rPr>
                <w:sz w:val="20"/>
                <w:szCs w:val="20"/>
                <w:color w:val="auto"/>
              </w:rPr>
            </w:pPr>
            <w:r>
              <w:rPr>
                <w:rFonts w:ascii="Arial" w:cs="Arial" w:eastAsia="Arial" w:hAnsi="Arial"/>
                <w:sz w:val="18"/>
                <w:szCs w:val="18"/>
                <w:color w:val="auto"/>
                <w:w w:val="91"/>
              </w:rPr>
              <w:t>31.1</w:t>
            </w:r>
          </w:p>
        </w:tc>
        <w:tc>
          <w:tcPr>
            <w:tcW w:w="9440" w:type="dxa"/>
            <w:vAlign w:val="bottom"/>
            <w:tcBorders>
              <w:bottom w:val="single" w:sz="8" w:color="0000FF"/>
            </w:tcBorders>
            <w:gridSpan w:val="2"/>
          </w:tcPr>
          <w:p>
            <w:pPr>
              <w:spacing w:after="0"/>
              <w:rPr>
                <w:rFonts w:ascii="Arial" w:cs="Arial" w:eastAsia="Arial" w:hAnsi="Arial"/>
                <w:sz w:val="18"/>
                <w:szCs w:val="18"/>
                <w:color w:val="0000FF"/>
                <w:w w:val="99"/>
              </w:rPr>
            </w:pPr>
            <w:hyperlink w:anchor="page54">
              <w:r>
                <w:rPr>
                  <w:rFonts w:ascii="Arial" w:cs="Arial" w:eastAsia="Arial" w:hAnsi="Arial"/>
                  <w:sz w:val="18"/>
                  <w:szCs w:val="18"/>
                  <w:color w:val="0000FF"/>
                  <w:w w:val="99"/>
                </w:rPr>
                <w:t>Certification of Chief Executive Officer pursuant to Rules 13(a)-14(a) and 15(d)-14(a) promulgated under the Securities</w:t>
              </w:r>
            </w:hyperlink>
          </w:p>
        </w:tc>
        <w:tc>
          <w:tcPr>
            <w:tcW w:w="540" w:type="dxa"/>
            <w:vAlign w:val="bottom"/>
          </w:tcPr>
          <w:p>
            <w:pPr>
              <w:spacing w:after="0"/>
              <w:rPr>
                <w:sz w:val="17"/>
                <w:szCs w:val="17"/>
                <w:color w:val="auto"/>
              </w:rPr>
            </w:pPr>
          </w:p>
        </w:tc>
      </w:tr>
      <w:tr>
        <w:trPr>
          <w:trHeight w:val="183"/>
        </w:trPr>
        <w:tc>
          <w:tcPr>
            <w:tcW w:w="1260" w:type="dxa"/>
            <w:vAlign w:val="bottom"/>
          </w:tcPr>
          <w:p>
            <w:pPr>
              <w:spacing w:after="0"/>
              <w:rPr>
                <w:sz w:val="15"/>
                <w:szCs w:val="15"/>
                <w:color w:val="auto"/>
              </w:rPr>
            </w:pPr>
          </w:p>
        </w:tc>
        <w:tc>
          <w:tcPr>
            <w:tcW w:w="2900" w:type="dxa"/>
            <w:vAlign w:val="bottom"/>
            <w:tcBorders>
              <w:bottom w:val="single" w:sz="8" w:color="0000FF"/>
            </w:tcBorders>
          </w:tcPr>
          <w:p>
            <w:pPr>
              <w:spacing w:after="0" w:line="182" w:lineRule="exact"/>
              <w:rPr>
                <w:rFonts w:ascii="Arial" w:cs="Arial" w:eastAsia="Arial" w:hAnsi="Arial"/>
                <w:sz w:val="18"/>
                <w:szCs w:val="18"/>
                <w:color w:val="0000FF"/>
                <w:w w:val="99"/>
              </w:rPr>
            </w:pPr>
            <w:hyperlink w:anchor="page54">
              <w:r>
                <w:rPr>
                  <w:rFonts w:ascii="Arial" w:cs="Arial" w:eastAsia="Arial" w:hAnsi="Arial"/>
                  <w:sz w:val="18"/>
                  <w:szCs w:val="18"/>
                  <w:color w:val="0000FF"/>
                  <w:w w:val="99"/>
                </w:rPr>
                <w:t>Exchange Act of 1934, as amended.</w:t>
              </w:r>
            </w:hyperlink>
          </w:p>
        </w:tc>
        <w:tc>
          <w:tcPr>
            <w:tcW w:w="7080" w:type="dxa"/>
            <w:vAlign w:val="bottom"/>
            <w:gridSpan w:val="2"/>
          </w:tcPr>
          <w:p>
            <w:pPr>
              <w:spacing w:after="0"/>
              <w:rPr>
                <w:sz w:val="15"/>
                <w:szCs w:val="15"/>
                <w:color w:val="auto"/>
              </w:rPr>
            </w:pPr>
          </w:p>
        </w:tc>
      </w:tr>
      <w:tr>
        <w:trPr>
          <w:trHeight w:val="237"/>
        </w:trPr>
        <w:tc>
          <w:tcPr>
            <w:tcW w:w="1260" w:type="dxa"/>
            <w:vAlign w:val="bottom"/>
          </w:tcPr>
          <w:p>
            <w:pPr>
              <w:jc w:val="right"/>
              <w:ind w:right="830"/>
              <w:spacing w:after="0"/>
              <w:rPr>
                <w:sz w:val="20"/>
                <w:szCs w:val="20"/>
                <w:color w:val="auto"/>
              </w:rPr>
            </w:pPr>
            <w:r>
              <w:rPr>
                <w:rFonts w:ascii="Arial" w:cs="Arial" w:eastAsia="Arial" w:hAnsi="Arial"/>
                <w:sz w:val="18"/>
                <w:szCs w:val="18"/>
                <w:color w:val="auto"/>
                <w:w w:val="91"/>
              </w:rPr>
              <w:t>31.2</w:t>
            </w:r>
          </w:p>
        </w:tc>
        <w:tc>
          <w:tcPr>
            <w:tcW w:w="9980" w:type="dxa"/>
            <w:vAlign w:val="bottom"/>
            <w:tcBorders>
              <w:bottom w:val="single" w:sz="8" w:color="0000FF"/>
            </w:tcBorders>
            <w:gridSpan w:val="3"/>
          </w:tcPr>
          <w:p>
            <w:pPr>
              <w:spacing w:after="0"/>
              <w:rPr>
                <w:rFonts w:ascii="Arial" w:cs="Arial" w:eastAsia="Arial" w:hAnsi="Arial"/>
                <w:sz w:val="18"/>
                <w:szCs w:val="18"/>
                <w:color w:val="0000FF"/>
                <w:w w:val="99"/>
              </w:rPr>
            </w:pPr>
            <w:hyperlink w:anchor="page55">
              <w:r>
                <w:rPr>
                  <w:rFonts w:ascii="Arial" w:cs="Arial" w:eastAsia="Arial" w:hAnsi="Arial"/>
                  <w:sz w:val="18"/>
                  <w:szCs w:val="18"/>
                  <w:color w:val="0000FF"/>
                  <w:w w:val="99"/>
                </w:rPr>
                <w:t>Certification of Interim Chief Financial Officer pursuant to Rules 13(a)-14(a) and 15(d)-14(a) promulgated under the Securities</w:t>
              </w:r>
            </w:hyperlink>
          </w:p>
        </w:tc>
      </w:tr>
      <w:tr>
        <w:trPr>
          <w:trHeight w:val="183"/>
        </w:trPr>
        <w:tc>
          <w:tcPr>
            <w:tcW w:w="1260" w:type="dxa"/>
            <w:vAlign w:val="bottom"/>
          </w:tcPr>
          <w:p>
            <w:pPr>
              <w:spacing w:after="0"/>
              <w:rPr>
                <w:sz w:val="15"/>
                <w:szCs w:val="15"/>
                <w:color w:val="auto"/>
              </w:rPr>
            </w:pPr>
          </w:p>
        </w:tc>
        <w:tc>
          <w:tcPr>
            <w:tcW w:w="2900" w:type="dxa"/>
            <w:vAlign w:val="bottom"/>
            <w:tcBorders>
              <w:bottom w:val="single" w:sz="8" w:color="0000FF"/>
            </w:tcBorders>
          </w:tcPr>
          <w:p>
            <w:pPr>
              <w:spacing w:after="0" w:line="182" w:lineRule="exact"/>
              <w:rPr>
                <w:rFonts w:ascii="Arial" w:cs="Arial" w:eastAsia="Arial" w:hAnsi="Arial"/>
                <w:sz w:val="18"/>
                <w:szCs w:val="18"/>
                <w:color w:val="0000FF"/>
                <w:w w:val="99"/>
              </w:rPr>
            </w:pPr>
            <w:hyperlink w:anchor="page55">
              <w:r>
                <w:rPr>
                  <w:rFonts w:ascii="Arial" w:cs="Arial" w:eastAsia="Arial" w:hAnsi="Arial"/>
                  <w:sz w:val="18"/>
                  <w:szCs w:val="18"/>
                  <w:color w:val="0000FF"/>
                  <w:w w:val="99"/>
                </w:rPr>
                <w:t>Exchange Act of 1934, as amended.</w:t>
              </w:r>
            </w:hyperlink>
          </w:p>
        </w:tc>
        <w:tc>
          <w:tcPr>
            <w:tcW w:w="7080" w:type="dxa"/>
            <w:vAlign w:val="bottom"/>
            <w:gridSpan w:val="2"/>
          </w:tcPr>
          <w:p>
            <w:pPr>
              <w:spacing w:after="0"/>
              <w:rPr>
                <w:sz w:val="15"/>
                <w:szCs w:val="15"/>
                <w:color w:val="auto"/>
              </w:rPr>
            </w:pPr>
          </w:p>
        </w:tc>
      </w:tr>
    </w:tbl>
    <w:p>
      <w:pPr>
        <w:spacing w:after="0" w:line="67" w:lineRule="exact"/>
        <w:rPr>
          <w:sz w:val="20"/>
          <w:szCs w:val="20"/>
          <w:color w:val="auto"/>
        </w:rPr>
      </w:pPr>
    </w:p>
    <w:p>
      <w:pPr>
        <w:ind w:left="1300" w:hanging="1265"/>
        <w:spacing w:after="0"/>
        <w:tabs>
          <w:tab w:leader="none" w:pos="1300" w:val="left"/>
        </w:tabs>
        <w:numPr>
          <w:ilvl w:val="0"/>
          <w:numId w:val="61"/>
        </w:numPr>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Certification pursuant to 18 U.S.C. Section 1350, as adopted pursuant to Section 906 of the Sarbanes-Oxley Act of 2002.</w:t>
        </w:r>
      </w:hyperlink>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200" w:type="dxa"/>
            <w:vAlign w:val="bottom"/>
          </w:tcPr>
          <w:p>
            <w:pPr>
              <w:ind w:left="40"/>
              <w:spacing w:after="0"/>
              <w:rPr>
                <w:sz w:val="20"/>
                <w:szCs w:val="20"/>
                <w:color w:val="auto"/>
              </w:rPr>
            </w:pPr>
            <w:r>
              <w:rPr>
                <w:rFonts w:ascii="Arial" w:cs="Arial" w:eastAsia="Arial" w:hAnsi="Arial"/>
                <w:sz w:val="18"/>
                <w:szCs w:val="18"/>
                <w:color w:val="auto"/>
              </w:rPr>
              <w:t>101.INS</w:t>
            </w:r>
          </w:p>
        </w:tc>
        <w:tc>
          <w:tcPr>
            <w:tcW w:w="4160" w:type="dxa"/>
            <w:vAlign w:val="bottom"/>
          </w:tcPr>
          <w:p>
            <w:pPr>
              <w:ind w:left="100"/>
              <w:spacing w:after="0"/>
              <w:rPr>
                <w:sz w:val="20"/>
                <w:szCs w:val="20"/>
                <w:color w:val="auto"/>
              </w:rPr>
            </w:pPr>
            <w:r>
              <w:rPr>
                <w:rFonts w:ascii="Arial" w:cs="Arial" w:eastAsia="Arial" w:hAnsi="Arial"/>
                <w:sz w:val="18"/>
                <w:szCs w:val="18"/>
                <w:color w:val="auto"/>
              </w:rPr>
              <w:t>XBRL Instance Document.</w:t>
            </w:r>
          </w:p>
        </w:tc>
      </w:tr>
      <w:tr>
        <w:trPr>
          <w:trHeight w:val="257"/>
        </w:trPr>
        <w:tc>
          <w:tcPr>
            <w:tcW w:w="1200" w:type="dxa"/>
            <w:vAlign w:val="bottom"/>
          </w:tcPr>
          <w:p>
            <w:pPr>
              <w:ind w:left="40"/>
              <w:spacing w:after="0"/>
              <w:rPr>
                <w:sz w:val="20"/>
                <w:szCs w:val="20"/>
                <w:color w:val="auto"/>
              </w:rPr>
            </w:pPr>
            <w:r>
              <w:rPr>
                <w:rFonts w:ascii="Arial" w:cs="Arial" w:eastAsia="Arial" w:hAnsi="Arial"/>
                <w:sz w:val="18"/>
                <w:szCs w:val="18"/>
                <w:color w:val="auto"/>
              </w:rPr>
              <w:t>101.SCH</w:t>
            </w:r>
          </w:p>
        </w:tc>
        <w:tc>
          <w:tcPr>
            <w:tcW w:w="4160" w:type="dxa"/>
            <w:vAlign w:val="bottom"/>
          </w:tcPr>
          <w:p>
            <w:pPr>
              <w:ind w:left="100"/>
              <w:spacing w:after="0"/>
              <w:rPr>
                <w:sz w:val="20"/>
                <w:szCs w:val="20"/>
                <w:color w:val="auto"/>
              </w:rPr>
            </w:pPr>
            <w:r>
              <w:rPr>
                <w:rFonts w:ascii="Arial" w:cs="Arial" w:eastAsia="Arial" w:hAnsi="Arial"/>
                <w:sz w:val="18"/>
                <w:szCs w:val="18"/>
                <w:color w:val="auto"/>
              </w:rPr>
              <w:t>XBRL Taxonomy Extension Schema.</w:t>
            </w:r>
          </w:p>
        </w:tc>
      </w:tr>
      <w:tr>
        <w:trPr>
          <w:trHeight w:val="257"/>
        </w:trPr>
        <w:tc>
          <w:tcPr>
            <w:tcW w:w="1200" w:type="dxa"/>
            <w:vAlign w:val="bottom"/>
          </w:tcPr>
          <w:p>
            <w:pPr>
              <w:ind w:left="40"/>
              <w:spacing w:after="0"/>
              <w:rPr>
                <w:sz w:val="20"/>
                <w:szCs w:val="20"/>
                <w:color w:val="auto"/>
              </w:rPr>
            </w:pPr>
            <w:r>
              <w:rPr>
                <w:rFonts w:ascii="Arial" w:cs="Arial" w:eastAsia="Arial" w:hAnsi="Arial"/>
                <w:sz w:val="18"/>
                <w:szCs w:val="18"/>
                <w:color w:val="auto"/>
              </w:rPr>
              <w:t>101.CAL</w:t>
            </w:r>
          </w:p>
        </w:tc>
        <w:tc>
          <w:tcPr>
            <w:tcW w:w="4160" w:type="dxa"/>
            <w:vAlign w:val="bottom"/>
          </w:tcPr>
          <w:p>
            <w:pPr>
              <w:ind w:left="100"/>
              <w:spacing w:after="0"/>
              <w:rPr>
                <w:sz w:val="20"/>
                <w:szCs w:val="20"/>
                <w:color w:val="auto"/>
              </w:rPr>
            </w:pPr>
            <w:r>
              <w:rPr>
                <w:rFonts w:ascii="Arial" w:cs="Arial" w:eastAsia="Arial" w:hAnsi="Arial"/>
                <w:sz w:val="18"/>
                <w:szCs w:val="18"/>
                <w:color w:val="auto"/>
              </w:rPr>
              <w:t>XBRL Taxonomy Extension Calculation Linkbase.</w:t>
            </w:r>
          </w:p>
        </w:tc>
      </w:tr>
      <w:tr>
        <w:trPr>
          <w:trHeight w:val="257"/>
        </w:trPr>
        <w:tc>
          <w:tcPr>
            <w:tcW w:w="1200" w:type="dxa"/>
            <w:vAlign w:val="bottom"/>
          </w:tcPr>
          <w:p>
            <w:pPr>
              <w:ind w:left="40"/>
              <w:spacing w:after="0"/>
              <w:rPr>
                <w:sz w:val="20"/>
                <w:szCs w:val="20"/>
                <w:color w:val="auto"/>
              </w:rPr>
            </w:pPr>
            <w:r>
              <w:rPr>
                <w:rFonts w:ascii="Arial" w:cs="Arial" w:eastAsia="Arial" w:hAnsi="Arial"/>
                <w:sz w:val="18"/>
                <w:szCs w:val="18"/>
                <w:color w:val="auto"/>
              </w:rPr>
              <w:t>101.DEF</w:t>
            </w:r>
          </w:p>
        </w:tc>
        <w:tc>
          <w:tcPr>
            <w:tcW w:w="4160" w:type="dxa"/>
            <w:vAlign w:val="bottom"/>
          </w:tcPr>
          <w:p>
            <w:pPr>
              <w:ind w:left="100"/>
              <w:spacing w:after="0"/>
              <w:rPr>
                <w:sz w:val="20"/>
                <w:szCs w:val="20"/>
                <w:color w:val="auto"/>
              </w:rPr>
            </w:pPr>
            <w:r>
              <w:rPr>
                <w:rFonts w:ascii="Arial" w:cs="Arial" w:eastAsia="Arial" w:hAnsi="Arial"/>
                <w:sz w:val="18"/>
                <w:szCs w:val="18"/>
                <w:color w:val="auto"/>
              </w:rPr>
              <w:t>XBRL Taxonomy Extension Definition Linkbase.</w:t>
            </w:r>
          </w:p>
        </w:tc>
      </w:tr>
      <w:tr>
        <w:trPr>
          <w:trHeight w:val="257"/>
        </w:trPr>
        <w:tc>
          <w:tcPr>
            <w:tcW w:w="1200" w:type="dxa"/>
            <w:vAlign w:val="bottom"/>
          </w:tcPr>
          <w:p>
            <w:pPr>
              <w:ind w:left="40"/>
              <w:spacing w:after="0"/>
              <w:rPr>
                <w:sz w:val="20"/>
                <w:szCs w:val="20"/>
                <w:color w:val="auto"/>
              </w:rPr>
            </w:pPr>
            <w:r>
              <w:rPr>
                <w:rFonts w:ascii="Arial" w:cs="Arial" w:eastAsia="Arial" w:hAnsi="Arial"/>
                <w:sz w:val="18"/>
                <w:szCs w:val="18"/>
                <w:color w:val="auto"/>
              </w:rPr>
              <w:t>101.LAB</w:t>
            </w:r>
          </w:p>
        </w:tc>
        <w:tc>
          <w:tcPr>
            <w:tcW w:w="4160" w:type="dxa"/>
            <w:vAlign w:val="bottom"/>
          </w:tcPr>
          <w:p>
            <w:pPr>
              <w:ind w:left="100"/>
              <w:spacing w:after="0"/>
              <w:rPr>
                <w:sz w:val="20"/>
                <w:szCs w:val="20"/>
                <w:color w:val="auto"/>
              </w:rPr>
            </w:pPr>
            <w:r>
              <w:rPr>
                <w:rFonts w:ascii="Arial" w:cs="Arial" w:eastAsia="Arial" w:hAnsi="Arial"/>
                <w:sz w:val="18"/>
                <w:szCs w:val="18"/>
                <w:color w:val="auto"/>
              </w:rPr>
              <w:t>XBRL Taxonomy Extension Label Linkbase.</w:t>
            </w:r>
          </w:p>
        </w:tc>
      </w:tr>
      <w:tr>
        <w:trPr>
          <w:trHeight w:val="257"/>
        </w:trPr>
        <w:tc>
          <w:tcPr>
            <w:tcW w:w="1200" w:type="dxa"/>
            <w:vAlign w:val="bottom"/>
          </w:tcPr>
          <w:p>
            <w:pPr>
              <w:ind w:left="40"/>
              <w:spacing w:after="0"/>
              <w:rPr>
                <w:sz w:val="20"/>
                <w:szCs w:val="20"/>
                <w:color w:val="auto"/>
              </w:rPr>
            </w:pPr>
            <w:r>
              <w:rPr>
                <w:rFonts w:ascii="Arial" w:cs="Arial" w:eastAsia="Arial" w:hAnsi="Arial"/>
                <w:sz w:val="18"/>
                <w:szCs w:val="18"/>
                <w:color w:val="auto"/>
              </w:rPr>
              <w:t>101.PRE</w:t>
            </w:r>
          </w:p>
        </w:tc>
        <w:tc>
          <w:tcPr>
            <w:tcW w:w="4160" w:type="dxa"/>
            <w:vAlign w:val="bottom"/>
          </w:tcPr>
          <w:p>
            <w:pPr>
              <w:ind w:left="100"/>
              <w:spacing w:after="0"/>
              <w:rPr>
                <w:sz w:val="20"/>
                <w:szCs w:val="20"/>
                <w:color w:val="auto"/>
              </w:rPr>
            </w:pPr>
            <w:r>
              <w:rPr>
                <w:rFonts w:ascii="Arial" w:cs="Arial" w:eastAsia="Arial" w:hAnsi="Arial"/>
                <w:sz w:val="18"/>
                <w:szCs w:val="18"/>
                <w:color w:val="auto"/>
                <w:w w:val="98"/>
              </w:rPr>
              <w:t>XBRL Taxonomy Extension Presentation Linkbase.</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___________</w:t>
            </w:r>
          </w:p>
        </w:tc>
        <w:tc>
          <w:tcPr>
            <w:tcW w:w="4160" w:type="dxa"/>
            <w:vAlign w:val="bottom"/>
          </w:tcPr>
          <w:p>
            <w:pPr>
              <w:spacing w:after="0"/>
              <w:rPr>
                <w:sz w:val="19"/>
                <w:szCs w:val="19"/>
                <w:color w:val="auto"/>
              </w:rPr>
            </w:pPr>
          </w:p>
        </w:tc>
      </w:tr>
    </w:tbl>
    <w:p>
      <w:pPr>
        <w:spacing w:after="0" w:line="5" w:lineRule="exact"/>
        <w:rPr>
          <w:sz w:val="20"/>
          <w:szCs w:val="20"/>
          <w:color w:val="auto"/>
        </w:rPr>
      </w:pPr>
    </w:p>
    <w:p>
      <w:pPr>
        <w:ind w:left="340" w:right="300" w:hanging="332"/>
        <w:spacing w:after="0" w:line="258" w:lineRule="auto"/>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Confidential treatment has been requested for certain portions of this Exhibit pursuant to Rule 24b-2 of the Securities Exchange Act of 1934, as amended, which portions have been omitted and filed separately with the Securities and Exchange Commission.</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140" w:right="27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365" w:lineRule="exact"/>
        <w:rPr>
          <w:sz w:val="20"/>
          <w:szCs w:val="20"/>
          <w:color w:val="auto"/>
        </w:rPr>
      </w:pPr>
    </w:p>
    <w:p>
      <w:pPr>
        <w:ind w:left="9060"/>
        <w:spacing w:after="0"/>
        <w:rPr>
          <w:sz w:val="20"/>
          <w:szCs w:val="20"/>
          <w:color w:val="auto"/>
        </w:rPr>
      </w:pPr>
      <w:r>
        <w:rPr>
          <w:rFonts w:ascii="Arial" w:cs="Arial" w:eastAsia="Arial" w:hAnsi="Arial"/>
          <w:sz w:val="18"/>
          <w:szCs w:val="18"/>
          <w:b w:val="1"/>
          <w:bCs w:val="1"/>
          <w:color w:val="auto"/>
        </w:rPr>
        <w:t>Six Months Ended</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32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57"/>
        </w:trPr>
        <w:tc>
          <w:tcPr>
            <w:tcW w:w="8320" w:type="dxa"/>
            <w:vAlign w:val="bottom"/>
          </w:tcPr>
          <w:p>
            <w:pPr>
              <w:ind w:left="60"/>
              <w:spacing w:after="0"/>
              <w:rPr>
                <w:sz w:val="20"/>
                <w:szCs w:val="20"/>
                <w:color w:val="auto"/>
              </w:rPr>
            </w:pPr>
            <w:r>
              <w:rPr>
                <w:rFonts w:ascii="Arial" w:cs="Arial" w:eastAsia="Arial" w:hAnsi="Arial"/>
                <w:sz w:val="18"/>
                <w:szCs w:val="18"/>
                <w:b w:val="1"/>
                <w:bCs w:val="1"/>
                <w:color w:val="auto"/>
              </w:rPr>
              <w:t>Earnings available to cover fixed charges:</w:t>
            </w:r>
          </w:p>
        </w:tc>
        <w:tc>
          <w:tcPr>
            <w:tcW w:w="10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60"/>
              <w:spacing w:after="0"/>
              <w:rPr>
                <w:sz w:val="20"/>
                <w:szCs w:val="20"/>
                <w:color w:val="auto"/>
              </w:rPr>
            </w:pPr>
            <w:r>
              <w:rPr>
                <w:rFonts w:ascii="Arial" w:cs="Arial" w:eastAsia="Arial" w:hAnsi="Arial"/>
                <w:sz w:val="18"/>
                <w:szCs w:val="18"/>
                <w:color w:val="auto"/>
              </w:rPr>
              <w:t>Loss before income taxes</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7"/>
        </w:trPr>
        <w:tc>
          <w:tcPr>
            <w:tcW w:w="8320" w:type="dxa"/>
            <w:vAlign w:val="bottom"/>
          </w:tcPr>
          <w:p>
            <w:pPr>
              <w:ind w:left="60"/>
              <w:spacing w:after="0"/>
              <w:rPr>
                <w:sz w:val="20"/>
                <w:szCs w:val="20"/>
                <w:color w:val="auto"/>
              </w:rPr>
            </w:pPr>
            <w:r>
              <w:rPr>
                <w:rFonts w:ascii="Arial" w:cs="Arial" w:eastAsia="Arial" w:hAnsi="Arial"/>
                <w:sz w:val="18"/>
                <w:szCs w:val="18"/>
                <w:color w:val="auto"/>
              </w:rPr>
              <w:t>Plus: Fixed charges</w:t>
            </w:r>
          </w:p>
        </w:tc>
        <w:tc>
          <w:tcPr>
            <w:tcW w:w="10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57"/>
        </w:trPr>
        <w:tc>
          <w:tcPr>
            <w:tcW w:w="8320" w:type="dxa"/>
            <w:vAlign w:val="bottom"/>
          </w:tcPr>
          <w:p>
            <w:pPr>
              <w:ind w:left="60"/>
              <w:spacing w:after="0"/>
              <w:rPr>
                <w:sz w:val="20"/>
                <w:szCs w:val="20"/>
                <w:color w:val="auto"/>
              </w:rPr>
            </w:pPr>
            <w:r>
              <w:rPr>
                <w:rFonts w:ascii="Arial" w:cs="Arial" w:eastAsia="Arial" w:hAnsi="Arial"/>
                <w:sz w:val="18"/>
                <w:szCs w:val="18"/>
                <w:color w:val="auto"/>
              </w:rPr>
              <w:t>Earnings available to cover fixed charges</w:t>
            </w:r>
          </w:p>
        </w:tc>
        <w:tc>
          <w:tcPr>
            <w:tcW w:w="10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 xml:space="preserve">Fixed charges </w:t>
            </w:r>
            <w:r>
              <w:rPr>
                <w:rFonts w:ascii="Arial" w:cs="Arial" w:eastAsia="Arial" w:hAnsi="Arial"/>
                <w:sz w:val="21"/>
                <w:szCs w:val="21"/>
                <w:color w:val="auto"/>
                <w:vertAlign w:val="superscript"/>
              </w:rPr>
              <w:t>(a)</w:t>
            </w:r>
            <w:r>
              <w:rPr>
                <w:rFonts w:ascii="Arial" w:cs="Arial" w:eastAsia="Arial" w:hAnsi="Arial"/>
                <w:sz w:val="18"/>
                <w:szCs w:val="18"/>
                <w:b w:val="1"/>
                <w:bCs w:val="1"/>
                <w:color w:val="auto"/>
              </w:rPr>
              <w:t>:</w:t>
            </w: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832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320" w:type="dxa"/>
            <w:vAlign w:val="bottom"/>
          </w:tcPr>
          <w:p>
            <w:pPr>
              <w:ind w:left="60"/>
              <w:spacing w:after="0"/>
              <w:rPr>
                <w:sz w:val="20"/>
                <w:szCs w:val="20"/>
                <w:color w:val="auto"/>
              </w:rPr>
            </w:pPr>
            <w:r>
              <w:rPr>
                <w:rFonts w:ascii="Arial" w:cs="Arial" w:eastAsia="Arial" w:hAnsi="Arial"/>
                <w:sz w:val="18"/>
                <w:szCs w:val="18"/>
                <w:color w:val="auto"/>
              </w:rPr>
              <w:t>Interest, including amortization of deferred financing costs</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8"/>
                <w:szCs w:val="18"/>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77"/>
        </w:trPr>
        <w:tc>
          <w:tcPr>
            <w:tcW w:w="8320" w:type="dxa"/>
            <w:vAlign w:val="bottom"/>
          </w:tcPr>
          <w:p>
            <w:pPr>
              <w:ind w:left="60"/>
              <w:spacing w:after="0"/>
              <w:rPr>
                <w:sz w:val="20"/>
                <w:szCs w:val="20"/>
                <w:color w:val="auto"/>
              </w:rPr>
            </w:pPr>
            <w:r>
              <w:rPr>
                <w:rFonts w:ascii="Arial" w:cs="Arial" w:eastAsia="Arial" w:hAnsi="Arial"/>
                <w:sz w:val="18"/>
                <w:szCs w:val="18"/>
                <w:color w:val="auto"/>
              </w:rPr>
              <w:t>Interest portion of rental payment</w:t>
            </w:r>
          </w:p>
        </w:tc>
        <w:tc>
          <w:tcPr>
            <w:tcW w:w="10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57"/>
        </w:trPr>
        <w:tc>
          <w:tcPr>
            <w:tcW w:w="8320" w:type="dxa"/>
            <w:vAlign w:val="bottom"/>
          </w:tcPr>
          <w:p>
            <w:pPr>
              <w:ind w:left="60"/>
              <w:spacing w:after="0"/>
              <w:rPr>
                <w:sz w:val="20"/>
                <w:szCs w:val="20"/>
                <w:color w:val="auto"/>
              </w:rPr>
            </w:pPr>
            <w:r>
              <w:rPr>
                <w:rFonts w:ascii="Arial" w:cs="Arial" w:eastAsia="Arial" w:hAnsi="Arial"/>
                <w:sz w:val="18"/>
                <w:szCs w:val="18"/>
                <w:color w:val="auto"/>
              </w:rPr>
              <w:t>Total fixed charges</w:t>
            </w:r>
          </w:p>
        </w:tc>
        <w:tc>
          <w:tcPr>
            <w:tcW w:w="10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 xml:space="preserve">Ratio of earnings to fixed charges </w:t>
            </w:r>
            <w:r>
              <w:rPr>
                <w:rFonts w:ascii="Arial" w:cs="Arial" w:eastAsia="Arial" w:hAnsi="Arial"/>
                <w:sz w:val="21"/>
                <w:szCs w:val="21"/>
                <w:color w:val="auto"/>
                <w:vertAlign w:val="superscript"/>
              </w:rPr>
              <w:t>(b)</w:t>
            </w: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832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2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240" w:right="160" w:hanging="171"/>
        <w:spacing w:after="0" w:line="225" w:lineRule="auto"/>
        <w:tabs>
          <w:tab w:leader="none" w:pos="213" w:val="left"/>
        </w:tabs>
        <w:numPr>
          <w:ilvl w:val="0"/>
          <w:numId w:val="63"/>
        </w:numPr>
        <w:rPr>
          <w:rFonts w:ascii="Arial" w:cs="Arial" w:eastAsia="Arial" w:hAnsi="Arial"/>
          <w:sz w:val="17"/>
          <w:szCs w:val="17"/>
          <w:color w:val="auto"/>
          <w:vertAlign w:val="superscript"/>
        </w:rPr>
      </w:pPr>
      <w:r>
        <w:rPr>
          <w:rFonts w:ascii="Arial" w:cs="Arial" w:eastAsia="Arial" w:hAnsi="Arial"/>
          <w:sz w:val="14"/>
          <w:szCs w:val="14"/>
          <w:color w:val="auto"/>
        </w:rPr>
        <w:t>Consists of interest expense on all indebtedness (including amortization of deferred financing costs) and the portion of operating lease rental expense that is representative of the interest factor. Interest expense on all indebtedness is detailed as follows:</w:t>
      </w:r>
    </w:p>
    <w:p>
      <w:pPr>
        <w:spacing w:after="0" w:line="161" w:lineRule="exact"/>
        <w:rPr>
          <w:sz w:val="20"/>
          <w:szCs w:val="20"/>
          <w:color w:val="auto"/>
        </w:rPr>
      </w:pPr>
    </w:p>
    <w:p>
      <w:pPr>
        <w:ind w:left="9240"/>
        <w:spacing w:after="0"/>
        <w:rPr>
          <w:sz w:val="20"/>
          <w:szCs w:val="20"/>
          <w:color w:val="auto"/>
        </w:rPr>
      </w:pPr>
      <w:r>
        <w:rPr>
          <w:rFonts w:ascii="Arial" w:cs="Arial" w:eastAsia="Arial" w:hAnsi="Arial"/>
          <w:sz w:val="14"/>
          <w:szCs w:val="14"/>
          <w:b w:val="1"/>
          <w:bCs w:val="1"/>
          <w:color w:val="auto"/>
        </w:rPr>
        <w:t>Six Months Ended</w:t>
      </w:r>
    </w:p>
    <w:p>
      <w:pPr>
        <w:spacing w:after="0" w:line="19"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80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6"/>
                <w:szCs w:val="16"/>
                <w:color w:val="auto"/>
              </w:rPr>
            </w:pPr>
          </w:p>
        </w:tc>
      </w:tr>
      <w:tr>
        <w:trPr>
          <w:trHeight w:val="258"/>
        </w:trPr>
        <w:tc>
          <w:tcPr>
            <w:tcW w:w="8020" w:type="dxa"/>
            <w:vAlign w:val="bottom"/>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r>
      <w:tr>
        <w:trPr>
          <w:trHeight w:val="244"/>
        </w:trPr>
        <w:tc>
          <w:tcPr>
            <w:tcW w:w="8020" w:type="dxa"/>
            <w:vAlign w:val="bottom"/>
          </w:tcPr>
          <w:p>
            <w:pPr>
              <w:spacing w:after="0"/>
              <w:rPr>
                <w:sz w:val="20"/>
                <w:szCs w:val="20"/>
                <w:color w:val="auto"/>
              </w:rPr>
            </w:pPr>
            <w:r>
              <w:rPr>
                <w:rFonts w:ascii="Arial" w:cs="Arial" w:eastAsia="Arial" w:hAnsi="Arial"/>
                <w:sz w:val="14"/>
                <w:szCs w:val="14"/>
                <w:color w:val="auto"/>
              </w:rPr>
              <w:t>Related to debt under vehicle programs</w:t>
            </w:r>
          </w:p>
        </w:tc>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155</w:t>
            </w:r>
          </w:p>
        </w:tc>
        <w:tc>
          <w:tcPr>
            <w:tcW w:w="120" w:type="dxa"/>
            <w:vAlign w:val="bottom"/>
          </w:tcPr>
          <w:p>
            <w:pPr>
              <w:spacing w:after="0"/>
              <w:rPr>
                <w:sz w:val="21"/>
                <w:szCs w:val="21"/>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143</w:t>
            </w:r>
          </w:p>
        </w:tc>
      </w:tr>
      <w:tr>
        <w:trPr>
          <w:trHeight w:val="276"/>
        </w:trPr>
        <w:tc>
          <w:tcPr>
            <w:tcW w:w="8020" w:type="dxa"/>
            <w:vAlign w:val="bottom"/>
          </w:tcPr>
          <w:p>
            <w:pPr>
              <w:spacing w:after="0"/>
              <w:rPr>
                <w:sz w:val="20"/>
                <w:szCs w:val="20"/>
                <w:color w:val="auto"/>
              </w:rPr>
            </w:pPr>
            <w:r>
              <w:rPr>
                <w:rFonts w:ascii="Arial" w:cs="Arial" w:eastAsia="Arial" w:hAnsi="Arial"/>
                <w:sz w:val="14"/>
                <w:szCs w:val="14"/>
                <w:color w:val="auto"/>
              </w:rPr>
              <w:t>All other</w:t>
            </w:r>
          </w:p>
        </w:tc>
        <w:tc>
          <w:tcPr>
            <w:tcW w:w="10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101</w:t>
            </w:r>
          </w:p>
        </w:tc>
      </w:tr>
      <w:tr>
        <w:trPr>
          <w:trHeight w:val="237"/>
        </w:trPr>
        <w:tc>
          <w:tcPr>
            <w:tcW w:w="8020" w:type="dxa"/>
            <w:vAlign w:val="bottom"/>
          </w:tcPr>
          <w:p>
            <w:pPr>
              <w:spacing w:after="0"/>
              <w:rPr>
                <w:sz w:val="20"/>
                <w:szCs w:val="20"/>
                <w:color w:val="auto"/>
              </w:rPr>
            </w:pPr>
          </w:p>
        </w:tc>
        <w:tc>
          <w:tcPr>
            <w:tcW w:w="10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257</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244</w:t>
            </w:r>
          </w:p>
        </w:tc>
      </w:tr>
      <w:tr>
        <w:trPr>
          <w:trHeight w:val="20"/>
        </w:trPr>
        <w:tc>
          <w:tcPr>
            <w:tcW w:w="80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32" w:lineRule="exact"/>
        <w:rPr>
          <w:sz w:val="20"/>
          <w:szCs w:val="20"/>
          <w:color w:val="auto"/>
        </w:rPr>
      </w:pPr>
    </w:p>
    <w:p>
      <w:pPr>
        <w:ind w:left="220" w:hanging="151"/>
        <w:spacing w:after="0"/>
        <w:tabs>
          <w:tab w:leader="none" w:pos="220" w:val="left"/>
        </w:tabs>
        <w:numPr>
          <w:ilvl w:val="0"/>
          <w:numId w:val="64"/>
        </w:numPr>
        <w:rPr>
          <w:rFonts w:ascii="Arial" w:cs="Arial" w:eastAsia="Arial" w:hAnsi="Arial"/>
          <w:sz w:val="18"/>
          <w:szCs w:val="18"/>
          <w:color w:val="auto"/>
          <w:vertAlign w:val="superscript"/>
        </w:rPr>
      </w:pPr>
      <w:r>
        <w:rPr>
          <w:rFonts w:ascii="Arial" w:cs="Arial" w:eastAsia="Arial" w:hAnsi="Arial"/>
          <w:sz w:val="14"/>
          <w:szCs w:val="14"/>
          <w:color w:val="auto"/>
        </w:rPr>
        <w:t>Earnings were not sufficient to cover fixed charges for the six months ended June 30, 2018 and 2017 by $91 million and $154 million, respectively.</w:t>
      </w:r>
    </w:p>
    <w:p>
      <w:pPr>
        <w:sectPr>
          <w:pgSz w:w="11900" w:h="16838" w:orient="portrait"/>
          <w:cols w:equalWidth="0" w:num="1">
            <w:col w:w="11420"/>
          </w:cols>
          <w:pgMar w:left="240" w:top="576"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I, Larry D. De Shon, certify that:</w:t>
      </w:r>
    </w:p>
    <w:p>
      <w:pPr>
        <w:spacing w:after="0" w:line="171"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Avis Budget Group, Inc.;</w:t>
      </w:r>
    </w:p>
    <w:p>
      <w:pPr>
        <w:spacing w:after="0" w:line="171" w:lineRule="exact"/>
        <w:rPr>
          <w:rFonts w:ascii="Arial" w:cs="Arial" w:eastAsia="Arial" w:hAnsi="Arial"/>
          <w:sz w:val="18"/>
          <w:szCs w:val="18"/>
          <w:color w:val="auto"/>
        </w:rPr>
      </w:pPr>
    </w:p>
    <w:p>
      <w:pPr>
        <w:ind w:left="660" w:right="120" w:hanging="328"/>
        <w:spacing w:after="0" w:line="256"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20" w:hanging="328"/>
        <w:spacing w:after="0" w:line="291" w:lineRule="auto"/>
        <w:tabs>
          <w:tab w:leader="none" w:pos="6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660" w:right="300" w:hanging="328"/>
        <w:spacing w:after="0" w:line="256"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1300" w:right="180" w:hanging="320"/>
        <w:spacing w:after="0" w:line="256" w:lineRule="auto"/>
        <w:tabs>
          <w:tab w:leader="none" w:pos="13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160" w:hanging="320"/>
        <w:spacing w:after="0" w:line="256" w:lineRule="auto"/>
        <w:tabs>
          <w:tab w:leader="none" w:pos="13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jc w:val="both"/>
        <w:ind w:left="1300" w:right="100" w:hanging="320"/>
        <w:spacing w:after="0" w:line="256" w:lineRule="auto"/>
        <w:tabs>
          <w:tab w:leader="none" w:pos="13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240" w:hanging="320"/>
        <w:spacing w:after="0" w:line="256" w:lineRule="auto"/>
        <w:tabs>
          <w:tab w:leader="none" w:pos="13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660" w:right="520" w:hanging="328"/>
        <w:spacing w:after="0" w:line="256"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1300" w:right="100" w:hanging="320"/>
        <w:spacing w:after="0" w:line="256" w:lineRule="auto"/>
        <w:tabs>
          <w:tab w:leader="none" w:pos="13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20" w:hanging="320"/>
        <w:spacing w:after="0" w:line="262" w:lineRule="auto"/>
        <w:tabs>
          <w:tab w:leader="none" w:pos="13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2018</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Larry D. De Shon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14605</wp:posOffset>
            </wp:positionV>
            <wp:extent cx="27101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76"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Martyn Smith, certify that:</w:t>
      </w:r>
    </w:p>
    <w:p>
      <w:pPr>
        <w:spacing w:after="0" w:line="171"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Avis Budget Group, Inc.;</w:t>
      </w:r>
    </w:p>
    <w:p>
      <w:pPr>
        <w:spacing w:after="0" w:line="171" w:lineRule="exact"/>
        <w:rPr>
          <w:rFonts w:ascii="Arial" w:cs="Arial" w:eastAsia="Arial" w:hAnsi="Arial"/>
          <w:sz w:val="18"/>
          <w:szCs w:val="18"/>
          <w:color w:val="auto"/>
        </w:rPr>
      </w:pPr>
    </w:p>
    <w:p>
      <w:pPr>
        <w:ind w:left="660" w:right="120" w:hanging="328"/>
        <w:spacing w:after="0" w:line="256"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20" w:hanging="328"/>
        <w:spacing w:after="0" w:line="291" w:lineRule="auto"/>
        <w:tabs>
          <w:tab w:leader="none" w:pos="6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660" w:right="300" w:hanging="328"/>
        <w:spacing w:after="0" w:line="256"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1300" w:right="180" w:hanging="320"/>
        <w:spacing w:after="0" w:line="256"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160" w:hanging="320"/>
        <w:spacing w:after="0" w:line="256"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jc w:val="both"/>
        <w:ind w:left="1300" w:right="100" w:hanging="320"/>
        <w:spacing w:after="0" w:line="256"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240" w:hanging="320"/>
        <w:spacing w:after="0" w:line="256"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660" w:right="520" w:hanging="328"/>
        <w:spacing w:after="0" w:line="256"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1300" w:right="100" w:hanging="320"/>
        <w:spacing w:after="0" w:line="256"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20" w:hanging="320"/>
        <w:spacing w:after="0" w:line="262"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2018</w:t>
      </w:r>
    </w:p>
    <w:p>
      <w:pPr>
        <w:spacing w:after="0" w:line="387" w:lineRule="exact"/>
        <w:rPr>
          <w:sz w:val="20"/>
          <w:szCs w:val="20"/>
          <w:color w:val="auto"/>
        </w:rPr>
      </w:pPr>
    </w:p>
    <w:p>
      <w:pPr>
        <w:jc w:val="center"/>
        <w:ind w:right="-19"/>
        <w:spacing w:after="0"/>
        <w:tabs>
          <w:tab w:leader="none" w:pos="1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Martyn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14605</wp:posOffset>
            </wp:positionV>
            <wp:extent cx="42449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4244975" cy="889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Interim Chief Financial Officer</w:t>
      </w:r>
    </w:p>
    <w:p>
      <w:pPr>
        <w:sectPr>
          <w:pgSz w:w="11900" w:h="16838" w:orient="portrait"/>
          <w:cols w:equalWidth="0" w:num="1">
            <w:col w:w="11420"/>
          </w:cols>
          <w:pgMar w:left="240" w:top="576"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connection with the Quarterly Report of Avis Budget Group, Inc. (the “Company”) on Form 10-Q for the period ended June 30, 2018, as filed with the Securities and Exchange Commission on the date hereof (the “Report”), Larry D. De Shon, as Chief Executive Officer of the Company, and Martyn Smith, as Interim Chief Financial Officer of the Company, each hereby certifies, pursuant to 18 U.S.C. Section 1350, as adopted pursuant to Section 906 of the Sarbanes-Oxley Act of 2002, that, to the best of his knowledge:</w:t>
      </w:r>
    </w:p>
    <w:p>
      <w:pPr>
        <w:spacing w:after="0" w:line="150"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LARRY D. DE SHON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Larry D. De Shon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8, 2018</w:t>
      </w:r>
    </w:p>
    <w:p>
      <w:pPr>
        <w:spacing w:after="0" w:line="374"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MARTYN SMITH</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Martyn Smith</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Interim 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8, 2018</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1."/>
      <w:numFmt w:val="decimal"/>
      <w:start w:val="1"/>
    </w:lvl>
    <w:lvl w:ilvl="1">
      <w:lvlJc w:val="left"/>
      <w:lvlText w:val="•"/>
      <w:numFmt w:val="bullet"/>
      <w:start w:val="1"/>
    </w:lvl>
  </w:abstractNum>
  <w:abstractNum w:abstractNumId="3">
    <w:nsid w:val="440BADFC"/>
    <w:multiLevelType w:val="hybridMultilevel"/>
    <w:lvl w:ilvl="0">
      <w:lvlJc w:val="left"/>
      <w:lvlText w:val="(%1)"/>
      <w:numFmt w:val="lowerLetter"/>
      <w:start w:val="1"/>
    </w:lvl>
  </w:abstractNum>
  <w:abstractNum w:abstractNumId="4">
    <w:nsid w:val="5072367"/>
    <w:multiLevelType w:val="hybridMultilevel"/>
    <w:lvl w:ilvl="0">
      <w:lvlJc w:val="left"/>
      <w:lvlText w:val="%1."/>
      <w:numFmt w:val="decimal"/>
      <w:start w:val="2"/>
    </w:lvl>
  </w:abstractNum>
  <w:abstractNum w:abstractNumId="5">
    <w:nsid w:val="3804823E"/>
    <w:multiLevelType w:val="hybridMultilevel"/>
    <w:lvl w:ilvl="0">
      <w:lvlJc w:val="left"/>
      <w:lvlText w:val="%1"/>
      <w:numFmt w:val="decimal"/>
      <w:start w:val="1"/>
    </w:lvl>
    <w:lvl w:ilvl="1">
      <w:lvlJc w:val="left"/>
      <w:lvlText w:val="(%2)"/>
      <w:numFmt w:val="lowerLetter"/>
      <w:start w:val="1"/>
    </w:lvl>
  </w:abstractNum>
  <w:abstractNum w:abstractNumId="6">
    <w:nsid w:val="77465F01"/>
    <w:multiLevelType w:val="hybridMultilevel"/>
    <w:lvl w:ilvl="0">
      <w:lvlJc w:val="left"/>
      <w:lvlText w:val="%1."/>
      <w:numFmt w:val="decimal"/>
      <w:start w:val="3"/>
    </w:lvl>
    <w:lvl w:ilvl="1">
      <w:lvlJc w:val="left"/>
      <w:lvlText w:val="%2"/>
      <w:numFmt w:val="lowerLetter"/>
      <w:start w:val="1"/>
    </w:lvl>
  </w:abstractNum>
  <w:abstractNum w:abstractNumId="7">
    <w:nsid w:val="7724C67E"/>
    <w:multiLevelType w:val="hybridMultilevel"/>
    <w:lvl w:ilvl="0">
      <w:lvlJc w:val="left"/>
      <w:lvlText w:val="(%1)"/>
      <w:numFmt w:val="lowerLetter"/>
      <w:start w:val="1"/>
    </w:lvl>
  </w:abstractNum>
  <w:abstractNum w:abstractNumId="8">
    <w:nsid w:val="5C482A97"/>
    <w:multiLevelType w:val="hybridMultilevel"/>
    <w:lvl w:ilvl="0">
      <w:lvlJc w:val="left"/>
      <w:lvlText w:val="%1."/>
      <w:numFmt w:val="decimal"/>
      <w:start w:val="4"/>
    </w:lvl>
  </w:abstractNum>
  <w:abstractNum w:abstractNumId="9">
    <w:nsid w:val="2463B9EA"/>
    <w:multiLevelType w:val="hybridMultilevel"/>
    <w:lvl w:ilvl="0">
      <w:lvlJc w:val="left"/>
      <w:lvlText w:val="%1"/>
      <w:numFmt w:val="decimal"/>
      <w:start w:val="1"/>
    </w:lvl>
    <w:lvl w:ilvl="1">
      <w:lvlJc w:val="left"/>
      <w:lvlText w:val="(%2)"/>
      <w:numFmt w:val="lowerLetter"/>
      <w:start w:val="1"/>
    </w:lvl>
  </w:abstractNum>
  <w:abstractNum w:abstractNumId="10">
    <w:nsid w:val="5E884ADC"/>
    <w:multiLevelType w:val="hybridMultilevel"/>
    <w:lvl w:ilvl="0">
      <w:lvlJc w:val="left"/>
      <w:lvlText w:val="%1."/>
      <w:numFmt w:val="decimal"/>
      <w:start w:val="5"/>
    </w:lvl>
    <w:lvl w:ilvl="1">
      <w:lvlJc w:val="left"/>
      <w:lvlText w:val="%2"/>
      <w:numFmt w:val="lowerLetter"/>
      <w:start w:val="1"/>
    </w:lvl>
  </w:abstractNum>
  <w:abstractNum w:abstractNumId="11">
    <w:nsid w:val="51EAD36B"/>
    <w:multiLevelType w:val="hybridMultilevel"/>
    <w:lvl w:ilvl="0">
      <w:lvlJc w:val="left"/>
      <w:lvlText w:val="%1."/>
      <w:numFmt w:val="decimal"/>
      <w:start w:val="7"/>
    </w:lvl>
  </w:abstractNum>
  <w:abstractNum w:abstractNumId="12">
    <w:nsid w:val="2D517796"/>
    <w:multiLevelType w:val="hybridMultilevel"/>
    <w:lvl w:ilvl="0">
      <w:lvlJc w:val="left"/>
      <w:lvlText w:val="(%1)"/>
      <w:numFmt w:val="lowerLetter"/>
      <w:start w:val="1"/>
    </w:lvl>
  </w:abstractNum>
  <w:abstractNum w:abstractNumId="13">
    <w:nsid w:val="580BD78F"/>
    <w:multiLevelType w:val="hybridMultilevel"/>
    <w:lvl w:ilvl="0">
      <w:lvlJc w:val="left"/>
      <w:lvlText w:val="%1."/>
      <w:numFmt w:val="decimal"/>
      <w:start w:val="8"/>
    </w:lvl>
  </w:abstractNum>
  <w:abstractNum w:abstractNumId="14">
    <w:nsid w:val="153EA438"/>
    <w:multiLevelType w:val="hybridMultilevel"/>
    <w:lvl w:ilvl="0">
      <w:lvlJc w:val="left"/>
      <w:lvlText w:val="%1"/>
      <w:numFmt w:val="decimal"/>
      <w:start w:val="120"/>
    </w:lvl>
    <w:lvl w:ilvl="1">
      <w:lvlJc w:val="left"/>
      <w:lvlText w:val="(%2)"/>
      <w:numFmt w:val="decimal"/>
      <w:start w:val="10"/>
    </w:lvl>
  </w:abstractNum>
  <w:abstractNum w:abstractNumId="15">
    <w:nsid w:val="3855585C"/>
    <w:multiLevelType w:val="hybridMultilevel"/>
    <w:lvl w:ilvl="0">
      <w:lvlJc w:val="left"/>
      <w:lvlText w:val="%1."/>
      <w:numFmt w:val="decimal"/>
      <w:start w:val="9"/>
    </w:lvl>
  </w:abstractNum>
  <w:abstractNum w:abstractNumId="16">
    <w:nsid w:val="70A64E2A"/>
    <w:multiLevelType w:val="hybridMultilevel"/>
    <w:lvl w:ilvl="0">
      <w:lvlJc w:val="left"/>
      <w:lvlText w:val="%1."/>
      <w:numFmt w:val="decimal"/>
      <w:start w:val="11"/>
    </w:lvl>
  </w:abstractNum>
  <w:abstractNum w:abstractNumId="17">
    <w:nsid w:val="6A2342EC"/>
    <w:multiLevelType w:val="hybridMultilevel"/>
    <w:lvl w:ilvl="0">
      <w:lvlJc w:val="left"/>
      <w:lvlText w:val="(%1)"/>
      <w:numFmt w:val="lowerLetter"/>
      <w:start w:val="1"/>
    </w:lvl>
  </w:abstractNum>
  <w:abstractNum w:abstractNumId="18">
    <w:nsid w:val="2A487CB0"/>
    <w:multiLevelType w:val="hybridMultilevel"/>
    <w:lvl w:ilvl="0">
      <w:lvlJc w:val="left"/>
      <w:lvlText w:val="(%1)"/>
      <w:numFmt w:val="lowerLetter"/>
      <w:start w:val="1"/>
    </w:lvl>
  </w:abstractNum>
  <w:abstractNum w:abstractNumId="19">
    <w:nsid w:val="1D4ED43B"/>
    <w:multiLevelType w:val="hybridMultilevel"/>
    <w:lvl w:ilvl="0">
      <w:lvlJc w:val="left"/>
      <w:lvlText w:val="%1."/>
      <w:numFmt w:val="decimal"/>
      <w:start w:val="12"/>
    </w:lvl>
  </w:abstractNum>
  <w:abstractNum w:abstractNumId="20">
    <w:nsid w:val="725A06FB"/>
    <w:multiLevelType w:val="hybridMultilevel"/>
    <w:lvl w:ilvl="0">
      <w:lvlJc w:val="left"/>
      <w:lvlText w:val="(%1)"/>
      <w:numFmt w:val="lowerLetter"/>
      <w:start w:val="1"/>
    </w:lvl>
  </w:abstractNum>
  <w:abstractNum w:abstractNumId="21">
    <w:nsid w:val="2CD89A32"/>
    <w:multiLevelType w:val="hybridMultilevel"/>
    <w:lvl w:ilvl="0">
      <w:lvlJc w:val="left"/>
      <w:lvlText w:val="(%1)"/>
      <w:numFmt w:val="lowerLetter"/>
      <w:start w:val="1"/>
    </w:lvl>
  </w:abstractNum>
  <w:abstractNum w:abstractNumId="22">
    <w:nsid w:val="57E4CCAF"/>
    <w:multiLevelType w:val="hybridMultilevel"/>
    <w:lvl w:ilvl="0">
      <w:lvlJc w:val="left"/>
      <w:lvlText w:val="%1."/>
      <w:numFmt w:val="decimal"/>
      <w:start w:val="13"/>
    </w:lvl>
  </w:abstractNum>
  <w:abstractNum w:abstractNumId="23">
    <w:nsid w:val="7A6D8D3C"/>
    <w:multiLevelType w:val="hybridMultilevel"/>
    <w:lvl w:ilvl="0">
      <w:lvlJc w:val="left"/>
      <w:lvlText w:val="%1."/>
      <w:numFmt w:val="decimal"/>
      <w:start w:val="14"/>
    </w:lvl>
  </w:abstractNum>
  <w:abstractNum w:abstractNumId="24">
    <w:nsid w:val="4B588F54"/>
    <w:multiLevelType w:val="hybridMultilevel"/>
    <w:lvl w:ilvl="0">
      <w:lvlJc w:val="left"/>
      <w:lvlText w:val="%1"/>
      <w:numFmt w:val="decimal"/>
      <w:start w:val="1"/>
    </w:lvl>
    <w:lvl w:ilvl="1">
      <w:lvlJc w:val="left"/>
      <w:lvlText w:val="(%2)"/>
      <w:numFmt w:val="lowerLetter"/>
      <w:start w:val="1"/>
    </w:lvl>
  </w:abstractNum>
  <w:abstractNum w:abstractNumId="25">
    <w:nsid w:val="542289EC"/>
    <w:multiLevelType w:val="hybridMultilevel"/>
    <w:lvl w:ilvl="0">
      <w:lvlJc w:val="left"/>
      <w:lvlText w:val="%1."/>
      <w:numFmt w:val="decimal"/>
      <w:start w:val="15"/>
    </w:lvl>
    <w:lvl w:ilvl="1">
      <w:lvlJc w:val="left"/>
      <w:lvlText w:val="%2"/>
      <w:numFmt w:val="lowerLetter"/>
      <w:start w:val="1"/>
    </w:lvl>
  </w:abstractNum>
  <w:abstractNum w:abstractNumId="26">
    <w:nsid w:val="6DE91B18"/>
    <w:multiLevelType w:val="hybridMultilevel"/>
    <w:lvl w:ilvl="0">
      <w:lvlJc w:val="left"/>
      <w:lvlText w:val="%1"/>
      <w:numFmt w:val="decimal"/>
      <w:start w:val="349"/>
    </w:lvl>
  </w:abstractNum>
  <w:abstractNum w:abstractNumId="27">
    <w:nsid w:val="38437FDB"/>
    <w:multiLevelType w:val="hybridMultilevel"/>
    <w:lvl w:ilvl="0">
      <w:lvlJc w:val="left"/>
      <w:lvlText w:val="(%1)"/>
      <w:numFmt w:val="decimal"/>
      <w:start w:val="145"/>
    </w:lvl>
  </w:abstractNum>
  <w:abstractNum w:abstractNumId="28">
    <w:nsid w:val="7644A45C"/>
    <w:multiLevelType w:val="hybridMultilevel"/>
    <w:lvl w:ilvl="0">
      <w:lvlJc w:val="left"/>
      <w:lvlText w:val="(%1)"/>
      <w:numFmt w:val="lowerLetter"/>
      <w:start w:val="1"/>
    </w:lvl>
  </w:abstractNum>
  <w:abstractNum w:abstractNumId="29">
    <w:nsid w:val="32FFF902"/>
    <w:multiLevelType w:val="hybridMultilevel"/>
    <w:lvl w:ilvl="0">
      <w:lvlJc w:val="left"/>
      <w:lvlText w:val="%1."/>
      <w:numFmt w:val="decimal"/>
      <w:start w:val="16"/>
    </w:lvl>
  </w:abstractNum>
  <w:abstractNum w:abstractNumId="30">
    <w:nsid w:val="684A481A"/>
    <w:multiLevelType w:val="hybridMultilevel"/>
    <w:lvl w:ilvl="0">
      <w:lvlJc w:val="left"/>
      <w:lvlText w:val="(%1)"/>
      <w:numFmt w:val="lowerLetter"/>
      <w:start w:val="1"/>
    </w:lvl>
  </w:abstractNum>
  <w:abstractNum w:abstractNumId="31">
    <w:nsid w:val="579478FE"/>
    <w:multiLevelType w:val="hybridMultilevel"/>
    <w:lvl w:ilvl="0">
      <w:lvlJc w:val="left"/>
      <w:lvlText w:val="(%1)"/>
      <w:numFmt w:val="lowerLetter"/>
      <w:start w:val="1"/>
    </w:lvl>
  </w:abstractNum>
  <w:abstractNum w:abstractNumId="32">
    <w:nsid w:val="749ABB43"/>
    <w:multiLevelType w:val="hybridMultilevel"/>
    <w:lvl w:ilvl="0">
      <w:lvlJc w:val="left"/>
      <w:lvlText w:val="(%1)"/>
      <w:numFmt w:val="lowerLetter"/>
      <w:start w:val="1"/>
    </w:lvl>
  </w:abstractNum>
  <w:abstractNum w:abstractNumId="33">
    <w:nsid w:val="3DC240FB"/>
    <w:multiLevelType w:val="hybridMultilevel"/>
    <w:lvl w:ilvl="0">
      <w:lvlJc w:val="left"/>
      <w:lvlText w:val="%1"/>
      <w:numFmt w:val="decimal"/>
      <w:start w:val="1"/>
    </w:lvl>
    <w:lvl w:ilvl="1">
      <w:lvlJc w:val="left"/>
      <w:lvlText w:val="(%2)"/>
      <w:numFmt w:val="lowerLetter"/>
      <w:start w:val="1"/>
    </w:lvl>
  </w:abstractNum>
  <w:abstractNum w:abstractNumId="34">
    <w:nsid w:val="1BA026FA"/>
    <w:multiLevelType w:val="hybridMultilevel"/>
    <w:lvl w:ilvl="0">
      <w:lvlJc w:val="left"/>
      <w:lvlText w:val="%1."/>
      <w:numFmt w:val="decimal"/>
      <w:start w:val="17"/>
    </w:lvl>
    <w:lvl w:ilvl="1">
      <w:lvlJc w:val="left"/>
      <w:lvlText w:val="%2"/>
      <w:numFmt w:val="lowerLetter"/>
      <w:start w:val="1"/>
    </w:lvl>
  </w:abstractNum>
  <w:abstractNum w:abstractNumId="35">
    <w:nsid w:val="79A1DEAA"/>
    <w:multiLevelType w:val="hybridMultilevel"/>
    <w:lvl w:ilvl="0">
      <w:lvlJc w:val="left"/>
      <w:lvlText w:val="(%1)"/>
      <w:numFmt w:val="lowerLetter"/>
      <w:start w:val="1"/>
    </w:lvl>
  </w:abstractNum>
  <w:abstractNum w:abstractNumId="36">
    <w:nsid w:val="75C6C33A"/>
    <w:multiLevelType w:val="hybridMultilevel"/>
    <w:lvl w:ilvl="0">
      <w:lvlJc w:val="left"/>
      <w:lvlText w:val="(%1)"/>
      <w:numFmt w:val="lowerLetter"/>
      <w:start w:val="1"/>
    </w:lvl>
  </w:abstractNum>
  <w:abstractNum w:abstractNumId="37">
    <w:nsid w:val="12E685FB"/>
    <w:multiLevelType w:val="hybridMultilevel"/>
    <w:lvl w:ilvl="0">
      <w:lvlJc w:val="left"/>
      <w:lvlText w:val="%1."/>
      <w:numFmt w:val="decimal"/>
      <w:start w:val="18"/>
    </w:lvl>
  </w:abstractNum>
  <w:abstractNum w:abstractNumId="38">
    <w:nsid w:val="70C6A529"/>
    <w:multiLevelType w:val="hybridMultilevel"/>
    <w:lvl w:ilvl="0">
      <w:lvlJc w:val="left"/>
      <w:lvlText w:val="(%1)"/>
      <w:numFmt w:val="lowerLetter"/>
      <w:start w:val="1"/>
    </w:lvl>
  </w:abstractNum>
  <w:abstractNum w:abstractNumId="39">
    <w:nsid w:val="520EEDD1"/>
    <w:multiLevelType w:val="hybridMultilevel"/>
    <w:lvl w:ilvl="0">
      <w:lvlJc w:val="left"/>
      <w:lvlText w:val="%1."/>
      <w:numFmt w:val="decimal"/>
      <w:start w:val="19"/>
    </w:lvl>
  </w:abstractNum>
  <w:abstractNum w:abstractNumId="40">
    <w:nsid w:val="374A3FE6"/>
    <w:multiLevelType w:val="hybridMultilevel"/>
    <w:lvl w:ilvl="0">
      <w:lvlJc w:val="left"/>
      <w:lvlText w:val="•"/>
      <w:numFmt w:val="bullet"/>
      <w:start w:val="1"/>
    </w:lvl>
  </w:abstractNum>
  <w:abstractNum w:abstractNumId="41">
    <w:nsid w:val="4F4EF005"/>
    <w:multiLevelType w:val="hybridMultilevel"/>
    <w:lvl w:ilvl="0">
      <w:lvlJc w:val="left"/>
      <w:lvlText w:val="•"/>
      <w:numFmt w:val="bullet"/>
      <w:start w:val="1"/>
    </w:lvl>
  </w:abstractNum>
  <w:abstractNum w:abstractNumId="42">
    <w:nsid w:val="23F9C13C"/>
    <w:multiLevelType w:val="hybridMultilevel"/>
    <w:lvl w:ilvl="0">
      <w:lvlJc w:val="left"/>
      <w:lvlText w:val="•"/>
      <w:numFmt w:val="bullet"/>
      <w:start w:val="1"/>
    </w:lvl>
  </w:abstractNum>
  <w:abstractNum w:abstractNumId="43">
    <w:nsid w:val="649BB77C"/>
    <w:multiLevelType w:val="hybridMultilevel"/>
    <w:lvl w:ilvl="0">
      <w:lvlJc w:val="left"/>
      <w:lvlText w:val="•"/>
      <w:numFmt w:val="bullet"/>
      <w:start w:val="1"/>
    </w:lvl>
  </w:abstractNum>
  <w:abstractNum w:abstractNumId="44">
    <w:nsid w:val="275AC794"/>
    <w:multiLevelType w:val="hybridMultilevel"/>
    <w:lvl w:ilvl="0">
      <w:lvlJc w:val="left"/>
      <w:lvlText w:val="(%1)"/>
      <w:numFmt w:val="lowerLetter"/>
      <w:start w:val="1"/>
    </w:lvl>
  </w:abstractNum>
  <w:abstractNum w:abstractNumId="45">
    <w:nsid w:val="39386575"/>
    <w:multiLevelType w:val="hybridMultilevel"/>
    <w:lvl w:ilvl="0">
      <w:lvlJc w:val="left"/>
      <w:lvlText w:val="•"/>
      <w:numFmt w:val="bullet"/>
      <w:start w:val="1"/>
    </w:lvl>
  </w:abstractNum>
  <w:abstractNum w:abstractNumId="46">
    <w:nsid w:val="1CF10FD8"/>
    <w:multiLevelType w:val="hybridMultilevel"/>
    <w:lvl w:ilvl="0">
      <w:lvlJc w:val="left"/>
      <w:lvlText w:val="•"/>
      <w:numFmt w:val="bullet"/>
      <w:start w:val="1"/>
    </w:lvl>
  </w:abstractNum>
  <w:abstractNum w:abstractNumId="47">
    <w:nsid w:val="180115BE"/>
    <w:multiLevelType w:val="hybridMultilevel"/>
    <w:lvl w:ilvl="0">
      <w:lvlJc w:val="left"/>
      <w:lvlText w:val="•"/>
      <w:numFmt w:val="bullet"/>
      <w:start w:val="1"/>
    </w:lvl>
  </w:abstractNum>
  <w:abstractNum w:abstractNumId="48">
    <w:nsid w:val="235BA861"/>
    <w:multiLevelType w:val="hybridMultilevel"/>
    <w:lvl w:ilvl="0">
      <w:lvlJc w:val="left"/>
      <w:lvlText w:val="•"/>
      <w:numFmt w:val="bullet"/>
      <w:start w:val="1"/>
    </w:lvl>
  </w:abstractNum>
  <w:abstractNum w:abstractNumId="49">
    <w:nsid w:val="47398C89"/>
    <w:multiLevelType w:val="hybridMultilevel"/>
    <w:lvl w:ilvl="0">
      <w:lvlJc w:val="left"/>
      <w:lvlText w:val="(%1)"/>
      <w:numFmt w:val="lowerLetter"/>
      <w:start w:val="1"/>
    </w:lvl>
  </w:abstractNum>
  <w:abstractNum w:abstractNumId="50">
    <w:nsid w:val="354FE9F9"/>
    <w:multiLevelType w:val="hybridMultilevel"/>
    <w:lvl w:ilvl="0">
      <w:lvlJc w:val="left"/>
      <w:lvlText w:val="(%1)"/>
      <w:numFmt w:val="decimal"/>
      <w:start w:val="30"/>
    </w:lvl>
  </w:abstractNum>
  <w:abstractNum w:abstractNumId="51">
    <w:nsid w:val="15B5AF5C"/>
    <w:multiLevelType w:val="hybridMultilevel"/>
    <w:lvl w:ilvl="0">
      <w:lvlJc w:val="left"/>
      <w:lvlText w:val="(%1)"/>
      <w:numFmt w:val="decimal"/>
      <w:start w:val="91"/>
    </w:lvl>
  </w:abstractNum>
  <w:abstractNum w:abstractNumId="52">
    <w:nsid w:val="741226BB"/>
    <w:multiLevelType w:val="hybridMultilevel"/>
    <w:lvl w:ilvl="0">
      <w:lvlJc w:val="left"/>
      <w:lvlText w:val="\emdash "/>
      <w:numFmt w:val="bullet"/>
      <w:start w:val="1"/>
    </w:lvl>
  </w:abstractNum>
  <w:abstractNum w:abstractNumId="53">
    <w:nsid w:val="D34B6A8"/>
    <w:multiLevelType w:val="hybridMultilevel"/>
    <w:lvl w:ilvl="0">
      <w:lvlJc w:val="left"/>
      <w:lvlText w:val="•"/>
      <w:numFmt w:val="bullet"/>
      <w:start w:val="1"/>
    </w:lvl>
  </w:abstractNum>
  <w:abstractNum w:abstractNumId="54">
    <w:nsid w:val="10233C99"/>
    <w:multiLevelType w:val="hybridMultilevel"/>
    <w:lvl w:ilvl="0">
      <w:lvlJc w:val="left"/>
      <w:lvlText w:val="•"/>
      <w:numFmt w:val="bullet"/>
      <w:start w:val="1"/>
    </w:lvl>
  </w:abstractNum>
  <w:abstractNum w:abstractNumId="55">
    <w:nsid w:val="3F6AB60F"/>
    <w:multiLevelType w:val="hybridMultilevel"/>
    <w:lvl w:ilvl="0">
      <w:lvlJc w:val="left"/>
      <w:lvlText w:val="•"/>
      <w:numFmt w:val="bullet"/>
      <w:start w:val="1"/>
    </w:lvl>
  </w:abstractNum>
  <w:abstractNum w:abstractNumId="56">
    <w:nsid w:val="61574095"/>
    <w:multiLevelType w:val="hybridMultilevel"/>
    <w:lvl w:ilvl="0">
      <w:lvlJc w:val="left"/>
      <w:lvlText w:val="(%1)"/>
      <w:numFmt w:val="lowerRoman"/>
      <w:start w:val="1"/>
    </w:lvl>
  </w:abstractNum>
  <w:abstractNum w:abstractNumId="57">
    <w:nsid w:val="7E0C57B1"/>
    <w:multiLevelType w:val="hybridMultilevel"/>
    <w:lvl w:ilvl="0">
      <w:lvlJc w:val="left"/>
      <w:lvlText w:val="(%1)"/>
      <w:numFmt w:val="lowerLetter"/>
      <w:start w:val="1"/>
    </w:lvl>
  </w:abstractNum>
  <w:abstractNum w:abstractNumId="58">
    <w:nsid w:val="77AE35EB"/>
    <w:multiLevelType w:val="hybridMultilevel"/>
    <w:lvl w:ilvl="0">
      <w:lvlJc w:val="left"/>
      <w:lvlText w:val="(%1)"/>
      <w:numFmt w:val="lowerLetter"/>
      <w:start w:val="1"/>
    </w:lvl>
  </w:abstractNum>
  <w:abstractNum w:abstractNumId="59">
    <w:nsid w:val="579BE4F1"/>
    <w:multiLevelType w:val="hybridMultilevel"/>
    <w:lvl w:ilvl="0">
      <w:lvlJc w:val="left"/>
      <w:lvlText w:val="%1"/>
      <w:numFmt w:val="decimal"/>
      <w:start w:val="12"/>
    </w:lvl>
  </w:abstractNum>
  <w:abstractNum w:abstractNumId="60">
    <w:nsid w:val="310C50B3"/>
    <w:multiLevelType w:val="hybridMultilevel"/>
    <w:lvl w:ilvl="0">
      <w:lvlJc w:val="left"/>
      <w:lvlText w:val="%1"/>
      <w:numFmt w:val="decimal"/>
      <w:start w:val="32"/>
    </w:lvl>
  </w:abstractNum>
  <w:abstractNum w:abstractNumId="61">
    <w:nsid w:val="5FF87E05"/>
    <w:multiLevelType w:val="hybridMultilevel"/>
    <w:lvl w:ilvl="0">
      <w:lvlJc w:val="left"/>
      <w:lvlText w:val="*"/>
      <w:numFmt w:val="bullet"/>
      <w:start w:val="1"/>
    </w:lvl>
  </w:abstractNum>
  <w:abstractNum w:abstractNumId="62">
    <w:nsid w:val="2F305DEF"/>
    <w:multiLevelType w:val="hybridMultilevel"/>
    <w:lvl w:ilvl="0">
      <w:lvlJc w:val="left"/>
      <w:lvlText w:val="(%1)"/>
      <w:numFmt w:val="lowerLetter"/>
      <w:start w:val="1"/>
    </w:lvl>
  </w:abstractNum>
  <w:abstractNum w:abstractNumId="63">
    <w:nsid w:val="25A70BF7"/>
    <w:multiLevelType w:val="hybridMultilevel"/>
    <w:lvl w:ilvl="0">
      <w:lvlJc w:val="left"/>
      <w:lvlText w:val="(%1)"/>
      <w:numFmt w:val="lowerLetter"/>
      <w:start w:val="2"/>
    </w:lvl>
  </w:abstractNum>
  <w:abstractNum w:abstractNumId="64">
    <w:nsid w:val="1DBABF00"/>
    <w:multiLevelType w:val="hybridMultilevel"/>
    <w:lvl w:ilvl="0">
      <w:lvlJc w:val="left"/>
      <w:lvlText w:val="%1."/>
      <w:numFmt w:val="decimal"/>
      <w:start w:val="1"/>
    </w:lvl>
    <w:lvl w:ilvl="1">
      <w:lvlJc w:val="left"/>
      <w:lvlText w:val="%2)"/>
      <w:numFmt w:val="lowerLetter"/>
      <w:start w:val="1"/>
    </w:lvl>
  </w:abstractNum>
  <w:abstractNum w:abstractNumId="65">
    <w:nsid w:val="4AD084E9"/>
    <w:multiLevelType w:val="hybridMultilevel"/>
    <w:lvl w:ilvl="0">
      <w:lvlJc w:val="left"/>
      <w:lvlText w:val="%1."/>
      <w:numFmt w:val="decimal"/>
      <w:start w:val="1"/>
    </w:lvl>
    <w:lvl w:ilvl="1">
      <w:lvlJc w:val="left"/>
      <w:lvlText w:val="%2)"/>
      <w:numFmt w:val="lowerLetter"/>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43" Type="http://schemas.openxmlformats.org/officeDocument/2006/relationships/hyperlink" Target="http://www.sec.gov/Archives/edgar/data/723612/000119312518117867/d565219dex31.htm" TargetMode="External"/><Relationship Id="rId44" Type="http://schemas.openxmlformats.org/officeDocument/2006/relationships/hyperlink" Target="http://www.sec.gov/Archives/edgar/data/723612/000072361218000070/bylaws.htm" TargetMode="External"/><Relationship Id="rId45" Type="http://schemas.openxmlformats.org/officeDocument/2006/relationships/hyperlink" Target="http://www.sec.gov/Archives/edgar/data/723612/000119312518117867/d565219dex41.htm" TargetMode="External"/><Relationship Id="rId46" Type="http://schemas.openxmlformats.org/officeDocument/2006/relationships/hyperlink" Target="http://www.sec.gov/Archives/edgar/data/723612/000119312518117867/d565219dex101.htm" TargetMode="External"/><Relationship Id="rId47" Type="http://schemas.openxmlformats.org/officeDocument/2006/relationships/hyperlink" Target="http://www.sec.gov/Archives/edgar/data/723612/000072361218000057/series2018-1indenture.htm" TargetMode="External"/><Relationship Id="rId48" Type="http://schemas.openxmlformats.org/officeDocument/2006/relationships/hyperlink" Target="http://www.sec.gov/Archives/edgar/data/723612/000072361218000070/nelsonseparationconsulting.htm" TargetMode="External"/><Relationship Id="rId49" Type="http://schemas.openxmlformats.org/officeDocument/2006/relationships/hyperlink" Target="http://www.sec.gov/Archives/edgar/data/723612/000072361218000074/tenthmasteramendedandrest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2019-12-28T20:16:53Z</dcterms:created>
  <dcterms:modified xsi:type="dcterms:W3CDTF">2019-12-28T20:16:53Z</dcterms:modified>
</cp:coreProperties>
</file>