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206375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46355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1660" w:hanging="382"/>
        <w:spacing w:after="0"/>
        <w:tabs>
          <w:tab w:leader="none" w:pos="16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312" w:lineRule="exact"/>
        <w:rPr>
          <w:sz w:val="24"/>
          <w:szCs w:val="24"/>
          <w:color w:val="auto"/>
        </w:rPr>
      </w:pPr>
    </w:p>
    <w:p>
      <w:pPr>
        <w:ind w:left="4180" w:right="2340" w:hanging="2902"/>
        <w:spacing w:after="0" w:line="297" w:lineRule="auto"/>
        <w:tabs>
          <w:tab w:leader="none" w:pos="1675" w:val="left"/>
        </w:tabs>
        <w:numPr>
          <w:ilvl w:val="0"/>
          <w:numId w:val="2"/>
        </w:numPr>
        <w:rPr>
          <w:rFonts w:ascii="MS PGothic" w:cs="MS PGothic" w:eastAsia="MS PGothic" w:hAnsi="MS PGothic"/>
          <w:sz w:val="22"/>
          <w:szCs w:val="22"/>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300" w:type="dxa"/>
        <w:tblCellMar>
          <w:top w:w="0" w:type="dxa"/>
          <w:left w:w="0" w:type="dxa"/>
          <w:bottom w:w="0" w:type="dxa"/>
          <w:right w:w="0" w:type="dxa"/>
        </w:tblCellMar>
      </w:tblPr>
      <w:tr>
        <w:trPr>
          <w:trHeight w:val="336"/>
        </w:trPr>
        <w:tc>
          <w:tcPr>
            <w:tcW w:w="8340" w:type="dxa"/>
            <w:vAlign w:val="bottom"/>
            <w:gridSpan w:val="2"/>
          </w:tcPr>
          <w:p>
            <w:pPr>
              <w:jc w:val="center"/>
              <w:ind w:left="40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8340" w:type="dxa"/>
            <w:vAlign w:val="bottom"/>
            <w:gridSpan w:val="2"/>
          </w:tcPr>
          <w:p>
            <w:pPr>
              <w:jc w:val="center"/>
              <w:ind w:left="362"/>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Delaware</w:t>
            </w:r>
          </w:p>
        </w:tc>
        <w:tc>
          <w:tcPr>
            <w:tcW w:w="4040" w:type="dxa"/>
            <w:vAlign w:val="bottom"/>
          </w:tcPr>
          <w:p>
            <w:pPr>
              <w:jc w:val="right"/>
              <w:ind w:right="248"/>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4300" w:type="dxa"/>
            <w:vAlign w:val="bottom"/>
          </w:tcPr>
          <w:p>
            <w:pPr>
              <w:jc w:val="center"/>
              <w:ind w:right="1782"/>
              <w:spacing w:after="0"/>
              <w:rPr>
                <w:sz w:val="20"/>
                <w:szCs w:val="20"/>
                <w:color w:val="auto"/>
              </w:rPr>
            </w:pPr>
            <w:r>
              <w:rPr>
                <w:rFonts w:ascii="Arial" w:cs="Arial" w:eastAsia="Arial" w:hAnsi="Arial"/>
                <w:sz w:val="14"/>
                <w:szCs w:val="14"/>
                <w:i w:val="1"/>
                <w:iCs w:val="1"/>
                <w:color w:val="auto"/>
              </w:rPr>
              <w:t>(State or other jurisdiction of</w:t>
            </w:r>
          </w:p>
        </w:tc>
        <w:tc>
          <w:tcPr>
            <w:tcW w:w="4040" w:type="dxa"/>
            <w:vAlign w:val="bottom"/>
          </w:tcPr>
          <w:p>
            <w:pPr>
              <w:jc w:val="center"/>
              <w:ind w:left="254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4300" w:type="dxa"/>
            <w:vAlign w:val="bottom"/>
          </w:tcPr>
          <w:p>
            <w:pPr>
              <w:jc w:val="center"/>
              <w:ind w:right="1762"/>
              <w:spacing w:after="0"/>
              <w:rPr>
                <w:sz w:val="20"/>
                <w:szCs w:val="20"/>
                <w:color w:val="auto"/>
              </w:rPr>
            </w:pPr>
            <w:r>
              <w:rPr>
                <w:rFonts w:ascii="Arial" w:cs="Arial" w:eastAsia="Arial" w:hAnsi="Arial"/>
                <w:sz w:val="14"/>
                <w:szCs w:val="14"/>
                <w:i w:val="1"/>
                <w:iCs w:val="1"/>
                <w:color w:val="auto"/>
              </w:rPr>
              <w:t>incorporation or organization)</w:t>
            </w:r>
          </w:p>
        </w:tc>
        <w:tc>
          <w:tcPr>
            <w:tcW w:w="4040" w:type="dxa"/>
            <w:vAlign w:val="bottom"/>
          </w:tcPr>
          <w:p>
            <w:pPr>
              <w:jc w:val="center"/>
              <w:ind w:left="2568"/>
              <w:spacing w:after="0"/>
              <w:rPr>
                <w:sz w:val="20"/>
                <w:szCs w:val="20"/>
                <w:color w:val="auto"/>
              </w:rPr>
            </w:pPr>
            <w:r>
              <w:rPr>
                <w:rFonts w:ascii="Arial" w:cs="Arial" w:eastAsia="Arial" w:hAnsi="Arial"/>
                <w:sz w:val="14"/>
                <w:szCs w:val="14"/>
                <w:i w:val="1"/>
                <w:iCs w:val="1"/>
                <w:color w:val="auto"/>
              </w:rPr>
              <w:t>Identification Number)</w:t>
            </w:r>
          </w:p>
        </w:tc>
      </w:tr>
      <w:tr>
        <w:trPr>
          <w:trHeight w:val="270"/>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6 Sylvan Way</w:t>
            </w:r>
          </w:p>
        </w:tc>
        <w:tc>
          <w:tcPr>
            <w:tcW w:w="4040" w:type="dxa"/>
            <w:vAlign w:val="bottom"/>
          </w:tcPr>
          <w:p>
            <w:pPr>
              <w:spacing w:after="0"/>
              <w:rPr>
                <w:sz w:val="23"/>
                <w:szCs w:val="23"/>
                <w:color w:val="auto"/>
              </w:rPr>
            </w:pPr>
          </w:p>
        </w:tc>
      </w:tr>
      <w:tr>
        <w:trPr>
          <w:trHeight w:val="270"/>
        </w:trPr>
        <w:tc>
          <w:tcPr>
            <w:tcW w:w="4300" w:type="dxa"/>
            <w:vAlign w:val="bottom"/>
          </w:tcPr>
          <w:p>
            <w:pPr>
              <w:jc w:val="center"/>
              <w:ind w:right="1902"/>
              <w:spacing w:after="0"/>
              <w:rPr>
                <w:sz w:val="20"/>
                <w:szCs w:val="20"/>
                <w:color w:val="auto"/>
              </w:rPr>
            </w:pPr>
            <w:r>
              <w:rPr>
                <w:rFonts w:ascii="Arial" w:cs="Arial" w:eastAsia="Arial" w:hAnsi="Arial"/>
                <w:sz w:val="14"/>
                <w:szCs w:val="14"/>
                <w:b w:val="1"/>
                <w:bCs w:val="1"/>
                <w:color w:val="auto"/>
              </w:rPr>
              <w:t>Parsippany,  NJ</w:t>
            </w:r>
          </w:p>
        </w:tc>
        <w:tc>
          <w:tcPr>
            <w:tcW w:w="4040" w:type="dxa"/>
            <w:vAlign w:val="bottom"/>
          </w:tcPr>
          <w:p>
            <w:pPr>
              <w:jc w:val="right"/>
              <w:ind w:right="428"/>
              <w:spacing w:after="0"/>
              <w:rPr>
                <w:sz w:val="20"/>
                <w:szCs w:val="20"/>
                <w:color w:val="auto"/>
              </w:rPr>
            </w:pPr>
            <w:r>
              <w:rPr>
                <w:rFonts w:ascii="Arial" w:cs="Arial" w:eastAsia="Arial" w:hAnsi="Arial"/>
                <w:sz w:val="14"/>
                <w:szCs w:val="14"/>
                <w:b w:val="1"/>
                <w:bCs w:val="1"/>
                <w:color w:val="auto"/>
              </w:rPr>
              <w:t>07054</w:t>
            </w:r>
          </w:p>
        </w:tc>
      </w:tr>
      <w:tr>
        <w:trPr>
          <w:trHeight w:val="270"/>
        </w:trPr>
        <w:tc>
          <w:tcPr>
            <w:tcW w:w="4300" w:type="dxa"/>
            <w:vAlign w:val="bottom"/>
          </w:tcPr>
          <w:p>
            <w:pPr>
              <w:jc w:val="center"/>
              <w:ind w:right="1762"/>
              <w:spacing w:after="0"/>
              <w:rPr>
                <w:sz w:val="20"/>
                <w:szCs w:val="20"/>
                <w:color w:val="auto"/>
              </w:rPr>
            </w:pPr>
            <w:r>
              <w:rPr>
                <w:rFonts w:ascii="Arial" w:cs="Arial" w:eastAsia="Arial" w:hAnsi="Arial"/>
                <w:sz w:val="14"/>
                <w:szCs w:val="14"/>
                <w:i w:val="1"/>
                <w:iCs w:val="1"/>
                <w:color w:val="auto"/>
              </w:rPr>
              <w:t>(Address of principal executive offices)</w:t>
            </w:r>
          </w:p>
        </w:tc>
        <w:tc>
          <w:tcPr>
            <w:tcW w:w="4040" w:type="dxa"/>
            <w:vAlign w:val="bottom"/>
          </w:tcPr>
          <w:p>
            <w:pPr>
              <w:jc w:val="center"/>
              <w:ind w:left="2568"/>
              <w:spacing w:after="0"/>
              <w:rPr>
                <w:sz w:val="20"/>
                <w:szCs w:val="20"/>
                <w:color w:val="auto"/>
              </w:rPr>
            </w:pPr>
            <w:r>
              <w:rPr>
                <w:rFonts w:ascii="Arial" w:cs="Arial" w:eastAsia="Arial" w:hAnsi="Arial"/>
                <w:sz w:val="14"/>
                <w:szCs w:val="14"/>
                <w:i w:val="1"/>
                <w:iCs w:val="1"/>
                <w:color w:val="auto"/>
              </w:rPr>
              <w:t>(Zip Code)</w:t>
            </w:r>
          </w:p>
        </w:tc>
      </w:tr>
      <w:tr>
        <w:trPr>
          <w:trHeight w:val="270"/>
        </w:trPr>
        <w:tc>
          <w:tcPr>
            <w:tcW w:w="4300" w:type="dxa"/>
            <w:vAlign w:val="bottom"/>
          </w:tcPr>
          <w:p>
            <w:pPr>
              <w:jc w:val="right"/>
              <w:spacing w:after="0"/>
              <w:rPr>
                <w:sz w:val="20"/>
                <w:szCs w:val="20"/>
                <w:color w:val="auto"/>
              </w:rPr>
            </w:pPr>
            <w:r>
              <w:rPr>
                <w:rFonts w:ascii="Arial" w:cs="Arial" w:eastAsia="Arial" w:hAnsi="Arial"/>
                <w:sz w:val="14"/>
                <w:szCs w:val="14"/>
                <w:b w:val="1"/>
                <w:bCs w:val="1"/>
                <w:color w:val="auto"/>
              </w:rPr>
              <w:t>(973)</w:t>
            </w:r>
          </w:p>
        </w:tc>
        <w:tc>
          <w:tcPr>
            <w:tcW w:w="4040" w:type="dxa"/>
            <w:vAlign w:val="bottom"/>
          </w:tcPr>
          <w:p>
            <w:pPr>
              <w:jc w:val="right"/>
              <w:ind w:right="3308"/>
              <w:spacing w:after="0"/>
              <w:rPr>
                <w:sz w:val="20"/>
                <w:szCs w:val="20"/>
                <w:color w:val="auto"/>
              </w:rPr>
            </w:pPr>
            <w:r>
              <w:rPr>
                <w:rFonts w:ascii="Arial" w:cs="Arial" w:eastAsia="Arial" w:hAnsi="Arial"/>
                <w:sz w:val="14"/>
                <w:szCs w:val="14"/>
                <w:b w:val="1"/>
                <w:bCs w:val="1"/>
                <w:color w:val="auto"/>
              </w:rPr>
              <w:t>496-4700</w:t>
            </w:r>
          </w:p>
        </w:tc>
      </w:tr>
    </w:tbl>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380"/>
          </w:cols>
          <w:pgMar w:left="240" w:top="247" w:right="279" w:bottom="1440" w:gutter="0" w:footer="0" w:header="0"/>
        </w:sectPr>
      </w:pPr>
    </w:p>
    <w:p>
      <w:pPr>
        <w:spacing w:after="0" w:line="244" w:lineRule="exact"/>
        <w:rPr>
          <w:sz w:val="24"/>
          <w:szCs w:val="24"/>
          <w:color w:val="auto"/>
        </w:rPr>
      </w:pPr>
    </w:p>
    <w:p>
      <w:pPr>
        <w:jc w:val="center"/>
        <w:ind w:left="6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6">
            <w:col w:w="3240" w:space="720"/>
            <w:col w:w="180" w:space="80"/>
            <w:col w:w="2060" w:space="720"/>
            <w:col w:w="180" w:space="80"/>
            <w:col w:w="2080" w:space="720"/>
            <w:col w:w="1320"/>
          </w:cols>
          <w:pgMar w:left="240" w:top="247" w:right="279" w:bottom="1440" w:gutter="0" w:footer="0" w:header="0"/>
          <w:type w:val="continuous"/>
        </w:sectPr>
      </w:pPr>
    </w:p>
    <w:p>
      <w:pPr>
        <w:spacing w:after="0" w:line="85" w:lineRule="exact"/>
        <w:rPr>
          <w:sz w:val="24"/>
          <w:szCs w:val="24"/>
          <w:color w:val="auto"/>
        </w:rPr>
      </w:pPr>
    </w:p>
    <w:p>
      <w:pPr>
        <w:ind w:left="118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306" w:lineRule="exact"/>
        <w:rPr>
          <w:sz w:val="24"/>
          <w:szCs w:val="24"/>
          <w:color w:val="auto"/>
        </w:rPr>
      </w:pPr>
    </w:p>
    <w:p>
      <w:pPr>
        <w:sectPr>
          <w:pgSz w:w="11900" w:h="16838" w:orient="portrait"/>
          <w:cols w:equalWidth="0" w:num="4">
            <w:col w:w="3260" w:space="720"/>
            <w:col w:w="140" w:space="100"/>
            <w:col w:w="2080" w:space="720"/>
            <w:col w:w="4360"/>
          </w:cols>
          <w:pgMar w:left="240" w:top="247" w:right="279" w:bottom="1440" w:gutter="0" w:footer="0" w:header="0"/>
          <w:type w:val="continuous"/>
        </w:sectPr>
      </w:pPr>
    </w:p>
    <w:p>
      <w:pPr>
        <w:spacing w:after="0" w:line="31" w:lineRule="exact"/>
        <w:rPr>
          <w:sz w:val="24"/>
          <w:szCs w:val="24"/>
          <w:color w:val="auto"/>
        </w:rPr>
      </w:pPr>
    </w:p>
    <w:p>
      <w:pPr>
        <w:ind w:right="4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80"/>
          </w:cols>
          <w:pgMar w:left="240" w:top="247" w:right="279" w:bottom="1440" w:gutter="0" w:footer="0" w:header="0"/>
          <w:type w:val="continuous"/>
        </w:sectPr>
      </w:pPr>
    </w:p>
    <w:p>
      <w:pPr>
        <w:spacing w:after="0" w:line="307" w:lineRule="exact"/>
        <w:rPr>
          <w:sz w:val="24"/>
          <w:szCs w:val="24"/>
          <w:color w:val="auto"/>
        </w:rPr>
      </w:pPr>
    </w:p>
    <w:p>
      <w:pPr>
        <w:jc w:val="center"/>
        <w:ind w:left="9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Name of each exchange on which</w:t>
      </w:r>
    </w:p>
    <w:p>
      <w:pPr>
        <w:spacing w:after="0" w:line="19" w:lineRule="exact"/>
        <w:rPr>
          <w:sz w:val="24"/>
          <w:szCs w:val="24"/>
          <w:color w:val="auto"/>
        </w:rPr>
      </w:pPr>
    </w:p>
    <w:p>
      <w:pPr>
        <w:jc w:val="center"/>
        <w:ind w:right="1440"/>
        <w:spacing w:after="0"/>
        <w:rPr>
          <w:sz w:val="20"/>
          <w:szCs w:val="20"/>
          <w:color w:val="auto"/>
        </w:rPr>
      </w:pPr>
      <w:r>
        <w:rPr>
          <w:rFonts w:ascii="Arial" w:cs="Arial" w:eastAsia="Arial" w:hAnsi="Arial"/>
          <w:sz w:val="14"/>
          <w:szCs w:val="14"/>
          <w:b w:val="1"/>
          <w:bCs w:val="1"/>
          <w:color w:val="auto"/>
        </w:rPr>
        <w:t>registered</w:t>
      </w:r>
    </w:p>
    <w:p>
      <w:pPr>
        <w:spacing w:after="0" w:line="55" w:lineRule="exact"/>
        <w:rPr>
          <w:sz w:val="24"/>
          <w:szCs w:val="24"/>
          <w:color w:val="auto"/>
        </w:rPr>
      </w:pPr>
    </w:p>
    <w:p>
      <w:pPr>
        <w:sectPr>
          <w:pgSz w:w="11900" w:h="16838" w:orient="portrait"/>
          <w:cols w:equalWidth="0" w:num="3">
            <w:col w:w="4360" w:space="720"/>
            <w:col w:w="1840" w:space="720"/>
            <w:col w:w="3740"/>
          </w:cols>
          <w:pgMar w:left="240" w:top="247" w:right="27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840" w:space="720"/>
            <w:col w:w="1380" w:space="720"/>
            <w:col w:w="3720"/>
          </w:cols>
          <w:pgMar w:left="240" w:top="247" w:right="279" w:bottom="1440" w:gutter="0" w:footer="0" w:header="0"/>
          <w:type w:val="continuous"/>
        </w:sectPr>
      </w:pP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75,981,420 shares as of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80"/>
          </w:cols>
          <w:pgMar w:left="240" w:top="247"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2"/>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82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and Six Months Ended June 30,</w:t>
              </w:r>
            </w:hyperlink>
          </w:p>
        </w:tc>
        <w:tc>
          <w:tcPr>
            <w:tcW w:w="740" w:type="dxa"/>
            <w:vAlign w:val="bottom"/>
            <w:gridSpan w:val="2"/>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2019 and 2018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 as of June 30, 2019 and December 31, 2018 (Unaudited)</w:t>
              </w:r>
            </w:hyperlink>
          </w:p>
        </w:tc>
        <w:tc>
          <w:tcPr>
            <w:tcW w:w="162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240" w:type="dxa"/>
            <w:vAlign w:val="bottom"/>
            <w:gridSpan w:val="16"/>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Consolidated Condensed Statements of Cash Flows for the Six Months Ended June 30, 2019 and 2018</w:t>
              </w:r>
            </w:hyperlink>
          </w:p>
        </w:tc>
        <w:tc>
          <w:tcPr>
            <w:tcW w:w="1320" w:type="dxa"/>
            <w:vAlign w:val="bottom"/>
            <w:gridSpan w:val="3"/>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1320" w:type="dxa"/>
            <w:vAlign w:val="bottom"/>
            <w:gridSpan w:val="3"/>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000" w:type="dxa"/>
            <w:vAlign w:val="bottom"/>
            <w:gridSpan w:val="18"/>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Consolidated Condensed Statements of Stockholders’ Equity for the Three and Six Months Ended June 30, 2019</w:t>
              </w:r>
            </w:hyperlink>
          </w:p>
        </w:tc>
        <w:tc>
          <w:tcPr>
            <w:tcW w:w="560" w:type="dxa"/>
            <w:vAlign w:val="bottom"/>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183"/>
        </w:trPr>
        <w:tc>
          <w:tcPr>
            <w:tcW w:w="1020" w:type="dxa"/>
            <w:vAlign w:val="bottom"/>
          </w:tcPr>
          <w:p>
            <w:pPr>
              <w:spacing w:after="0"/>
              <w:rPr>
                <w:sz w:val="15"/>
                <w:szCs w:val="15"/>
                <w:color w:val="auto"/>
              </w:rPr>
            </w:pPr>
          </w:p>
        </w:tc>
        <w:tc>
          <w:tcPr>
            <w:tcW w:w="90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and 2018 (Unaudited)</w:t>
              </w:r>
            </w:hyperlink>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5"/>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8"/>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48</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Other Information</w:t>
              </w:r>
            </w:hyperlink>
          </w:p>
        </w:tc>
        <w:tc>
          <w:tcPr>
            <w:tcW w:w="7560" w:type="dxa"/>
            <w:vAlign w:val="bottom"/>
            <w:gridSpan w:val="10"/>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53">
              <w:r>
                <w:rPr>
                  <w:rFonts w:ascii="Arial" w:cs="Arial" w:eastAsia="Arial" w:hAnsi="Arial"/>
                  <w:sz w:val="18"/>
                  <w:szCs w:val="18"/>
                  <w:color w:val="0000FF"/>
                  <w:w w:val="99"/>
                </w:rPr>
                <w:t>Legal Proceedings</w:t>
              </w:r>
            </w:hyperlink>
          </w:p>
        </w:tc>
        <w:tc>
          <w:tcPr>
            <w:tcW w:w="8060" w:type="dxa"/>
            <w:vAlign w:val="bottom"/>
            <w:gridSpan w:val="13"/>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8060" w:type="dxa"/>
            <w:vAlign w:val="bottom"/>
            <w:gridSpan w:val="13"/>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Unregistered Sales of Equity Securities and Use of Proceeds</w:t>
              </w:r>
            </w:hyperlink>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10"/>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Exhibits</w:t>
              </w:r>
            </w:hyperlink>
          </w:p>
        </w:tc>
        <w:tc>
          <w:tcPr>
            <w:tcW w:w="4220" w:type="dxa"/>
            <w:vAlign w:val="bottom"/>
            <w:gridSpan w:val="11"/>
          </w:tcPr>
          <w:p>
            <w:pPr>
              <w:spacing w:after="0"/>
              <w:rPr>
                <w:sz w:val="20"/>
                <w:szCs w:val="20"/>
                <w:color w:val="auto"/>
              </w:rPr>
            </w:pPr>
          </w:p>
        </w:tc>
        <w:tc>
          <w:tcPr>
            <w:tcW w:w="470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9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right="24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201" w:lineRule="exact"/>
        <w:rPr>
          <w:rFonts w:ascii="Arial" w:cs="Arial" w:eastAsia="Arial" w:hAnsi="Arial"/>
          <w:sz w:val="18"/>
          <w:szCs w:val="18"/>
          <w:color w:val="auto"/>
        </w:rPr>
      </w:pPr>
    </w:p>
    <w:p>
      <w:pPr>
        <w:jc w:val="both"/>
        <w:ind w:left="660" w:right="220" w:hanging="328"/>
        <w:spacing w:after="0" w:line="27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related to protecting the integrity of, and preventing unauthorized access to, our information technology systems or those of our third-party vendors, and protecting the confidential information of our employees and customers against security breaches, including physical or cybersecurity breaches, attacks, or other disruptions, and compliance with privacy and data protection regulation;</w:t>
      </w:r>
    </w:p>
    <w:p>
      <w:pPr>
        <w:spacing w:after="0" w:line="18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third-party vendors and independent contractors;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and our ability to incur substantially more debt;</w:t>
      </w:r>
    </w:p>
    <w:p>
      <w:pPr>
        <w:spacing w:after="0" w:line="196"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 and</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2018 Annual Report on Form 10-K filed with the Securities and Exchange Commission on February 21, 2019 (the “2018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55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138"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86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Other intangibles, net</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83"/>
        </w:trPr>
        <w:tc>
          <w:tcPr>
            <w:tcW w:w="78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413"/>
        </w:trPr>
        <w:tc>
          <w:tcPr>
            <w:tcW w:w="786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Program cash</w:t>
            </w:r>
          </w:p>
        </w:tc>
        <w:tc>
          <w:tcPr>
            <w:tcW w:w="30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Vehicles, net</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11,474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Receivables from vehicle manufacturers and other</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Investment in Avis Budget Rental Car Funding (AESOP) LLC—related party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15,437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24,455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Accounts payable and other current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8,531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6,011</w:t>
            </w:r>
          </w:p>
        </w:tc>
        <w:tc>
          <w:tcPr>
            <w:tcW w:w="0" w:type="dxa"/>
            <w:vAlign w:val="bottom"/>
          </w:tcPr>
          <w:p>
            <w:pPr>
              <w:spacing w:after="0"/>
              <w:rPr>
                <w:sz w:val="1"/>
                <w:szCs w:val="1"/>
                <w:color w:val="auto"/>
              </w:rPr>
            </w:pPr>
          </w:p>
        </w:tc>
      </w:tr>
      <w:tr>
        <w:trPr>
          <w:trHeight w:val="413"/>
        </w:trPr>
        <w:tc>
          <w:tcPr>
            <w:tcW w:w="786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24"/>
                <w:szCs w:val="24"/>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Debt due to Avis Budget Rental Car Funding (AESOP) LLC—related party</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8,913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15,548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12,724</w:t>
            </w: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ind w:left="120"/>
              <w:spacing w:after="0"/>
              <w:rPr>
                <w:sz w:val="20"/>
                <w:szCs w:val="20"/>
                <w:color w:val="auto"/>
              </w:rPr>
            </w:pPr>
            <w:r>
              <w:rPr>
                <w:rFonts w:ascii="Arial" w:cs="Arial" w:eastAsia="Arial" w:hAnsi="Arial"/>
                <w:sz w:val="16"/>
                <w:szCs w:val="16"/>
                <w:color w:val="auto"/>
              </w:rPr>
              <w:t>Preferred stock, $0.01 par value—authorized 10 shares; none issued and outstanding, respectively</w:t>
            </w:r>
          </w:p>
        </w:tc>
        <w:tc>
          <w:tcPr>
            <w:tcW w:w="30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Common stock, $0.01 par value—authorized 250 shares; issued 137 shares, respectively</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6,771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83"/>
        </w:trPr>
        <w:tc>
          <w:tcPr>
            <w:tcW w:w="7860" w:type="dxa"/>
            <w:vAlign w:val="bottom"/>
          </w:tcPr>
          <w:p>
            <w:pPr>
              <w:ind w:left="120"/>
              <w:spacing w:after="0"/>
              <w:rPr>
                <w:sz w:val="20"/>
                <w:szCs w:val="20"/>
                <w:color w:val="auto"/>
              </w:rPr>
            </w:pPr>
            <w:r>
              <w:rPr>
                <w:rFonts w:ascii="Arial" w:cs="Arial" w:eastAsia="Arial" w:hAnsi="Arial"/>
                <w:sz w:val="16"/>
                <w:szCs w:val="16"/>
                <w:color w:val="auto"/>
              </w:rPr>
              <w:t>Treasury stock, at cost—61 shares, respectively</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24,455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1,121</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4,807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1"/>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10,145</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(7,643)</w:t>
            </w:r>
          </w:p>
        </w:tc>
      </w:tr>
      <w:tr>
        <w:trPr>
          <w:trHeight w:val="277"/>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2,389</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6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gridSpan w:val="5"/>
          </w:tcPr>
          <w:p>
            <w:pPr>
              <w:ind w:left="42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Additional Paid-in</w:t>
            </w: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6"/>
              </w:rPr>
              <w:t>Comprehensive Income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right"/>
              <w:ind w:right="66"/>
              <w:spacing w:after="0" w:line="100"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40" w:type="dxa"/>
            <w:vAlign w:val="bottom"/>
          </w:tcPr>
          <w:p>
            <w:pPr>
              <w:jc w:val="right"/>
              <w:ind w:right="4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2019</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6,737</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(1,178)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(137)</w:t>
            </w:r>
          </w:p>
        </w:tc>
        <w:tc>
          <w:tcPr>
            <w:tcW w:w="10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(5,099)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Option premiums paid</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6,723</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(5,093)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March 31,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60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6,780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(1,344)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(4,960)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455</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June 30, 2018</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6,779</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(57.4)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(5,020)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372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6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gridSpan w:val="5"/>
          </w:tcPr>
          <w:p>
            <w:pPr>
              <w:ind w:left="42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6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8"/>
              </w:rPr>
              <w:t>Additional Paid-in</w:t>
            </w: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96"/>
              </w:rPr>
              <w:t>Comprehensive Income</w:t>
            </w: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jc w:val="right"/>
              <w:ind w:right="66"/>
              <w:spacing w:after="0" w:line="100" w:lineRule="exact"/>
              <w:rPr>
                <w:sz w:val="20"/>
                <w:szCs w:val="20"/>
                <w:color w:val="auto"/>
              </w:rPr>
            </w:pPr>
            <w:r>
              <w:rPr>
                <w:rFonts w:ascii="Arial" w:cs="Arial" w:eastAsia="Arial" w:hAnsi="Arial"/>
                <w:sz w:val="11"/>
                <w:szCs w:val="11"/>
                <w:b w:val="1"/>
                <w:bCs w:val="1"/>
                <w:color w:val="auto"/>
                <w:w w:val="97"/>
              </w:rPr>
              <w:t>Total Stockholders’</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(Loss)</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2"/>
                <w:szCs w:val="12"/>
                <w:color w:val="auto"/>
              </w:rPr>
            </w:pPr>
          </w:p>
        </w:tc>
        <w:tc>
          <w:tcPr>
            <w:tcW w:w="1140" w:type="dxa"/>
            <w:vAlign w:val="bottom"/>
          </w:tcPr>
          <w:p>
            <w:pPr>
              <w:jc w:val="right"/>
              <w:ind w:right="4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600" w:type="dxa"/>
            <w:vAlign w:val="bottom"/>
            <w:vMerge w:val="continue"/>
          </w:tcPr>
          <w:p>
            <w:pPr>
              <w:spacing w:after="0"/>
              <w:rPr>
                <w:sz w:val="19"/>
                <w:szCs w:val="19"/>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6,771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9"/>
                <w:szCs w:val="19"/>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(5,134)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414</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Option premiums paid</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6,723</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(1,116)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(5,093)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1"/>
                <w:szCs w:val="11"/>
                <w:b w:val="1"/>
                <w:bCs w:val="1"/>
                <w:color w:val="auto"/>
              </w:rPr>
              <w:t>Balance at December 31, 2017</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600" w:type="dxa"/>
            <w:vAlign w:val="bottom"/>
            <w:vMerge w:val="continue"/>
          </w:tcPr>
          <w:p>
            <w:pPr>
              <w:spacing w:after="0"/>
              <w:rPr>
                <w:sz w:val="24"/>
                <w:szCs w:val="2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24"/>
                <w:szCs w:val="24"/>
                <w:color w:val="auto"/>
              </w:rPr>
            </w:pPr>
          </w:p>
        </w:tc>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6,820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(1,222)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24"/>
                <w:szCs w:val="24"/>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(56.3)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(5,002)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573</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Cumulative effect of accounting change</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160" w:type="dxa"/>
            <w:vAlign w:val="bottom"/>
          </w:tcPr>
          <w:p>
            <w:pPr>
              <w:jc w:val="right"/>
              <w:ind w:right="2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Other 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220" w:type="dxa"/>
            <w:vAlign w:val="bottom"/>
          </w:tcPr>
          <w:p>
            <w:pPr>
              <w:jc w:val="right"/>
              <w:ind w:right="26"/>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b w:val="1"/>
                <w:bCs w:val="1"/>
                <w:color w:val="auto"/>
              </w:rPr>
              <w:t>Total comprehensive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392"/>
        </w:trPr>
        <w:tc>
          <w:tcPr>
            <w:tcW w:w="260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6"/>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91440</wp:posOffset>
            </wp:positionV>
            <wp:extent cx="5574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line="248" w:lineRule="exact"/>
        <w:rPr>
          <w:sz w:val="20"/>
          <w:szCs w:val="20"/>
          <w:color w:val="auto"/>
        </w:rPr>
      </w:pPr>
    </w:p>
    <w:p>
      <w:pPr>
        <w:ind w:left="40"/>
        <w:spacing w:after="0"/>
        <w:tabs>
          <w:tab w:leader="none" w:pos="2940" w:val="left"/>
          <w:tab w:leader="none" w:pos="3480" w:val="left"/>
          <w:tab w:leader="none" w:pos="4080" w:val="left"/>
          <w:tab w:leader="none" w:pos="4420" w:val="left"/>
          <w:tab w:leader="none" w:pos="5160" w:val="left"/>
          <w:tab w:leader="none" w:pos="5700" w:val="left"/>
          <w:tab w:leader="none" w:pos="6500" w:val="left"/>
          <w:tab w:leader="none" w:pos="7060" w:val="left"/>
          <w:tab w:leader="none" w:pos="8120" w:val="left"/>
          <w:tab w:leader="none" w:pos="8800" w:val="left"/>
          <w:tab w:leader="none" w:pos="9300" w:val="left"/>
          <w:tab w:leader="none" w:pos="9640" w:val="left"/>
          <w:tab w:leader="none" w:pos="10180" w:val="left"/>
          <w:tab w:leader="none" w:pos="11120" w:val="left"/>
        </w:tabs>
        <w:rPr>
          <w:sz w:val="20"/>
          <w:szCs w:val="20"/>
          <w:color w:val="auto"/>
        </w:rPr>
      </w:pPr>
      <w:r>
        <w:rPr>
          <w:rFonts w:ascii="Arial" w:cs="Arial" w:eastAsia="Arial" w:hAnsi="Arial"/>
          <w:sz w:val="11"/>
          <w:szCs w:val="11"/>
          <w:b w:val="1"/>
          <w:bCs w:val="1"/>
          <w:color w:val="auto"/>
        </w:rPr>
        <w:t>Balance at June 30, 2018</w:t>
      </w:r>
      <w:r>
        <w:rPr>
          <w:sz w:val="20"/>
          <w:szCs w:val="20"/>
          <w:color w:val="auto"/>
        </w:rPr>
        <w:tab/>
      </w:r>
      <w:r>
        <w:rPr>
          <w:rFonts w:ascii="Arial" w:cs="Arial" w:eastAsia="Arial" w:hAnsi="Arial"/>
          <w:sz w:val="11"/>
          <w:szCs w:val="11"/>
          <w:color w:val="auto"/>
        </w:rPr>
        <w:t>137.1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6,779</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(1,316)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(72)</w:t>
      </w:r>
      <w:r>
        <w:rPr>
          <w:sz w:val="20"/>
          <w:szCs w:val="20"/>
          <w:color w:val="auto"/>
        </w:rPr>
        <w:tab/>
      </w:r>
      <w:r>
        <w:rPr>
          <w:rFonts w:ascii="Arial" w:cs="Arial" w:eastAsia="Arial" w:hAnsi="Arial"/>
          <w:sz w:val="11"/>
          <w:szCs w:val="11"/>
          <w:color w:val="auto"/>
        </w:rPr>
        <w:t>(57.4)</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(5,020)</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15875</wp:posOffset>
            </wp:positionV>
            <wp:extent cx="55740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2603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9019"/>
          </w:cols>
          <w:pgMar w:left="1440" w:top="787"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787" w:right="1440"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300"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 The Company operates the following reportable business segments:</w:t>
      </w:r>
    </w:p>
    <w:p>
      <w:pPr>
        <w:spacing w:after="0" w:line="142" w:lineRule="exact"/>
        <w:rPr>
          <w:rFonts w:ascii="Arial" w:cs="Arial" w:eastAsia="Arial" w:hAnsi="Arial"/>
          <w:sz w:val="18"/>
          <w:szCs w:val="18"/>
          <w:b w:val="1"/>
          <w:bCs w:val="1"/>
          <w:color w:val="auto"/>
        </w:rPr>
      </w:pPr>
    </w:p>
    <w:p>
      <w:pPr>
        <w:ind w:left="1300" w:right="2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2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jc w:val="both"/>
        <w:ind w:left="500" w:right="6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2018 acquisitions of Turiscar Group, Morini S.p.A and various licensees in Europe and North America have not yet been finalized; however, there have been no significant changes to the preliminary allocation of the purchase price during the six months ended June 30, 2019.</w:t>
      </w:r>
    </w:p>
    <w:p>
      <w:pPr>
        <w:spacing w:after="0" w:line="204"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2018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70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2018.</w:t>
      </w:r>
    </w:p>
    <w:p>
      <w:pPr>
        <w:spacing w:after="0" w:line="178" w:lineRule="exact"/>
        <w:rPr>
          <w:sz w:val="20"/>
          <w:szCs w:val="20"/>
          <w:color w:val="auto"/>
        </w:rPr>
      </w:pPr>
    </w:p>
    <w:p>
      <w:pPr>
        <w:ind w:left="500" w:right="320"/>
        <w:spacing w:after="0" w:line="266"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13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6780" w:type="dxa"/>
            <w:vAlign w:val="bottom"/>
          </w:tcPr>
          <w:p>
            <w:pPr>
              <w:spacing w:after="0"/>
              <w:rPr>
                <w:sz w:val="21"/>
                <w:szCs w:val="21"/>
                <w:color w:val="auto"/>
              </w:rPr>
            </w:pPr>
          </w:p>
        </w:tc>
        <w:tc>
          <w:tcPr>
            <w:tcW w:w="24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June 30,</w:t>
            </w:r>
          </w:p>
        </w:tc>
        <w:tc>
          <w:tcPr>
            <w:tcW w:w="440" w:type="dxa"/>
            <w:vAlign w:val="bottom"/>
            <w:tcBorders>
              <w:bottom w:val="single" w:sz="8" w:color="auto"/>
            </w:tcBorders>
          </w:tcPr>
          <w:p>
            <w:pPr>
              <w:spacing w:after="0"/>
              <w:rPr>
                <w:sz w:val="21"/>
                <w:szCs w:val="21"/>
                <w:color w:val="auto"/>
              </w:rPr>
            </w:pPr>
          </w:p>
        </w:tc>
      </w:tr>
      <w:tr>
        <w:trPr>
          <w:trHeight w:val="264"/>
        </w:trPr>
        <w:tc>
          <w:tcPr>
            <w:tcW w:w="67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Program cash</w:t>
            </w: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7"/>
        </w:trPr>
        <w:tc>
          <w:tcPr>
            <w:tcW w:w="67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8890</wp:posOffset>
            </wp:positionV>
            <wp:extent cx="18180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9" w:lineRule="auto"/>
        <w:tabs>
          <w:tab w:leader="none" w:pos="8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2" w:lineRule="exact"/>
        <w:rPr>
          <w:sz w:val="20"/>
          <w:szCs w:val="20"/>
          <w:color w:val="auto"/>
        </w:rPr>
      </w:pPr>
    </w:p>
    <w:p>
      <w:pPr>
        <w:ind w:left="500" w:right="320"/>
        <w:spacing w:after="0" w:line="282"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40"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8"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June 30, 2019 and 2018, the Company recorded an immaterial amount, in each period, and during the six months ended June 30, 2019 and 2018, the Company recorded a gain of $3 million and an immaterial amount, respectively, related to such items.</w:t>
      </w:r>
    </w:p>
    <w:p>
      <w:pPr>
        <w:spacing w:after="0" w:line="180"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2018, the Company entered into a definitive stock purchase agreement to sell its 50% equity method investment in Anji</w:t>
      </w:r>
      <w:r>
        <w:rPr>
          <w:rFonts w:ascii="Arial" w:cs="Arial" w:eastAsia="Arial" w:hAnsi="Arial"/>
          <w:sz w:val="18"/>
          <w:szCs w:val="18"/>
          <w:i w:val="1"/>
          <w:iCs w:val="1"/>
          <w:color w:val="auto"/>
        </w:rPr>
        <w:t xml:space="preserve"> </w:t>
      </w:r>
      <w:r>
        <w:rPr>
          <w:rFonts w:ascii="Arial" w:cs="Arial" w:eastAsia="Arial" w:hAnsi="Arial"/>
          <w:sz w:val="18"/>
          <w:szCs w:val="18"/>
          <w:color w:val="auto"/>
        </w:rPr>
        <w:t>Car Rental &amp; Leasing Company Limited (“Anji”), located in China, to Shanghai Automotive Industry Sales Company, Ltd., a 50% owner of Anji. Upon receiving clearance from applicable regulatory authorities in China during the second quarter of 2019, the Company completed the sale for $64 million, net of cross-border withholding taxes and recorded a $44 million gain within operating expenses. Anji’s operations are reported within the Company’s International segment.</w:t>
      </w:r>
    </w:p>
    <w:p>
      <w:pPr>
        <w:spacing w:after="0" w:line="184" w:lineRule="exact"/>
        <w:rPr>
          <w:sz w:val="20"/>
          <w:szCs w:val="20"/>
          <w:color w:val="auto"/>
        </w:rPr>
      </w:pPr>
    </w:p>
    <w:p>
      <w:pPr>
        <w:ind w:left="500" w:right="20"/>
        <w:spacing w:after="0" w:line="281" w:lineRule="auto"/>
        <w:rPr>
          <w:sz w:val="20"/>
          <w:szCs w:val="20"/>
          <w:color w:val="auto"/>
        </w:rPr>
      </w:pPr>
      <w:r>
        <w:rPr>
          <w:rFonts w:ascii="Arial" w:cs="Arial" w:eastAsia="Arial" w:hAnsi="Arial"/>
          <w:sz w:val="17"/>
          <w:szCs w:val="17"/>
          <w:i w:val="1"/>
          <w:iCs w:val="1"/>
          <w:color w:val="auto"/>
        </w:rPr>
        <w:t xml:space="preserve">Other Investments. </w:t>
      </w:r>
      <w:r>
        <w:rPr>
          <w:rFonts w:ascii="Arial" w:cs="Arial" w:eastAsia="Arial" w:hAnsi="Arial"/>
          <w:sz w:val="17"/>
          <w:szCs w:val="17"/>
          <w:color w:val="auto"/>
        </w:rPr>
        <w:t>As of June 30, 2019 and December 31, 2018, the Company had equity method investments with a carrying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$48 million, in each period, which are recorded within other non-current assets. Earnings from the Company’s equity method investments are reported within operating expenses. For the three and six months ended June 30, 2019, the Company recorded income of $4 million related to its equity method investments, and for the three and six months ended June 30, 2018, such amounts were not material.</w:t>
      </w:r>
    </w:p>
    <w:p>
      <w:pPr>
        <w:spacing w:after="0" w:line="16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Nonmarketable Equity Securities. </w:t>
      </w:r>
      <w:r>
        <w:rPr>
          <w:rFonts w:ascii="Arial" w:cs="Arial" w:eastAsia="Arial" w:hAnsi="Arial"/>
          <w:sz w:val="18"/>
          <w:szCs w:val="18"/>
          <w:color w:val="auto"/>
        </w:rPr>
        <w:t>As of June 30, 2019 and December 31, 2018, the Company’s carrying amount of nonmarketable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was $8 million, in each period, and is recorded within other non-current assets. During the six months ended June 30, 2019, the Company realized a $12 million gain from the sale of a nonmarketable equity security which is recorded within operating expenses. No adjustments were made to the carrying amounts during the three months ended June 30, 2019 and 2018, and during the six months ended June 30, 2018.</w:t>
      </w:r>
    </w:p>
    <w:p>
      <w:pPr>
        <w:spacing w:after="0" w:line="184" w:lineRule="exact"/>
        <w:rPr>
          <w:sz w:val="20"/>
          <w:szCs w:val="20"/>
          <w:color w:val="auto"/>
        </w:rPr>
      </w:pPr>
    </w:p>
    <w:p>
      <w:pPr>
        <w:ind w:left="500" w:right="20"/>
        <w:spacing w:after="0" w:line="25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From January 1, 2018 through December 31, 2018, the Company’s revenues were recognized in accordance with ASU 2014-09, “Revenue from Contracts with Customers (Topic 606).” Effective January 1, 2019, revenues are recognized under ASU 2016-02, “Leases (Topic 842),” with the exception of royalty fee revenue derived from the Company’s licensees and revenue related to the Company’s customer loyalty program, which were approximately $33 million and $63 million during the three and six months ended June 30, 2019, respectively. The following table presents the Company’s revenues disaggregated by geography.</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3340" w:type="dxa"/>
            <w:vAlign w:val="bottom"/>
          </w:tcPr>
          <w:p>
            <w:pPr>
              <w:spacing w:after="0"/>
              <w:rPr>
                <w:sz w:val="21"/>
                <w:szCs w:val="21"/>
                <w:color w:val="auto"/>
              </w:rPr>
            </w:pPr>
          </w:p>
        </w:tc>
        <w:tc>
          <w:tcPr>
            <w:tcW w:w="354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1"/>
                <w:szCs w:val="21"/>
                <w:color w:val="auto"/>
              </w:rPr>
            </w:pPr>
          </w:p>
        </w:tc>
        <w:tc>
          <w:tcPr>
            <w:tcW w:w="31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33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Americas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2,938</w:t>
            </w: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08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7"/>
        </w:trPr>
        <w:tc>
          <w:tcPr>
            <w:tcW w:w="3340" w:type="dxa"/>
            <w:vAlign w:val="bottom"/>
          </w:tcPr>
          <w:p>
            <w:pPr>
              <w:spacing w:after="0"/>
              <w:rPr>
                <w:sz w:val="20"/>
                <w:szCs w:val="20"/>
                <w:color w:val="auto"/>
              </w:rPr>
            </w:pPr>
            <w:r>
              <w:rPr>
                <w:rFonts w:ascii="Arial" w:cs="Arial" w:eastAsia="Arial" w:hAnsi="Arial"/>
                <w:sz w:val="18"/>
                <w:szCs w:val="18"/>
                <w:color w:val="auto"/>
              </w:rPr>
              <w:t>Asia and Australasia</w:t>
            </w: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r>
      <w:tr>
        <w:trPr>
          <w:trHeight w:val="20"/>
        </w:trPr>
        <w:tc>
          <w:tcPr>
            <w:tcW w:w="3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818"/>
        </w:trPr>
        <w:tc>
          <w:tcPr>
            <w:tcW w:w="3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40"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000" w:type="dxa"/>
            <w:vAlign w:val="bottom"/>
            <w:gridSpan w:val="6"/>
          </w:tcPr>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54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4"/>
                <w:szCs w:val="24"/>
                <w:color w:val="auto"/>
              </w:rPr>
            </w:pPr>
          </w:p>
        </w:tc>
        <w:tc>
          <w:tcPr>
            <w:tcW w:w="31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4160" w:type="dxa"/>
            <w:vAlign w:val="bottom"/>
            <w:gridSpan w:val="2"/>
          </w:tcPr>
          <w:p>
            <w:pPr>
              <w:ind w:left="820"/>
              <w:spacing w:after="0"/>
              <w:rPr>
                <w:sz w:val="20"/>
                <w:szCs w:val="20"/>
                <w:color w:val="auto"/>
              </w:rPr>
            </w:pPr>
            <w:r>
              <w:rPr>
                <w:rFonts w:ascii="Arial" w:cs="Arial" w:eastAsia="Arial" w:hAnsi="Arial"/>
                <w:sz w:val="18"/>
                <w:szCs w:val="18"/>
                <w:color w:val="auto"/>
              </w:rPr>
              <w:t>Avis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70"/>
        </w:trPr>
        <w:tc>
          <w:tcPr>
            <w:tcW w:w="4160" w:type="dxa"/>
            <w:vAlign w:val="bottom"/>
            <w:gridSpan w:val="2"/>
          </w:tcPr>
          <w:p>
            <w:pPr>
              <w:ind w:left="820"/>
              <w:spacing w:after="0"/>
              <w:rPr>
                <w:sz w:val="20"/>
                <w:szCs w:val="20"/>
                <w:color w:val="auto"/>
              </w:rPr>
            </w:pPr>
            <w:r>
              <w:rPr>
                <w:rFonts w:ascii="Arial" w:cs="Arial" w:eastAsia="Arial" w:hAnsi="Arial"/>
                <w:sz w:val="18"/>
                <w:szCs w:val="18"/>
                <w:color w:val="auto"/>
              </w:rPr>
              <w:t>Budget</w:t>
            </w:r>
          </w:p>
        </w:tc>
        <w:tc>
          <w:tcPr>
            <w:tcW w:w="10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7"/>
        </w:trPr>
        <w:tc>
          <w:tcPr>
            <w:tcW w:w="4160" w:type="dxa"/>
            <w:vAlign w:val="bottom"/>
            <w:gridSpan w:val="2"/>
          </w:tcPr>
          <w:p>
            <w:pPr>
              <w:ind w:left="8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57"/>
        </w:trPr>
        <w:tc>
          <w:tcPr>
            <w:tcW w:w="4160" w:type="dxa"/>
            <w:vAlign w:val="bottom"/>
            <w:gridSpan w:val="2"/>
          </w:tcPr>
          <w:p>
            <w:pPr>
              <w:ind w:left="820"/>
              <w:spacing w:after="0"/>
              <w:rPr>
                <w:sz w:val="20"/>
                <w:szCs w:val="20"/>
                <w:color w:val="auto"/>
              </w:rPr>
            </w:pPr>
            <w:r>
              <w:rPr>
                <w:rFonts w:ascii="Arial" w:cs="Arial" w:eastAsia="Arial" w:hAnsi="Arial"/>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500"/>
              <w:spacing w:after="0"/>
              <w:rPr>
                <w:sz w:val="20"/>
                <w:szCs w:val="20"/>
                <w:color w:val="auto"/>
              </w:rPr>
            </w:pPr>
            <w:r>
              <w:rPr>
                <w:rFonts w:ascii="Arial" w:cs="Arial" w:eastAsia="Arial" w:hAnsi="Arial"/>
                <w:sz w:val="14"/>
                <w:szCs w:val="14"/>
                <w:color w:val="auto"/>
              </w:rPr>
              <w:t>________</w:t>
            </w:r>
          </w:p>
        </w:tc>
        <w:tc>
          <w:tcPr>
            <w:tcW w:w="2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60" w:type="dxa"/>
            <w:vAlign w:val="bottom"/>
            <w:gridSpan w:val="2"/>
          </w:tcPr>
          <w:p>
            <w:pPr>
              <w:ind w:left="500"/>
              <w:spacing w:after="0"/>
              <w:rPr>
                <w:sz w:val="20"/>
                <w:szCs w:val="20"/>
                <w:color w:val="auto"/>
              </w:rPr>
            </w:pPr>
            <w:r>
              <w:rPr>
                <w:rFonts w:ascii="Arial" w:cs="Arial" w:eastAsia="Arial" w:hAnsi="Arial"/>
                <w:sz w:val="14"/>
                <w:szCs w:val="14"/>
                <w:color w:val="auto"/>
              </w:rPr>
              <w:t>Other includes Zipcar and other operating brands.</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The following table presents changes in deferred revenue associated with the Company’s customer loyalty program.</w:t>
      </w:r>
    </w:p>
    <w:p>
      <w:pPr>
        <w:spacing w:after="0" w:line="167"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p>
        </w:tc>
        <w:tc>
          <w:tcPr>
            <w:tcW w:w="33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6460" w:type="dxa"/>
            <w:vAlign w:val="bottom"/>
          </w:tcPr>
          <w:p>
            <w:pPr>
              <w:spacing w:after="0"/>
              <w:rPr>
                <w:sz w:val="22"/>
                <w:szCs w:val="22"/>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Balance, January 1</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460" w:type="dxa"/>
            <w:vAlign w:val="bottom"/>
          </w:tcPr>
          <w:p>
            <w:pPr>
              <w:ind w:left="240"/>
              <w:spacing w:after="0"/>
              <w:rPr>
                <w:sz w:val="20"/>
                <w:szCs w:val="20"/>
                <w:color w:val="auto"/>
              </w:rPr>
            </w:pPr>
            <w:r>
              <w:rPr>
                <w:rFonts w:ascii="Arial" w:cs="Arial" w:eastAsia="Arial" w:hAnsi="Arial"/>
                <w:sz w:val="18"/>
                <w:szCs w:val="18"/>
                <w:color w:val="auto"/>
              </w:rPr>
              <w:t>Revenue deferred</w:t>
            </w:r>
          </w:p>
        </w:tc>
        <w:tc>
          <w:tcPr>
            <w:tcW w:w="132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7"/>
        </w:trPr>
        <w:tc>
          <w:tcPr>
            <w:tcW w:w="6460" w:type="dxa"/>
            <w:vAlign w:val="bottom"/>
          </w:tcPr>
          <w:p>
            <w:pPr>
              <w:ind w:left="240"/>
              <w:spacing w:after="0"/>
              <w:rPr>
                <w:sz w:val="20"/>
                <w:szCs w:val="20"/>
                <w:color w:val="auto"/>
              </w:rPr>
            </w:pPr>
            <w:r>
              <w:rPr>
                <w:rFonts w:ascii="Arial" w:cs="Arial" w:eastAsia="Arial" w:hAnsi="Arial"/>
                <w:sz w:val="18"/>
                <w:szCs w:val="18"/>
                <w:color w:val="auto"/>
              </w:rPr>
              <w:t>Revenue recognized</w:t>
            </w: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460" w:type="dxa"/>
            <w:vAlign w:val="bottom"/>
          </w:tcPr>
          <w:p>
            <w:pPr>
              <w:spacing w:after="0"/>
              <w:rPr>
                <w:sz w:val="20"/>
                <w:szCs w:val="20"/>
                <w:color w:val="auto"/>
              </w:rPr>
            </w:pPr>
            <w:r>
              <w:rPr>
                <w:rFonts w:ascii="Arial" w:cs="Arial" w:eastAsia="Arial" w:hAnsi="Arial"/>
                <w:sz w:val="18"/>
                <w:szCs w:val="18"/>
                <w:color w:val="auto"/>
              </w:rPr>
              <w:t>Balance, June 30</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0</wp:posOffset>
            </wp:positionV>
            <wp:extent cx="2452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2370"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15" w:lineRule="exact"/>
        <w:rPr>
          <w:sz w:val="20"/>
          <w:szCs w:val="20"/>
          <w:color w:val="auto"/>
        </w:rPr>
      </w:pPr>
    </w:p>
    <w:p>
      <w:pPr>
        <w:ind w:left="500" w:right="580"/>
        <w:spacing w:after="0" w:line="258" w:lineRule="auto"/>
        <w:rPr>
          <w:sz w:val="20"/>
          <w:szCs w:val="20"/>
          <w:color w:val="auto"/>
        </w:rPr>
      </w:pPr>
      <w:r>
        <w:rPr>
          <w:rFonts w:ascii="Arial" w:cs="Arial" w:eastAsia="Arial" w:hAnsi="Arial"/>
          <w:sz w:val="14"/>
          <w:szCs w:val="14"/>
          <w:color w:val="auto"/>
        </w:rPr>
        <w:t>At June 30, 2019 and 2018, $22 million and $18 million was included in accounts payable and other current liabilities, respectively, and $44 million and $54 million, respectively, in other non-current liabilities. Non-current amounts are expected to be recognized as revenue within two to three years.</w:t>
      </w:r>
    </w:p>
    <w:p>
      <w:pPr>
        <w:spacing w:after="0" w:line="188" w:lineRule="exact"/>
        <w:rPr>
          <w:sz w:val="20"/>
          <w:szCs w:val="20"/>
          <w:color w:val="auto"/>
        </w:rPr>
      </w:pPr>
    </w:p>
    <w:p>
      <w:pPr>
        <w:jc w:val="both"/>
        <w:ind w:left="500" w:right="140"/>
        <w:spacing w:after="0" w:line="254" w:lineRule="auto"/>
        <w:rPr>
          <w:sz w:val="20"/>
          <w:szCs w:val="20"/>
          <w:color w:val="auto"/>
        </w:rPr>
      </w:pPr>
      <w:r>
        <w:rPr>
          <w:rFonts w:ascii="Arial" w:cs="Arial" w:eastAsia="Arial" w:hAnsi="Arial"/>
          <w:sz w:val="18"/>
          <w:szCs w:val="18"/>
          <w:color w:val="auto"/>
        </w:rPr>
        <w:t>At January 1, 2018, the Company’s prepaid rentals and membership fees related to its car sharing business were $125 million. During the six months ended June 30, 2018, additional revenues of $989 million were deferred and revenues of $883 million were recognized. At June 30, 2018, the ending prepaid rentals and car sharing membership fees were $231 million, of which $229 million was included in accounts payable and other current liabilities and $2 million was included in other non-current liabilities.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43" w:lineRule="exact"/>
        <w:rPr>
          <w:sz w:val="20"/>
          <w:szCs w:val="20"/>
          <w:color w:val="auto"/>
        </w:rPr>
      </w:pPr>
    </w:p>
    <w:p>
      <w:pPr>
        <w:ind w:left="500" w:right="380"/>
        <w:spacing w:after="0" w:line="250" w:lineRule="auto"/>
        <w:rPr>
          <w:sz w:val="20"/>
          <w:szCs w:val="20"/>
          <w:color w:val="auto"/>
        </w:rPr>
      </w:pPr>
      <w:r>
        <w:rPr>
          <w:rFonts w:ascii="Arial" w:cs="Arial" w:eastAsia="Arial" w:hAnsi="Arial"/>
          <w:sz w:val="18"/>
          <w:szCs w:val="18"/>
          <w:color w:val="auto"/>
        </w:rPr>
        <w:t>On January 1, 2019, as a result of a new accounting pronouncement, the Company adopted Accounting Standards Update (“ASU”) 2018-02,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The adoption of this accounting pronouncement did not have an impact on the Company's Consolidated Condensed Financial Statements.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25" w:lineRule="exact"/>
        <w:rPr>
          <w:sz w:val="20"/>
          <w:szCs w:val="20"/>
          <w:color w:val="auto"/>
        </w:rPr>
      </w:pPr>
    </w:p>
    <w:p>
      <w:pPr>
        <w:ind w:left="500" w:right="160"/>
        <w:spacing w:after="0" w:line="254" w:lineRule="auto"/>
        <w:rPr>
          <w:sz w:val="20"/>
          <w:szCs w:val="20"/>
          <w:color w:val="auto"/>
        </w:rPr>
      </w:pPr>
      <w:r>
        <w:rPr>
          <w:rFonts w:ascii="Arial" w:cs="Arial" w:eastAsia="Arial" w:hAnsi="Arial"/>
          <w:sz w:val="18"/>
          <w:szCs w:val="18"/>
          <w:color w:val="auto"/>
        </w:rPr>
        <w:t>On January 1, 2019, as the result of a new accounting pronouncement, the Company adopted ASU 2017-12, “Derivatives and Hedging (Topic 815): Targeted Improvements to Accounting for Hedging Activities,” which amends the existing guidance to allow companies to more accurately present the economic results of an entity’s risk management activities in the financial statements. The adoption of this standard did not have a material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On January 1, 2019, as the result of a new accounting pronouncement, the Company adopted Topic 842 along with related updates, which require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Topic 842 does not significantly change a lessee’s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8"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recognition, measurement and presentation of expenses. Additionally, Topic 842 aligns key aspects of lessor accounting with the revenue recognition guidance in Topic 606.</w:t>
      </w:r>
    </w:p>
    <w:p>
      <w:pPr>
        <w:spacing w:after="0" w:line="19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elected available practical expedients for existing or expired contracts of lessees and lessors wherein the Company is not required to reassess whether such contracts contain leases, the lease classification or the initial direct costs. The Company is not utilizing the practical expedient which allows the use of hindsight by lessees and lessors in determining the lease term and in assessing impairment of its right-of-use (“ROU”) assets. Additionally, the Company elected as accounting policies to not recognize ROU assets or lease liabilities for short-term property leases (i.e., those with a term of 12 months or less at lease commencement) and, by class of underlying asset, to combine lease and nonlease components in the contract. The Company utilized the transition method allowing entities to only apply the new lease standard in the year of adoption.</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Lessor</w:t>
      </w:r>
    </w:p>
    <w:p>
      <w:pPr>
        <w:spacing w:after="0" w:line="27" w:lineRule="exact"/>
        <w:rPr>
          <w:sz w:val="20"/>
          <w:szCs w:val="20"/>
          <w:color w:val="auto"/>
        </w:rPr>
      </w:pPr>
    </w:p>
    <w:p>
      <w:pPr>
        <w:ind w:left="500" w:right="60"/>
        <w:spacing w:after="0" w:line="254" w:lineRule="auto"/>
        <w:rPr>
          <w:sz w:val="20"/>
          <w:szCs w:val="20"/>
          <w:color w:val="auto"/>
        </w:rPr>
      </w:pPr>
      <w:r>
        <w:rPr>
          <w:rFonts w:ascii="Arial" w:cs="Arial" w:eastAsia="Arial" w:hAnsi="Arial"/>
          <w:sz w:val="18"/>
          <w:szCs w:val="18"/>
          <w:color w:val="auto"/>
        </w:rPr>
        <w:t>The Company has determined that revenues derived by providing vehicle rentals and other related products and mobility services to customers are within the scope of the accounting guidance contained in Topic 842 with the exception of royalty fee revenue derived from the Company’s licensees and revenue related to the Company’s customer loyalty program. The Company’s rental related revenues have been accounted for under the revenue accounting standard Topic 606, until the adoption of Topic 842.</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Company excludes from the measurement of its lease revenues any tax assessed by a governmental authority that is both imposed on and concurrent with a specific revenue-producing transaction and collected from a customer. As a result, lease revenues exclude such taxes collected. Fees collected from customers for which the Company is the primary obligor such as airport concessions and vehicle licensing are recorded within revenues and corresponding remittances of these fees by the Company are recorded within operating expenses.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other than those associated with the Company’s vehicle rental programs, are included in operating lease ROU assets, accounts payable and other current liabilities, and long-term operating lease liabilities in the Company’s Consolidated Condensed Balance Sheets. Finance leases, other than those associated with the Company’s vehicle rental programs, are included in property and equipment, net, short-term debt and current portion of long-term debt, and long-term debt in the Company’s Consolidated Condensed Balance Sheets.</w:t>
      </w:r>
    </w:p>
    <w:p>
      <w:pPr>
        <w:spacing w:after="0" w:line="206" w:lineRule="exact"/>
        <w:rPr>
          <w:sz w:val="20"/>
          <w:szCs w:val="20"/>
          <w:color w:val="auto"/>
        </w:rPr>
      </w:pPr>
    </w:p>
    <w:p>
      <w:pPr>
        <w:ind w:left="500" w:right="60"/>
        <w:spacing w:after="0" w:line="269"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ROU assets and liabilities are recognized at commencement date based on the present value of lease payments over the expected lease term. As most of the Company’s leases do not provide an implicit rate, the Company uses its incremental borrowing rate based on information available at commencement date in determining the present value of lease payments. The operating lease ROU assets are reduced by any lease incentives. The Company’s lease terms may include options to extend or terminate the lease, which are included in the calculation of ROU assets when it is reasonably certain that the Company will exercise those options. Lease expense for lease payments is usually recognized on a straight-line basis over the lease term.</w:t>
      </w:r>
    </w:p>
    <w:p>
      <w:pPr>
        <w:spacing w:after="0" w:line="195"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The Company has lease agreements with lease and non-lease components, which are generally not accounted for separately. Additionally, for certain leases, the Company applies a portfolio approach to account for the operating lease ROU assets and liabilities as the leases are similar in nature and have nearly identical contract provisions.</w:t>
      </w:r>
    </w:p>
    <w:p>
      <w:pPr>
        <w:spacing w:after="0" w:line="202"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Adoption of this standard resulted in most of the Company’s operating lease commitments being recognized as operating lease liabilities and right-of-use assets, which increased total assets and total liabilities by approximately $2,811 million related to property operating leases and $183 million related to vehicle operating leases. The Company recorded a beginning accumulated deficit adjustment of $5 million, net of tax, related to the adoption of this standard.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43" w:lineRule="exact"/>
        <w:rPr>
          <w:sz w:val="20"/>
          <w:szCs w:val="20"/>
          <w:color w:val="auto"/>
        </w:rPr>
      </w:pPr>
    </w:p>
    <w:p>
      <w:pPr>
        <w:ind w:left="500" w:right="100"/>
        <w:spacing w:after="0" w:line="251" w:lineRule="auto"/>
        <w:rPr>
          <w:sz w:val="20"/>
          <w:szCs w:val="20"/>
          <w:color w:val="auto"/>
        </w:rPr>
      </w:pPr>
      <w:r>
        <w:rPr>
          <w:rFonts w:ascii="Arial" w:cs="Arial" w:eastAsia="Arial" w:hAnsi="Arial"/>
          <w:sz w:val="18"/>
          <w:szCs w:val="18"/>
          <w:color w:val="auto"/>
        </w:rPr>
        <w:t>In August 2018, the Financial Accounting Standards Board (“FASB”) issued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 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 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ASU 2018-15 becomes effective for the Company on January 1, 2020. Early adoption is permitted. The Company is currently evaluating the impact of adopting this accounting pronouncement on its Consolidated Condensed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43"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4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which adds, removes, and modifies disclosure requirements related to fair value measurements. ASU 2018-13 becomes effective for the Company on January 1, 2020. Early adoption is permitted. The adoption of this accounting pronouncement is not expected to have a material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along with related clarifying updates, set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184" w:lineRule="exact"/>
        <w:rPr>
          <w:sz w:val="20"/>
          <w:szCs w:val="20"/>
          <w:color w:val="auto"/>
        </w:rPr>
      </w:pPr>
    </w:p>
    <w:p>
      <w:pPr>
        <w:jc w:val="both"/>
        <w:ind w:left="500" w:right="10320" w:hanging="492"/>
        <w:spacing w:after="0" w:line="544" w:lineRule="auto"/>
        <w:tabs>
          <w:tab w:leader="none" w:pos="5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50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For periods after January 1, 2019, the Company combines all lease and nonlease components of its vehicle rental contracts for which the timing and pattern of transfer are the same and the lease component meets the classification of an operating lease, and accounts for them in accordance with Topic 842. The Company derives revenues primarily by providing vehicle rentals and other related products and mobility services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commercial and leisure customers.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Vehicle rentals and other related products and mobility services are recognized evenly over the period of rental, which is on average four days. In addition, the Company collects membership leasing fees in connection with its car sharing business. Membership leasing fees are generally nonrefundable, are deferred and recognized ratably over the period of membership.</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geography.</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8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 Ended June</w:t>
            </w:r>
          </w:p>
        </w:tc>
        <w:tc>
          <w:tcPr>
            <w:tcW w:w="260" w:type="dxa"/>
            <w:vAlign w:val="bottom"/>
          </w:tcPr>
          <w:p>
            <w:pPr>
              <w:spacing w:after="0"/>
              <w:rPr>
                <w:sz w:val="17"/>
                <w:szCs w:val="17"/>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3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2019</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Americas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2,936</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4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967</w:t>
            </w:r>
          </w:p>
        </w:tc>
      </w:tr>
      <w:tr>
        <w:trPr>
          <w:trHeight w:val="277"/>
        </w:trPr>
        <w:tc>
          <w:tcPr>
            <w:tcW w:w="5360" w:type="dxa"/>
            <w:vAlign w:val="bottom"/>
          </w:tcPr>
          <w:p>
            <w:pPr>
              <w:spacing w:after="0"/>
              <w:rPr>
                <w:sz w:val="20"/>
                <w:szCs w:val="20"/>
                <w:color w:val="auto"/>
              </w:rPr>
            </w:pPr>
            <w:r>
              <w:rPr>
                <w:rFonts w:ascii="Arial" w:cs="Arial" w:eastAsia="Arial" w:hAnsi="Arial"/>
                <w:sz w:val="18"/>
                <w:szCs w:val="18"/>
                <w:color w:val="auto"/>
              </w:rPr>
              <w:t>Asia and Australasia</w:t>
            </w:r>
          </w:p>
        </w:tc>
        <w:tc>
          <w:tcPr>
            <w:tcW w:w="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Total lease revenues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4,194</w:t>
            </w:r>
          </w:p>
        </w:tc>
      </w:tr>
      <w:tr>
        <w:trPr>
          <w:trHeight w:val="20"/>
        </w:trPr>
        <w:tc>
          <w:tcPr>
            <w:tcW w:w="5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lease revenues disaggregated by brand.</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80" w:type="dxa"/>
            <w:vAlign w:val="bottom"/>
            <w:gridSpan w:val="3"/>
          </w:tcPr>
          <w:p>
            <w:pPr>
              <w:ind w:left="60"/>
              <w:spacing w:after="0"/>
              <w:rPr>
                <w:sz w:val="20"/>
                <w:szCs w:val="20"/>
                <w:color w:val="auto"/>
              </w:rPr>
            </w:pPr>
            <w:r>
              <w:rPr>
                <w:rFonts w:ascii="Arial" w:cs="Arial" w:eastAsia="Arial" w:hAnsi="Arial"/>
                <w:sz w:val="18"/>
                <w:szCs w:val="18"/>
                <w:b w:val="1"/>
                <w:bCs w:val="1"/>
                <w:color w:val="auto"/>
              </w:rPr>
              <w:t>Three Months Ended June</w:t>
            </w:r>
          </w:p>
        </w:tc>
        <w:tc>
          <w:tcPr>
            <w:tcW w:w="260" w:type="dxa"/>
            <w:vAlign w:val="bottom"/>
          </w:tcPr>
          <w:p>
            <w:pPr>
              <w:spacing w:after="0"/>
              <w:rPr>
                <w:sz w:val="17"/>
                <w:szCs w:val="17"/>
                <w:color w:val="auto"/>
              </w:rPr>
            </w:pPr>
          </w:p>
        </w:tc>
        <w:tc>
          <w:tcPr>
            <w:tcW w:w="2120" w:type="dxa"/>
            <w:vAlign w:val="bottom"/>
          </w:tcPr>
          <w:p>
            <w:pPr>
              <w:jc w:val="right"/>
              <w:ind w:right="3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3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30, 2019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2019</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Avis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2,394</w:t>
            </w:r>
          </w:p>
        </w:tc>
      </w:tr>
      <w:tr>
        <w:trPr>
          <w:trHeight w:val="270"/>
        </w:trPr>
        <w:tc>
          <w:tcPr>
            <w:tcW w:w="5360" w:type="dxa"/>
            <w:vAlign w:val="bottom"/>
          </w:tcPr>
          <w:p>
            <w:pPr>
              <w:spacing w:after="0"/>
              <w:rPr>
                <w:sz w:val="20"/>
                <w:szCs w:val="20"/>
                <w:color w:val="auto"/>
              </w:rPr>
            </w:pPr>
            <w:r>
              <w:rPr>
                <w:rFonts w:ascii="Arial" w:cs="Arial" w:eastAsia="Arial" w:hAnsi="Arial"/>
                <w:sz w:val="18"/>
                <w:szCs w:val="18"/>
                <w:color w:val="auto"/>
              </w:rPr>
              <w:t>Budget</w:t>
            </w:r>
          </w:p>
        </w:tc>
        <w:tc>
          <w:tcPr>
            <w:tcW w:w="4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7"/>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Total lease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0</wp:posOffset>
            </wp:positionV>
            <wp:extent cx="3087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87370" cy="26035"/>
                    </a:xfrm>
                    <a:prstGeom prst="rect">
                      <a:avLst/>
                    </a:prstGeom>
                    <a:noFill/>
                  </pic:spPr>
                </pic:pic>
              </a:graphicData>
            </a:graphic>
          </wp:anchor>
        </w:drawing>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47"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The Company has operating and finance leases for rental locations, corporate offices, vehicle rental fleet and equipment. Many of the Company’s operating leases for rental locations contain concession agreements with various airport authorities that allow the Company to conduct its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The Company’s operating leases for rental locations often also require the Company to pay or reimburse operating expenses.</w:t>
      </w:r>
    </w:p>
    <w:p>
      <w:pPr>
        <w:spacing w:after="0" w:line="207" w:lineRule="exact"/>
        <w:rPr>
          <w:sz w:val="20"/>
          <w:szCs w:val="20"/>
          <w:color w:val="auto"/>
        </w:rPr>
      </w:pPr>
    </w:p>
    <w:p>
      <w:pPr>
        <w:ind w:left="500" w:right="300"/>
        <w:spacing w:after="0" w:line="254" w:lineRule="auto"/>
        <w:rPr>
          <w:sz w:val="20"/>
          <w:szCs w:val="20"/>
          <w:color w:val="auto"/>
        </w:rPr>
      </w:pPr>
      <w:r>
        <w:rPr>
          <w:rFonts w:ascii="Arial" w:cs="Arial" w:eastAsia="Arial" w:hAnsi="Arial"/>
          <w:sz w:val="18"/>
          <w:szCs w:val="18"/>
          <w:color w:val="auto"/>
        </w:rPr>
        <w:t>The Company leases a portion of its vehicles under operating leases, some of which extend through 2025. As of June 30, 2019, the Company has guaranteed up to $ 278 million of residual values for these vehicles at the end of their respective lease terms. The Company believes that, based on current market conditions, the net proceeds from the sale of these vehicles at the end of their lease terms will equal or exceed their net book values and therefore has not recorded a liability related to guaranteed residual values.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80" w:type="dxa"/>
            <w:vAlign w:val="bottom"/>
            <w:gridSpan w:val="2"/>
          </w:tcPr>
          <w:p>
            <w:pPr>
              <w:ind w:left="500"/>
              <w:spacing w:after="0"/>
              <w:rPr>
                <w:sz w:val="20"/>
                <w:szCs w:val="20"/>
                <w:color w:val="auto"/>
              </w:rPr>
            </w:pPr>
            <w:r>
              <w:rPr>
                <w:rFonts w:ascii="Arial" w:cs="Arial" w:eastAsia="Arial" w:hAnsi="Arial"/>
                <w:sz w:val="18"/>
                <w:szCs w:val="18"/>
                <w:color w:val="auto"/>
              </w:rPr>
              <w:t>The components of lease expense are as follows:</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June</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30, 2019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880" w:type="dxa"/>
            <w:vAlign w:val="bottom"/>
            <w:gridSpan w:val="2"/>
          </w:tcPr>
          <w:p>
            <w:pPr>
              <w:ind w:left="520"/>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1"/>
                <w:szCs w:val="21"/>
                <w:b w:val="1"/>
                <w:bCs w:val="1"/>
                <w:color w:val="auto"/>
                <w:vertAlign w:val="superscript"/>
              </w:rPr>
              <w:t>(a)</w:t>
            </w: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gridSpan w:val="2"/>
          </w:tcPr>
          <w:p>
            <w:pPr>
              <w:ind w:left="520"/>
              <w:spacing w:after="0"/>
              <w:rPr>
                <w:sz w:val="20"/>
                <w:szCs w:val="20"/>
                <w:color w:val="auto"/>
              </w:rPr>
            </w:pPr>
            <w:r>
              <w:rPr>
                <w:rFonts w:ascii="Arial" w:cs="Arial" w:eastAsia="Arial" w:hAnsi="Arial"/>
                <w:sz w:val="18"/>
                <w:szCs w:val="18"/>
                <w:color w:val="auto"/>
              </w:rPr>
              <w:t>Operating lease expense</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80" w:type="dxa"/>
            <w:vAlign w:val="bottom"/>
            <w:gridSpan w:val="2"/>
          </w:tcPr>
          <w:p>
            <w:pPr>
              <w:ind w:left="520"/>
              <w:spacing w:after="0"/>
              <w:rPr>
                <w:sz w:val="20"/>
                <w:szCs w:val="20"/>
                <w:color w:val="auto"/>
              </w:rPr>
            </w:pPr>
            <w:r>
              <w:rPr>
                <w:rFonts w:ascii="Arial" w:cs="Arial" w:eastAsia="Arial" w:hAnsi="Arial"/>
                <w:sz w:val="18"/>
                <w:szCs w:val="18"/>
                <w:color w:val="auto"/>
              </w:rPr>
              <w:t>Variable lease expense</w:t>
            </w:r>
          </w:p>
        </w:tc>
        <w:tc>
          <w:tcPr>
            <w:tcW w:w="4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880" w:type="dxa"/>
            <w:vAlign w:val="bottom"/>
            <w:gridSpan w:val="2"/>
          </w:tcPr>
          <w:p>
            <w:pPr>
              <w:ind w:left="520"/>
              <w:spacing w:after="0"/>
              <w:rPr>
                <w:sz w:val="20"/>
                <w:szCs w:val="20"/>
                <w:color w:val="auto"/>
              </w:rPr>
            </w:pPr>
            <w:r>
              <w:rPr>
                <w:rFonts w:ascii="Arial" w:cs="Arial" w:eastAsia="Arial" w:hAnsi="Arial"/>
                <w:sz w:val="18"/>
                <w:szCs w:val="18"/>
                <w:color w:val="auto"/>
              </w:rPr>
              <w:t>Sublease income</w:t>
            </w:r>
          </w:p>
        </w:tc>
        <w:tc>
          <w:tcPr>
            <w:tcW w:w="4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8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property lease expense</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Vehicle leases</w:t>
            </w: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gridSpan w:val="2"/>
          </w:tcPr>
          <w:p>
            <w:pPr>
              <w:ind w:left="520"/>
              <w:spacing w:after="0"/>
              <w:rPr>
                <w:sz w:val="20"/>
                <w:szCs w:val="20"/>
                <w:color w:val="auto"/>
              </w:rPr>
            </w:pPr>
            <w:r>
              <w:rPr>
                <w:rFonts w:ascii="Arial" w:cs="Arial" w:eastAsia="Arial" w:hAnsi="Arial"/>
                <w:sz w:val="18"/>
                <w:szCs w:val="18"/>
                <w:color w:val="auto"/>
              </w:rPr>
              <w:t>Finance lease expense:</w:t>
            </w:r>
          </w:p>
        </w:tc>
        <w:tc>
          <w:tcPr>
            <w:tcW w:w="4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1"/>
        </w:trPr>
        <w:tc>
          <w:tcPr>
            <w:tcW w:w="5880" w:type="dxa"/>
            <w:vAlign w:val="bottom"/>
            <w:gridSpan w:val="2"/>
          </w:tcPr>
          <w:p>
            <w:pPr>
              <w:ind w:left="740"/>
              <w:spacing w:after="0"/>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1"/>
                <w:szCs w:val="21"/>
                <w:color w:val="auto"/>
                <w:vertAlign w:val="superscript"/>
              </w:rPr>
              <w:t>(b)</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80" w:type="dxa"/>
            <w:vAlign w:val="bottom"/>
            <w:gridSpan w:val="2"/>
          </w:tcPr>
          <w:p>
            <w:pPr>
              <w:ind w:left="740"/>
              <w:spacing w:after="0"/>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1"/>
                <w:szCs w:val="21"/>
                <w:color w:val="auto"/>
                <w:vertAlign w:val="superscript"/>
              </w:rPr>
              <w:t>(c)</w:t>
            </w:r>
          </w:p>
        </w:tc>
        <w:tc>
          <w:tcPr>
            <w:tcW w:w="4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880" w:type="dxa"/>
            <w:vAlign w:val="bottom"/>
            <w:gridSpan w:val="2"/>
          </w:tcPr>
          <w:p>
            <w:pPr>
              <w:ind w:left="520"/>
              <w:spacing w:after="0" w:line="233"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1"/>
                <w:szCs w:val="21"/>
                <w:color w:val="auto"/>
                <w:vertAlign w:val="superscript"/>
              </w:rPr>
              <w:t>(b)</w:t>
            </w:r>
          </w:p>
        </w:tc>
        <w:tc>
          <w:tcPr>
            <w:tcW w:w="4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80" w:type="dxa"/>
            <w:vAlign w:val="bottom"/>
            <w:gridSpan w:val="2"/>
          </w:tcPr>
          <w:p>
            <w:pPr>
              <w:ind w:left="520"/>
              <w:spacing w:after="0"/>
              <w:rPr>
                <w:sz w:val="20"/>
                <w:szCs w:val="20"/>
                <w:color w:val="auto"/>
              </w:rPr>
            </w:pPr>
            <w:r>
              <w:rPr>
                <w:rFonts w:ascii="Arial" w:cs="Arial" w:eastAsia="Arial" w:hAnsi="Arial"/>
                <w:sz w:val="18"/>
                <w:szCs w:val="18"/>
                <w:b w:val="1"/>
                <w:bCs w:val="1"/>
                <w:color w:val="auto"/>
              </w:rPr>
              <w:t>Total vehicle lease expense</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500"/>
              <w:spacing w:after="0"/>
              <w:rPr>
                <w:sz w:val="20"/>
                <w:szCs w:val="20"/>
                <w:color w:val="auto"/>
              </w:rPr>
            </w:pPr>
            <w:r>
              <w:rPr>
                <w:rFonts w:ascii="Arial" w:cs="Arial" w:eastAsia="Arial" w:hAnsi="Arial"/>
                <w:sz w:val="18"/>
                <w:szCs w:val="18"/>
                <w:color w:val="auto"/>
              </w:rPr>
              <w:t>__________</w:t>
            </w:r>
          </w:p>
        </w:tc>
        <w:tc>
          <w:tcPr>
            <w:tcW w:w="4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Primarily included in operating expense.</w:t>
      </w:r>
    </w:p>
    <w:p>
      <w:pPr>
        <w:ind w:left="820" w:hanging="326"/>
        <w:spacing w:after="0" w:line="187"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vehicle depreciation and lease charges, net.</w:t>
      </w:r>
    </w:p>
    <w:p>
      <w:pPr>
        <w:ind w:left="820" w:hanging="326"/>
        <w:spacing w:after="0" w:line="199" w:lineRule="auto"/>
        <w:tabs>
          <w:tab w:leader="none" w:pos="82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Included in vehicle interest, net.</w:t>
      </w: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00" w:lineRule="exact"/>
        <w:rPr>
          <w:sz w:val="20"/>
          <w:szCs w:val="20"/>
          <w:color w:val="auto"/>
        </w:rPr>
      </w:pPr>
    </w:p>
    <w:p>
      <w:pPr>
        <w:spacing w:after="0" w:line="2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leases</w:t>
      </w:r>
    </w:p>
    <w:p>
      <w:pPr>
        <w:spacing w:after="0" w:line="72"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Operating lease ROU assets</w:t>
      </w:r>
      <w:r>
        <w:rPr>
          <w:sz w:val="20"/>
          <w:szCs w:val="20"/>
          <w:color w:val="auto"/>
        </w:rPr>
        <w:tab/>
      </w:r>
      <w:r>
        <w:rPr>
          <w:rFonts w:ascii="Arial" w:cs="Arial" w:eastAsia="Arial" w:hAnsi="Arial"/>
          <w:sz w:val="17"/>
          <w:szCs w:val="17"/>
          <w:color w:val="auto"/>
        </w:rPr>
        <w:t>$</w:t>
      </w:r>
    </w:p>
    <w:p>
      <w:pPr>
        <w:spacing w:after="0" w:line="212"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color w:val="auto"/>
          <w:vertAlign w:val="superscript"/>
        </w:rPr>
        <w:t>(a)</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operating lease liabilities</w:t>
      </w:r>
    </w:p>
    <w:p>
      <w:pPr>
        <w:spacing w:after="0" w:line="63"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Operating lease liabilities</w:t>
      </w:r>
      <w:r>
        <w:rPr>
          <w:sz w:val="20"/>
          <w:szCs w:val="20"/>
          <w:color w:val="auto"/>
        </w:rPr>
        <w:tab/>
      </w:r>
      <w:r>
        <w:rPr>
          <w:rFonts w:ascii="Arial" w:cs="Arial" w:eastAsia="Arial" w:hAnsi="Arial"/>
          <w:sz w:val="17"/>
          <w:szCs w:val="17"/>
          <w:color w:val="auto"/>
        </w:rPr>
        <w: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Vehicle leases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Finance</w:t>
      </w:r>
    </w:p>
    <w:p>
      <w:pPr>
        <w:spacing w:after="0" w:line="72"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Finance lease ROU assets, gross</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18"/>
          <w:szCs w:val="18"/>
          <w:color w:val="auto"/>
          <w:vertAlign w:val="superscript"/>
        </w:rPr>
        <w:t>(b)</w:t>
      </w:r>
      <w:r>
        <w:rPr>
          <w:sz w:val="20"/>
          <w:szCs w:val="20"/>
          <w:color w:val="auto"/>
        </w:rPr>
        <w:tab/>
      </w:r>
      <w:r>
        <w:rPr>
          <w:rFonts w:ascii="Arial" w:cs="Arial" w:eastAsia="Arial" w:hAnsi="Arial"/>
          <w:sz w:val="17"/>
          <w:szCs w:val="17"/>
          <w:color w:val="auto"/>
        </w:rPr>
        <w:t>$</w:t>
      </w:r>
    </w:p>
    <w:p>
      <w:pPr>
        <w:spacing w:after="0" w:line="239"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Short-term vehicle finance lease liabilities</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finance lease liabilities</w:t>
      </w:r>
    </w:p>
    <w:p>
      <w:pPr>
        <w:spacing w:after="0" w:line="63"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18"/>
          <w:szCs w:val="18"/>
          <w:color w:val="auto"/>
          <w:vertAlign w:val="superscript"/>
        </w:rPr>
        <w:t>(c)</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w:t>
      </w:r>
    </w:p>
    <w:p>
      <w:pPr>
        <w:spacing w:after="0" w:line="72"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18"/>
          <w:szCs w:val="18"/>
          <w:color w:val="auto"/>
          <w:vertAlign w:val="superscript"/>
        </w:rPr>
        <w:t>(d)</w:t>
      </w:r>
      <w:r>
        <w:rPr>
          <w:sz w:val="20"/>
          <w:szCs w:val="20"/>
          <w:color w:val="auto"/>
        </w:rPr>
        <w:tab/>
      </w:r>
      <w:r>
        <w:rPr>
          <w:rFonts w:ascii="Arial" w:cs="Arial" w:eastAsia="Arial" w:hAnsi="Arial"/>
          <w:sz w:val="17"/>
          <w:szCs w:val="17"/>
          <w:color w:val="auto"/>
        </w:rPr>
        <w:t>$</w:t>
      </w:r>
    </w:p>
    <w:p>
      <w:pPr>
        <w:spacing w:after="0" w:line="239"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Short-term vehicle operating lease liabilities</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Long-term vehicle operating lease liabilities</w:t>
      </w:r>
    </w:p>
    <w:p>
      <w:pPr>
        <w:spacing w:after="0" w:line="63" w:lineRule="exact"/>
        <w:rPr>
          <w:sz w:val="20"/>
          <w:szCs w:val="20"/>
          <w:color w:val="auto"/>
        </w:rPr>
      </w:pPr>
    </w:p>
    <w:p>
      <w:pPr>
        <w:ind w:left="760"/>
        <w:spacing w:after="0"/>
        <w:tabs>
          <w:tab w:leader="none" w:pos="8380" w:val="left"/>
        </w:tabs>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18"/>
          <w:szCs w:val="18"/>
          <w:color w:val="auto"/>
          <w:vertAlign w:val="superscript"/>
        </w:rPr>
        <w:t>(e)</w:t>
      </w:r>
      <w:r>
        <w:rPr>
          <w:sz w:val="20"/>
          <w:szCs w:val="20"/>
          <w:color w:val="auto"/>
        </w:rPr>
        <w:tab/>
      </w:r>
      <w:r>
        <w:rPr>
          <w:rFonts w:ascii="Arial" w:cs="Arial" w:eastAsia="Arial" w:hAnsi="Arial"/>
          <w:sz w:val="17"/>
          <w:szCs w:val="17"/>
          <w:color w:val="auto"/>
        </w:rPr>
        <w:t>$</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remaining lease term</w:t>
      </w:r>
    </w:p>
    <w:p>
      <w:pPr>
        <w:spacing w:after="0" w:line="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Weighted average discount rate</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340" w:type="dxa"/>
            <w:vAlign w:val="bottom"/>
            <w:gridSpan w:val="2"/>
          </w:tcPr>
          <w:p>
            <w:pPr>
              <w:spacing w:after="0"/>
              <w:rPr>
                <w:sz w:val="20"/>
                <w:szCs w:val="20"/>
                <w:color w:val="auto"/>
              </w:rPr>
            </w:pPr>
            <w:r>
              <w:rPr>
                <w:rFonts w:ascii="Arial" w:cs="Arial" w:eastAsia="Arial" w:hAnsi="Arial"/>
                <w:sz w:val="18"/>
                <w:szCs w:val="18"/>
                <w:color w:val="auto"/>
              </w:rPr>
              <w:t>_________</w:t>
            </w:r>
          </w:p>
        </w:tc>
        <w:tc>
          <w:tcPr>
            <w:tcW w:w="0" w:type="dxa"/>
            <w:vAlign w:val="bottom"/>
          </w:tcPr>
          <w:p>
            <w:pPr>
              <w:spacing w:after="0"/>
              <w:rPr>
                <w:sz w:val="1"/>
                <w:szCs w:val="1"/>
                <w:color w:val="auto"/>
              </w:rPr>
            </w:pPr>
          </w:p>
        </w:tc>
      </w:tr>
      <w:tr>
        <w:trPr>
          <w:trHeight w:val="107"/>
        </w:trPr>
        <w:tc>
          <w:tcPr>
            <w:tcW w:w="220" w:type="dxa"/>
            <w:vAlign w:val="bottom"/>
          </w:tcPr>
          <w:p>
            <w:pPr>
              <w:spacing w:after="0"/>
              <w:rPr>
                <w:sz w:val="20"/>
                <w:szCs w:val="20"/>
                <w:color w:val="auto"/>
              </w:rPr>
            </w:pPr>
            <w:r>
              <w:rPr>
                <w:rFonts w:ascii="Arial" w:cs="Arial" w:eastAsia="Arial" w:hAnsi="Arial"/>
                <w:sz w:val="9"/>
                <w:szCs w:val="9"/>
                <w:color w:val="auto"/>
              </w:rPr>
              <w:t>(a)</w:t>
            </w:r>
          </w:p>
        </w:tc>
        <w:tc>
          <w:tcPr>
            <w:tcW w:w="4120" w:type="dxa"/>
            <w:vAlign w:val="bottom"/>
            <w:vMerge w:val="restart"/>
          </w:tcPr>
          <w:p>
            <w:pPr>
              <w:ind w:left="100"/>
              <w:spacing w:after="0"/>
              <w:rPr>
                <w:sz w:val="20"/>
                <w:szCs w:val="20"/>
                <w:color w:val="auto"/>
              </w:rPr>
            </w:pPr>
            <w:r>
              <w:rPr>
                <w:rFonts w:ascii="Arial" w:cs="Arial" w:eastAsia="Arial" w:hAnsi="Arial"/>
                <w:sz w:val="14"/>
                <w:szCs w:val="14"/>
                <w:color w:val="auto"/>
              </w:rPr>
              <w:t>Included in Accounts payable and other current liabilities.</w:t>
            </w:r>
          </w:p>
        </w:tc>
        <w:tc>
          <w:tcPr>
            <w:tcW w:w="0" w:type="dxa"/>
            <w:vAlign w:val="bottom"/>
          </w:tcPr>
          <w:p>
            <w:pPr>
              <w:spacing w:after="0"/>
              <w:rPr>
                <w:sz w:val="1"/>
                <w:szCs w:val="1"/>
                <w:color w:val="auto"/>
              </w:rPr>
            </w:pPr>
          </w:p>
        </w:tc>
      </w:tr>
      <w:tr>
        <w:trPr>
          <w:trHeight w:val="60"/>
        </w:trPr>
        <w:tc>
          <w:tcPr>
            <w:tcW w:w="220" w:type="dxa"/>
            <w:vAlign w:val="bottom"/>
            <w:vMerge w:val="restart"/>
          </w:tcPr>
          <w:p>
            <w:pPr>
              <w:spacing w:after="0"/>
              <w:rPr>
                <w:sz w:val="20"/>
                <w:szCs w:val="20"/>
                <w:color w:val="auto"/>
              </w:rPr>
            </w:pPr>
            <w:r>
              <w:rPr>
                <w:rFonts w:ascii="Arial" w:cs="Arial" w:eastAsia="Arial" w:hAnsi="Arial"/>
                <w:sz w:val="9"/>
                <w:szCs w:val="9"/>
                <w:color w:val="auto"/>
              </w:rPr>
              <w:t>(b)</w:t>
            </w: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Arial" w:cs="Arial" w:eastAsia="Arial" w:hAnsi="Arial"/>
                <w:sz w:val="14"/>
                <w:szCs w:val="14"/>
                <w:color w:val="auto"/>
              </w:rPr>
              <w:t>Included in Vehicles, net within Assets under vehicle programs.</w:t>
            </w:r>
          </w:p>
        </w:tc>
        <w:tc>
          <w:tcPr>
            <w:tcW w:w="0" w:type="dxa"/>
            <w:vAlign w:val="bottom"/>
          </w:tcPr>
          <w:p>
            <w:pPr>
              <w:spacing w:after="0"/>
              <w:rPr>
                <w:sz w:val="1"/>
                <w:szCs w:val="1"/>
                <w:color w:val="auto"/>
              </w:rPr>
            </w:pPr>
          </w:p>
        </w:tc>
      </w:tr>
      <w:tr>
        <w:trPr>
          <w:trHeight w:val="60"/>
        </w:trPr>
        <w:tc>
          <w:tcPr>
            <w:tcW w:w="220" w:type="dxa"/>
            <w:vAlign w:val="bottom"/>
            <w:vMerge w:val="restart"/>
          </w:tcPr>
          <w:p>
            <w:pPr>
              <w:spacing w:after="0"/>
              <w:rPr>
                <w:sz w:val="20"/>
                <w:szCs w:val="20"/>
                <w:color w:val="auto"/>
              </w:rPr>
            </w:pPr>
            <w:r>
              <w:rPr>
                <w:rFonts w:ascii="Arial" w:cs="Arial" w:eastAsia="Arial" w:hAnsi="Arial"/>
                <w:sz w:val="9"/>
                <w:szCs w:val="9"/>
                <w:color w:val="auto"/>
              </w:rPr>
              <w:t>(c)</w:t>
            </w:r>
          </w:p>
        </w:tc>
        <w:tc>
          <w:tcPr>
            <w:tcW w:w="4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Arial" w:cs="Arial" w:eastAsia="Arial" w:hAnsi="Arial"/>
                <w:sz w:val="14"/>
                <w:szCs w:val="14"/>
                <w:color w:val="auto"/>
              </w:rPr>
              <w:t>Included in Debt within Liabilities under vehicle programs.</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right="500" w:hanging="219"/>
        <w:spacing w:after="0" w:line="302" w:lineRule="auto"/>
        <w:rPr>
          <w:sz w:val="20"/>
          <w:szCs w:val="20"/>
          <w:color w:val="auto"/>
        </w:rPr>
      </w:pPr>
      <w:r>
        <w:rPr>
          <w:rFonts w:ascii="Arial" w:cs="Arial" w:eastAsia="Arial" w:hAnsi="Arial"/>
          <w:sz w:val="17"/>
          <w:szCs w:val="17"/>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-22860</wp:posOffset>
            </wp:positionV>
            <wp:extent cx="1509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66"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356</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126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09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31750</wp:posOffset>
            </wp:positionV>
            <wp:extent cx="1509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09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09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9395"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31750</wp:posOffset>
            </wp:positionV>
            <wp:extent cx="15093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28575</wp:posOffset>
            </wp:positionV>
            <wp:extent cx="15690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3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2,409</w:t>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433</w:t>
      </w:r>
    </w:p>
    <w:p>
      <w:pPr>
        <w:spacing w:after="0" w:line="5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9.5 years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332</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1.6 years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w:t>
      </w:r>
    </w:p>
    <w:p>
      <w:pPr>
        <w:spacing w:after="0" w:line="200" w:lineRule="exact"/>
        <w:rPr>
          <w:sz w:val="20"/>
          <w:szCs w:val="20"/>
          <w:color w:val="auto"/>
        </w:rPr>
      </w:pPr>
    </w:p>
    <w:p>
      <w:pPr>
        <w:spacing w:after="0" w:line="390"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216</w:t>
      </w:r>
    </w:p>
    <w:p>
      <w:pPr>
        <w:spacing w:after="0" w:line="23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170</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4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15690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2.2 years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2.89%</w:t>
      </w:r>
    </w:p>
    <w:p>
      <w:pPr>
        <w:spacing w:after="0" w:line="940" w:lineRule="exact"/>
        <w:rPr>
          <w:sz w:val="20"/>
          <w:szCs w:val="20"/>
          <w:color w:val="auto"/>
        </w:rPr>
      </w:pPr>
    </w:p>
    <w:p>
      <w:pPr>
        <w:sectPr>
          <w:pgSz w:w="11900" w:h="16838" w:orient="portrait"/>
          <w:cols w:equalWidth="0" w:num="2">
            <w:col w:w="8500" w:space="260"/>
            <w:col w:w="2060"/>
          </w:cols>
          <w:pgMar w:left="240" w:top="108" w:right="839" w:bottom="732" w:gutter="0" w:footer="0" w:header="0"/>
        </w:sectPr>
      </w:pPr>
    </w:p>
    <w:p>
      <w:pPr>
        <w:spacing w:after="0" w:line="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20"/>
          </w:cols>
          <w:pgMar w:left="240" w:top="108" w:right="839" w:bottom="732"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500" w:type="dxa"/>
        <w:tblCellMar>
          <w:top w:w="0" w:type="dxa"/>
          <w:left w:w="0" w:type="dxa"/>
          <w:bottom w:w="0" w:type="dxa"/>
          <w:right w:w="0" w:type="dxa"/>
        </w:tblCellMar>
      </w:tblPr>
      <w:tr>
        <w:trPr>
          <w:trHeight w:val="107"/>
        </w:trPr>
        <w:tc>
          <w:tcPr>
            <w:tcW w:w="220" w:type="dxa"/>
            <w:vAlign w:val="bottom"/>
          </w:tcPr>
          <w:p>
            <w:pPr>
              <w:spacing w:after="0"/>
              <w:rPr>
                <w:sz w:val="20"/>
                <w:szCs w:val="20"/>
                <w:color w:val="auto"/>
              </w:rPr>
            </w:pPr>
            <w:r>
              <w:rPr>
                <w:rFonts w:ascii="Arial" w:cs="Arial" w:eastAsia="Arial" w:hAnsi="Arial"/>
                <w:sz w:val="9"/>
                <w:szCs w:val="9"/>
                <w:color w:val="auto"/>
              </w:rPr>
              <w:t>(d)</w:t>
            </w:r>
          </w:p>
        </w:tc>
        <w:tc>
          <w:tcPr>
            <w:tcW w:w="6500" w:type="dxa"/>
            <w:vAlign w:val="bottom"/>
            <w:vMerge w:val="restart"/>
          </w:tcPr>
          <w:p>
            <w:pPr>
              <w:ind w:left="100"/>
              <w:spacing w:after="0"/>
              <w:rPr>
                <w:sz w:val="20"/>
                <w:szCs w:val="20"/>
                <w:color w:val="auto"/>
              </w:rPr>
            </w:pPr>
            <w:r>
              <w:rPr>
                <w:rFonts w:ascii="Arial" w:cs="Arial" w:eastAsia="Arial" w:hAnsi="Arial"/>
                <w:sz w:val="14"/>
                <w:szCs w:val="14"/>
                <w:color w:val="auto"/>
              </w:rPr>
              <w:t>Included in Receivables from vehicle manufacturers and other within Assets under vehicle programs.</w:t>
            </w:r>
          </w:p>
        </w:tc>
        <w:tc>
          <w:tcPr>
            <w:tcW w:w="0" w:type="dxa"/>
            <w:vAlign w:val="bottom"/>
          </w:tcPr>
          <w:p>
            <w:pPr>
              <w:spacing w:after="0"/>
              <w:rPr>
                <w:sz w:val="1"/>
                <w:szCs w:val="1"/>
                <w:color w:val="auto"/>
              </w:rPr>
            </w:pPr>
          </w:p>
        </w:tc>
      </w:tr>
      <w:tr>
        <w:trPr>
          <w:trHeight w:val="60"/>
        </w:trPr>
        <w:tc>
          <w:tcPr>
            <w:tcW w:w="220" w:type="dxa"/>
            <w:vAlign w:val="bottom"/>
            <w:vMerge w:val="restart"/>
          </w:tcPr>
          <w:p>
            <w:pPr>
              <w:spacing w:after="0"/>
              <w:rPr>
                <w:sz w:val="20"/>
                <w:szCs w:val="20"/>
                <w:color w:val="auto"/>
              </w:rPr>
            </w:pPr>
            <w:r>
              <w:rPr>
                <w:rFonts w:ascii="Arial" w:cs="Arial" w:eastAsia="Arial" w:hAnsi="Arial"/>
                <w:sz w:val="9"/>
                <w:szCs w:val="9"/>
                <w:color w:val="auto"/>
              </w:rPr>
              <w:t>(e)</w:t>
            </w: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6500" w:type="dxa"/>
            <w:vAlign w:val="bottom"/>
            <w:vMerge w:val="restart"/>
          </w:tcPr>
          <w:p>
            <w:pPr>
              <w:ind w:left="100"/>
              <w:spacing w:after="0"/>
              <w:rPr>
                <w:sz w:val="20"/>
                <w:szCs w:val="20"/>
                <w:color w:val="auto"/>
              </w:rPr>
            </w:pPr>
            <w:r>
              <w:rPr>
                <w:rFonts w:ascii="Arial" w:cs="Arial" w:eastAsia="Arial" w:hAnsi="Arial"/>
                <w:sz w:val="14"/>
                <w:szCs w:val="14"/>
                <w:color w:val="auto"/>
              </w:rPr>
              <w:t>Included in Other within Liabilities under vehicle programs.</w:t>
            </w:r>
          </w:p>
        </w:tc>
        <w:tc>
          <w:tcPr>
            <w:tcW w:w="0" w:type="dxa"/>
            <w:vAlign w:val="bottom"/>
          </w:tcPr>
          <w:p>
            <w:pPr>
              <w:spacing w:after="0"/>
              <w:rPr>
                <w:sz w:val="1"/>
                <w:szCs w:val="1"/>
                <w:color w:val="auto"/>
              </w:rPr>
            </w:pPr>
          </w:p>
        </w:tc>
      </w:tr>
      <w:tr>
        <w:trPr>
          <w:trHeight w:val="70"/>
        </w:trPr>
        <w:tc>
          <w:tcPr>
            <w:tcW w:w="220" w:type="dxa"/>
            <w:vAlign w:val="bottom"/>
          </w:tcPr>
          <w:p>
            <w:pPr>
              <w:spacing w:after="0"/>
              <w:rPr>
                <w:sz w:val="6"/>
                <w:szCs w:val="6"/>
                <w:color w:val="auto"/>
              </w:rPr>
            </w:pPr>
          </w:p>
        </w:tc>
        <w:tc>
          <w:tcPr>
            <w:tcW w:w="6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9"/>
              </w:rPr>
              <w:t>Six Months Ended</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99"/>
              </w:rPr>
              <w:t>June 30, 2019</w:t>
            </w:r>
          </w:p>
        </w:tc>
        <w:tc>
          <w:tcPr>
            <w:tcW w:w="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operating activities: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Property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operating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Cash payments for lease liabilities within financing activities:</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00" w:type="dxa"/>
            <w:vAlign w:val="bottom"/>
            <w:gridSpan w:val="5"/>
          </w:tcPr>
          <w:p>
            <w:pPr>
              <w:ind w:left="20"/>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 xml:space="preserve">Property operating leases </w:t>
            </w:r>
            <w:r>
              <w:rPr>
                <w:rFonts w:ascii="Arial" w:cs="Arial" w:eastAsia="Arial" w:hAnsi="Arial"/>
                <w:sz w:val="18"/>
                <w:szCs w:val="18"/>
                <w:color w:val="auto"/>
                <w:vertAlign w:val="superscript"/>
              </w:rPr>
              <w:t>(a)</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 xml:space="preserve">Vehicle operating leases </w:t>
            </w:r>
            <w:r>
              <w:rPr>
                <w:rFonts w:ascii="Arial" w:cs="Arial" w:eastAsia="Arial" w:hAnsi="Arial"/>
                <w:sz w:val="18"/>
                <w:szCs w:val="18"/>
                <w:color w:val="auto"/>
                <w:vertAlign w:val="superscript"/>
              </w:rPr>
              <w:t>(a)</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Vehicle finance leases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5720" w:type="dxa"/>
            <w:vAlign w:val="bottom"/>
            <w:gridSpan w:val="2"/>
          </w:tcPr>
          <w:p>
            <w:pPr>
              <w:spacing w:after="0"/>
              <w:rPr>
                <w:sz w:val="20"/>
                <w:szCs w:val="20"/>
                <w:color w:val="auto"/>
              </w:rPr>
            </w:pPr>
            <w:r>
              <w:rPr>
                <w:rFonts w:ascii="Arial" w:cs="Arial" w:eastAsia="Arial" w:hAnsi="Arial"/>
                <w:sz w:val="18"/>
                <w:szCs w:val="18"/>
                <w:color w:val="auto"/>
              </w:rPr>
              <w:t>_________</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80" w:type="dxa"/>
            <w:vAlign w:val="bottom"/>
          </w:tcPr>
          <w:p>
            <w:pPr>
              <w:spacing w:after="0"/>
              <w:rPr>
                <w:sz w:val="20"/>
                <w:szCs w:val="20"/>
                <w:color w:val="auto"/>
              </w:rPr>
            </w:pPr>
            <w:r>
              <w:rPr>
                <w:rFonts w:ascii="Arial" w:cs="Arial" w:eastAsia="Arial" w:hAnsi="Arial"/>
                <w:sz w:val="9"/>
                <w:szCs w:val="9"/>
                <w:color w:val="auto"/>
              </w:rPr>
              <w:t>(a)</w:t>
            </w:r>
          </w:p>
        </w:tc>
        <w:tc>
          <w:tcPr>
            <w:tcW w:w="5540" w:type="dxa"/>
            <w:vAlign w:val="bottom"/>
            <w:vMerge w:val="restart"/>
          </w:tcPr>
          <w:p>
            <w:pPr>
              <w:ind w:left="140"/>
              <w:spacing w:after="0"/>
              <w:rPr>
                <w:sz w:val="20"/>
                <w:szCs w:val="20"/>
                <w:color w:val="auto"/>
              </w:rPr>
            </w:pPr>
            <w:r>
              <w:rPr>
                <w:rFonts w:ascii="Arial" w:cs="Arial" w:eastAsia="Arial" w:hAnsi="Arial"/>
                <w:sz w:val="14"/>
                <w:szCs w:val="14"/>
                <w:color w:val="auto"/>
              </w:rPr>
              <w:t>ROU assets obtained in exchange for lease liabilities from initial recognition.</w:t>
            </w: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80" w:type="dxa"/>
            <w:vAlign w:val="bottom"/>
          </w:tcPr>
          <w:p>
            <w:pPr>
              <w:spacing w:after="0"/>
              <w:rPr>
                <w:sz w:val="6"/>
                <w:szCs w:val="6"/>
                <w:color w:val="auto"/>
              </w:rPr>
            </w:pPr>
          </w:p>
        </w:tc>
        <w:tc>
          <w:tcPr>
            <w:tcW w:w="5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572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June 30, 2019 are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4"/>
                <w:szCs w:val="2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Vehicle Finance</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Vehicle Operating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Operating Leases</w:t>
            </w:r>
          </w:p>
        </w:tc>
        <w:tc>
          <w:tcPr>
            <w:tcW w:w="120" w:type="dxa"/>
            <w:vAlign w:val="bottom"/>
          </w:tcPr>
          <w:p>
            <w:pPr>
              <w:spacing w:after="0"/>
              <w:rPr>
                <w:sz w:val="19"/>
                <w:szCs w:val="19"/>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Leases</w:t>
            </w:r>
          </w:p>
        </w:tc>
        <w:tc>
          <w:tcPr>
            <w:tcW w:w="1040" w:type="dxa"/>
            <w:vAlign w:val="bottom"/>
          </w:tcPr>
          <w:p>
            <w:pPr>
              <w:ind w:left="460"/>
              <w:spacing w:after="0"/>
              <w:rPr>
                <w:sz w:val="20"/>
                <w:szCs w:val="20"/>
                <w:color w:val="auto"/>
              </w:rPr>
            </w:pPr>
            <w:r>
              <w:rPr>
                <w:rFonts w:ascii="Arial" w:cs="Arial" w:eastAsia="Arial" w:hAnsi="Arial"/>
                <w:sz w:val="16"/>
                <w:szCs w:val="16"/>
                <w:b w:val="1"/>
                <w:bCs w:val="1"/>
                <w:color w:val="auto"/>
              </w:rPr>
              <w:t>Leases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Future minimum lease payments required under noncancelable operating leases, including minimum concession fees charged by airport authorities, which in many locations are recoverable from vehicle rental customers, as of December 31, 2018, were as follows:</w:t>
      </w:r>
    </w:p>
    <w:p>
      <w:pPr>
        <w:spacing w:after="0" w:line="134"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280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2019</w:t>
            </w:r>
          </w:p>
        </w:tc>
        <w:tc>
          <w:tcPr>
            <w:tcW w:w="6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2020</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2021</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2023</w:t>
            </w:r>
          </w:p>
        </w:tc>
        <w:tc>
          <w:tcPr>
            <w:tcW w:w="5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6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840" w:type="dxa"/>
            <w:vAlign w:val="bottom"/>
            <w:vMerge w:val="restart"/>
          </w:tcPr>
          <w:p>
            <w:pPr>
              <w:jc w:val="right"/>
              <w:ind w:right="355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0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7340" w:hanging="492"/>
        <w:spacing w:after="0" w:line="513" w:lineRule="auto"/>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1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2019, the Company initiated a restructuring plan to drive global efficiency by improving processes and consolidating functions, and to create new objectives and strategies for its U.S. truck rental operations by reducing headcount, large vehicles and rental locations (“T19”). During the six months ended June 30, 2019, as part of this process, the Company formally communicated the termination of employment to approximately 240 employees, and as of June 30, 2019, the Company had terminated approximately 225 of these employees. The Company expects further restructuring expense of approximately $25 million related to this initiative to be incurred in 2019.</w:t>
      </w:r>
    </w:p>
    <w:p>
      <w:pPr>
        <w:spacing w:after="0" w:line="208"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The costs associated with this initiative primarily represent severance, outplacement services and other costs associated with employee terminations, the majority of which have been settled in cash. This initiative is complete.</w:t>
      </w:r>
    </w:p>
    <w:p>
      <w:pPr>
        <w:spacing w:after="0" w:line="204" w:lineRule="exact"/>
        <w:rPr>
          <w:rFonts w:ascii="Arial" w:cs="Arial" w:eastAsia="Arial" w:hAnsi="Arial"/>
          <w:sz w:val="18"/>
          <w:szCs w:val="18"/>
          <w:b w:val="1"/>
          <w:bCs w:val="1"/>
          <w:color w:val="auto"/>
        </w:rPr>
      </w:pPr>
    </w:p>
    <w:p>
      <w:pPr>
        <w:ind w:left="500" w:right="7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identifies the amounts recorded within the Company’s reporting segments for restructuring charges and corresponding payments and utilizations:</w:t>
      </w:r>
    </w:p>
    <w:p>
      <w:pPr>
        <w:spacing w:after="0" w:line="152"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9"/>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720" w:type="dxa"/>
            <w:vAlign w:val="bottom"/>
          </w:tcPr>
          <w:p>
            <w:pPr>
              <w:ind w:left="3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720" w:type="dxa"/>
            <w:vAlign w:val="bottom"/>
          </w:tcPr>
          <w:p>
            <w:pPr>
              <w:ind w:left="3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5720" w:type="dxa"/>
            <w:vAlign w:val="bottom"/>
          </w:tcPr>
          <w:p>
            <w:pPr>
              <w:ind w:left="3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8"/>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Personnel</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6"/>
              </w:rPr>
              <w:t xml:space="preserve">Other </w:t>
            </w:r>
            <w:r>
              <w:rPr>
                <w:rFonts w:ascii="Arial" w:cs="Arial" w:eastAsia="Arial" w:hAnsi="Arial"/>
                <w:sz w:val="21"/>
                <w:szCs w:val="21"/>
                <w:b w:val="1"/>
                <w:bCs w:val="1"/>
                <w:color w:val="auto"/>
                <w:w w:val="96"/>
                <w:vertAlign w:val="superscript"/>
              </w:rPr>
              <w:t>(a)</w:t>
            </w:r>
          </w:p>
        </w:tc>
        <w:tc>
          <w:tcPr>
            <w:tcW w:w="3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720" w:type="dxa"/>
            <w:vAlign w:val="bottom"/>
          </w:tcPr>
          <w:p>
            <w:pPr>
              <w:ind w:left="3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720" w:type="dxa"/>
            <w:vAlign w:val="bottom"/>
          </w:tcPr>
          <w:p>
            <w:pPr>
              <w:ind w:left="3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7"/>
        </w:trPr>
        <w:tc>
          <w:tcPr>
            <w:tcW w:w="5720" w:type="dxa"/>
            <w:vAlign w:val="bottom"/>
          </w:tcPr>
          <w:p>
            <w:pPr>
              <w:ind w:left="320"/>
              <w:spacing w:after="0"/>
              <w:rPr>
                <w:sz w:val="20"/>
                <w:szCs w:val="20"/>
                <w:color w:val="auto"/>
              </w:rPr>
            </w:pPr>
            <w:r>
              <w:rPr>
                <w:rFonts w:ascii="Arial" w:cs="Arial" w:eastAsia="Arial" w:hAnsi="Arial"/>
                <w:sz w:val="18"/>
                <w:szCs w:val="18"/>
                <w:color w:val="auto"/>
              </w:rPr>
              <w:t>Workforce planning</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89" w:lineRule="auto"/>
        <w:tabs>
          <w:tab w:leader="none" w:pos="82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In March 2019, the Company announced the resignation of Mark J. Servodidio as the Company’s President, International effective June 14, 2019. In connection with Mr. Servodidio’s departure, the Company recorded other related charges of approximately $3 million, inclusive of accelerated stock-based compensation expense.</w:t>
      </w:r>
    </w:p>
    <w:p>
      <w:pPr>
        <w:spacing w:after="0" w:line="20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May 2019, the Company announced the resignation of Larry D. De Shon as the Company’s President and Chief Executive Officer. Mr. De Shon will continue to serve in his role until a successor has been named and will be employed by the Company through December 31, 2019. In connection with Mr. De Shon’s departure, the Company recorded other related charges of approximately $8 million, inclusive of</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40"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520"/>
        <w:spacing w:after="0" w:line="262" w:lineRule="auto"/>
        <w:rPr>
          <w:sz w:val="20"/>
          <w:szCs w:val="20"/>
          <w:color w:val="auto"/>
        </w:rPr>
      </w:pPr>
      <w:r>
        <w:rPr>
          <w:rFonts w:ascii="Arial" w:cs="Arial" w:eastAsia="Arial" w:hAnsi="Arial"/>
          <w:sz w:val="18"/>
          <w:szCs w:val="18"/>
          <w:color w:val="auto"/>
        </w:rPr>
        <w:t>accelerated stock-based compensation expense, and expects another $5 million to be incurred in 2019 for the remaining portion of accelerated stock-based compensation expense.</w:t>
      </w:r>
    </w:p>
    <w:p>
      <w:pPr>
        <w:spacing w:after="0" w:line="1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Net income (loss) for basic and 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500"/>
        </w:trPr>
        <w:tc>
          <w:tcPr>
            <w:tcW w:w="532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i w:val="1"/>
                <w:iCs w:val="1"/>
                <w:color w:val="auto"/>
              </w:rPr>
              <w:t>Earnings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0"/>
        </w:trPr>
        <w:tc>
          <w:tcPr>
            <w:tcW w:w="5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820" w:hanging="326"/>
        <w:spacing w:after="0" w:line="229" w:lineRule="auto"/>
        <w:tabs>
          <w:tab w:leader="none" w:pos="820" w:val="left"/>
        </w:tabs>
        <w:numPr>
          <w:ilvl w:val="1"/>
          <w:numId w:val="1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2019 and 2018, 0.5 million and 0.2 million non-vested stock awards at June 30, 2019 and 2018, respectively, have an anti-dilutive effect and therefore are excluded from the computation of diluted weighted average shares outstanding. As the Company incurred a net loss for the six months ended June 30, 2019 and 2018, 0.1 million outstanding options, at June 30, 2018, and 1.2 million and 1.5 million non-vested stock awards at June 30, 2019 and 2018, respectively, have an anti-dilutive effect and therefore are excluded from the computation of diluted weighted average shares outstanding.</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Avis and Budget Licensees</w:t>
      </w:r>
    </w:p>
    <w:p>
      <w:pPr>
        <w:spacing w:after="0" w:line="247"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In 2019, the Company completed the acquisitions of various licensees primarily in North America, for approximately $32 million, plus $19 million for acquired fleet. These investments were in-line with the Company’s strategy to re-acquire licensees when advantageous to expand its footprint of Company-operated locations. The acquired fleet was financed under the Company’s existing financing arrangements. The excess of the purchase price over preliminary fair value of net assets acquired was allocated to goodwill, which was assigned to the Company’s Americas reportable segment. In connection with these acquisitions, approximately $21 million was recorded in goodwill, other intangibles of $7 million related to customer relationships and $4 million related to license agreements. The license agreements and customer relationships are being amortized over a weighted average useful life of approximately four years. The goodwill is expected to be deductible for tax purposes. The fair value of the assets acquired and liabilities assumed has not yet been finalized and is therefore subject to change.</w:t>
      </w:r>
    </w:p>
    <w:p>
      <w:pPr>
        <w:spacing w:after="0" w:line="19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As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4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2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2019</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31, 2018</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Sales and use taxes</w:t>
            </w:r>
          </w:p>
        </w:tc>
        <w:tc>
          <w:tcPr>
            <w:tcW w:w="47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Other current assets</w:t>
            </w:r>
          </w:p>
        </w:tc>
        <w:tc>
          <w:tcPr>
            <w:tcW w:w="472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80" w:type="dxa"/>
            <w:vAlign w:val="bottom"/>
            <w:vMerge w:val="restart"/>
          </w:tcPr>
          <w:p>
            <w:pPr>
              <w:jc w:val="right"/>
              <w:ind w:right="1450"/>
              <w:spacing w:after="0"/>
              <w:rPr>
                <w:sz w:val="20"/>
                <w:szCs w:val="20"/>
                <w:color w:val="auto"/>
              </w:rPr>
            </w:pPr>
            <w:r>
              <w:rPr>
                <w:rFonts w:ascii="Arial" w:cs="Arial" w:eastAsia="Arial" w:hAnsi="Arial"/>
                <w:sz w:val="18"/>
                <w:szCs w:val="18"/>
                <w:color w:val="auto"/>
              </w:rPr>
              <w:t>17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6"/>
                <w:szCs w:val="16"/>
                <w:b w:val="1"/>
                <w:bCs w:val="1"/>
                <w:color w:val="auto"/>
              </w:rPr>
              <w:t>As of June 30, 2019</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2018</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680" w:type="dxa"/>
            <w:vAlign w:val="bottom"/>
          </w:tcPr>
          <w:p>
            <w:pPr>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1"/>
        </w:trPr>
        <w:tc>
          <w:tcPr>
            <w:tcW w:w="2680" w:type="dxa"/>
            <w:vAlign w:val="bottom"/>
          </w:tcPr>
          <w:p>
            <w:pPr>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8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80" w:type="dxa"/>
            <w:vAlign w:val="bottom"/>
          </w:tcPr>
          <w:p>
            <w:pPr>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right="20"/>
        <w:spacing w:after="0" w:line="271" w:lineRule="auto"/>
        <w:rPr>
          <w:sz w:val="20"/>
          <w:szCs w:val="20"/>
          <w:color w:val="auto"/>
        </w:rPr>
      </w:pPr>
      <w:r>
        <w:rPr>
          <w:rFonts w:ascii="Arial" w:cs="Arial" w:eastAsia="Arial" w:hAnsi="Arial"/>
          <w:sz w:val="17"/>
          <w:szCs w:val="17"/>
          <w:color w:val="auto"/>
        </w:rPr>
        <w:t>For the three months ended June 30, 2019 and 2018, amortization expense related to amortizable intangible assets was approximately $14 million and $ 19 million, respectively. For the six months ended June 30, 2019 and 2018, amortization expense related to amortizable intangible assets was approximately $ 31 million and $33 million, respectively. Based on the Company’s amortizable intangible assets at June 30, 2019, the Company expects amortization expense of approximately $27 million for the remainder of 2019, $ 51 million for 2020, $38 million for 2021, $27 million for 2022, $23 million for 2023 and $20 million for 2024, excluding effects of currency exchange rates.</w:t>
      </w:r>
    </w:p>
    <w:p>
      <w:pPr>
        <w:spacing w:after="0" w:line="17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12,548</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4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10,878</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14,278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5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41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64"/>
        </w:trPr>
        <w:tc>
          <w:tcPr>
            <w:tcW w:w="41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June 30, 2019 and 2018, the Company had payables related to vehicle purchases included in liabilities under vehicle programs - other of $782 million and $856 million, respectively, and receivables related to vehicle sales included in assets under vehicle programs - receivables from vehicle manufacturers and other of $214 million and $248 million, respectively.</w:t>
      </w:r>
    </w:p>
    <w:p>
      <w:pPr>
        <w:spacing w:after="0" w:line="18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2019 was a benefit of 47.3%. Such rate differed from the Federal statutory rate of 21.0% primarily due to foreign taxes on our international operations, state taxes, and a one-time net tax benefit from the sale of equity investment in Anji during the</w:t>
      </w:r>
    </w:p>
    <w:p>
      <w:pPr>
        <w:sectPr>
          <w:pgSz w:w="11900" w:h="16838" w:orient="portrait"/>
          <w:cols w:equalWidth="0" w:num="1">
            <w:col w:w="11380"/>
          </w:cols>
          <w:pgMar w:left="240" w:top="140" w:right="279" w:bottom="1440" w:gutter="0" w:footer="0" w:header="0"/>
        </w:sect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140" w:right="27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second quarter of 2019.</w:t>
      </w:r>
    </w:p>
    <w:p>
      <w:pPr>
        <w:spacing w:after="0" w:line="225"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The Company’s effective tax rate for the six months ended June 30, 2018 was a benefit of 33.0%. Such rate differed from the Federal statutory rate of 21.0% primarily due to U.S. and foreign taxes on our international operations and state taxes. Tax benefits associated with stock-based compensation increased the benefit for income taxes recorded in the current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32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52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Deferred lease revenues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732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7"/>
        </w:trPr>
        <w:tc>
          <w:tcPr>
            <w:tcW w:w="7320" w:type="dxa"/>
            <w:vAlign w:val="bottom"/>
          </w:tcPr>
          <w:p>
            <w:pPr>
              <w:ind w:left="5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r>
      <w:tr>
        <w:trPr>
          <w:trHeight w:val="257"/>
        </w:trPr>
        <w:tc>
          <w:tcPr>
            <w:tcW w:w="732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right="5400" w:hanging="492"/>
        <w:spacing w:after="0" w:line="488" w:lineRule="auto"/>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2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440" w:type="dxa"/>
            <w:vAlign w:val="bottom"/>
          </w:tcPr>
          <w:p>
            <w:pPr>
              <w:spacing w:after="0"/>
              <w:rPr>
                <w:sz w:val="20"/>
                <w:szCs w:val="20"/>
                <w:color w:val="auto"/>
              </w:rPr>
            </w:pPr>
            <w:r>
              <w:rPr>
                <w:rFonts w:ascii="Arial" w:cs="Arial" w:eastAsia="Arial" w:hAnsi="Arial"/>
                <w:sz w:val="16"/>
                <w:szCs w:val="16"/>
                <w:color w:val="auto"/>
              </w:rPr>
              <w:t xml:space="preserve">5½% Senior Notes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46"/>
        </w:trPr>
        <w:tc>
          <w:tcPr>
            <w:tcW w:w="5440" w:type="dxa"/>
            <w:vAlign w:val="bottom"/>
          </w:tcPr>
          <w:p>
            <w:pPr>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1,123</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6"/>
                <w:szCs w:val="16"/>
                <w:color w:val="auto"/>
              </w:rPr>
              <w:t>4¾%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46"/>
        </w:trPr>
        <w:tc>
          <w:tcPr>
            <w:tcW w:w="5440" w:type="dxa"/>
            <w:vAlign w:val="bottom"/>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83"/>
        </w:trPr>
        <w:tc>
          <w:tcPr>
            <w:tcW w:w="544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0"/>
        </w:trPr>
        <w:tc>
          <w:tcPr>
            <w:tcW w:w="5440" w:type="dxa"/>
            <w:vAlign w:val="bottom"/>
          </w:tcPr>
          <w:p>
            <w:pPr>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A portion of these notes have been called for redemption.</w:t>
      </w:r>
    </w:p>
    <w:p>
      <w:pPr>
        <w:ind w:left="820" w:hanging="326"/>
        <w:spacing w:after="0" w:line="225"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revolving credit facility, which is secured by pledges of capital stock of certain subsidiaries of the Company, and liens on substantially all of the Company’s intellectual property and certain other real and personal property. As of June 30, 2019, the floating rate term loan due 2025 bears interest at one-month LIBOR plus 200 basis points, for an aggregate rate of 4.41%. The Company has entered into a swap to hedge $700 million of its interest rate exposure related to the floating rate term loan at an aggregate rate of 3.67%.</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147" w:lineRule="exact"/>
        <w:rPr>
          <w:sz w:val="20"/>
          <w:szCs w:val="20"/>
          <w:color w:val="auto"/>
        </w:rPr>
      </w:pPr>
    </w:p>
    <w:p>
      <w:pPr>
        <w:ind w:left="500" w:right="200"/>
        <w:spacing w:after="0" w:line="262" w:lineRule="auto"/>
        <w:rPr>
          <w:sz w:val="20"/>
          <w:szCs w:val="20"/>
          <w:color w:val="auto"/>
        </w:rPr>
      </w:pPr>
      <w:r>
        <w:rPr>
          <w:rFonts w:ascii="Arial" w:cs="Arial" w:eastAsia="Arial" w:hAnsi="Arial"/>
          <w:sz w:val="18"/>
          <w:szCs w:val="18"/>
          <w:color w:val="auto"/>
        </w:rPr>
        <w:t>In June 2019, the Company called $ 400 million of its 5½% Senior Notes due April 2023 to be redeemed upon the issuance of its 5¾% Senior Notes in July 2019 (see Note 19</w:t>
      </w:r>
      <w:r>
        <w:rPr>
          <w:rFonts w:ascii="Arial" w:cs="Arial" w:eastAsia="Arial" w:hAnsi="Arial"/>
          <w:sz w:val="14"/>
          <w:szCs w:val="14"/>
          <w:color w:val="auto"/>
        </w:rPr>
        <w:t>–</w:t>
      </w:r>
      <w:r>
        <w:rPr>
          <w:rFonts w:ascii="Arial" w:cs="Arial" w:eastAsia="Arial" w:hAnsi="Arial"/>
          <w:sz w:val="18"/>
          <w:szCs w:val="18"/>
          <w:color w:val="auto"/>
        </w:rPr>
        <w:t>Subsequent Events.)</w:t>
      </w:r>
    </w:p>
    <w:p>
      <w:pPr>
        <w:sectPr>
          <w:pgSz w:w="11900" w:h="16838" w:orient="portrait"/>
          <w:cols w:equalWidth="0" w:num="1">
            <w:col w:w="11340"/>
          </w:cols>
          <w:pgMar w:left="240" w:top="140" w:right="3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40"/>
          </w:cols>
          <w:pgMar w:left="240" w:top="140" w:right="3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2019,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58"/>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329" w:lineRule="exact"/>
        <w:rPr>
          <w:sz w:val="20"/>
          <w:szCs w:val="20"/>
          <w:color w:val="auto"/>
        </w:rPr>
      </w:pPr>
    </w:p>
    <w:p>
      <w:pPr>
        <w:ind w:left="500" w:right="220"/>
        <w:spacing w:after="0" w:line="262" w:lineRule="auto"/>
        <w:rPr>
          <w:sz w:val="20"/>
          <w:szCs w:val="20"/>
          <w:color w:val="auto"/>
        </w:rPr>
      </w:pPr>
      <w:r>
        <w:rPr>
          <w:rFonts w:ascii="Arial" w:cs="Arial" w:eastAsia="Arial" w:hAnsi="Arial"/>
          <w:sz w:val="18"/>
          <w:szCs w:val="18"/>
          <w:color w:val="auto"/>
        </w:rPr>
        <w:t>At June 30, 2019, the Company had various uncommitted credit facilities available, under which it had drawn approximately $1 million, which bear interest at rates between 0.79% and 1.53%.</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3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consolidated first lien leverage ratio requirement. As of June 30, 2019,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Finance leases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12,456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600" w:hanging="326"/>
        <w:spacing w:after="0" w:line="218" w:lineRule="auto"/>
        <w:tabs>
          <w:tab w:leader="none" w:pos="82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June 30, 2019 and December 31, 2018 was $38 million and $35 million, respectively.</w:t>
      </w:r>
    </w:p>
    <w:p>
      <w:pPr>
        <w:spacing w:after="0" w:line="200"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In February 2019, the Company’s Avis Budget Rental Car Funding subsidiary issued approximately $600 million in asset-backed notes with an expected final payment date of March 2022 incurring interest at a weighted average rate of 3.56%.</w:t>
      </w:r>
    </w:p>
    <w:p>
      <w:pPr>
        <w:spacing w:after="0" w:line="196" w:lineRule="exact"/>
        <w:rPr>
          <w:sz w:val="20"/>
          <w:szCs w:val="20"/>
          <w:color w:val="auto"/>
        </w:rPr>
      </w:pPr>
    </w:p>
    <w:p>
      <w:pPr>
        <w:ind w:left="500" w:right="180"/>
        <w:spacing w:after="0" w:line="262" w:lineRule="auto"/>
        <w:rPr>
          <w:sz w:val="20"/>
          <w:szCs w:val="20"/>
          <w:color w:val="auto"/>
        </w:rPr>
      </w:pPr>
      <w:r>
        <w:rPr>
          <w:rFonts w:ascii="Arial" w:cs="Arial" w:eastAsia="Arial" w:hAnsi="Arial"/>
          <w:sz w:val="18"/>
          <w:szCs w:val="18"/>
          <w:color w:val="auto"/>
        </w:rPr>
        <w:t>In April 2019, the Company’s Avis Budget Rental Car Funding subsidiary issued approximately $ 650 million in asset-backed notes with an expected final payment date of September 2024 incurring interest at a weighted average rate of 3.44%.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0"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2019.</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Within 1 year</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1"/>
          <w:szCs w:val="21"/>
          <w:color w:val="auto"/>
          <w:vertAlign w:val="superscript"/>
        </w:rPr>
        <w:t>(b)</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1"/>
          <w:szCs w:val="21"/>
          <w:color w:val="auto"/>
          <w:vertAlign w:val="superscript"/>
        </w:rPr>
        <w:t>(c)</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26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Vehicle-backed debt primarily represents asset-backed securities.</w:t>
      </w:r>
    </w:p>
    <w:p>
      <w:pPr>
        <w:ind w:left="820" w:hanging="326"/>
        <w:spacing w:after="0" w:line="187"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$3.5 billion of bank and bank-sponsored facilities.</w:t>
      </w:r>
    </w:p>
    <w:p>
      <w:pPr>
        <w:ind w:left="820" w:hanging="326"/>
        <w:spacing w:after="0" w:line="199"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$1.7 billion of bank and bank-sponsored facilities.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578"/>
        <w:spacing w:after="0"/>
        <w:rPr>
          <w:sz w:val="20"/>
          <w:szCs w:val="20"/>
          <w:color w:val="auto"/>
        </w:rPr>
      </w:pPr>
      <w:r>
        <w:rPr>
          <w:rFonts w:ascii="Arial" w:cs="Arial" w:eastAsia="Arial" w:hAnsi="Arial"/>
          <w:sz w:val="17"/>
          <w:szCs w:val="17"/>
          <w:b w:val="1"/>
          <w:bCs w:val="1"/>
          <w:color w:val="auto"/>
        </w:rPr>
        <w:t>Debt under Vehicle</w:t>
      </w:r>
    </w:p>
    <w:p>
      <w:pPr>
        <w:spacing w:after="0" w:line="27" w:lineRule="exact"/>
        <w:rPr>
          <w:sz w:val="20"/>
          <w:szCs w:val="20"/>
          <w:color w:val="auto"/>
        </w:rPr>
      </w:pPr>
    </w:p>
    <w:p>
      <w:pPr>
        <w:jc w:val="center"/>
        <w:ind w:right="578"/>
        <w:spacing w:after="0"/>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1063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1" w:lineRule="exact"/>
        <w:rPr>
          <w:sz w:val="20"/>
          <w:szCs w:val="20"/>
          <w:color w:val="auto"/>
        </w:rPr>
      </w:pPr>
    </w:p>
    <w:p>
      <w:pPr>
        <w:ind w:left="1102" w:hanging="1102"/>
        <w:spacing w:after="0"/>
        <w:tabs>
          <w:tab w:leader="none" w:pos="11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1,636</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4,747</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3,102</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1,207</w:t>
      </w:r>
    </w:p>
    <w:p>
      <w:pPr>
        <w:spacing w:after="0" w:line="49" w:lineRule="exact"/>
        <w:rPr>
          <w:rFonts w:ascii="Arial" w:cs="Arial" w:eastAsia="Arial" w:hAnsi="Arial"/>
          <w:sz w:val="18"/>
          <w:szCs w:val="18"/>
          <w:color w:val="auto"/>
        </w:rPr>
      </w:pPr>
    </w:p>
    <w:p>
      <w:pPr>
        <w:ind w:left="1102"/>
        <w:spacing w:after="0"/>
        <w:rPr>
          <w:rFonts w:ascii="Arial" w:cs="Arial" w:eastAsia="Arial" w:hAnsi="Arial"/>
          <w:sz w:val="18"/>
          <w:szCs w:val="18"/>
          <w:color w:val="auto"/>
        </w:rPr>
      </w:pPr>
      <w:r>
        <w:rPr>
          <w:rFonts w:ascii="Arial" w:cs="Arial" w:eastAsia="Arial" w:hAnsi="Arial"/>
          <w:sz w:val="18"/>
          <w:szCs w:val="18"/>
          <w:color w:val="auto"/>
        </w:rPr>
        <w:t>1,275</w:t>
      </w:r>
    </w:p>
    <w:p>
      <w:pPr>
        <w:spacing w:after="0" w:line="49" w:lineRule="exact"/>
        <w:rPr>
          <w:rFonts w:ascii="Arial" w:cs="Arial" w:eastAsia="Arial" w:hAnsi="Arial"/>
          <w:sz w:val="18"/>
          <w:szCs w:val="18"/>
          <w:color w:val="auto"/>
        </w:rPr>
      </w:pPr>
    </w:p>
    <w:p>
      <w:pPr>
        <w:ind w:left="1262"/>
        <w:spacing w:after="0"/>
        <w:rPr>
          <w:rFonts w:ascii="Arial" w:cs="Arial" w:eastAsia="Arial" w:hAnsi="Arial"/>
          <w:sz w:val="18"/>
          <w:szCs w:val="18"/>
          <w:color w:val="auto"/>
        </w:rPr>
      </w:pPr>
      <w:r>
        <w:rPr>
          <w:rFonts w:ascii="Arial" w:cs="Arial" w:eastAsia="Arial" w:hAnsi="Arial"/>
          <w:sz w:val="18"/>
          <w:szCs w:val="18"/>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063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43" w:lineRule="exact"/>
        <w:rPr>
          <w:sz w:val="20"/>
          <w:szCs w:val="20"/>
          <w:color w:val="auto"/>
        </w:rPr>
      </w:pPr>
    </w:p>
    <w:p>
      <w:pPr>
        <w:ind w:left="1002" w:hanging="1002"/>
        <w:spacing w:after="0"/>
        <w:tabs>
          <w:tab w:leader="none" w:pos="10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063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544" w:lineRule="exact"/>
        <w:rPr>
          <w:sz w:val="20"/>
          <w:szCs w:val="20"/>
          <w:color w:val="auto"/>
        </w:rPr>
      </w:pPr>
    </w:p>
    <w:p>
      <w:pPr>
        <w:sectPr>
          <w:pgSz w:w="11900" w:h="16838" w:orient="portrait"/>
          <w:cols w:equalWidth="0" w:num="2">
            <w:col w:w="8458" w:space="720"/>
            <w:col w:w="2202"/>
          </w:cols>
          <w:pgMar w:left="240" w:top="140" w:right="279" w:bottom="1440" w:gutter="0" w:footer="0" w:header="0"/>
          <w:type w:val="continuous"/>
        </w:sectPr>
      </w:pPr>
    </w:p>
    <w:p>
      <w:pPr>
        <w:spacing w:after="0" w:line="59" w:lineRule="exact"/>
        <w:rPr>
          <w:sz w:val="20"/>
          <w:szCs w:val="20"/>
          <w:color w:val="auto"/>
        </w:rPr>
      </w:pPr>
    </w:p>
    <w:p>
      <w:pPr>
        <w:ind w:left="500" w:right="260"/>
        <w:spacing w:after="0" w:line="262" w:lineRule="auto"/>
        <w:rPr>
          <w:sz w:val="20"/>
          <w:szCs w:val="20"/>
          <w:color w:val="auto"/>
        </w:rPr>
      </w:pPr>
      <w:r>
        <w:rPr>
          <w:rFonts w:ascii="Arial" w:cs="Arial" w:eastAsia="Arial" w:hAnsi="Arial"/>
          <w:sz w:val="18"/>
          <w:szCs w:val="18"/>
          <w:color w:val="auto"/>
        </w:rPr>
        <w:t>As of June 30, 2019,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7"/>
                <w:szCs w:val="17"/>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r>
      <w:tr>
        <w:trPr>
          <w:trHeight w:val="252"/>
        </w:trPr>
        <w:tc>
          <w:tcPr>
            <w:tcW w:w="5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197"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460" w:hanging="326"/>
        <w:spacing w:after="0" w:line="218"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$10.4 billion for Americas - Debt due to Avis Budget Rental Car Funding; $1.1 billion for Americas - Debt borrowings; $2.7 billion for International - Debt borrowings; and $0.2 billion for International - Finance leases.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2019,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40" w:right="2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is appealing both verdicts and considers the attribution of liability to the Company, and the amount of damages awarded, to be unsupported by the facts of these cases. The Company has recognized a liability for the expected loss related to these cases, net of recoverable insurance proceeds, of approximately $12 million.</w:t>
      </w:r>
    </w:p>
    <w:p>
      <w:pPr>
        <w:spacing w:after="0" w:line="209"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$ 45 million in excess of amounts accrued as of June 30, 2019. The Company does not believe that the impact should result in a material liability to the Company in relation to its consolidated financial condition or results of operations.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$3.1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Concentrations of credit risk at June 30, 2019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$25 million and $15 million, respectively, related to certain contingent, income tax and other corporate liabilities assumed by Realogy and Wyndham in connection with their disposition.</w:t>
      </w:r>
    </w:p>
    <w:p>
      <w:pPr>
        <w:spacing w:after="0" w:line="184" w:lineRule="exact"/>
        <w:rPr>
          <w:sz w:val="20"/>
          <w:szCs w:val="20"/>
          <w:color w:val="auto"/>
        </w:rPr>
      </w:pPr>
    </w:p>
    <w:p>
      <w:pPr>
        <w:ind w:left="500" w:right="9120" w:hanging="492"/>
        <w:spacing w:after="0" w:line="544" w:lineRule="auto"/>
        <w:tabs>
          <w:tab w:leader="none" w:pos="5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$1.7 billion of its common stock under a plan originally approved in 2013 and subsequently expanded, most recently in August 2018. During the six months ended June 30, 2019, the Company did not repurchase any shares of common stock under the program. During the six months ended June 30, 2018, the Company repurchased approximately 1.6 million shares of common stock at a cost of approximately $67 million under the program. As of June 30, 2019, approximately $150 million of authorization remains available to repurchase common stock under this plan. In August 2019, the Company’s Board of Directors increased the Company’s share repurchase program authorization by $100 million.</w:t>
      </w:r>
    </w:p>
    <w:p>
      <w:pPr>
        <w:spacing w:after="0" w:line="208" w:lineRule="exact"/>
        <w:rPr>
          <w:rFonts w:ascii="Arial" w:cs="Arial" w:eastAsia="Arial" w:hAnsi="Arial"/>
          <w:sz w:val="17"/>
          <w:szCs w:val="17"/>
          <w:b w:val="1"/>
          <w:bCs w:val="1"/>
          <w:color w:val="auto"/>
        </w:rPr>
      </w:pPr>
    </w:p>
    <w:p>
      <w:pPr>
        <w:ind w:left="5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June 2019 as part of its share repurchase program, the Company entered into a structured repurchase agreement involving the use of capped call options for the purchase of the Company’s common stock. The Company paid a fixed sum upon the execution of the agreement in exchange for the right to receive either a pre-determined amount of cash or stock. Upon the expiration dates set forth in the agreement, if the closing market price of our common stock is above the pre-determined price, the Company’s initial investment will be returned with a premium. If the closing market price of our common stock is at or below the pre-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determined price, the Company will receive the number of shares specified in the agreement. The Company paid net premiums of $16 million to enter into this agreement, which is recorded as a reduction of additional paid in capital. As of June 30, 2019, the Company had outstanding options for the purchase of 0.6 million shares that will settle during 2019.</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47" w:lineRule="exact"/>
        <w:rPr>
          <w:sz w:val="20"/>
          <w:szCs w:val="20"/>
          <w:color w:val="auto"/>
        </w:rPr>
      </w:pPr>
    </w:p>
    <w:p>
      <w:pPr>
        <w:ind w:left="500" w:right="80"/>
        <w:spacing w:after="0" w:line="262"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4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$4,</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300"/>
              <w:spacing w:after="0"/>
              <w:rPr>
                <w:sz w:val="20"/>
                <w:szCs w:val="20"/>
                <w:color w:val="auto"/>
              </w:rPr>
            </w:pPr>
            <w:r>
              <w:rPr>
                <w:rFonts w:ascii="Arial" w:cs="Arial" w:eastAsia="Arial" w:hAnsi="Arial"/>
                <w:sz w:val="18"/>
                <w:szCs w:val="18"/>
                <w:color w:val="auto"/>
              </w:rPr>
              <w:t>$(10), $(2), and $(5) respectively)</w:t>
            </w:r>
          </w:p>
        </w:tc>
        <w:tc>
          <w:tcPr>
            <w:tcW w:w="3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80" w:type="dxa"/>
            <w:vAlign w:val="bottom"/>
          </w:tcPr>
          <w:p>
            <w:pPr>
              <w:ind w:left="300"/>
              <w:spacing w:after="0"/>
              <w:rPr>
                <w:sz w:val="20"/>
                <w:szCs w:val="20"/>
                <w:color w:val="auto"/>
              </w:rPr>
            </w:pPr>
            <w:r>
              <w:rPr>
                <w:rFonts w:ascii="Arial" w:cs="Arial" w:eastAsia="Arial" w:hAnsi="Arial"/>
                <w:sz w:val="18"/>
                <w:szCs w:val="18"/>
                <w:color w:val="auto"/>
              </w:rPr>
              <w:t>of tax of $4, $(1), and $7, and $(3)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428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00"/>
              <w:spacing w:after="0"/>
              <w:rPr>
                <w:sz w:val="20"/>
                <w:szCs w:val="20"/>
                <w:color w:val="auto"/>
              </w:rPr>
            </w:pPr>
            <w:r>
              <w:rPr>
                <w:rFonts w:ascii="Arial" w:cs="Arial" w:eastAsia="Arial" w:hAnsi="Arial"/>
                <w:sz w:val="18"/>
                <w:szCs w:val="18"/>
                <w:color w:val="auto"/>
              </w:rPr>
              <w:t>$0, $0, $0, and $(1), respectively)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42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2"/>
                <w:szCs w:val="12"/>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r>
      <w:tr>
        <w:trPr>
          <w:trHeight w:val="135"/>
        </w:trPr>
        <w:tc>
          <w:tcPr>
            <w:tcW w:w="264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r>
      <w:tr>
        <w:trPr>
          <w:trHeight w:val="135"/>
        </w:trPr>
        <w:tc>
          <w:tcPr>
            <w:tcW w:w="264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78"/>
        </w:trPr>
        <w:tc>
          <w:tcPr>
            <w:tcW w:w="2640" w:type="dxa"/>
            <w:vAlign w:val="bottom"/>
          </w:tcPr>
          <w:p>
            <w:pPr>
              <w:spacing w:after="0"/>
              <w:rPr>
                <w:sz w:val="15"/>
                <w:szCs w:val="15"/>
                <w:color w:val="auto"/>
              </w:rPr>
            </w:pPr>
          </w:p>
        </w:tc>
        <w:tc>
          <w:tcPr>
            <w:tcW w:w="112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9"/>
              </w:rPr>
              <w:t>Adjustments</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for-Sale Securities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r>
      <w:tr>
        <w:trPr>
          <w:trHeight w:val="241"/>
        </w:trPr>
        <w:tc>
          <w:tcPr>
            <w:tcW w:w="2640" w:type="dxa"/>
            <w:vAlign w:val="bottom"/>
          </w:tcPr>
          <w:p>
            <w:pPr>
              <w:spacing w:after="0"/>
              <w:rPr>
                <w:sz w:val="20"/>
                <w:szCs w:val="20"/>
                <w:color w:val="auto"/>
              </w:rPr>
            </w:pPr>
            <w:r>
              <w:rPr>
                <w:rFonts w:ascii="Arial" w:cs="Arial" w:eastAsia="Arial" w:hAnsi="Arial"/>
                <w:sz w:val="13"/>
                <w:szCs w:val="13"/>
                <w:color w:val="auto"/>
              </w:rPr>
              <w:t>Balance, December 31,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(133)</w:t>
            </w:r>
          </w:p>
        </w:tc>
      </w:tr>
      <w:tr>
        <w:trPr>
          <w:trHeight w:val="280"/>
        </w:trPr>
        <w:tc>
          <w:tcPr>
            <w:tcW w:w="2640" w:type="dxa"/>
            <w:vAlign w:val="bottom"/>
          </w:tcPr>
          <w:p>
            <w:pPr>
              <w:ind w:left="10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b w:val="1"/>
                <w:bCs w:val="1"/>
                <w:color w:val="auto"/>
              </w:rPr>
              <w:t>(c)</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r>
      <w:tr>
        <w:trPr>
          <w:trHeight w:val="250"/>
        </w:trPr>
        <w:tc>
          <w:tcPr>
            <w:tcW w:w="2640" w:type="dxa"/>
            <w:vAlign w:val="bottom"/>
          </w:tcPr>
          <w:p>
            <w:pPr>
              <w:spacing w:after="0"/>
              <w:rPr>
                <w:sz w:val="20"/>
                <w:szCs w:val="20"/>
                <w:color w:val="auto"/>
              </w:rPr>
            </w:pPr>
            <w:r>
              <w:rPr>
                <w:rFonts w:ascii="Arial" w:cs="Arial" w:eastAsia="Arial" w:hAnsi="Arial"/>
                <w:sz w:val="13"/>
                <w:szCs w:val="13"/>
                <w:color w:val="auto"/>
              </w:rPr>
              <w:t>Balance, January 1, 2019</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43"/>
        </w:trPr>
        <w:tc>
          <w:tcPr>
            <w:tcW w:w="2640" w:type="dxa"/>
            <w:vAlign w:val="bottom"/>
          </w:tcPr>
          <w:p>
            <w:pPr>
              <w:ind w:left="10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152"/>
        </w:trPr>
        <w:tc>
          <w:tcPr>
            <w:tcW w:w="2640" w:type="dxa"/>
            <w:vAlign w:val="bottom"/>
          </w:tcPr>
          <w:p>
            <w:pPr>
              <w:ind w:left="28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2"/>
        </w:trPr>
        <w:tc>
          <w:tcPr>
            <w:tcW w:w="2640" w:type="dxa"/>
            <w:vAlign w:val="bottom"/>
          </w:tcPr>
          <w:p>
            <w:pPr>
              <w:ind w:left="10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640" w:type="dxa"/>
            <w:vAlign w:val="bottom"/>
          </w:tcPr>
          <w:p>
            <w:pPr>
              <w:ind w:left="28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w:t>
            </w:r>
          </w:p>
        </w:tc>
      </w:tr>
      <w:tr>
        <w:trPr>
          <w:trHeight w:val="143"/>
        </w:trPr>
        <w:tc>
          <w:tcPr>
            <w:tcW w:w="2640" w:type="dxa"/>
            <w:vAlign w:val="bottom"/>
          </w:tcPr>
          <w:p>
            <w:pPr>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162"/>
        </w:trPr>
        <w:tc>
          <w:tcPr>
            <w:tcW w:w="2640" w:type="dxa"/>
            <w:vAlign w:val="bottom"/>
          </w:tcPr>
          <w:p>
            <w:pPr>
              <w:ind w:left="16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r>
      <w:tr>
        <w:trPr>
          <w:trHeight w:val="242"/>
        </w:trPr>
        <w:tc>
          <w:tcPr>
            <w:tcW w:w="2640" w:type="dxa"/>
            <w:vAlign w:val="bottom"/>
          </w:tcPr>
          <w:p>
            <w:pPr>
              <w:spacing w:after="0"/>
              <w:rPr>
                <w:sz w:val="20"/>
                <w:szCs w:val="20"/>
                <w:color w:val="auto"/>
              </w:rPr>
            </w:pPr>
            <w:r>
              <w:rPr>
                <w:rFonts w:ascii="Arial" w:cs="Arial" w:eastAsia="Arial" w:hAnsi="Arial"/>
                <w:sz w:val="13"/>
                <w:szCs w:val="13"/>
                <w:color w:val="auto"/>
              </w:rPr>
              <w:t>Balance, June 30, 2019</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20"/>
        </w:trPr>
        <w:tc>
          <w:tcPr>
            <w:tcW w:w="2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65"/>
        </w:trPr>
        <w:tc>
          <w:tcPr>
            <w:tcW w:w="2640" w:type="dxa"/>
            <w:vAlign w:val="bottom"/>
          </w:tcPr>
          <w:p>
            <w:pPr>
              <w:spacing w:after="0"/>
              <w:rPr>
                <w:sz w:val="20"/>
                <w:szCs w:val="20"/>
                <w:color w:val="auto"/>
              </w:rPr>
            </w:pPr>
            <w:r>
              <w:rPr>
                <w:rFonts w:ascii="Arial" w:cs="Arial" w:eastAsia="Arial" w:hAnsi="Arial"/>
                <w:sz w:val="13"/>
                <w:szCs w:val="13"/>
                <w:color w:val="auto"/>
              </w:rPr>
              <w:t>Balance, December 31, 2017</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280"/>
        </w:trPr>
        <w:tc>
          <w:tcPr>
            <w:tcW w:w="2640" w:type="dxa"/>
            <w:vAlign w:val="bottom"/>
          </w:tcPr>
          <w:p>
            <w:pPr>
              <w:ind w:left="100"/>
              <w:spacing w:after="0"/>
              <w:rPr>
                <w:sz w:val="20"/>
                <w:szCs w:val="20"/>
                <w:color w:val="auto"/>
              </w:rPr>
            </w:pPr>
            <w:r>
              <w:rPr>
                <w:rFonts w:ascii="Arial" w:cs="Arial" w:eastAsia="Arial" w:hAnsi="Arial"/>
                <w:sz w:val="13"/>
                <w:szCs w:val="13"/>
                <w:color w:val="auto"/>
              </w:rPr>
              <w:t>Cumulative effect of accounting change</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250"/>
        </w:trPr>
        <w:tc>
          <w:tcPr>
            <w:tcW w:w="2640" w:type="dxa"/>
            <w:vAlign w:val="bottom"/>
          </w:tcPr>
          <w:p>
            <w:pPr>
              <w:spacing w:after="0"/>
              <w:rPr>
                <w:sz w:val="20"/>
                <w:szCs w:val="20"/>
                <w:color w:val="auto"/>
              </w:rPr>
            </w:pPr>
            <w:r>
              <w:rPr>
                <w:rFonts w:ascii="Arial" w:cs="Arial" w:eastAsia="Arial" w:hAnsi="Arial"/>
                <w:sz w:val="13"/>
                <w:szCs w:val="13"/>
                <w:color w:val="auto"/>
              </w:rPr>
              <w:t>Balance, January 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43"/>
        </w:trPr>
        <w:tc>
          <w:tcPr>
            <w:tcW w:w="2640" w:type="dxa"/>
            <w:vAlign w:val="bottom"/>
          </w:tcPr>
          <w:p>
            <w:pPr>
              <w:ind w:left="10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152"/>
        </w:trPr>
        <w:tc>
          <w:tcPr>
            <w:tcW w:w="2640" w:type="dxa"/>
            <w:vAlign w:val="bottom"/>
          </w:tcPr>
          <w:p>
            <w:pPr>
              <w:ind w:left="28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2"/>
        </w:trPr>
        <w:tc>
          <w:tcPr>
            <w:tcW w:w="2640" w:type="dxa"/>
            <w:vAlign w:val="bottom"/>
          </w:tcPr>
          <w:p>
            <w:pPr>
              <w:ind w:left="10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2640" w:type="dxa"/>
            <w:vAlign w:val="bottom"/>
          </w:tcPr>
          <w:p>
            <w:pPr>
              <w:ind w:left="28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w:t>
            </w:r>
          </w:p>
        </w:tc>
      </w:tr>
      <w:tr>
        <w:trPr>
          <w:trHeight w:val="143"/>
        </w:trPr>
        <w:tc>
          <w:tcPr>
            <w:tcW w:w="2640" w:type="dxa"/>
            <w:vAlign w:val="bottom"/>
          </w:tcPr>
          <w:p>
            <w:pPr>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162"/>
        </w:trPr>
        <w:tc>
          <w:tcPr>
            <w:tcW w:w="2640" w:type="dxa"/>
            <w:vAlign w:val="bottom"/>
          </w:tcPr>
          <w:p>
            <w:pPr>
              <w:ind w:left="16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r>
      <w:tr>
        <w:trPr>
          <w:trHeight w:val="242"/>
        </w:trPr>
        <w:tc>
          <w:tcPr>
            <w:tcW w:w="2640" w:type="dxa"/>
            <w:vAlign w:val="bottom"/>
          </w:tcPr>
          <w:p>
            <w:pPr>
              <w:spacing w:after="0"/>
              <w:rPr>
                <w:sz w:val="20"/>
                <w:szCs w:val="20"/>
                <w:color w:val="auto"/>
              </w:rPr>
            </w:pPr>
            <w:r>
              <w:rPr>
                <w:rFonts w:ascii="Arial" w:cs="Arial" w:eastAsia="Arial" w:hAnsi="Arial"/>
                <w:sz w:val="13"/>
                <w:szCs w:val="13"/>
                <w:color w:val="auto"/>
              </w:rPr>
              <w:t>Balance, June 30,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0"/>
        </w:trPr>
        <w:tc>
          <w:tcPr>
            <w:tcW w:w="2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$69 million gain, net of tax, as of June 30, 2019 related to the Company’s hedge of its net investment in euro-denominated foreign operations (see Note 16–Financial Instruments).</w:t>
      </w:r>
    </w:p>
    <w:p>
      <w:pPr>
        <w:spacing w:after="0" w:line="5" w:lineRule="exact"/>
        <w:rPr>
          <w:sz w:val="20"/>
          <w:szCs w:val="20"/>
          <w:color w:val="auto"/>
        </w:rPr>
      </w:pPr>
    </w:p>
    <w:p>
      <w:pPr>
        <w:ind w:left="820" w:right="20" w:hanging="326"/>
        <w:spacing w:after="0" w:line="211"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2019, the amount reclassified from accumulated other comprehensive income (loss) into corporate interest expense was $1 million ($1 million, net of tax) and $3 million ($2 million, net of tax), respectively.</w:t>
      </w:r>
    </w:p>
    <w:p>
      <w:pPr>
        <w:ind w:left="820" w:right="20" w:hanging="326"/>
        <w:spacing w:after="0" w:line="225"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2019, amounts reclassified from accumulated other comprehensive income (loss) into selling, general and administrative expenses were $2 million ($2 million, net of tax) and $4 million ($3 million, net of tax), respectively. For the three and six months ended June 30, 2018, amounts reclassified from accumulated other comprehensive income (loss) into selling, general and administrative expenses were $2 million ($1 million, net of tax) and $4 million ($2 million, net of tax), respectively.</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1"/>
          <w:numId w:val="29"/>
        </w:numPr>
        <w:rPr>
          <w:rFonts w:ascii="Arial" w:cs="Arial" w:eastAsia="Arial" w:hAnsi="Arial"/>
          <w:sz w:val="18"/>
          <w:szCs w:val="18"/>
          <w:color w:val="auto"/>
          <w:vertAlign w:val="superscript"/>
        </w:rPr>
      </w:pPr>
      <w:r>
        <w:rPr>
          <w:rFonts w:ascii="Arial" w:cs="Arial" w:eastAsia="Arial" w:hAnsi="Arial"/>
          <w:sz w:val="14"/>
          <w:szCs w:val="14"/>
          <w:color w:val="auto"/>
        </w:rPr>
        <w:t>See Note 1–Basis of Presentation for the impact of adoption of ASU 2017-12.</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jc w:val="both"/>
        <w:ind w:left="50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$7 million ($5 million, net of tax) during the three months ended June 30, 2019 and 2018, in each period, and $12 million and ($9 million, net of tax) during the six months ended June 30, 2019 and 2018, in each period.</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restricted stock units (“RSUs”) consisted of (in thousands of shares):</w:t>
      </w:r>
    </w:p>
    <w:p>
      <w:pPr>
        <w:spacing w:after="0" w:line="154" w:lineRule="exact"/>
        <w:rPr>
          <w:sz w:val="20"/>
          <w:szCs w:val="20"/>
          <w:color w:val="auto"/>
        </w:rPr>
      </w:pPr>
    </w:p>
    <w:tbl>
      <w:tblPr>
        <w:tblLayout w:type="fixed"/>
        <w:tblInd w:w="580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2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60" w:type="dxa"/>
            <w:vAlign w:val="bottom"/>
          </w:tcPr>
          <w:p>
            <w:pPr>
              <w:jc w:val="center"/>
              <w:ind w:left="5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Number of</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Grant Date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Intrinsic Value</w:t>
            </w:r>
          </w:p>
        </w:tc>
      </w:tr>
      <w:tr>
        <w:trPr>
          <w:trHeight w:val="215"/>
        </w:trPr>
        <w:tc>
          <w:tcPr>
            <w:tcW w:w="1080" w:type="dxa"/>
            <w:vAlign w:val="bottom"/>
          </w:tcPr>
          <w:p>
            <w:pPr>
              <w:jc w:val="center"/>
              <w:ind w:right="199"/>
              <w:spacing w:after="0"/>
              <w:rPr>
                <w:sz w:val="20"/>
                <w:szCs w:val="20"/>
                <w:color w:val="auto"/>
              </w:rPr>
            </w:pPr>
            <w:r>
              <w:rPr>
                <w:rFonts w:ascii="Arial" w:cs="Arial" w:eastAsia="Arial" w:hAnsi="Arial"/>
                <w:sz w:val="16"/>
                <w:szCs w:val="16"/>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60" w:type="dxa"/>
            <w:vAlign w:val="bottom"/>
          </w:tcPr>
          <w:p>
            <w:pPr>
              <w:jc w:val="center"/>
              <w:ind w:left="79"/>
              <w:spacing w:after="0"/>
              <w:rPr>
                <w:sz w:val="20"/>
                <w:szCs w:val="20"/>
                <w:color w:val="auto"/>
              </w:rPr>
            </w:pPr>
            <w:r>
              <w:rPr>
                <w:rFonts w:ascii="Arial" w:cs="Arial" w:eastAsia="Arial" w:hAnsi="Arial"/>
                <w:sz w:val="16"/>
                <w:szCs w:val="16"/>
                <w:b w:val="1"/>
                <w:bCs w:val="1"/>
                <w:color w:val="auto"/>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12700</wp:posOffset>
            </wp:positionV>
            <wp:extent cx="3370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Time-based RSUs</w:t>
      </w:r>
    </w:p>
    <w:p>
      <w:pPr>
        <w:sectPr>
          <w:pgSz w:w="11900" w:h="16838" w:orient="portrait"/>
          <w:cols w:equalWidth="0" w:num="1">
            <w:col w:w="11400"/>
          </w:cols>
          <w:pgMar w:left="240" w:top="140" w:right="259" w:bottom="1440" w:gutter="0" w:footer="0" w:header="0"/>
        </w:sectPr>
      </w:pPr>
    </w:p>
    <w:p>
      <w:pPr>
        <w:spacing w:after="0" w:line="12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January 1, 2019</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June 30, 2019 </w:t>
      </w:r>
      <w:r>
        <w:rPr>
          <w:rFonts w:ascii="Arial" w:cs="Arial" w:eastAsia="Arial" w:hAnsi="Arial"/>
          <w:sz w:val="21"/>
          <w:szCs w:val="21"/>
          <w:color w:val="auto"/>
          <w:vertAlign w:val="superscript"/>
        </w:rPr>
        <w:t>(c)</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Performance-based and market-based RSUs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44" w:type="dxa"/>
        <w:tblCellMar>
          <w:top w:w="0" w:type="dxa"/>
          <w:left w:w="0" w:type="dxa"/>
          <w:bottom w:w="0" w:type="dxa"/>
          <w:right w:w="0" w:type="dxa"/>
        </w:tblCellMar>
      </w:tblPr>
      <w:tr>
        <w:trPr>
          <w:trHeight w:val="195"/>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838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38.67</w:t>
            </w:r>
          </w:p>
        </w:tc>
      </w:tr>
      <w:tr>
        <w:trPr>
          <w:trHeight w:val="270"/>
        </w:trPr>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485</w:t>
            </w:r>
          </w:p>
        </w:tc>
        <w:tc>
          <w:tcPr>
            <w:tcW w:w="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34.90</w:t>
            </w:r>
          </w:p>
        </w:tc>
      </w:tr>
    </w:tbl>
    <w:p>
      <w:pPr>
        <w:spacing w:after="0" w:line="75" w:lineRule="exact"/>
        <w:rPr>
          <w:sz w:val="20"/>
          <w:szCs w:val="20"/>
          <w:color w:val="auto"/>
        </w:rPr>
      </w:pPr>
    </w:p>
    <w:p>
      <w:pPr>
        <w:ind w:left="1284" w:hanging="1284"/>
        <w:spacing w:after="0"/>
        <w:tabs>
          <w:tab w:leader="none" w:pos="12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35.80</w:t>
      </w:r>
    </w:p>
    <w:p>
      <w:pPr>
        <w:spacing w:after="0" w:line="86" w:lineRule="exact"/>
        <w:rPr>
          <w:sz w:val="20"/>
          <w:szCs w:val="20"/>
          <w:color w:val="auto"/>
        </w:rPr>
      </w:pPr>
    </w:p>
    <w:p>
      <w:pPr>
        <w:ind w:left="1284" w:hanging="1194"/>
        <w:spacing w:after="0"/>
        <w:tabs>
          <w:tab w:leader="none" w:pos="1284" w:val="left"/>
        </w:tabs>
        <w:numPr>
          <w:ilvl w:val="0"/>
          <w:numId w:val="32"/>
        </w:numPr>
        <w:rPr>
          <w:rFonts w:ascii="Arial" w:cs="Arial" w:eastAsia="Arial" w:hAnsi="Arial"/>
          <w:sz w:val="16"/>
          <w:szCs w:val="16"/>
          <w:color w:val="auto"/>
        </w:rPr>
      </w:pPr>
      <w:r>
        <w:rPr>
          <w:rFonts w:ascii="Arial" w:cs="Arial" w:eastAsia="Arial" w:hAnsi="Arial"/>
          <w:sz w:val="16"/>
          <w:szCs w:val="16"/>
          <w:color w:val="auto"/>
        </w:rPr>
        <w:t>38.73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19050</wp:posOffset>
            </wp:positionV>
            <wp:extent cx="7804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p>
      <w:pPr>
        <w:ind w:left="44"/>
        <w:spacing w:after="0"/>
        <w:tabs>
          <w:tab w:leader="none" w:pos="524" w:val="left"/>
          <w:tab w:leader="none" w:pos="1264" w:val="left"/>
          <w:tab w:leader="none" w:pos="2864" w:val="left"/>
          <w:tab w:leader="none" w:pos="3244" w:val="left"/>
          <w:tab w:leader="none" w:pos="4204" w:val="left"/>
        </w:tabs>
        <w:rPr>
          <w:sz w:val="20"/>
          <w:szCs w:val="20"/>
          <w:color w:val="auto"/>
        </w:rPr>
      </w:pPr>
      <w:r>
        <w:rPr>
          <w:rFonts w:ascii="Arial" w:cs="Arial" w:eastAsia="Arial" w:hAnsi="Arial"/>
          <w:sz w:val="16"/>
          <w:szCs w:val="16"/>
          <w:color w:val="auto"/>
        </w:rPr>
        <w:t>907</w:t>
        <w:tab/>
        <w:t>$</w:t>
      </w:r>
      <w:r>
        <w:rPr>
          <w:sz w:val="20"/>
          <w:szCs w:val="20"/>
          <w:color w:val="auto"/>
        </w:rPr>
        <w:tab/>
      </w:r>
      <w:r>
        <w:rPr>
          <w:rFonts w:ascii="Arial" w:cs="Arial" w:eastAsia="Arial" w:hAnsi="Arial"/>
          <w:sz w:val="16"/>
          <w:szCs w:val="16"/>
          <w:color w:val="auto"/>
        </w:rPr>
        <w:t>37.79</w:t>
      </w:r>
      <w:r>
        <w:rPr>
          <w:sz w:val="20"/>
          <w:szCs w:val="20"/>
          <w:color w:val="auto"/>
        </w:rPr>
        <w:tab/>
      </w:r>
      <w:r>
        <w:rPr>
          <w:rFonts w:ascii="Arial" w:cs="Arial" w:eastAsia="Arial" w:hAnsi="Arial"/>
          <w:sz w:val="16"/>
          <w:szCs w:val="16"/>
          <w:color w:val="auto"/>
        </w:rPr>
        <w:t>1.3</w:t>
        <w:tab/>
        <w:t>$</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19050</wp:posOffset>
            </wp:positionV>
            <wp:extent cx="780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36195</wp:posOffset>
            </wp:positionV>
            <wp:extent cx="7804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676" w:space="720"/>
            <w:col w:w="5004"/>
          </w:cols>
          <w:pgMar w:left="240" w:top="140" w:right="25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Outstanding at January 1, 2019</w:t>
      </w:r>
    </w:p>
    <w:p>
      <w:pPr>
        <w:spacing w:after="0" w:line="8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June 30, 2019</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June 30, 2019 </w:t>
      </w:r>
      <w:r>
        <w:rPr>
          <w:rFonts w:ascii="Arial" w:cs="Arial" w:eastAsia="Arial" w:hAnsi="Arial"/>
          <w:sz w:val="21"/>
          <w:szCs w:val="21"/>
          <w:color w:val="auto"/>
          <w:vertAlign w:val="superscript"/>
        </w:rPr>
        <w:t>(c)</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740"/>
        <w:spacing w:after="0"/>
        <w:tabs>
          <w:tab w:leader="none" w:pos="1340" w:val="left"/>
          <w:tab w:leader="none" w:pos="2080" w:val="left"/>
        </w:tabs>
        <w:rPr>
          <w:sz w:val="20"/>
          <w:szCs w:val="20"/>
          <w:color w:val="auto"/>
        </w:rPr>
      </w:pPr>
      <w:r>
        <w:rPr>
          <w:rFonts w:ascii="Arial" w:cs="Arial" w:eastAsia="Arial" w:hAnsi="Arial"/>
          <w:sz w:val="16"/>
          <w:szCs w:val="16"/>
          <w:color w:val="auto"/>
        </w:rPr>
        <w:t>1,169</w:t>
        <w:tab/>
        <w:t>$</w:t>
      </w:r>
      <w:r>
        <w:rPr>
          <w:sz w:val="20"/>
          <w:szCs w:val="20"/>
          <w:color w:val="auto"/>
        </w:rPr>
        <w:tab/>
      </w:r>
      <w:r>
        <w:rPr>
          <w:rFonts w:ascii="Arial" w:cs="Arial" w:eastAsia="Arial" w:hAnsi="Arial"/>
          <w:sz w:val="15"/>
          <w:szCs w:val="15"/>
          <w:color w:val="auto"/>
        </w:rPr>
        <w:t>35.14</w:t>
      </w:r>
    </w:p>
    <w:p>
      <w:pPr>
        <w:spacing w:after="0" w:line="86" w:lineRule="exact"/>
        <w:rPr>
          <w:sz w:val="20"/>
          <w:szCs w:val="20"/>
          <w:color w:val="auto"/>
        </w:rPr>
      </w:pPr>
    </w:p>
    <w:p>
      <w:pPr>
        <w:ind w:left="2100" w:hanging="1230"/>
        <w:spacing w:after="0"/>
        <w:tabs>
          <w:tab w:leader="none" w:pos="21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34.87</w:t>
      </w:r>
    </w:p>
    <w:p>
      <w:pPr>
        <w:spacing w:after="0" w:line="8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100" w:hanging="1284"/>
        <w:spacing w:after="0"/>
        <w:tabs>
          <w:tab w:leader="none" w:pos="2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804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1,261</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38.54</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124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19"/>
              <w:spacing w:after="0"/>
              <w:rPr>
                <w:sz w:val="20"/>
                <w:szCs w:val="20"/>
                <w:color w:val="auto"/>
              </w:rPr>
            </w:pPr>
            <w:r>
              <w:rPr>
                <w:rFonts w:ascii="Arial" w:cs="Arial" w:eastAsia="Arial" w:hAnsi="Arial"/>
                <w:sz w:val="16"/>
                <w:szCs w:val="16"/>
                <w:color w:val="auto"/>
              </w:rPr>
              <w:t>39.96</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40" w:lineRule="exact"/>
        <w:rPr>
          <w:sz w:val="20"/>
          <w:szCs w:val="20"/>
          <w:color w:val="auto"/>
        </w:rPr>
      </w:pPr>
    </w:p>
    <w:p>
      <w:pPr>
        <w:sectPr>
          <w:pgSz w:w="11900" w:h="16838" w:orient="portrait"/>
          <w:cols w:equalWidth="0" w:num="2">
            <w:col w:w="4860" w:space="720"/>
            <w:col w:w="5820"/>
          </w:cols>
          <w:pgMar w:left="240" w:top="140" w:right="259" w:bottom="1440" w:gutter="0" w:footer="0" w:header="0"/>
          <w:type w:val="continuous"/>
        </w:sectPr>
      </w:pPr>
    </w:p>
    <w:p>
      <w:pPr>
        <w:ind w:left="820" w:right="300" w:hanging="326"/>
        <w:spacing w:after="0" w:line="220"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six months ended June 30, 2018 was $48.66 and $48.72,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June 30, 2019 and 2018 was $13 million, in each period.</w:t>
      </w:r>
    </w:p>
    <w:p>
      <w:pPr>
        <w:ind w:left="820" w:right="220" w:hanging="326"/>
        <w:spacing w:after="0" w:line="218"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$40 million and will be recognized over a weighted average vesting period of 1.6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6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at January 1, 2019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9"/>
        </w:trPr>
        <w:tc>
          <w:tcPr>
            <w:tcW w:w="4660" w:type="dxa"/>
            <w:vAlign w:val="bottom"/>
          </w:tcPr>
          <w:p>
            <w:pPr>
              <w:ind w:left="140"/>
              <w:spacing w:after="0"/>
              <w:rPr>
                <w:sz w:val="20"/>
                <w:szCs w:val="20"/>
                <w:color w:val="auto"/>
              </w:rPr>
            </w:pPr>
            <w:r>
              <w:rPr>
                <w:rFonts w:ascii="Arial" w:cs="Arial" w:eastAsia="Arial" w:hAnsi="Arial"/>
                <w:sz w:val="16"/>
                <w:szCs w:val="16"/>
                <w:color w:val="auto"/>
              </w:rPr>
              <w:t xml:space="preserve">Exercised </w:t>
            </w:r>
            <w:r>
              <w:rPr>
                <w:rFonts w:ascii="Arial" w:cs="Arial" w:eastAsia="Arial" w:hAnsi="Arial"/>
                <w:sz w:val="21"/>
                <w:szCs w:val="21"/>
                <w:color w:val="auto"/>
                <w:vertAlign w:val="superscript"/>
              </w:rPr>
              <w:t>(a)</w:t>
            </w: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660" w:type="dxa"/>
            <w:vAlign w:val="bottom"/>
          </w:tcPr>
          <w:p>
            <w:pPr>
              <w:ind w:left="14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Outstanding and exercisable at June 30, 2019</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Stock options exercised during the six months ended June 30, 2018 had an intrinsic value of $7 million and the cash received was $2 million.</w:t>
      </w:r>
    </w:p>
    <w:p>
      <w:pPr>
        <w:sectPr>
          <w:pgSz w:w="11900" w:h="16838" w:orient="portrait"/>
          <w:cols w:equalWidth="0" w:num="1">
            <w:col w:w="11400"/>
          </w:cols>
          <w:pgMar w:left="240" w:top="140" w:right="259" w:bottom="1440" w:gutter="0" w:footer="0" w:header="0"/>
          <w:type w:val="continuous"/>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40" w:right="2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right="8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right="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the Company expects to reclassify from accumulated other comprehensive income (loss) to earnings for cash flow and net investment hedges over the next 12 months is not material.</w:t>
      </w:r>
    </w:p>
    <w:p>
      <w:pPr>
        <w:spacing w:after="0" w:line="178"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changes in the fair value of its cash flow hedges to other comprehensive income (loss), net of tax, and subsequently reclassifies these amounts into earnings in the period during which the hedged transaction affects earnings and is presented in the same income statement line item as the earnings effect of the hedged item. The Company records the gains or losses related to freestanding derivatives, which are not designated as a hedge for accounting purposes, currently in earnings and are presented in the same line of the income statement expected for the hedged item. The Company estimates that an immaterial amount of gains currently recorded in accumulated other comprehensive income (loss) will be recognized in earnings over the next 12 months.</w:t>
      </w:r>
    </w:p>
    <w:p>
      <w:pPr>
        <w:spacing w:after="0" w:line="189" w:lineRule="exact"/>
        <w:rPr>
          <w:rFonts w:ascii="Arial" w:cs="Arial" w:eastAsia="Arial" w:hAnsi="Arial"/>
          <w:sz w:val="18"/>
          <w:szCs w:val="18"/>
          <w:b w:val="1"/>
          <w:bCs w:val="1"/>
          <w:color w:val="auto"/>
        </w:rPr>
      </w:pPr>
    </w:p>
    <w:p>
      <w:pPr>
        <w:jc w:val="both"/>
        <w:ind w:left="500" w:right="20"/>
        <w:spacing w:after="0" w:line="26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The Company periodically enters into derivative commodity contracts to manage its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9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June 30, 2019</w:t>
            </w:r>
          </w:p>
        </w:tc>
      </w:tr>
      <w:tr>
        <w:trPr>
          <w:trHeight w:val="33"/>
        </w:trPr>
        <w:tc>
          <w:tcPr>
            <w:tcW w:w="8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292"/>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8,398</w:t>
            </w: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Represents $5.7 billion of interest rate caps sold, partially offset by approximately $2.7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June 30, 2019</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w w:val="98"/>
              </w:rPr>
              <w:t>Fair Value,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14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19"/>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2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4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(b)</w:t>
            </w:r>
          </w:p>
        </w:tc>
        <w:tc>
          <w:tcPr>
            <w:tcW w:w="11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240" w:type="dxa"/>
            <w:vAlign w:val="bottom"/>
          </w:tcPr>
          <w:p>
            <w:pPr>
              <w:ind w:left="12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00" w:right="2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the Company; however, certain amounts related to the derivatives held by Avis Budget Rental Car Funding are included within accumulated other comprehensive income (loss), as discussed in Note 14-Stockholders’ Equity.</w:t>
      </w:r>
    </w:p>
    <w:p>
      <w:pPr>
        <w:ind w:left="820" w:hanging="326"/>
        <w:spacing w:after="0" w:line="195"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ind w:left="820" w:hanging="326"/>
        <w:spacing w:after="0" w:line="199"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5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28"/>
        </w:trPr>
        <w:tc>
          <w:tcPr>
            <w:tcW w:w="43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64"/>
        </w:trPr>
        <w:tc>
          <w:tcPr>
            <w:tcW w:w="4300" w:type="dxa"/>
            <w:vAlign w:val="bottom"/>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21"/>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5"/>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5"/>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100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(g)</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4300" w:type="dxa"/>
            <w:vAlign w:val="bottom"/>
          </w:tcPr>
          <w:p>
            <w:pPr>
              <w:ind w:left="100"/>
              <w:spacing w:after="0"/>
              <w:rPr>
                <w:sz w:val="20"/>
                <w:szCs w:val="20"/>
                <w:color w:val="auto"/>
              </w:rPr>
            </w:pPr>
            <w:r>
              <w:rPr>
                <w:rFonts w:ascii="Arial" w:cs="Arial" w:eastAsia="Arial" w:hAnsi="Arial"/>
                <w:sz w:val="16"/>
                <w:szCs w:val="16"/>
                <w:color w:val="auto"/>
              </w:rPr>
              <w:t>Total</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3810</wp:posOffset>
            </wp:positionV>
            <wp:extent cx="380746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0746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211"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14–Stockholders’ Equity for amounts reclassified from accumulated other comprehensive income into earnings.</w:t>
      </w: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180" w:hanging="326"/>
        <w:spacing w:after="0" w:line="225"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2019, included a $15 million gain in interest expense and a $5 million loss in operating expense and for the six months ended June 30, 2019, included a $11 million gain in interest expense. For the three months ended June 30, 2018, included $20 million gain in interest expense and a $8 million gain in operating expense and for the six months ended June 30, 2018, included a $7 million gain in interest expense and a $12 million gain in operating expense.</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199"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40"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2018</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3,462</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8,913</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9,067</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7,383</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2,881</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41"/>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Anji and income taxes. Net charges for unprecedented personal-injury legal matters and gain on sale of equity method investment in Anji are recorded within operating expenses in the Company’s Consolidated Condensed Statement of Comprehensive Income.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 has revised the definition of Adjusted EBITDA to exclude the gain on sale of equity method investment in Anji. The Company did not revise prior years’ Adjusted EBITDA because there were no gains similar in nature to this gain. The Company’s presentation of Adjusted EBITDA may not be comparable to similarly-titled measures used by other companies.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r>
      <w:tr>
        <w:trPr>
          <w:trHeight w:val="207"/>
        </w:trPr>
        <w:tc>
          <w:tcPr>
            <w:tcW w:w="14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8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040" w:type="dxa"/>
            <w:vAlign w:val="bottom"/>
            <w:gridSpan w:val="2"/>
          </w:tcPr>
          <w:p>
            <w:pPr>
              <w:ind w:left="92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520" w:type="dxa"/>
            <w:vAlign w:val="bottom"/>
            <w:gridSpan w:val="5"/>
          </w:tcPr>
          <w:p>
            <w:pPr>
              <w:ind w:left="520"/>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r>
      <w:r>
        <w:rPr>
          <w:sz w:val="20"/>
          <w:szCs w:val="20"/>
          <w:color w:val="auto"/>
        </w:rPr>
        <w:tab/>
      </w: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520" w:right="620" w:firstLine="797"/>
        <w:spacing w:after="0" w:line="316" w:lineRule="auto"/>
        <w:rPr>
          <w:sz w:val="20"/>
          <w:szCs w:val="20"/>
          <w:color w:val="auto"/>
        </w:rPr>
      </w:pPr>
      <w:r>
        <w:rPr>
          <w:rFonts w:ascii="Arial" w:cs="Arial" w:eastAsia="Arial" w:hAnsi="Arial"/>
          <w:sz w:val="18"/>
          <w:szCs w:val="18"/>
          <w:color w:val="auto"/>
        </w:rPr>
        <w:t>Gain on sale of equity method investment in Anji 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5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800" w:space="720"/>
            <w:col w:w="4880"/>
          </w:cols>
          <w:pgMar w:left="240" w:top="108" w:right="259" w:bottom="1440" w:gutter="0" w:footer="0" w:header="0"/>
          <w:type w:val="continuous"/>
        </w:sectPr>
      </w:pPr>
    </w:p>
    <w:p>
      <w:pPr>
        <w:ind w:left="500"/>
        <w:spacing w:after="0" w:line="235" w:lineRule="auto"/>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0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type w:val="continuous"/>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50" w:lineRule="exact"/>
        <w:rPr>
          <w:sz w:val="20"/>
          <w:szCs w:val="20"/>
          <w:color w:val="auto"/>
        </w:rPr>
      </w:pPr>
    </w:p>
    <w:p>
      <w:pPr>
        <w:ind w:left="1320"/>
        <w:spacing w:after="0" w:line="328" w:lineRule="auto"/>
        <w:rPr>
          <w:sz w:val="20"/>
          <w:szCs w:val="20"/>
          <w:color w:val="auto"/>
        </w:rPr>
      </w:pPr>
      <w:r>
        <w:rPr>
          <w:rFonts w:ascii="Arial" w:cs="Arial" w:eastAsia="Arial" w:hAnsi="Arial"/>
          <w:sz w:val="18"/>
          <w:szCs w:val="18"/>
          <w:color w:val="auto"/>
        </w:rPr>
        <w:t>Non-operational charges related to shareholder activist activity Gain on sale of equity method investment in Anji</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540"/>
        </w:trPr>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540" w:type="dxa"/>
            <w:vAlign w:val="bottom"/>
          </w:tcPr>
          <w:p>
            <w:pPr>
              <w:spacing w:after="0"/>
              <w:rPr>
                <w:sz w:val="23"/>
                <w:szCs w:val="23"/>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40" w:type="dxa"/>
            <w:vAlign w:val="bottom"/>
          </w:tcPr>
          <w:p>
            <w:pPr>
              <w:spacing w:after="0"/>
              <w:rPr>
                <w:sz w:val="23"/>
                <w:szCs w:val="23"/>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5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300" w:space="220"/>
            <w:col w:w="4880"/>
          </w:cols>
          <w:pgMar w:left="240" w:top="108" w:right="25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As of June 30, 2019 and December 31, 2018, Americas’ segment assets exclusive of assets under vehicle programs were approximately $5.9 billion and $3.8 billion, respectively, and International segment assets exclusive of assets under vehicle programs were approximately $3.0 billion and $2.5 billion, respectively. The increases in assets exclusive of assets under vehicle programs is primarily due to the adoption of ASU 2016-02 (see Note 1</w:t>
      </w:r>
      <w:r>
        <w:rPr>
          <w:rFonts w:ascii="Arial" w:cs="Arial" w:eastAsia="Arial" w:hAnsi="Arial"/>
          <w:sz w:val="14"/>
          <w:szCs w:val="14"/>
          <w:color w:val="auto"/>
        </w:rPr>
        <w:t>–</w:t>
      </w:r>
      <w:r>
        <w:rPr>
          <w:rFonts w:ascii="Arial" w:cs="Arial" w:eastAsia="Arial" w:hAnsi="Arial"/>
          <w:sz w:val="18"/>
          <w:szCs w:val="18"/>
          <w:color w:val="auto"/>
        </w:rPr>
        <w:t>Basis of Presentation).</w:t>
      </w:r>
    </w:p>
    <w:p>
      <w:pPr>
        <w:spacing w:after="0" w:line="204"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As of June 30, 2019 and December 31, 2018, Americas’ assets under vehicle programs were approximately $ 11.8 billion and $9.7 billion, respectively, and International assets under vehicle programs were approximately $3.6 billion and $3.1 billion, respectively. The increases in assets under vehicle programs is primarily due to seasonality.</w:t>
      </w:r>
    </w:p>
    <w:p>
      <w:pPr>
        <w:sectPr>
          <w:pgSz w:w="11900" w:h="16838" w:orient="portrait"/>
          <w:cols w:equalWidth="0" w:num="1">
            <w:col w:w="11400"/>
          </w:cols>
          <w:pgMar w:left="240" w:top="108" w:right="2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08"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2019 and 2018, Consolidating Condensed Balance Sheets as of June 30, 2019 and December 31, 2018, and Consolidating Condensed Statements of Cash Flows for the six months ended June 30, 2019 and 2018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11–Long-term Corporate Debt and Borrowing Arrangements for additional description of these guaranteed notes. The Senior Notes are guaranteed by the Parent and certain subsidiaries.</w:t>
      </w:r>
    </w:p>
    <w:p>
      <w:pPr>
        <w:spacing w:after="0" w:line="212"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04" w:lineRule="exact"/>
        <w:rPr>
          <w:rFonts w:ascii="Arial" w:cs="Arial" w:eastAsia="Arial" w:hAnsi="Arial"/>
          <w:sz w:val="18"/>
          <w:szCs w:val="18"/>
          <w:b w:val="1"/>
          <w:bCs w:val="1"/>
          <w:color w:val="auto"/>
        </w:rPr>
      </w:pPr>
    </w:p>
    <w:p>
      <w:pPr>
        <w:jc w:val="both"/>
        <w:ind w:left="500" w:right="900"/>
        <w:spacing w:after="0" w:line="291" w:lineRule="auto"/>
        <w:rPr>
          <w:rFonts w:ascii="Arial" w:cs="Arial" w:eastAsia="Arial" w:hAnsi="Arial"/>
          <w:sz w:val="18"/>
          <w:szCs w:val="18"/>
          <w:b w:val="1"/>
          <w:bCs w:val="1"/>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4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As of June 30,</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2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Non-Guarantor</w:t>
            </w:r>
          </w:p>
        </w:tc>
        <w:tc>
          <w:tcPr>
            <w:tcW w:w="320" w:type="dxa"/>
            <w:vAlign w:val="bottom"/>
          </w:tcPr>
          <w:p>
            <w:pPr>
              <w:spacing w:after="0"/>
              <w:rPr>
                <w:sz w:val="22"/>
                <w:szCs w:val="22"/>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Program cash</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Total cash and cash equivalents, program and</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7"/>
        </w:trPr>
        <w:tc>
          <w:tcPr>
            <w:tcW w:w="44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5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0</wp:posOffset>
            </wp:positionV>
            <wp:extent cx="36188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2603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4,257</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4,312</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60" w:type="dxa"/>
            <w:vAlign w:val="bottom"/>
            <w:vMerge w:val="continue"/>
          </w:tcPr>
          <w:p>
            <w:pPr>
              <w:spacing w:after="0"/>
              <w:rPr>
                <w:sz w:val="21"/>
                <w:szCs w:val="21"/>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2,328</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4,296</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9,097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14,278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15,437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20,255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(12,995)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3,115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7,284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8,913</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(8,829)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111"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40" w:right="259" w:bottom="1111"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6,593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11,474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12,779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6,376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40"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(8,708)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(8,715)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5,773</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(3,146)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11,758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(9,688)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40"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(8,359)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10,145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10,145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(7,643)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2,489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0" w:right="2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July 2019, the Company issued $400 million of 5¾% Senior Notes due July 2027, at par. The Company used the net proceeds from the offering to redeem a portion of its 5½% Senior Notes due April 2023 for $400 million plus accrued interest.</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August 2019, the Company’s Board of Directors increased the Company’s share repurchase program authorization by $100 million.</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570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140" w:right="4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2018 Form 10-K. Our actual results of operations may differ materially from those discussed in forward-looking statements as a result of various factors, including but not limited to those included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2018 Form 10-K. Unless otherwise noted, all dollar amounts in tables are in millions.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regional brands well recognized in their respective markets. We are a leading vehicle rental operator in North America, Europe and Australasia with an average rental fleet during 2018 of nearly 650,000 vehicles. We also license the use of our trademarks to licensees in the areas in which we do not operate directly. We and our licensees operate our brands in approximately 180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we do not operate directly.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 operations and include:</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 and</w:t>
      </w:r>
    </w:p>
    <w:p>
      <w:pPr>
        <w:spacing w:after="0" w:line="171"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vehicle licensing fees and concession fees, which provide the right to operate at airports and other locations.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revenue for royalties and associated fees from our licensees in conjunction with their vehicle rental transactions.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Thus far in 2019, worldwide demand for mobility solutions has increased, and used-vehicle values in the U.S. have stabilized, counterbalanced by the incremental impact of rising interest rates, higher salaries, wages and related benefits. We expect such economic conditions to continue throughout 2019.</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pursue opportunities to enhance profitability and increase return on invested capital. Our strategies are intended to support and strengthen our brands, to grow our margins and earnings over time and to achieve growth and efficiency opportunities as mobility solutions continue to evolve.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operate in a highly competitive industry and we expect to continue to face challenges and risks in managing our business. We seek to mitigate our exposure to risks in numerous ways, including delivering upon our core 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w:t>
      </w:r>
    </w:p>
    <w:p>
      <w:pPr>
        <w:spacing w:after="0" w:line="1" w:lineRule="exact"/>
        <w:rPr>
          <w:sz w:val="20"/>
          <w:szCs w:val="20"/>
          <w:color w:val="auto"/>
        </w:rPr>
      </w:pPr>
    </w:p>
    <w:p>
      <w:pPr>
        <w:ind w:right="40" w:firstLine="8"/>
        <w:spacing w:after="0" w:line="252"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us with the most relevant metrics in order to manage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gain on sale of equity method investment in Anji and income taxes. Net charges for unprecedented personal-injury legal matters and gain on sale of equity method investment in Anji are recorded within operating expenses in our consolidated condensed statement of operations. Non-operational charges related to shareholder activist activity include third party advisory, legal and other professional service fees and are recorded within selling, general and administrative expenses in our consolidated results of operations. We have revised our definition of Adjusted EBITDA to exclude the gain on sale of equity method investment in Anji. We did not revise prior years’ Adjusted EBITDA amounts because there were no gains similar in nature to this gain.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w:t>
      </w:r>
    </w:p>
    <w:p>
      <w:pPr>
        <w:spacing w:after="0" w:line="225" w:lineRule="exact"/>
        <w:rPr>
          <w:sz w:val="20"/>
          <w:szCs w:val="20"/>
          <w:color w:val="auto"/>
        </w:rPr>
      </w:pPr>
    </w:p>
    <w:p>
      <w:pPr>
        <w:ind w:left="660" w:right="3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revenues totaled $4.3 billion and decreased 1% compared to the similar period in 2018, primarily due to a 2% negative impact from currency exchange rate movements.</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net loss was $29 million and our Adjusted EBITDA was $174 million, representing an $11 million year-over-year increase, primarily due to Americas’ lower per-unit fleet costs, partially offset by lower revenues, higher salaries, wages and related benefits and higher interest rates.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vs. Three Months Ended June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Revenues during the three months ended June 30, 2019 were comparable to the similar period in 2018, primarily as a result of a 2% increase in volume, partially offset by a $46 million negative impact from currency exchange rate movements. Total expenses decreased during the three months ended June 30, 2019 compared to the similar period in 2018, primarily due to a $ 44 million gain on the sale of an equity method investment in Anji, Americas’ lower per-unit fleet costs and a $32 million favorable impact from currency exchange rate movements, partially offset by higher salaries, wages and related benefits and higher interest rates.</w:t>
      </w:r>
    </w:p>
    <w:p>
      <w:pPr>
        <w:spacing w:after="0" w:line="20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Operating expenses decreased to 50.2% of revenue during the three months ended June 30, 2019 compared to 50.5% during the similar period in 2018. Vehicle depreciation and lease charges decreased to 23.2% of revenue during the three months ended June 30, 2019 compared to 25.4% during the similar period in 2018, primarily due to Americas’ lower per-unit fleet costs. Selling, general and administrative costs decreased to 13.4% of revenue during the three months ended June 30, 2019 compared to 13.8% during the similar period in 2018, primarily due to lower marketing commissions, partially offset by higher salaries, wages, and related benefits. Vehicle interest costs increased to 3.9% of revenue during the three months ended June 30, 2019 compared to 3.5% during the similar period in 2018, due to higher interest rates.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effective tax rates were provisions of 23% and 32% for the three months ended June 30, 2019 and 2018, respectively. As a result of these items, our net income increased by $36 million compared to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2"/>
                <w:szCs w:val="22"/>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474"/>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7"/>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9551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9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Add:</w:t>
        <w:tab/>
        <w:t>Non-vehicle related depreciation and amortization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Gain on sale of equity method investment in Anji </w:t>
      </w:r>
      <w:r>
        <w:rPr>
          <w:rFonts w:ascii="Arial" w:cs="Arial" w:eastAsia="Arial" w:hAnsi="Arial"/>
          <w:sz w:val="17"/>
          <w:szCs w:val="17"/>
          <w:color w:val="auto"/>
          <w:vertAlign w:val="superscript"/>
        </w:rPr>
        <w:t>(c)</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50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ectPr>
          <w:pgSz w:w="11900" w:h="16838" w:orient="portrait"/>
          <w:cols w:equalWidth="0" w:num="2">
            <w:col w:w="7600" w:space="720"/>
            <w:col w:w="3100"/>
          </w:cols>
          <w:pgMar w:left="240" w:top="140" w:right="239" w:bottom="1440" w:gutter="0" w:footer="0" w:header="0"/>
          <w:type w:val="continuous"/>
        </w:sectPr>
      </w:pPr>
    </w:p>
    <w:p>
      <w:pPr>
        <w:ind w:left="340" w:hanging="332"/>
        <w:spacing w:after="0" w:line="19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9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 (see Note 1 to our Consolidated Condensed Financial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Revenues increased 2% during the three months ended June 30, 2019 compared to the similar period in 2018, primarily due to 2% increase in volume and a 1% increase in revenue per day, partially offset by a $3 million negative impact from currency exchange rate movements.</w:t>
      </w:r>
    </w:p>
    <w:p>
      <w:pPr>
        <w:spacing w:after="0" w:line="19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Operating expenses increased to 50.4% of revenue during the three months ended June 30, 2019 compared to 49.2% during the similar period in 2018, primarily due to higher maintenance and damage expense and increased salaries, wages, and related benefits. Vehicle depreciation and lease charges decreased to 24.2% of revenue during the three months ended June 30, 2019 compared to 27.5% during the similar period in 2018, primarily due to a 10% decrease in per-unit fleet costs and higher utilization. Selling, general and administrative costs decreased to</w:t>
      </w:r>
    </w:p>
    <w:p>
      <w:pPr>
        <w:spacing w:after="0" w:line="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11.5% of revenue during the three months ended June 30, 2019 compared to 12.3% during the similar period in 2018, primarily due to lower marketing commissions, partially offset by higher salaries, wages, and related benefits. Vehicle interest costs increased to 4.6% of revenue during the three months ended June 30, 2019 compared to 4.3% during the similar period in 2018, due to higher interest rates.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Adjusted EBITDA was $45 million higher in second quarter 2019 compared to the similar period in 2018, primarily due to higher revenues, lower per-unit fleet costs and higher utilization, partially offset by higher maintenance and damage expense, higher salaries, wages, and related benefits and higher interest rates.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14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decreased 4% during the three months ended June 30, 2019, compared to the similar period in 2018, primarily due to a 1% decrease in revenue per day excluding exchange rate movements and a $43 million negative impact from currency exchange rate movements, partially offset by 3% higher rental volume.</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expenses decreased to 49.8% of revenue during the three months ended June 30, 2019 compared to 52.7% during the similar period in 2018, primarily due to a gain on the sale of an equity method investment in Anji, partially offset by lower revenues and higher public liability and property damage expense. Vehicle depreciation and lease charges increased to 21.0% of revenue during the three months ended June 30, 2019 compared to 20.8% during the similar period in 2018. Selling, general and administrative costs increased to 15.5% of revenue during the three months ended June 30, 2019 compared to 15.2% during the similar period in 2018. Vehicle interest costs increased to 2.0% of revenue during the three months ended June 30, 2019 compared to 1.7% during the similar period in 2018.</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was $32 million lower in second quarter 2019 compared to the similar period in 2018, primarily due to lower revenue per day, higher public liability and property damage expense and an $11 million negative impact from currency exchange rate movements.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vs. Six Months Ended June 30,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4,312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Revenues decreased during the six months ended June 30, 2019 compared to the similar period in 2018, primarily as a result of a 1% decrease in revenue per day excluding exchange rate movements and a $102 million negative impact from currency exchange rate movements, partially offset by a 2% increase in volume. Total expenses decreased during the six months ended June 30, 2019 compared to the similar period in 2018, primarily due to a $93 million favorable impact from currency exchange rate movements, Americas’ lower per-unit fleet</w:t>
      </w:r>
    </w:p>
    <w:p>
      <w:pPr>
        <w:sectPr>
          <w:pgSz w:w="11900" w:h="16838" w:orient="portrait"/>
          <w:cols w:equalWidth="0" w:num="1">
            <w:col w:w="11400"/>
          </w:cols>
          <w:pgMar w:left="240" w:top="108" w:right="259" w:bottom="1440" w:gutter="0" w:footer="0" w:header="0"/>
        </w:sect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08"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costs and a $44 million gain on the sale of an equity method investment in Anji, partially offset by higher restructuring and other related charges and higher interest rates.</w:t>
      </w:r>
    </w:p>
    <w:p>
      <w:pPr>
        <w:spacing w:after="0" w:line="1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Operating expenses decreased to 52.7% of revenue during the six months ended June 30, 2019 compared to 52.8% during the similar period in 2018, due to a gain on the sale of an equity method investment in Anji, partially offset by higher salaries, wages, and related benefits and higher maintenance and damage expense. Vehicle depreciation and lease charges decreased to 24.2% of revenue during the six months ended June 30, 2019 compared to 25.8% during the similar period in 2018, primarily due to Americas’ lower per-unit fleet costs. Selling, general and administrative costs decreased to 14.0% of revenue during the six months ended June 30, 2019 compared to 14.4% during the similar period in 2018, primarily due to lower marketing commissions, partially offset by higher salaries, wages and related benefits. Vehicle interest costs increased to 4.0% of revenue during the six months ended June 30, 2019 compared to 3.5% during the similar period in 2018, due to higher interest rates.</w:t>
      </w:r>
    </w:p>
    <w:p>
      <w:pPr>
        <w:spacing w:after="0" w:line="20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Our effective tax rates were benefits of 47% and 33% for the six months ended June 30, 2019 and 2018, respectively. As a result of these items, our net loss decreased by $32 million compared to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83"/>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1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20" w:type="dxa"/>
            <w:vAlign w:val="bottom"/>
            <w:gridSpan w:val="4"/>
          </w:tcPr>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(c)</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Gain on sale of equity method investment in Anji </w:t>
            </w:r>
            <w:r>
              <w:rPr>
                <w:rFonts w:ascii="Arial" w:cs="Arial" w:eastAsia="Arial" w:hAnsi="Arial"/>
                <w:sz w:val="18"/>
                <w:szCs w:val="18"/>
                <w:color w:val="auto"/>
                <w:vertAlign w:val="superscript"/>
              </w:rPr>
              <w:t>(d)</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ind w:left="340" w:hanging="332"/>
        <w:spacing w:after="0" w:line="199"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Statements of Operations (see Note 1 to our Consolidated Condensed Financial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Six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40" w:right="25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Revenues increased 1% during the six months ended June 30, 2019 compared to the similar period in 2018, primarily due to an increase in both rental volume and revenue per day, partially offset by a $9 million negative impact from currency exchange rate movements.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expenses increased to 51.3% of revenue during the six months ended June 30, 2019 compared to 51.1% during the similar period in 2018. Vehicle depreciation and lease charges decreased to 25.3% of revenue during the six months ended June 30, 2019 compared to 28.0% during the similar period in 2018, primarily due to a 9% decrease in per-unit fleet costs. Selling, general and administrative costs decreased to 12.3% of revenue during the six months ended June 30, 2019 compared to 12.5% during the similar period in 2018. Vehicle interest costs increased to 4.8% of revenue during the six months ended June 30, 2019 compared to 4.2% during the similar period in 2018, due to higher interest rates.</w:t>
      </w:r>
    </w:p>
    <w:p>
      <w:pPr>
        <w:spacing w:after="0" w:line="20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Adjusted EBITDA increased 53% in the six months ended June 30, 2019 compared to the similar period in 2018, due to lower per-unit fleet costs, partially offset by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2"/>
        </w:trPr>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Six Months Ended</w:t>
            </w:r>
          </w:p>
        </w:tc>
        <w:tc>
          <w:tcPr>
            <w:tcW w:w="1400" w:type="dxa"/>
            <w:vAlign w:val="bottom"/>
          </w:tcPr>
          <w:p>
            <w:pPr>
              <w:spacing w:after="0"/>
              <w:rPr>
                <w:sz w:val="24"/>
                <w:szCs w:val="24"/>
                <w:color w:val="auto"/>
              </w:rPr>
            </w:pPr>
          </w:p>
        </w:tc>
      </w:tr>
      <w:tr>
        <w:trPr>
          <w:trHeight w:val="246"/>
        </w:trPr>
        <w:tc>
          <w:tcPr>
            <w:tcW w:w="7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r>
      <w:tr>
        <w:trPr>
          <w:trHeight w:val="264"/>
        </w:trPr>
        <w:tc>
          <w:tcPr>
            <w:tcW w:w="74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Revenues decreased 4% during the six months ended June 30, 2019 compared to the similar period in 2018, primarily due to a 3% decrease in revenue per day excluding exchange rate movements and a $93 million negative effect from currency exchange rate movements, partially offset by a 6% increase in volume.</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expenses decreased to 55.7% of revenue during the six months ended June 30, 2019 compared to 55.8% during the similar period in 2018, primarily due to a gain on the sale of an equity method investment in Anji, partially offset by higher public liability and property damage expense and higher salaries, wages and related benefits. Vehicle depreciation and lease charges increased to 21.6% of revenue during the six months ended June 30, 2019 compared to 20.8% during the similar period in 2018, primarily due to lower revenues. Selling, general and administrative costs decreased to 15.7% of revenue during the six months ended June 30, 2019 compared to 15.9% during the similar period in 2018. Vehicle interest costs increased to 2.2% of revenue during the six months ended June 30, 2019 compared to 2.0% during the similar period in 2018.</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EBITDA was $56 million lower during the six months ended June 30, 2019, compared to the similar period in 2018, primarily due to lower revenues, higher public liability and property damage expense and higher salaries, wages and related benefits and a $12 million negative effect from currency exchange rate movements.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9,018</w:t>
            </w:r>
          </w:p>
        </w:tc>
        <w:tc>
          <w:tcPr>
            <w:tcW w:w="100" w:type="dxa"/>
            <w:vAlign w:val="bottom"/>
          </w:tcPr>
          <w:p>
            <w:pPr>
              <w:spacing w:after="0"/>
              <w:rPr>
                <w:sz w:val="21"/>
                <w:szCs w:val="21"/>
                <w:color w:val="auto"/>
              </w:rPr>
            </w:pPr>
          </w:p>
        </w:tc>
        <w:tc>
          <w:tcPr>
            <w:tcW w:w="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2,648</w:t>
            </w: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2,520</w:t>
            </w: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15,437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2,658</w:t>
            </w: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2,824</w:t>
            </w:r>
          </w:p>
        </w:tc>
      </w:tr>
      <w:tr>
        <w:trPr>
          <w:trHeight w:val="270"/>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Total assets exclusive of assets under vehicle programs and total liabilities exclusive of liabilities under vehicle programs increased primarily due to the adoption of ASU 2016-02 (see Note 1 to our Consolidated Condensed Financial Statements).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operating leases recognized upon the adoption of ASU 2016-02 (see Note 1 to our Consolidated Condensed Financial Statements). The decrease in stockholders’ equity is primarily due to our comprehensive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six months ended June 30, 2019, our Avis Budget Rental Car Funding subsidiary issued approximately $600 million and $650 million in asset-backed notes with an expected final payment date of March 2022 and September 2024, and a weighted average interest rate of 3.56% and 3.44%, respectively. The proceeds from these borrowings were used to fund the repayment of maturing vehicle-backed debt and the acquisition of rental cars in the United States. In June 2019, we called $400 million of our 5½% Senior Notes due April 2023 to be redeemed upon the issuance of our 5¾% Senior Notes in July 2019 (see Note 19 to our Consolidated Condensed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decrease in cash provided by operating activities during the six months ended June 30, 2019 compared with the same period in 2018 is primarily due to changes in the components of working capital.</w:t>
      </w:r>
    </w:p>
    <w:p>
      <w:pPr>
        <w:spacing w:after="0" w:line="196" w:lineRule="exact"/>
        <w:rPr>
          <w:sz w:val="20"/>
          <w:szCs w:val="20"/>
          <w:color w:val="auto"/>
        </w:rPr>
      </w:pPr>
    </w:p>
    <w:p>
      <w:pPr>
        <w:jc w:val="both"/>
        <w:ind w:right="660"/>
        <w:spacing w:after="0" w:line="262" w:lineRule="auto"/>
        <w:rPr>
          <w:sz w:val="20"/>
          <w:szCs w:val="20"/>
          <w:color w:val="auto"/>
        </w:rPr>
      </w:pPr>
      <w:r>
        <w:rPr>
          <w:rFonts w:ascii="Arial" w:cs="Arial" w:eastAsia="Arial" w:hAnsi="Arial"/>
          <w:sz w:val="18"/>
          <w:szCs w:val="18"/>
          <w:color w:val="auto"/>
        </w:rPr>
        <w:t>The decrease in cash used in investing activities during the six months ended June 30, 2019 compared with the same period in 2018 is primarily due to an increase in proceeds received on the disposition of vehicles, partially offset by an increase in investment in vehicles.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8"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decrease in cash provided by financing activities during the six months ended June 30, 2019 compared with the same period in 2018 is primarily due to a decrease in net borrowings under vehicle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June 30, 2019, we had approximately $16 billion of indebtedness, including corporate indebtedness of approximately $3.5 billion and debt under vehicle programs of approximately $12.5 billion. For detailed information regarding our debt and borrowing arrangements, see Notes 11 and 12 to our Consolidated Condensed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of June 30, 2019, we have cash and cash equivalents of $0.5 billion, available borrowing capacity under our committed credit facilities of $0.6 billion and available capacity under our vehicle programs of approximately $1.3 billion.</w:t>
      </w:r>
    </w:p>
    <w:p>
      <w:pPr>
        <w:spacing w:after="0" w:line="19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Our liquidity position could be negatively affected by financial market disruptions or a downturn in the U.S. and worldwide economies, which may result in unfavorable conditions in the mobility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2" w:lineRule="exact"/>
        <w:rPr>
          <w:sz w:val="20"/>
          <w:szCs w:val="20"/>
          <w:color w:val="auto"/>
        </w:rPr>
      </w:pPr>
    </w:p>
    <w:p>
      <w:pPr>
        <w:jc w:val="both"/>
        <w:ind w:right="60" w:firstLine="8"/>
        <w:spacing w:after="0" w:line="254"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revolving credit facility and other borrowings, including a maximum leverage ratio. As of June 30, 2019, we were in compliance with the financial covenants governing our indebtedness. For additional information regarding our liquidity risks, see Part I, Item 1A, “Risk Factors” of our 2018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future contractual obligations have not changed significantly from the amounts reported within our 2018 Form 10-K with the exception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commitment to purchase vehicles, which decreased by approximately $5.6 billion from December 31, 2018, to approximately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at June 30, 2019 due to seasonality. Changes to our obligations related to corporate indebtedness and debt under vehicle programs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presented above within the section titled “Liquidity and Capital Resources—Debt and Financing Arrangements” and also within Notes 11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to our Consolidated Condensed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2018 Form 10-K are the accounting policies (related to goodwill and other indefinite-lived intangible assets, vehicles, income taxes and public liability, property damage and other insurance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liabilities) that we believe require subjective and/or complex judgments that could potentially affect 2019 reported results. There have been no significant changes to those accounting policies or our assessment of which accounting policies we would consider to be critical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2019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2019. For additional information regarding our long-term borrowings and financial instruments, see Notes 11, 12 and 16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2019.</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quarter ended June 30, 2019, the Company had no material developments to report with respect to its legal proceedings. For additional information regarding the Company’s legal proceedings, see Note 13 to our Consolidated Condensed Financial Statements and refer to the Company’s 2018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the quarter ended June 30, 2019, the Company had no material developments to report with respect to its risk factors. For additional information regarding the Company’s risk factors, please refer to the Company’s 2018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$ 1.7 billion of its common stock under a plan originally approved in 2013 and subsequently expanded</w:t>
      </w:r>
      <w:r>
        <w:rPr>
          <w:rFonts w:ascii="Arial" w:cs="Arial" w:eastAsia="Arial" w:hAnsi="Arial"/>
          <w:sz w:val="18"/>
          <w:szCs w:val="18"/>
          <w:color w:val="000000"/>
        </w:rPr>
        <w:t>. In August 2019, the Company’s Board of Directors increased the Company’s share repurchase program</w:t>
      </w:r>
      <w:r>
        <w:rPr>
          <w:rFonts w:ascii="Arial" w:cs="Arial" w:eastAsia="Arial" w:hAnsi="Arial"/>
          <w:sz w:val="18"/>
          <w:szCs w:val="18"/>
          <w:color w:val="262626"/>
        </w:rPr>
        <w:t xml:space="preserve"> </w:t>
      </w:r>
      <w:r>
        <w:rPr>
          <w:rFonts w:ascii="Arial" w:cs="Arial" w:eastAsia="Arial" w:hAnsi="Arial"/>
          <w:sz w:val="18"/>
          <w:szCs w:val="18"/>
          <w:color w:val="000000"/>
        </w:rPr>
        <w:t xml:space="preserve">authorization by $100 million. </w:t>
      </w: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w:t>
      </w:r>
      <w:r>
        <w:rPr>
          <w:rFonts w:ascii="Arial" w:cs="Arial" w:eastAsia="Arial" w:hAnsi="Arial"/>
          <w:sz w:val="18"/>
          <w:szCs w:val="18"/>
          <w:color w:val="000000"/>
        </w:rPr>
        <w:t xml:space="preserve"> </w:t>
      </w:r>
      <w:r>
        <w:rPr>
          <w:rFonts w:ascii="Arial" w:cs="Arial" w:eastAsia="Arial" w:hAnsi="Arial"/>
          <w:sz w:val="18"/>
          <w:szCs w:val="18"/>
          <w:color w:val="262626"/>
        </w:rPr>
        <w:t>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 During the three months ended June 30, 2019, no common stock repurchases were made under the plan and 11,301 shares were withheld by the Company to satisfy employees’ income tax liabilities attributable to the vesting of restricted stock unit awards.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0"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240" w:top="140" w:right="5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80" w:type="dxa"/>
            <w:vAlign w:val="bottom"/>
            <w:gridSpan w:val="13"/>
          </w:tcPr>
          <w:p>
            <w:pPr>
              <w:ind w:left="70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2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20" w:type="dxa"/>
            <w:vAlign w:val="bottom"/>
            <w:gridSpan w:val="1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Indenture dated as of July 3, 2019 among Avis Budget Car Rental, LLC and Avis Budget Finance, Inc., as Issuers, the</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w:anchor="page56">
              <w:r>
                <w:rPr>
                  <w:rFonts w:ascii="Arial" w:cs="Arial" w:eastAsia="Arial" w:hAnsi="Arial"/>
                  <w:sz w:val="18"/>
                  <w:szCs w:val="18"/>
                  <w:color w:val="0000FF"/>
                  <w:w w:val="99"/>
                </w:rPr>
                <w:t>Guarantors from time to time parties thereto and Deutsche Bank Trust Company Americas, as Trustee.</w:t>
              </w:r>
            </w:hyperlink>
          </w:p>
        </w:tc>
        <w:tc>
          <w:tcPr>
            <w:tcW w:w="1180" w:type="dxa"/>
            <w:vAlign w:val="bottom"/>
            <w:tcBorders>
              <w:top w:val="single" w:sz="8" w:color="0000FF"/>
            </w:tcBorders>
          </w:tcPr>
          <w:p>
            <w:pPr>
              <w:spacing w:after="0"/>
              <w:rPr>
                <w:sz w:val="15"/>
                <w:szCs w:val="15"/>
                <w:color w:val="auto"/>
              </w:rPr>
            </w:pPr>
          </w:p>
        </w:tc>
        <w:tc>
          <w:tcPr>
            <w:tcW w:w="660" w:type="dxa"/>
            <w:vAlign w:val="bottom"/>
            <w:gridSpan w:val="6"/>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10020" w:type="dxa"/>
            <w:vAlign w:val="bottom"/>
            <w:gridSpan w:val="15"/>
          </w:tcPr>
          <w:p>
            <w:pPr>
              <w:spacing w:after="0"/>
              <w:rPr>
                <w:rFonts w:ascii="Arial" w:cs="Arial" w:eastAsia="Arial" w:hAnsi="Arial"/>
                <w:sz w:val="18"/>
                <w:szCs w:val="18"/>
                <w:color w:val="0000FF"/>
              </w:rPr>
            </w:pPr>
            <w:hyperlink w:anchor="page209">
              <w:r>
                <w:rPr>
                  <w:rFonts w:ascii="Arial" w:cs="Arial" w:eastAsia="Arial" w:hAnsi="Arial"/>
                  <w:sz w:val="18"/>
                  <w:szCs w:val="18"/>
                  <w:color w:val="0000FF"/>
                </w:rPr>
                <w:t>Form of 5.75% Senior Notes Due 2027.</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Avis Budget Group, Inc. Amended and Restated Equity and Incentive Plan (Incorporated by reference to Annex A to the</w:t>
              </w:r>
            </w:hyperlink>
          </w:p>
        </w:tc>
        <w:tc>
          <w:tcPr>
            <w:tcW w:w="500" w:type="dxa"/>
            <w:vAlign w:val="bottom"/>
            <w:gridSpan w:val="3"/>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Company’s Definitive Proxy Statement on Schedule 14A dated March 26, 2019).</w:t>
              </w:r>
            </w:hyperlink>
          </w:p>
        </w:tc>
        <w:tc>
          <w:tcPr>
            <w:tcW w:w="3620" w:type="dxa"/>
            <w:vAlign w:val="bottom"/>
            <w:gridSpan w:val="9"/>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10020" w:type="dxa"/>
            <w:vAlign w:val="bottom"/>
            <w:tcBorders>
              <w:bottom w:val="single" w:sz="8" w:color="0000FF"/>
            </w:tcBorders>
            <w:gridSpan w:val="15"/>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Series 2019-2 Supplement, dated as of April 23, 2019, between Avis Budget Rental Car Funding (AESOP) LLC and The Bank</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of New York Mellon Trust Company, N.A., as trustee and as Series 2019-2 Agent (Incorporated by reference to Exhibit 10.1 to</w:t>
              </w:r>
            </w:hyperlink>
          </w:p>
        </w:tc>
        <w:tc>
          <w:tcPr>
            <w:tcW w:w="4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the Company’s Current Report on Form 8-K dated April 29, 2019).</w:t>
              </w:r>
            </w:hyperlink>
          </w:p>
        </w:tc>
        <w:tc>
          <w:tcPr>
            <w:tcW w:w="4760" w:type="dxa"/>
            <w:vAlign w:val="bottom"/>
            <w:gridSpan w:val="11"/>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0"/>
                <w:szCs w:val="20"/>
                <w:color w:val="auto"/>
              </w:rPr>
            </w:pPr>
          </w:p>
        </w:tc>
        <w:tc>
          <w:tcPr>
            <w:tcW w:w="10020" w:type="dxa"/>
            <w:vAlign w:val="bottom"/>
            <w:gridSpan w:val="15"/>
          </w:tcPr>
          <w:p>
            <w:pPr>
              <w:spacing w:after="0"/>
              <w:rPr>
                <w:rFonts w:ascii="Arial" w:cs="Arial" w:eastAsia="Arial" w:hAnsi="Arial"/>
                <w:sz w:val="18"/>
                <w:szCs w:val="18"/>
                <w:color w:val="0000FF"/>
              </w:rPr>
            </w:pPr>
            <w:hyperlink r:id="rId63">
              <w:r>
                <w:rPr>
                  <w:rFonts w:ascii="Arial" w:cs="Arial" w:eastAsia="Arial" w:hAnsi="Arial"/>
                  <w:sz w:val="18"/>
                  <w:szCs w:val="18"/>
                  <w:color w:val="0000FF"/>
                </w:rPr>
                <w:t>Separation Agreement between Mr. De Shon and Avis Budget Group, Inc. dated May 26, 2019 (Incorporated by reference to</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8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Exhibit 10.1 to the Company’s Current Report on Form 8-K dated May 31, 2019).</w:t>
              </w:r>
            </w:hyperlink>
          </w:p>
        </w:tc>
        <w:tc>
          <w:tcPr>
            <w:tcW w:w="140" w:type="dxa"/>
            <w:vAlign w:val="bottom"/>
            <w:gridSpan w:val="2"/>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944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225">
              <w:r>
                <w:rPr>
                  <w:rFonts w:ascii="Arial" w:cs="Arial" w:eastAsia="Arial" w:hAnsi="Arial"/>
                  <w:sz w:val="18"/>
                  <w:szCs w:val="18"/>
                  <w:color w:val="0000FF"/>
                  <w:w w:val="99"/>
                </w:rPr>
                <w:t>Certification of Chief Executive Officer pursuant to Rules 13(a)-14(a) and 15(d)-14(a) promulgated under the Securities</w:t>
              </w:r>
            </w:hyperlink>
          </w:p>
        </w:tc>
        <w:tc>
          <w:tcPr>
            <w:tcW w:w="580" w:type="dxa"/>
            <w:vAlign w:val="bottom"/>
            <w:gridSpan w:val="4"/>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225">
              <w:r>
                <w:rPr>
                  <w:rFonts w:ascii="Arial" w:cs="Arial" w:eastAsia="Arial" w:hAnsi="Arial"/>
                  <w:sz w:val="18"/>
                  <w:szCs w:val="18"/>
                  <w:color w:val="0000FF"/>
                  <w:w w:val="99"/>
                </w:rPr>
                <w:t>Exchange Act of 1934, as amended.</w:t>
              </w:r>
            </w:hyperlink>
          </w:p>
        </w:tc>
        <w:tc>
          <w:tcPr>
            <w:tcW w:w="7120" w:type="dxa"/>
            <w:vAlign w:val="bottom"/>
            <w:gridSpan w:val="14"/>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0"/>
                <w:szCs w:val="20"/>
                <w:color w:val="auto"/>
              </w:rPr>
            </w:pPr>
          </w:p>
        </w:tc>
        <w:tc>
          <w:tcPr>
            <w:tcW w:w="93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226">
              <w:r>
                <w:rPr>
                  <w:rFonts w:ascii="Arial" w:cs="Arial" w:eastAsia="Arial" w:hAnsi="Arial"/>
                  <w:sz w:val="18"/>
                  <w:szCs w:val="18"/>
                  <w:color w:val="0000FF"/>
                  <w:w w:val="99"/>
                </w:rPr>
                <w:t>Certification of Chief Financial Officer pursuant to Rules 13(a)-14(a) and 15(d)-14(a) promulgated under the Securities</w:t>
              </w:r>
            </w:hyperlink>
          </w:p>
        </w:tc>
        <w:tc>
          <w:tcPr>
            <w:tcW w:w="640" w:type="dxa"/>
            <w:vAlign w:val="bottom"/>
            <w:gridSpan w:val="5"/>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226">
              <w:r>
                <w:rPr>
                  <w:rFonts w:ascii="Arial" w:cs="Arial" w:eastAsia="Arial" w:hAnsi="Arial"/>
                  <w:sz w:val="18"/>
                  <w:szCs w:val="18"/>
                  <w:color w:val="0000FF"/>
                  <w:w w:val="99"/>
                </w:rPr>
                <w:t>Exchange Act of 1934, as amended.</w:t>
              </w:r>
            </w:hyperlink>
          </w:p>
        </w:tc>
        <w:tc>
          <w:tcPr>
            <w:tcW w:w="7120" w:type="dxa"/>
            <w:vAlign w:val="bottom"/>
            <w:gridSpan w:val="14"/>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5"/>
        </w:numPr>
        <w:rPr>
          <w:rFonts w:ascii="Arial" w:cs="Arial" w:eastAsia="Arial" w:hAnsi="Arial"/>
          <w:sz w:val="18"/>
          <w:szCs w:val="18"/>
          <w:u w:val="single" w:color="auto"/>
          <w:color w:val="0000FF"/>
        </w:rPr>
      </w:pPr>
      <w:hyperlink w:anchor="page227">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tcPr>
          <w:p>
            <w:pPr>
              <w:ind w:left="28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98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r>
        <w:trPr>
          <w:trHeight w:val="473"/>
        </w:trPr>
        <w:tc>
          <w:tcPr>
            <w:tcW w:w="980" w:type="dxa"/>
            <w:vAlign w:val="bottom"/>
          </w:tcPr>
          <w:p>
            <w:pPr>
              <w:spacing w:after="0"/>
              <w:rPr>
                <w:sz w:val="24"/>
                <w:szCs w:val="24"/>
                <w:color w:val="auto"/>
              </w:rPr>
            </w:pPr>
          </w:p>
        </w:tc>
        <w:tc>
          <w:tcPr>
            <w:tcW w:w="9980" w:type="dxa"/>
            <w:vAlign w:val="bottom"/>
          </w:tcPr>
          <w:p>
            <w:pPr>
              <w:ind w:left="460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320"/>
          </w:cols>
          <w:pgMar w:left="240" w:top="140" w:right="3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22"/>
          <w:szCs w:val="22"/>
          <w:color w:val="auto"/>
        </w:rPr>
        <w:t>AVIS BUDGET CAR RENTAL LLC</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AVIS BUDGET FINANCE, INC.,</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Issuers,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GUARANTORS from time to time parties hereto</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AND</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DEUTSCHE BANK TRUST COMPANY AMERICAS,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Trustee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5.75% Senior Notes due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INDENTURE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July 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____________________________</w:t>
      </w:r>
    </w:p>
    <w:p>
      <w:pPr>
        <w:sectPr>
          <w:pgSz w:w="11900" w:h="16838" w:orient="portrait"/>
          <w:cols w:equalWidth="0" w:num="1">
            <w:col w:w="9019"/>
          </w:cols>
          <w:pgMar w:left="1440" w:top="496"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81"/>
        </w:trPr>
        <w:tc>
          <w:tcPr>
            <w:tcW w:w="2600" w:type="dxa"/>
            <w:vAlign w:val="bottom"/>
          </w:tcPr>
          <w:p>
            <w:pPr>
              <w:spacing w:after="0"/>
              <w:rPr>
                <w:sz w:val="24"/>
                <w:szCs w:val="24"/>
                <w:color w:val="auto"/>
              </w:rPr>
            </w:pPr>
          </w:p>
        </w:tc>
        <w:tc>
          <w:tcPr>
            <w:tcW w:w="7340" w:type="dxa"/>
            <w:vAlign w:val="bottom"/>
          </w:tcPr>
          <w:p>
            <w:pPr>
              <w:ind w:left="226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6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960" w:type="dxa"/>
            <w:vAlign w:val="bottom"/>
          </w:tcPr>
          <w:p>
            <w:pPr>
              <w:ind w:left="540"/>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I</w:t>
            </w:r>
          </w:p>
        </w:tc>
        <w:tc>
          <w:tcPr>
            <w:tcW w:w="7340" w:type="dxa"/>
            <w:vAlign w:val="bottom"/>
          </w:tcPr>
          <w:p>
            <w:pPr>
              <w:ind w:left="20"/>
              <w:spacing w:after="0"/>
              <w:rPr>
                <w:sz w:val="20"/>
                <w:szCs w:val="20"/>
                <w:color w:val="auto"/>
              </w:rPr>
            </w:pPr>
            <w:r>
              <w:rPr>
                <w:rFonts w:ascii="Arial" w:cs="Arial" w:eastAsia="Arial" w:hAnsi="Arial"/>
                <w:sz w:val="22"/>
                <w:szCs w:val="22"/>
                <w:color w:val="auto"/>
              </w:rPr>
              <w:t>DEFINITIONS AND INCORPORATION BY REFERENCE</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1.1</w:t>
            </w:r>
          </w:p>
        </w:tc>
        <w:tc>
          <w:tcPr>
            <w:tcW w:w="7340" w:type="dxa"/>
            <w:vAlign w:val="bottom"/>
          </w:tcPr>
          <w:p>
            <w:pPr>
              <w:ind w:left="20"/>
              <w:spacing w:after="0"/>
              <w:rPr>
                <w:sz w:val="20"/>
                <w:szCs w:val="20"/>
                <w:color w:val="auto"/>
              </w:rPr>
            </w:pPr>
            <w:r>
              <w:rPr>
                <w:rFonts w:ascii="Arial" w:cs="Arial" w:eastAsia="Arial" w:hAnsi="Arial"/>
                <w:sz w:val="22"/>
                <w:szCs w:val="22"/>
                <w:color w:val="auto"/>
              </w:rPr>
              <w:t>Definitions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w:t>
            </w:r>
          </w:p>
        </w:tc>
        <w:tc>
          <w:tcPr>
            <w:tcW w:w="7340" w:type="dxa"/>
            <w:vAlign w:val="bottom"/>
          </w:tcPr>
          <w:p>
            <w:pPr>
              <w:ind w:left="20"/>
              <w:spacing w:after="0"/>
              <w:rPr>
                <w:sz w:val="20"/>
                <w:szCs w:val="20"/>
                <w:color w:val="auto"/>
              </w:rPr>
            </w:pPr>
            <w:r>
              <w:rPr>
                <w:rFonts w:ascii="Arial" w:cs="Arial" w:eastAsia="Arial" w:hAnsi="Arial"/>
                <w:sz w:val="22"/>
                <w:szCs w:val="22"/>
                <w:color w:val="auto"/>
              </w:rPr>
              <w:t>Other Definitions.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51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1.3</w:t>
            </w:r>
          </w:p>
        </w:tc>
        <w:tc>
          <w:tcPr>
            <w:tcW w:w="7340" w:type="dxa"/>
            <w:vAlign w:val="bottom"/>
          </w:tcPr>
          <w:p>
            <w:pPr>
              <w:ind w:left="20"/>
              <w:spacing w:after="0"/>
              <w:rPr>
                <w:sz w:val="20"/>
                <w:szCs w:val="20"/>
                <w:color w:val="auto"/>
              </w:rPr>
            </w:pPr>
            <w:r>
              <w:rPr>
                <w:rFonts w:ascii="Arial" w:cs="Arial" w:eastAsia="Arial" w:hAnsi="Arial"/>
                <w:sz w:val="22"/>
                <w:szCs w:val="22"/>
                <w:color w:val="auto"/>
              </w:rPr>
              <w:t>Inapplicability of the TIA.</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53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1.4</w:t>
            </w:r>
          </w:p>
        </w:tc>
        <w:tc>
          <w:tcPr>
            <w:tcW w:w="7340" w:type="dxa"/>
            <w:vAlign w:val="bottom"/>
          </w:tcPr>
          <w:p>
            <w:pPr>
              <w:ind w:left="20"/>
              <w:spacing w:after="0"/>
              <w:rPr>
                <w:sz w:val="20"/>
                <w:szCs w:val="20"/>
                <w:color w:val="auto"/>
              </w:rPr>
            </w:pPr>
            <w:r>
              <w:rPr>
                <w:rFonts w:ascii="Arial" w:cs="Arial" w:eastAsia="Arial" w:hAnsi="Arial"/>
                <w:sz w:val="22"/>
                <w:szCs w:val="22"/>
                <w:color w:val="auto"/>
              </w:rPr>
              <w:t>Rules of Construction</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53</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II</w:t>
            </w:r>
          </w:p>
        </w:tc>
        <w:tc>
          <w:tcPr>
            <w:tcW w:w="7340" w:type="dxa"/>
            <w:vAlign w:val="bottom"/>
          </w:tcPr>
          <w:p>
            <w:pPr>
              <w:ind w:left="20"/>
              <w:spacing w:after="0"/>
              <w:rPr>
                <w:sz w:val="20"/>
                <w:szCs w:val="20"/>
                <w:color w:val="auto"/>
              </w:rPr>
            </w:pPr>
            <w:r>
              <w:rPr>
                <w:rFonts w:ascii="Arial" w:cs="Arial" w:eastAsia="Arial" w:hAnsi="Arial"/>
                <w:sz w:val="22"/>
                <w:szCs w:val="22"/>
                <w:color w:val="auto"/>
              </w:rPr>
              <w:t>THE NOTES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54</w:t>
            </w:r>
          </w:p>
        </w:tc>
        <w:tc>
          <w:tcPr>
            <w:tcW w:w="0" w:type="dxa"/>
            <w:vAlign w:val="bottom"/>
          </w:tcPr>
          <w:p>
            <w:pPr>
              <w:spacing w:after="0"/>
              <w:rPr>
                <w:sz w:val="1"/>
                <w:szCs w:val="1"/>
                <w:color w:val="auto"/>
              </w:rPr>
            </w:pPr>
          </w:p>
        </w:tc>
      </w:tr>
      <w:tr>
        <w:trPr>
          <w:trHeight w:val="297"/>
        </w:trPr>
        <w:tc>
          <w:tcPr>
            <w:tcW w:w="9940" w:type="dxa"/>
            <w:vAlign w:val="bottom"/>
            <w:gridSpan w:val="2"/>
          </w:tcPr>
          <w:p>
            <w:pPr>
              <w:ind w:left="1340"/>
              <w:spacing w:after="0"/>
              <w:rPr>
                <w:sz w:val="20"/>
                <w:szCs w:val="20"/>
                <w:color w:val="auto"/>
              </w:rPr>
            </w:pPr>
            <w:r>
              <w:rPr>
                <w:rFonts w:ascii="Arial" w:cs="Arial" w:eastAsia="Arial" w:hAnsi="Arial"/>
                <w:sz w:val="22"/>
                <w:szCs w:val="22"/>
                <w:color w:val="auto"/>
              </w:rPr>
              <w:t>SECTION 2.1 Form, Dating and Terms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54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2.2</w:t>
            </w:r>
          </w:p>
        </w:tc>
        <w:tc>
          <w:tcPr>
            <w:tcW w:w="7340" w:type="dxa"/>
            <w:vAlign w:val="bottom"/>
          </w:tcPr>
          <w:p>
            <w:pPr>
              <w:ind w:left="20"/>
              <w:spacing w:after="0"/>
              <w:rPr>
                <w:sz w:val="20"/>
                <w:szCs w:val="20"/>
                <w:color w:val="auto"/>
              </w:rPr>
            </w:pPr>
            <w:r>
              <w:rPr>
                <w:rFonts w:ascii="Arial" w:cs="Arial" w:eastAsia="Arial" w:hAnsi="Arial"/>
                <w:sz w:val="22"/>
                <w:szCs w:val="22"/>
                <w:color w:val="auto"/>
              </w:rPr>
              <w:t>Execution and Authentication</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2.3</w:t>
            </w:r>
          </w:p>
        </w:tc>
        <w:tc>
          <w:tcPr>
            <w:tcW w:w="7340" w:type="dxa"/>
            <w:vAlign w:val="bottom"/>
          </w:tcPr>
          <w:p>
            <w:pPr>
              <w:ind w:left="20"/>
              <w:spacing w:after="0"/>
              <w:rPr>
                <w:sz w:val="20"/>
                <w:szCs w:val="20"/>
                <w:color w:val="auto"/>
              </w:rPr>
            </w:pPr>
            <w:r>
              <w:rPr>
                <w:rFonts w:ascii="Arial" w:cs="Arial" w:eastAsia="Arial" w:hAnsi="Arial"/>
                <w:sz w:val="22"/>
                <w:szCs w:val="22"/>
                <w:color w:val="auto"/>
              </w:rPr>
              <w:t>Registrar and Paying Agent</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62</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2.4</w:t>
            </w:r>
          </w:p>
        </w:tc>
        <w:tc>
          <w:tcPr>
            <w:tcW w:w="7340" w:type="dxa"/>
            <w:vAlign w:val="bottom"/>
          </w:tcPr>
          <w:p>
            <w:pPr>
              <w:ind w:left="20"/>
              <w:spacing w:after="0"/>
              <w:rPr>
                <w:sz w:val="20"/>
                <w:szCs w:val="20"/>
                <w:color w:val="auto"/>
              </w:rPr>
            </w:pPr>
            <w:r>
              <w:rPr>
                <w:rFonts w:ascii="Arial" w:cs="Arial" w:eastAsia="Arial" w:hAnsi="Arial"/>
                <w:sz w:val="22"/>
                <w:szCs w:val="22"/>
                <w:color w:val="auto"/>
              </w:rPr>
              <w:t>Paying Agent To Hold Money in Trust</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2.5</w:t>
            </w:r>
          </w:p>
        </w:tc>
        <w:tc>
          <w:tcPr>
            <w:tcW w:w="7340" w:type="dxa"/>
            <w:vAlign w:val="bottom"/>
          </w:tcPr>
          <w:p>
            <w:pPr>
              <w:ind w:left="20"/>
              <w:spacing w:after="0"/>
              <w:rPr>
                <w:sz w:val="20"/>
                <w:szCs w:val="20"/>
                <w:color w:val="auto"/>
              </w:rPr>
            </w:pPr>
            <w:r>
              <w:rPr>
                <w:rFonts w:ascii="Arial" w:cs="Arial" w:eastAsia="Arial" w:hAnsi="Arial"/>
                <w:sz w:val="22"/>
                <w:szCs w:val="22"/>
                <w:color w:val="auto"/>
              </w:rPr>
              <w:t>Holder Lists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2.6</w:t>
            </w:r>
          </w:p>
        </w:tc>
        <w:tc>
          <w:tcPr>
            <w:tcW w:w="7340" w:type="dxa"/>
            <w:vAlign w:val="bottom"/>
          </w:tcPr>
          <w:p>
            <w:pPr>
              <w:ind w:left="20"/>
              <w:spacing w:after="0"/>
              <w:rPr>
                <w:sz w:val="20"/>
                <w:szCs w:val="20"/>
                <w:color w:val="auto"/>
              </w:rPr>
            </w:pPr>
            <w:r>
              <w:rPr>
                <w:rFonts w:ascii="Arial" w:cs="Arial" w:eastAsia="Arial" w:hAnsi="Arial"/>
                <w:sz w:val="22"/>
                <w:szCs w:val="22"/>
                <w:color w:val="auto"/>
              </w:rPr>
              <w:t>Transfer and Exchange</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2.7</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67</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2.8</w:t>
            </w:r>
          </w:p>
        </w:tc>
        <w:tc>
          <w:tcPr>
            <w:tcW w:w="7340" w:type="dxa"/>
            <w:vAlign w:val="bottom"/>
          </w:tcPr>
          <w:p>
            <w:pPr>
              <w:ind w:left="20"/>
              <w:spacing w:after="0"/>
              <w:rPr>
                <w:sz w:val="20"/>
                <w:szCs w:val="20"/>
                <w:color w:val="auto"/>
              </w:rPr>
            </w:pPr>
            <w:r>
              <w:rPr>
                <w:rFonts w:ascii="Arial" w:cs="Arial" w:eastAsia="Arial" w:hAnsi="Arial"/>
                <w:sz w:val="22"/>
                <w:szCs w:val="22"/>
                <w:color w:val="auto"/>
              </w:rPr>
              <w:t>Form of Certificate To Be Delivered in Connection with Transfers to IAIs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67</w:t>
            </w:r>
          </w:p>
        </w:tc>
        <w:tc>
          <w:tcPr>
            <w:tcW w:w="0" w:type="dxa"/>
            <w:vAlign w:val="bottom"/>
          </w:tcPr>
          <w:p>
            <w:pPr>
              <w:spacing w:after="0"/>
              <w:rPr>
                <w:sz w:val="1"/>
                <w:szCs w:val="1"/>
                <w:color w:val="auto"/>
              </w:rPr>
            </w:pPr>
          </w:p>
        </w:tc>
      </w:tr>
      <w:tr>
        <w:trPr>
          <w:trHeight w:val="266"/>
        </w:trPr>
        <w:tc>
          <w:tcPr>
            <w:tcW w:w="2600" w:type="dxa"/>
            <w:vAlign w:val="bottom"/>
          </w:tcPr>
          <w:p>
            <w:pPr>
              <w:jc w:val="right"/>
              <w:spacing w:after="0"/>
              <w:rPr>
                <w:sz w:val="20"/>
                <w:szCs w:val="20"/>
                <w:color w:val="auto"/>
              </w:rPr>
            </w:pPr>
            <w:r>
              <w:rPr>
                <w:rFonts w:ascii="Arial" w:cs="Arial" w:eastAsia="Arial" w:hAnsi="Arial"/>
                <w:sz w:val="22"/>
                <w:szCs w:val="22"/>
                <w:color w:val="auto"/>
              </w:rPr>
              <w:t>SECTION 2.9</w:t>
            </w:r>
          </w:p>
        </w:tc>
        <w:tc>
          <w:tcPr>
            <w:tcW w:w="7340" w:type="dxa"/>
            <w:vAlign w:val="bottom"/>
          </w:tcPr>
          <w:p>
            <w:pPr>
              <w:ind w:left="20"/>
              <w:spacing w:after="0"/>
              <w:rPr>
                <w:sz w:val="20"/>
                <w:szCs w:val="20"/>
                <w:color w:val="auto"/>
              </w:rPr>
            </w:pPr>
            <w:r>
              <w:rPr>
                <w:rFonts w:ascii="Arial" w:cs="Arial" w:eastAsia="Arial" w:hAnsi="Arial"/>
                <w:sz w:val="22"/>
                <w:szCs w:val="22"/>
                <w:color w:val="auto"/>
                <w:w w:val="97"/>
              </w:rPr>
              <w:t>Form of Certificate To Be Delivered in Connection with Transfers Pursuant to</w:t>
            </w:r>
          </w:p>
        </w:tc>
        <w:tc>
          <w:tcPr>
            <w:tcW w:w="960" w:type="dxa"/>
            <w:vAlign w:val="bottom"/>
            <w:vMerge w:val="restart"/>
          </w:tcPr>
          <w:p>
            <w:pPr>
              <w:jc w:val="center"/>
              <w:ind w:left="452"/>
              <w:spacing w:after="0"/>
              <w:rPr>
                <w:sz w:val="20"/>
                <w:szCs w:val="20"/>
                <w:color w:val="auto"/>
              </w:rPr>
            </w:pPr>
            <w:r>
              <w:rPr>
                <w:rFonts w:ascii="Arial" w:cs="Arial" w:eastAsia="Arial" w:hAnsi="Arial"/>
                <w:sz w:val="22"/>
                <w:szCs w:val="22"/>
                <w:color w:val="auto"/>
                <w:w w:val="81"/>
              </w:rPr>
              <w:t>69</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7340" w:type="dxa"/>
            <w:vAlign w:val="bottom"/>
            <w:vMerge w:val="restart"/>
          </w:tcPr>
          <w:p>
            <w:pPr>
              <w:ind w:left="20"/>
              <w:spacing w:after="0"/>
              <w:rPr>
                <w:sz w:val="20"/>
                <w:szCs w:val="20"/>
                <w:color w:val="auto"/>
              </w:rPr>
            </w:pPr>
            <w:r>
              <w:rPr>
                <w:rFonts w:ascii="Arial" w:cs="Arial" w:eastAsia="Arial" w:hAnsi="Arial"/>
                <w:sz w:val="22"/>
                <w:szCs w:val="22"/>
                <w:color w:val="auto"/>
              </w:rPr>
              <w:t>Regulation 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73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2.10</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2.11</w:t>
            </w:r>
          </w:p>
        </w:tc>
        <w:tc>
          <w:tcPr>
            <w:tcW w:w="7340" w:type="dxa"/>
            <w:vAlign w:val="bottom"/>
          </w:tcPr>
          <w:p>
            <w:pPr>
              <w:ind w:left="20"/>
              <w:spacing w:after="0"/>
              <w:rPr>
                <w:sz w:val="20"/>
                <w:szCs w:val="20"/>
                <w:color w:val="auto"/>
              </w:rPr>
            </w:pPr>
            <w:r>
              <w:rPr>
                <w:rFonts w:ascii="Arial" w:cs="Arial" w:eastAsia="Arial" w:hAnsi="Arial"/>
                <w:sz w:val="22"/>
                <w:szCs w:val="22"/>
                <w:color w:val="auto"/>
              </w:rPr>
              <w:t>Mutilated, Destroyed, Lost or Stolen Notes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2.12</w:t>
            </w:r>
          </w:p>
        </w:tc>
        <w:tc>
          <w:tcPr>
            <w:tcW w:w="7340" w:type="dxa"/>
            <w:vAlign w:val="bottom"/>
          </w:tcPr>
          <w:p>
            <w:pPr>
              <w:ind w:left="20"/>
              <w:spacing w:after="0"/>
              <w:rPr>
                <w:sz w:val="20"/>
                <w:szCs w:val="20"/>
                <w:color w:val="auto"/>
              </w:rPr>
            </w:pPr>
            <w:r>
              <w:rPr>
                <w:rFonts w:ascii="Arial" w:cs="Arial" w:eastAsia="Arial" w:hAnsi="Arial"/>
                <w:sz w:val="22"/>
                <w:szCs w:val="22"/>
                <w:color w:val="auto"/>
              </w:rPr>
              <w:t>Outstanding Notes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71</w:t>
            </w:r>
          </w:p>
        </w:tc>
        <w:tc>
          <w:tcPr>
            <w:tcW w:w="0" w:type="dxa"/>
            <w:vAlign w:val="bottom"/>
          </w:tcPr>
          <w:p>
            <w:pPr>
              <w:spacing w:after="0"/>
              <w:rPr>
                <w:sz w:val="1"/>
                <w:szCs w:val="1"/>
                <w:color w:val="auto"/>
              </w:rPr>
            </w:pPr>
          </w:p>
        </w:tc>
      </w:tr>
      <w:tr>
        <w:trPr>
          <w:trHeight w:val="297"/>
        </w:trPr>
        <w:tc>
          <w:tcPr>
            <w:tcW w:w="9940" w:type="dxa"/>
            <w:vAlign w:val="bottom"/>
            <w:gridSpan w:val="2"/>
          </w:tcPr>
          <w:p>
            <w:pPr>
              <w:ind w:left="1240"/>
              <w:spacing w:after="0"/>
              <w:rPr>
                <w:sz w:val="20"/>
                <w:szCs w:val="20"/>
                <w:color w:val="auto"/>
              </w:rPr>
            </w:pPr>
            <w:r>
              <w:rPr>
                <w:rFonts w:ascii="Arial" w:cs="Arial" w:eastAsia="Arial" w:hAnsi="Arial"/>
                <w:sz w:val="22"/>
                <w:szCs w:val="22"/>
                <w:color w:val="auto"/>
              </w:rPr>
              <w:t>SECTION 2.13 Temporary Notes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72</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2.14</w:t>
            </w:r>
          </w:p>
        </w:tc>
        <w:tc>
          <w:tcPr>
            <w:tcW w:w="7340" w:type="dxa"/>
            <w:vAlign w:val="bottom"/>
          </w:tcPr>
          <w:p>
            <w:pPr>
              <w:ind w:left="20"/>
              <w:spacing w:after="0"/>
              <w:rPr>
                <w:sz w:val="20"/>
                <w:szCs w:val="20"/>
                <w:color w:val="auto"/>
              </w:rPr>
            </w:pPr>
            <w:r>
              <w:rPr>
                <w:rFonts w:ascii="Arial" w:cs="Arial" w:eastAsia="Arial" w:hAnsi="Arial"/>
                <w:sz w:val="22"/>
                <w:szCs w:val="22"/>
                <w:color w:val="auto"/>
              </w:rPr>
              <w:t>Cancellation</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72</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2.15</w:t>
            </w:r>
          </w:p>
        </w:tc>
        <w:tc>
          <w:tcPr>
            <w:tcW w:w="7340" w:type="dxa"/>
            <w:vAlign w:val="bottom"/>
          </w:tcPr>
          <w:p>
            <w:pPr>
              <w:ind w:left="20"/>
              <w:spacing w:after="0"/>
              <w:rPr>
                <w:sz w:val="20"/>
                <w:szCs w:val="20"/>
                <w:color w:val="auto"/>
              </w:rPr>
            </w:pPr>
            <w:r>
              <w:rPr>
                <w:rFonts w:ascii="Arial" w:cs="Arial" w:eastAsia="Arial" w:hAnsi="Arial"/>
                <w:sz w:val="22"/>
                <w:szCs w:val="22"/>
                <w:color w:val="auto"/>
              </w:rPr>
              <w:t>Payment of Interest; Defaulted Interest</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73</w:t>
            </w:r>
          </w:p>
        </w:tc>
        <w:tc>
          <w:tcPr>
            <w:tcW w:w="0" w:type="dxa"/>
            <w:vAlign w:val="bottom"/>
          </w:tcPr>
          <w:p>
            <w:pPr>
              <w:spacing w:after="0"/>
              <w:rPr>
                <w:sz w:val="1"/>
                <w:szCs w:val="1"/>
                <w:color w:val="auto"/>
              </w:rPr>
            </w:pPr>
          </w:p>
        </w:tc>
      </w:tr>
      <w:tr>
        <w:trPr>
          <w:trHeight w:val="297"/>
        </w:trPr>
        <w:tc>
          <w:tcPr>
            <w:tcW w:w="9940" w:type="dxa"/>
            <w:vAlign w:val="bottom"/>
            <w:gridSpan w:val="2"/>
          </w:tcPr>
          <w:p>
            <w:pPr>
              <w:ind w:left="1240"/>
              <w:spacing w:after="0"/>
              <w:rPr>
                <w:sz w:val="20"/>
                <w:szCs w:val="20"/>
                <w:color w:val="auto"/>
              </w:rPr>
            </w:pPr>
            <w:r>
              <w:rPr>
                <w:rFonts w:ascii="Arial" w:cs="Arial" w:eastAsia="Arial" w:hAnsi="Arial"/>
                <w:sz w:val="22"/>
                <w:szCs w:val="22"/>
                <w:color w:val="auto"/>
              </w:rPr>
              <w:t>SECTION 2.16 CUSIP and ISIN Numbers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74</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III</w:t>
            </w:r>
          </w:p>
        </w:tc>
        <w:tc>
          <w:tcPr>
            <w:tcW w:w="7340" w:type="dxa"/>
            <w:vAlign w:val="bottom"/>
          </w:tcPr>
          <w:p>
            <w:pPr>
              <w:ind w:left="20"/>
              <w:spacing w:after="0"/>
              <w:rPr>
                <w:sz w:val="20"/>
                <w:szCs w:val="20"/>
                <w:color w:val="auto"/>
              </w:rPr>
            </w:pPr>
            <w:r>
              <w:rPr>
                <w:rFonts w:ascii="Arial" w:cs="Arial" w:eastAsia="Arial" w:hAnsi="Arial"/>
                <w:sz w:val="22"/>
                <w:szCs w:val="22"/>
                <w:color w:val="auto"/>
              </w:rPr>
              <w:t>COVENANTS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74</w:t>
            </w:r>
          </w:p>
        </w:tc>
        <w:tc>
          <w:tcPr>
            <w:tcW w:w="0" w:type="dxa"/>
            <w:vAlign w:val="bottom"/>
          </w:tcPr>
          <w:p>
            <w:pPr>
              <w:spacing w:after="0"/>
              <w:rPr>
                <w:sz w:val="1"/>
                <w:szCs w:val="1"/>
                <w:color w:val="auto"/>
              </w:rPr>
            </w:pPr>
          </w:p>
        </w:tc>
      </w:tr>
      <w:tr>
        <w:trPr>
          <w:trHeight w:val="297"/>
        </w:trPr>
        <w:tc>
          <w:tcPr>
            <w:tcW w:w="9940" w:type="dxa"/>
            <w:vAlign w:val="bottom"/>
            <w:gridSpan w:val="2"/>
          </w:tcPr>
          <w:p>
            <w:pPr>
              <w:ind w:left="1340"/>
              <w:spacing w:after="0"/>
              <w:rPr>
                <w:sz w:val="20"/>
                <w:szCs w:val="20"/>
                <w:color w:val="auto"/>
              </w:rPr>
            </w:pPr>
            <w:r>
              <w:rPr>
                <w:rFonts w:ascii="Arial" w:cs="Arial" w:eastAsia="Arial" w:hAnsi="Arial"/>
                <w:sz w:val="22"/>
                <w:szCs w:val="22"/>
                <w:color w:val="auto"/>
              </w:rPr>
              <w:t>SECTION 3.1 Payment of Notes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3.2</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3.3</w:t>
            </w:r>
          </w:p>
        </w:tc>
        <w:tc>
          <w:tcPr>
            <w:tcW w:w="7340" w:type="dxa"/>
            <w:vAlign w:val="bottom"/>
          </w:tcPr>
          <w:p>
            <w:pPr>
              <w:ind w:left="20"/>
              <w:spacing w:after="0"/>
              <w:rPr>
                <w:sz w:val="20"/>
                <w:szCs w:val="20"/>
                <w:color w:val="auto"/>
              </w:rPr>
            </w:pPr>
            <w:r>
              <w:rPr>
                <w:rFonts w:ascii="Arial" w:cs="Arial" w:eastAsia="Arial" w:hAnsi="Arial"/>
                <w:sz w:val="22"/>
                <w:szCs w:val="22"/>
                <w:color w:val="auto"/>
              </w:rPr>
              <w:t>Limitation on Restricted Payments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74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3.4</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3.5</w:t>
            </w:r>
          </w:p>
        </w:tc>
        <w:tc>
          <w:tcPr>
            <w:tcW w:w="7340" w:type="dxa"/>
            <w:vAlign w:val="bottom"/>
          </w:tcPr>
          <w:p>
            <w:pPr>
              <w:ind w:left="20"/>
              <w:spacing w:after="0"/>
              <w:rPr>
                <w:sz w:val="20"/>
                <w:szCs w:val="20"/>
                <w:color w:val="auto"/>
              </w:rPr>
            </w:pPr>
            <w:r>
              <w:rPr>
                <w:rFonts w:ascii="Arial" w:cs="Arial" w:eastAsia="Arial" w:hAnsi="Arial"/>
                <w:sz w:val="22"/>
                <w:szCs w:val="22"/>
                <w:color w:val="auto"/>
              </w:rPr>
              <w:t>Limitation on Sales of Assets and Subsidiary Stock</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3.6</w:t>
            </w:r>
          </w:p>
        </w:tc>
        <w:tc>
          <w:tcPr>
            <w:tcW w:w="7340" w:type="dxa"/>
            <w:vAlign w:val="bottom"/>
          </w:tcPr>
          <w:p>
            <w:pPr>
              <w:ind w:left="20"/>
              <w:spacing w:after="0"/>
              <w:rPr>
                <w:sz w:val="20"/>
                <w:szCs w:val="20"/>
                <w:color w:val="auto"/>
              </w:rPr>
            </w:pPr>
            <w:r>
              <w:rPr>
                <w:rFonts w:ascii="Arial" w:cs="Arial" w:eastAsia="Arial" w:hAnsi="Arial"/>
                <w:sz w:val="22"/>
                <w:szCs w:val="22"/>
                <w:color w:val="auto"/>
              </w:rPr>
              <w:t>Limitation on Liens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85</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3.7</w:t>
            </w:r>
          </w:p>
        </w:tc>
        <w:tc>
          <w:tcPr>
            <w:tcW w:w="7340" w:type="dxa"/>
            <w:vAlign w:val="bottom"/>
          </w:tcPr>
          <w:p>
            <w:pPr>
              <w:ind w:left="20"/>
              <w:spacing w:after="0"/>
              <w:rPr>
                <w:sz w:val="20"/>
                <w:szCs w:val="20"/>
                <w:color w:val="auto"/>
              </w:rPr>
            </w:pPr>
            <w:r>
              <w:rPr>
                <w:rFonts w:ascii="Arial" w:cs="Arial" w:eastAsia="Arial" w:hAnsi="Arial"/>
                <w:sz w:val="22"/>
                <w:szCs w:val="22"/>
                <w:color w:val="auto"/>
              </w:rPr>
              <w:t>Limitation on Subsidiary Guarantees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86</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3.8</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87</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3.9</w:t>
            </w:r>
          </w:p>
        </w:tc>
        <w:tc>
          <w:tcPr>
            <w:tcW w:w="7340" w:type="dxa"/>
            <w:vAlign w:val="bottom"/>
          </w:tcPr>
          <w:p>
            <w:pPr>
              <w:ind w:left="20"/>
              <w:spacing w:after="0"/>
              <w:rPr>
                <w:sz w:val="20"/>
                <w:szCs w:val="20"/>
                <w:color w:val="auto"/>
              </w:rPr>
            </w:pPr>
            <w:r>
              <w:rPr>
                <w:rFonts w:ascii="Arial" w:cs="Arial" w:eastAsia="Arial" w:hAnsi="Arial"/>
                <w:sz w:val="22"/>
                <w:szCs w:val="22"/>
                <w:color w:val="auto"/>
              </w:rPr>
              <w:t>Change of Control</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87</w:t>
            </w:r>
          </w:p>
        </w:tc>
        <w:tc>
          <w:tcPr>
            <w:tcW w:w="0" w:type="dxa"/>
            <w:vAlign w:val="bottom"/>
          </w:tcPr>
          <w:p>
            <w:pPr>
              <w:spacing w:after="0"/>
              <w:rPr>
                <w:sz w:val="1"/>
                <w:szCs w:val="1"/>
                <w:color w:val="auto"/>
              </w:rPr>
            </w:pPr>
          </w:p>
        </w:tc>
      </w:tr>
      <w:tr>
        <w:trPr>
          <w:trHeight w:val="297"/>
        </w:trPr>
        <w:tc>
          <w:tcPr>
            <w:tcW w:w="9940" w:type="dxa"/>
            <w:vAlign w:val="bottom"/>
            <w:gridSpan w:val="2"/>
          </w:tcPr>
          <w:p>
            <w:pPr>
              <w:ind w:left="1240"/>
              <w:spacing w:after="0"/>
              <w:rPr>
                <w:sz w:val="20"/>
                <w:szCs w:val="20"/>
                <w:color w:val="auto"/>
              </w:rPr>
            </w:pPr>
            <w:r>
              <w:rPr>
                <w:rFonts w:ascii="Arial" w:cs="Arial" w:eastAsia="Arial" w:hAnsi="Arial"/>
                <w:sz w:val="22"/>
                <w:szCs w:val="22"/>
                <w:color w:val="auto"/>
              </w:rPr>
              <w:t>SECTION 3.10 Reports</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3.11</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92</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3.12</w:t>
            </w:r>
          </w:p>
        </w:tc>
        <w:tc>
          <w:tcPr>
            <w:tcW w:w="7340" w:type="dxa"/>
            <w:vAlign w:val="bottom"/>
          </w:tcPr>
          <w:p>
            <w:pPr>
              <w:ind w:left="20"/>
              <w:spacing w:after="0"/>
              <w:rPr>
                <w:sz w:val="20"/>
                <w:szCs w:val="20"/>
                <w:color w:val="auto"/>
              </w:rPr>
            </w:pPr>
            <w:r>
              <w:rPr>
                <w:rFonts w:ascii="Arial" w:cs="Arial" w:eastAsia="Arial" w:hAnsi="Arial"/>
                <w:sz w:val="22"/>
                <w:szCs w:val="22"/>
                <w:color w:val="auto"/>
              </w:rPr>
              <w:t>Maintenance of Office or Agency</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92</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3.13</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3.14</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3.15</w:t>
            </w:r>
          </w:p>
        </w:tc>
        <w:tc>
          <w:tcPr>
            <w:tcW w:w="7340" w:type="dxa"/>
            <w:vAlign w:val="bottom"/>
          </w:tcPr>
          <w:p>
            <w:pPr>
              <w:ind w:left="2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452"/>
              <w:spacing w:after="0"/>
              <w:rPr>
                <w:sz w:val="20"/>
                <w:szCs w:val="20"/>
                <w:color w:val="auto"/>
              </w:rPr>
            </w:pPr>
            <w:r>
              <w:rPr>
                <w:rFonts w:ascii="Arial" w:cs="Arial" w:eastAsia="Arial" w:hAnsi="Arial"/>
                <w:sz w:val="22"/>
                <w:szCs w:val="22"/>
                <w:color w:val="auto"/>
                <w:w w:val="81"/>
              </w:rPr>
              <w:t>93</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900"/>
          </w:cols>
          <w:pgMar w:left="280" w:top="1071" w:right="7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75"/>
        </w:trPr>
        <w:tc>
          <w:tcPr>
            <w:tcW w:w="2600" w:type="dxa"/>
            <w:vAlign w:val="bottom"/>
          </w:tcPr>
          <w:p>
            <w:pPr>
              <w:jc w:val="right"/>
              <w:spacing w:after="0"/>
              <w:rPr>
                <w:sz w:val="20"/>
                <w:szCs w:val="20"/>
                <w:color w:val="auto"/>
              </w:rPr>
            </w:pPr>
            <w:r>
              <w:rPr>
                <w:rFonts w:ascii="Arial" w:cs="Arial" w:eastAsia="Arial" w:hAnsi="Arial"/>
                <w:sz w:val="22"/>
                <w:szCs w:val="22"/>
                <w:color w:val="auto"/>
              </w:rPr>
              <w:t>SECTION 3.16</w:t>
            </w:r>
          </w:p>
        </w:tc>
        <w:tc>
          <w:tcPr>
            <w:tcW w:w="6400" w:type="dxa"/>
            <w:vAlign w:val="bottom"/>
          </w:tcPr>
          <w:p>
            <w:pPr>
              <w:ind w:left="20"/>
              <w:spacing w:after="0"/>
              <w:rPr>
                <w:sz w:val="20"/>
                <w:szCs w:val="20"/>
                <w:color w:val="auto"/>
              </w:rPr>
            </w:pPr>
            <w:r>
              <w:rPr>
                <w:rFonts w:ascii="Arial" w:cs="Arial" w:eastAsia="Arial" w:hAnsi="Arial"/>
                <w:sz w:val="22"/>
                <w:szCs w:val="22"/>
                <w:color w:val="auto"/>
              </w:rPr>
              <w:t>Compliance Certificate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3.17</w:t>
            </w:r>
          </w:p>
        </w:tc>
        <w:tc>
          <w:tcPr>
            <w:tcW w:w="6400" w:type="dxa"/>
            <w:vAlign w:val="bottom"/>
          </w:tcPr>
          <w:p>
            <w:pPr>
              <w:ind w:left="20"/>
              <w:spacing w:after="0"/>
              <w:rPr>
                <w:sz w:val="20"/>
                <w:szCs w:val="20"/>
                <w:color w:val="auto"/>
              </w:rPr>
            </w:pPr>
            <w:r>
              <w:rPr>
                <w:rFonts w:ascii="Arial" w:cs="Arial" w:eastAsia="Arial" w:hAnsi="Arial"/>
                <w:sz w:val="22"/>
                <w:szCs w:val="22"/>
                <w:color w:val="auto"/>
              </w:rPr>
              <w:t>[Reserved]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3.18</w:t>
            </w:r>
          </w:p>
        </w:tc>
        <w:tc>
          <w:tcPr>
            <w:tcW w:w="6400" w:type="dxa"/>
            <w:vAlign w:val="bottom"/>
          </w:tcPr>
          <w:p>
            <w:pPr>
              <w:ind w:left="20"/>
              <w:spacing w:after="0"/>
              <w:rPr>
                <w:sz w:val="20"/>
                <w:szCs w:val="20"/>
                <w:color w:val="auto"/>
              </w:rPr>
            </w:pPr>
            <w:r>
              <w:rPr>
                <w:rFonts w:ascii="Arial" w:cs="Arial" w:eastAsia="Arial" w:hAnsi="Arial"/>
                <w:sz w:val="22"/>
                <w:szCs w:val="22"/>
                <w:color w:val="auto"/>
              </w:rPr>
              <w:t>[Reserved]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3.19</w:t>
            </w:r>
          </w:p>
        </w:tc>
        <w:tc>
          <w:tcPr>
            <w:tcW w:w="6400" w:type="dxa"/>
            <w:vAlign w:val="bottom"/>
          </w:tcPr>
          <w:p>
            <w:pPr>
              <w:ind w:left="20"/>
              <w:spacing w:after="0"/>
              <w:rPr>
                <w:sz w:val="20"/>
                <w:szCs w:val="20"/>
                <w:color w:val="auto"/>
              </w:rPr>
            </w:pPr>
            <w:r>
              <w:rPr>
                <w:rFonts w:ascii="Arial" w:cs="Arial" w:eastAsia="Arial" w:hAnsi="Arial"/>
                <w:sz w:val="22"/>
                <w:szCs w:val="22"/>
                <w:color w:val="auto"/>
              </w:rPr>
              <w:t>Statement by Officers as to Default</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3.20</w:t>
            </w:r>
          </w:p>
        </w:tc>
        <w:tc>
          <w:tcPr>
            <w:tcW w:w="6400" w:type="dxa"/>
            <w:vAlign w:val="bottom"/>
          </w:tcPr>
          <w:p>
            <w:pPr>
              <w:ind w:left="20"/>
              <w:spacing w:after="0"/>
              <w:rPr>
                <w:sz w:val="20"/>
                <w:szCs w:val="20"/>
                <w:color w:val="auto"/>
              </w:rPr>
            </w:pPr>
            <w:r>
              <w:rPr>
                <w:rFonts w:ascii="Arial" w:cs="Arial" w:eastAsia="Arial" w:hAnsi="Arial"/>
                <w:sz w:val="22"/>
                <w:szCs w:val="22"/>
                <w:color w:val="auto"/>
              </w:rPr>
              <w:t>Designation of Restricted and Unrestricted Subsidiaries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3.21</w:t>
            </w:r>
          </w:p>
        </w:tc>
        <w:tc>
          <w:tcPr>
            <w:tcW w:w="6400" w:type="dxa"/>
            <w:vAlign w:val="bottom"/>
          </w:tcPr>
          <w:p>
            <w:pPr>
              <w:ind w:left="20"/>
              <w:spacing w:after="0"/>
              <w:rPr>
                <w:sz w:val="20"/>
                <w:szCs w:val="20"/>
                <w:color w:val="auto"/>
              </w:rPr>
            </w:pPr>
            <w:r>
              <w:rPr>
                <w:rFonts w:ascii="Arial" w:cs="Arial" w:eastAsia="Arial" w:hAnsi="Arial"/>
                <w:sz w:val="22"/>
                <w:szCs w:val="22"/>
                <w:color w:val="auto"/>
              </w:rPr>
              <w:t>Suspension of Certain Covenants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94</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3.22</w:t>
            </w:r>
          </w:p>
        </w:tc>
        <w:tc>
          <w:tcPr>
            <w:tcW w:w="6400" w:type="dxa"/>
            <w:vAlign w:val="bottom"/>
          </w:tcPr>
          <w:p>
            <w:pPr>
              <w:ind w:left="20"/>
              <w:spacing w:after="0"/>
              <w:rPr>
                <w:sz w:val="20"/>
                <w:szCs w:val="20"/>
                <w:color w:val="auto"/>
              </w:rPr>
            </w:pPr>
            <w:r>
              <w:rPr>
                <w:rFonts w:ascii="Arial" w:cs="Arial" w:eastAsia="Arial" w:hAnsi="Arial"/>
                <w:sz w:val="22"/>
                <w:szCs w:val="22"/>
                <w:color w:val="auto"/>
              </w:rPr>
              <w:t>Termination of Certain Covenants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95</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IV</w:t>
            </w:r>
          </w:p>
        </w:tc>
        <w:tc>
          <w:tcPr>
            <w:tcW w:w="6400" w:type="dxa"/>
            <w:vAlign w:val="bottom"/>
          </w:tcPr>
          <w:p>
            <w:pPr>
              <w:ind w:left="20"/>
              <w:spacing w:after="0"/>
              <w:rPr>
                <w:sz w:val="20"/>
                <w:szCs w:val="20"/>
                <w:color w:val="auto"/>
              </w:rPr>
            </w:pPr>
            <w:r>
              <w:rPr>
                <w:rFonts w:ascii="Arial" w:cs="Arial" w:eastAsia="Arial" w:hAnsi="Arial"/>
                <w:sz w:val="22"/>
                <w:szCs w:val="22"/>
                <w:color w:val="auto"/>
              </w:rPr>
              <w:t>SUCCESSOR COMPANY; Successor Person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95</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4.1</w:t>
            </w:r>
          </w:p>
        </w:tc>
        <w:tc>
          <w:tcPr>
            <w:tcW w:w="6400" w:type="dxa"/>
            <w:vAlign w:val="bottom"/>
          </w:tcPr>
          <w:p>
            <w:pPr>
              <w:ind w:left="20"/>
              <w:spacing w:after="0"/>
              <w:rPr>
                <w:sz w:val="20"/>
                <w:szCs w:val="20"/>
                <w:color w:val="auto"/>
              </w:rPr>
            </w:pPr>
            <w:r>
              <w:rPr>
                <w:rFonts w:ascii="Arial" w:cs="Arial" w:eastAsia="Arial" w:hAnsi="Arial"/>
                <w:sz w:val="22"/>
                <w:szCs w:val="22"/>
                <w:color w:val="auto"/>
              </w:rPr>
              <w:t>Merger and Consolidation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95</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V</w:t>
            </w:r>
          </w:p>
        </w:tc>
        <w:tc>
          <w:tcPr>
            <w:tcW w:w="6400" w:type="dxa"/>
            <w:vAlign w:val="bottom"/>
          </w:tcPr>
          <w:p>
            <w:pPr>
              <w:ind w:left="20"/>
              <w:spacing w:after="0"/>
              <w:rPr>
                <w:sz w:val="20"/>
                <w:szCs w:val="20"/>
                <w:color w:val="auto"/>
              </w:rPr>
            </w:pPr>
            <w:r>
              <w:rPr>
                <w:rFonts w:ascii="Arial" w:cs="Arial" w:eastAsia="Arial" w:hAnsi="Arial"/>
                <w:sz w:val="22"/>
                <w:szCs w:val="22"/>
                <w:color w:val="auto"/>
              </w:rPr>
              <w:t>REDEMPTION OF SECURITIES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5.1</w:t>
            </w:r>
          </w:p>
        </w:tc>
        <w:tc>
          <w:tcPr>
            <w:tcW w:w="6400" w:type="dxa"/>
            <w:vAlign w:val="bottom"/>
          </w:tcPr>
          <w:p>
            <w:pPr>
              <w:ind w:left="20"/>
              <w:spacing w:after="0"/>
              <w:rPr>
                <w:sz w:val="20"/>
                <w:szCs w:val="20"/>
                <w:color w:val="auto"/>
              </w:rPr>
            </w:pPr>
            <w:r>
              <w:rPr>
                <w:rFonts w:ascii="Arial" w:cs="Arial" w:eastAsia="Arial" w:hAnsi="Arial"/>
                <w:sz w:val="22"/>
                <w:szCs w:val="22"/>
                <w:color w:val="auto"/>
              </w:rPr>
              <w:t>Notices to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5.2</w:t>
            </w:r>
          </w:p>
        </w:tc>
        <w:tc>
          <w:tcPr>
            <w:tcW w:w="6400" w:type="dxa"/>
            <w:vAlign w:val="bottom"/>
          </w:tcPr>
          <w:p>
            <w:pPr>
              <w:ind w:left="20"/>
              <w:spacing w:after="0"/>
              <w:rPr>
                <w:sz w:val="20"/>
                <w:szCs w:val="20"/>
                <w:color w:val="auto"/>
              </w:rPr>
            </w:pPr>
            <w:r>
              <w:rPr>
                <w:rFonts w:ascii="Arial" w:cs="Arial" w:eastAsia="Arial" w:hAnsi="Arial"/>
                <w:sz w:val="22"/>
                <w:szCs w:val="22"/>
                <w:color w:val="auto"/>
              </w:rPr>
              <w:t>Selection of Notes To Be Redeemed or Purchased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5.3</w:t>
            </w:r>
          </w:p>
        </w:tc>
        <w:tc>
          <w:tcPr>
            <w:tcW w:w="6400" w:type="dxa"/>
            <w:vAlign w:val="bottom"/>
          </w:tcPr>
          <w:p>
            <w:pPr>
              <w:ind w:left="20"/>
              <w:spacing w:after="0"/>
              <w:rPr>
                <w:sz w:val="20"/>
                <w:szCs w:val="20"/>
                <w:color w:val="auto"/>
              </w:rPr>
            </w:pPr>
            <w:r>
              <w:rPr>
                <w:rFonts w:ascii="Arial" w:cs="Arial" w:eastAsia="Arial" w:hAnsi="Arial"/>
                <w:sz w:val="22"/>
                <w:szCs w:val="22"/>
                <w:color w:val="auto"/>
              </w:rPr>
              <w:t>Notice of Redemption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98</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5.4</w:t>
            </w:r>
          </w:p>
        </w:tc>
        <w:tc>
          <w:tcPr>
            <w:tcW w:w="6400" w:type="dxa"/>
            <w:vAlign w:val="bottom"/>
          </w:tcPr>
          <w:p>
            <w:pPr>
              <w:ind w:left="20"/>
              <w:spacing w:after="0"/>
              <w:rPr>
                <w:sz w:val="20"/>
                <w:szCs w:val="20"/>
                <w:color w:val="auto"/>
              </w:rPr>
            </w:pPr>
            <w:r>
              <w:rPr>
                <w:rFonts w:ascii="Arial" w:cs="Arial" w:eastAsia="Arial" w:hAnsi="Arial"/>
                <w:sz w:val="22"/>
                <w:szCs w:val="22"/>
                <w:color w:val="auto"/>
              </w:rPr>
              <w:t>Effect of Notice of Redemption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99</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5.5</w:t>
            </w:r>
          </w:p>
        </w:tc>
        <w:tc>
          <w:tcPr>
            <w:tcW w:w="6400" w:type="dxa"/>
            <w:vAlign w:val="bottom"/>
          </w:tcPr>
          <w:p>
            <w:pPr>
              <w:ind w:left="20"/>
              <w:spacing w:after="0"/>
              <w:rPr>
                <w:sz w:val="20"/>
                <w:szCs w:val="20"/>
                <w:color w:val="auto"/>
              </w:rPr>
            </w:pPr>
            <w:r>
              <w:rPr>
                <w:rFonts w:ascii="Arial" w:cs="Arial" w:eastAsia="Arial" w:hAnsi="Arial"/>
                <w:sz w:val="22"/>
                <w:szCs w:val="22"/>
                <w:color w:val="auto"/>
              </w:rPr>
              <w:t>Deposit of Redemption or Purchase Price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1"/>
              </w:rPr>
              <w:t>99</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5.6</w:t>
            </w:r>
          </w:p>
        </w:tc>
        <w:tc>
          <w:tcPr>
            <w:tcW w:w="6400" w:type="dxa"/>
            <w:vAlign w:val="bottom"/>
          </w:tcPr>
          <w:p>
            <w:pPr>
              <w:ind w:left="20"/>
              <w:spacing w:after="0"/>
              <w:rPr>
                <w:sz w:val="20"/>
                <w:szCs w:val="20"/>
                <w:color w:val="auto"/>
              </w:rPr>
            </w:pPr>
            <w:r>
              <w:rPr>
                <w:rFonts w:ascii="Arial" w:cs="Arial" w:eastAsia="Arial" w:hAnsi="Arial"/>
                <w:sz w:val="22"/>
                <w:szCs w:val="22"/>
                <w:color w:val="auto"/>
              </w:rPr>
              <w:t>Notes Redeemed or Purchased in Part</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100</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5.7</w:t>
            </w:r>
          </w:p>
        </w:tc>
        <w:tc>
          <w:tcPr>
            <w:tcW w:w="6400" w:type="dxa"/>
            <w:vAlign w:val="bottom"/>
          </w:tcPr>
          <w:p>
            <w:pPr>
              <w:ind w:left="20"/>
              <w:spacing w:after="0"/>
              <w:rPr>
                <w:sz w:val="20"/>
                <w:szCs w:val="20"/>
                <w:color w:val="auto"/>
              </w:rPr>
            </w:pPr>
            <w:r>
              <w:rPr>
                <w:rFonts w:ascii="Arial" w:cs="Arial" w:eastAsia="Arial" w:hAnsi="Arial"/>
                <w:sz w:val="22"/>
                <w:szCs w:val="22"/>
                <w:color w:val="auto"/>
              </w:rPr>
              <w:t>Optional Redemption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100</w:t>
            </w:r>
          </w:p>
        </w:tc>
      </w:tr>
      <w:tr>
        <w:trPr>
          <w:trHeight w:val="297"/>
        </w:trPr>
        <w:tc>
          <w:tcPr>
            <w:tcW w:w="9000" w:type="dxa"/>
            <w:vAlign w:val="bottom"/>
            <w:gridSpan w:val="2"/>
          </w:tcPr>
          <w:p>
            <w:pPr>
              <w:ind w:left="1340"/>
              <w:spacing w:after="0"/>
              <w:rPr>
                <w:sz w:val="20"/>
                <w:szCs w:val="20"/>
                <w:color w:val="auto"/>
              </w:rPr>
            </w:pPr>
            <w:r>
              <w:rPr>
                <w:rFonts w:ascii="Arial" w:cs="Arial" w:eastAsia="Arial" w:hAnsi="Arial"/>
                <w:sz w:val="22"/>
                <w:szCs w:val="22"/>
                <w:color w:val="auto"/>
              </w:rPr>
              <w:t>SECTION 5.8 Mandatory Redemption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101</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VI</w:t>
            </w:r>
          </w:p>
        </w:tc>
        <w:tc>
          <w:tcPr>
            <w:tcW w:w="6400" w:type="dxa"/>
            <w:vAlign w:val="bottom"/>
          </w:tcPr>
          <w:p>
            <w:pPr>
              <w:ind w:left="20"/>
              <w:spacing w:after="0"/>
              <w:rPr>
                <w:sz w:val="20"/>
                <w:szCs w:val="20"/>
                <w:color w:val="auto"/>
              </w:rPr>
            </w:pPr>
            <w:r>
              <w:rPr>
                <w:rFonts w:ascii="Arial" w:cs="Arial" w:eastAsia="Arial" w:hAnsi="Arial"/>
                <w:sz w:val="22"/>
                <w:szCs w:val="22"/>
                <w:color w:val="auto"/>
              </w:rPr>
              <w:t>DEFAULTS AND REMEDIES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6.1</w:t>
            </w:r>
          </w:p>
        </w:tc>
        <w:tc>
          <w:tcPr>
            <w:tcW w:w="6400" w:type="dxa"/>
            <w:vAlign w:val="bottom"/>
          </w:tcPr>
          <w:p>
            <w:pPr>
              <w:ind w:left="20"/>
              <w:spacing w:after="0"/>
              <w:rPr>
                <w:sz w:val="20"/>
                <w:szCs w:val="20"/>
                <w:color w:val="auto"/>
              </w:rPr>
            </w:pPr>
            <w:r>
              <w:rPr>
                <w:rFonts w:ascii="Arial" w:cs="Arial" w:eastAsia="Arial" w:hAnsi="Arial"/>
                <w:sz w:val="22"/>
                <w:szCs w:val="22"/>
                <w:color w:val="auto"/>
              </w:rPr>
              <w:t>Events of Default</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6.2</w:t>
            </w:r>
          </w:p>
        </w:tc>
        <w:tc>
          <w:tcPr>
            <w:tcW w:w="6400" w:type="dxa"/>
            <w:vAlign w:val="bottom"/>
          </w:tcPr>
          <w:p>
            <w:pPr>
              <w:ind w:left="20"/>
              <w:spacing w:after="0"/>
              <w:rPr>
                <w:sz w:val="20"/>
                <w:szCs w:val="20"/>
                <w:color w:val="auto"/>
              </w:rPr>
            </w:pPr>
            <w:r>
              <w:rPr>
                <w:rFonts w:ascii="Arial" w:cs="Arial" w:eastAsia="Arial" w:hAnsi="Arial"/>
                <w:sz w:val="22"/>
                <w:szCs w:val="22"/>
                <w:color w:val="auto"/>
              </w:rPr>
              <w:t>Acceleration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104</w:t>
            </w:r>
          </w:p>
        </w:tc>
      </w:tr>
      <w:tr>
        <w:trPr>
          <w:trHeight w:val="297"/>
        </w:trPr>
        <w:tc>
          <w:tcPr>
            <w:tcW w:w="9000" w:type="dxa"/>
            <w:vAlign w:val="bottom"/>
            <w:gridSpan w:val="2"/>
          </w:tcPr>
          <w:p>
            <w:pPr>
              <w:ind w:left="1340"/>
              <w:spacing w:after="0"/>
              <w:rPr>
                <w:sz w:val="20"/>
                <w:szCs w:val="20"/>
                <w:color w:val="auto"/>
              </w:rPr>
            </w:pPr>
            <w:r>
              <w:rPr>
                <w:rFonts w:ascii="Arial" w:cs="Arial" w:eastAsia="Arial" w:hAnsi="Arial"/>
                <w:sz w:val="22"/>
                <w:szCs w:val="22"/>
                <w:color w:val="auto"/>
              </w:rPr>
              <w:t>SECTION 6.3 Other Remedies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105</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6.4</w:t>
            </w:r>
          </w:p>
        </w:tc>
        <w:tc>
          <w:tcPr>
            <w:tcW w:w="6400" w:type="dxa"/>
            <w:vAlign w:val="bottom"/>
          </w:tcPr>
          <w:p>
            <w:pPr>
              <w:ind w:left="20"/>
              <w:spacing w:after="0"/>
              <w:rPr>
                <w:sz w:val="20"/>
                <w:szCs w:val="20"/>
                <w:color w:val="auto"/>
              </w:rPr>
            </w:pPr>
            <w:r>
              <w:rPr>
                <w:rFonts w:ascii="Arial" w:cs="Arial" w:eastAsia="Arial" w:hAnsi="Arial"/>
                <w:sz w:val="22"/>
                <w:szCs w:val="22"/>
                <w:color w:val="auto"/>
              </w:rPr>
              <w:t>Waiver of Past Defaults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106</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6.5</w:t>
            </w:r>
          </w:p>
        </w:tc>
        <w:tc>
          <w:tcPr>
            <w:tcW w:w="6400" w:type="dxa"/>
            <w:vAlign w:val="bottom"/>
          </w:tcPr>
          <w:p>
            <w:pPr>
              <w:ind w:left="20"/>
              <w:spacing w:after="0"/>
              <w:rPr>
                <w:sz w:val="20"/>
                <w:szCs w:val="20"/>
                <w:color w:val="auto"/>
              </w:rPr>
            </w:pPr>
            <w:r>
              <w:rPr>
                <w:rFonts w:ascii="Arial" w:cs="Arial" w:eastAsia="Arial" w:hAnsi="Arial"/>
                <w:sz w:val="22"/>
                <w:szCs w:val="22"/>
                <w:color w:val="auto"/>
              </w:rPr>
              <w:t>Control by Majority</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106</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6.6</w:t>
            </w:r>
          </w:p>
        </w:tc>
        <w:tc>
          <w:tcPr>
            <w:tcW w:w="6400" w:type="dxa"/>
            <w:vAlign w:val="bottom"/>
          </w:tcPr>
          <w:p>
            <w:pPr>
              <w:ind w:left="20"/>
              <w:spacing w:after="0"/>
              <w:rPr>
                <w:sz w:val="20"/>
                <w:szCs w:val="20"/>
                <w:color w:val="auto"/>
              </w:rPr>
            </w:pPr>
            <w:r>
              <w:rPr>
                <w:rFonts w:ascii="Arial" w:cs="Arial" w:eastAsia="Arial" w:hAnsi="Arial"/>
                <w:sz w:val="22"/>
                <w:szCs w:val="22"/>
                <w:color w:val="auto"/>
              </w:rPr>
              <w:t>Limitation on Suits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106</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6.7</w:t>
            </w:r>
          </w:p>
        </w:tc>
        <w:tc>
          <w:tcPr>
            <w:tcW w:w="6400" w:type="dxa"/>
            <w:vAlign w:val="bottom"/>
          </w:tcPr>
          <w:p>
            <w:pPr>
              <w:ind w:left="20"/>
              <w:spacing w:after="0"/>
              <w:rPr>
                <w:sz w:val="20"/>
                <w:szCs w:val="20"/>
                <w:color w:val="auto"/>
              </w:rPr>
            </w:pPr>
            <w:r>
              <w:rPr>
                <w:rFonts w:ascii="Arial" w:cs="Arial" w:eastAsia="Arial" w:hAnsi="Arial"/>
                <w:sz w:val="22"/>
                <w:szCs w:val="22"/>
                <w:color w:val="auto"/>
              </w:rPr>
              <w:t>[Reserved].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6.8</w:t>
            </w:r>
          </w:p>
        </w:tc>
        <w:tc>
          <w:tcPr>
            <w:tcW w:w="6400" w:type="dxa"/>
            <w:vAlign w:val="bottom"/>
          </w:tcPr>
          <w:p>
            <w:pPr>
              <w:ind w:left="20"/>
              <w:spacing w:after="0"/>
              <w:rPr>
                <w:sz w:val="20"/>
                <w:szCs w:val="20"/>
                <w:color w:val="auto"/>
              </w:rPr>
            </w:pPr>
            <w:r>
              <w:rPr>
                <w:rFonts w:ascii="Arial" w:cs="Arial" w:eastAsia="Arial" w:hAnsi="Arial"/>
                <w:sz w:val="22"/>
                <w:szCs w:val="22"/>
                <w:color w:val="auto"/>
              </w:rPr>
              <w:t>Collection Suit by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6.9</w:t>
            </w:r>
          </w:p>
        </w:tc>
        <w:tc>
          <w:tcPr>
            <w:tcW w:w="6400" w:type="dxa"/>
            <w:vAlign w:val="bottom"/>
          </w:tcPr>
          <w:p>
            <w:pPr>
              <w:ind w:left="20"/>
              <w:spacing w:after="0"/>
              <w:rPr>
                <w:sz w:val="20"/>
                <w:szCs w:val="20"/>
                <w:color w:val="auto"/>
              </w:rPr>
            </w:pPr>
            <w:r>
              <w:rPr>
                <w:rFonts w:ascii="Arial" w:cs="Arial" w:eastAsia="Arial" w:hAnsi="Arial"/>
                <w:sz w:val="22"/>
                <w:szCs w:val="22"/>
                <w:color w:val="auto"/>
              </w:rPr>
              <w:t>Trustee May File Proofs of Claim</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6.10</w:t>
            </w:r>
          </w:p>
        </w:tc>
        <w:tc>
          <w:tcPr>
            <w:tcW w:w="6400" w:type="dxa"/>
            <w:vAlign w:val="bottom"/>
          </w:tcPr>
          <w:p>
            <w:pPr>
              <w:ind w:left="20"/>
              <w:spacing w:after="0"/>
              <w:rPr>
                <w:sz w:val="20"/>
                <w:szCs w:val="20"/>
                <w:color w:val="auto"/>
              </w:rPr>
            </w:pPr>
            <w:r>
              <w:rPr>
                <w:rFonts w:ascii="Arial" w:cs="Arial" w:eastAsia="Arial" w:hAnsi="Arial"/>
                <w:sz w:val="22"/>
                <w:szCs w:val="22"/>
                <w:color w:val="auto"/>
              </w:rPr>
              <w:t>Priorities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107</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6.11</w:t>
            </w:r>
          </w:p>
        </w:tc>
        <w:tc>
          <w:tcPr>
            <w:tcW w:w="6400" w:type="dxa"/>
            <w:vAlign w:val="bottom"/>
          </w:tcPr>
          <w:p>
            <w:pPr>
              <w:ind w:left="20"/>
              <w:spacing w:after="0"/>
              <w:rPr>
                <w:sz w:val="20"/>
                <w:szCs w:val="20"/>
                <w:color w:val="auto"/>
              </w:rPr>
            </w:pPr>
            <w:r>
              <w:rPr>
                <w:rFonts w:ascii="Arial" w:cs="Arial" w:eastAsia="Arial" w:hAnsi="Arial"/>
                <w:sz w:val="22"/>
                <w:szCs w:val="22"/>
                <w:color w:val="auto"/>
              </w:rPr>
              <w:t>Undertaking for Costs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108</w:t>
            </w: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VII</w:t>
            </w:r>
          </w:p>
        </w:tc>
        <w:tc>
          <w:tcPr>
            <w:tcW w:w="6400" w:type="dxa"/>
            <w:vAlign w:val="bottom"/>
          </w:tcPr>
          <w:p>
            <w:pPr>
              <w:ind w:left="20"/>
              <w:spacing w:after="0"/>
              <w:rPr>
                <w:sz w:val="20"/>
                <w:szCs w:val="20"/>
                <w:color w:val="auto"/>
              </w:rPr>
            </w:pPr>
            <w:r>
              <w:rPr>
                <w:rFonts w:ascii="Arial" w:cs="Arial" w:eastAsia="Arial" w:hAnsi="Arial"/>
                <w:sz w:val="22"/>
                <w:szCs w:val="22"/>
                <w:color w:val="auto"/>
              </w:rPr>
              <w:t>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108</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7.1</w:t>
            </w:r>
          </w:p>
        </w:tc>
        <w:tc>
          <w:tcPr>
            <w:tcW w:w="6400" w:type="dxa"/>
            <w:vAlign w:val="bottom"/>
          </w:tcPr>
          <w:p>
            <w:pPr>
              <w:ind w:left="20"/>
              <w:spacing w:after="0"/>
              <w:rPr>
                <w:sz w:val="20"/>
                <w:szCs w:val="20"/>
                <w:color w:val="auto"/>
              </w:rPr>
            </w:pPr>
            <w:r>
              <w:rPr>
                <w:rFonts w:ascii="Arial" w:cs="Arial" w:eastAsia="Arial" w:hAnsi="Arial"/>
                <w:sz w:val="22"/>
                <w:szCs w:val="22"/>
                <w:color w:val="auto"/>
              </w:rPr>
              <w:t>Duties of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108</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7.2</w:t>
            </w:r>
          </w:p>
        </w:tc>
        <w:tc>
          <w:tcPr>
            <w:tcW w:w="6400" w:type="dxa"/>
            <w:vAlign w:val="bottom"/>
          </w:tcPr>
          <w:p>
            <w:pPr>
              <w:ind w:left="20"/>
              <w:spacing w:after="0"/>
              <w:rPr>
                <w:sz w:val="20"/>
                <w:szCs w:val="20"/>
                <w:color w:val="auto"/>
              </w:rPr>
            </w:pPr>
            <w:r>
              <w:rPr>
                <w:rFonts w:ascii="Arial" w:cs="Arial" w:eastAsia="Arial" w:hAnsi="Arial"/>
                <w:sz w:val="22"/>
                <w:szCs w:val="22"/>
                <w:color w:val="auto"/>
              </w:rPr>
              <w:t>Rights of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109</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7.3</w:t>
            </w:r>
          </w:p>
        </w:tc>
        <w:tc>
          <w:tcPr>
            <w:tcW w:w="6400" w:type="dxa"/>
            <w:vAlign w:val="bottom"/>
          </w:tcPr>
          <w:p>
            <w:pPr>
              <w:ind w:left="20"/>
              <w:spacing w:after="0"/>
              <w:rPr>
                <w:sz w:val="20"/>
                <w:szCs w:val="20"/>
                <w:color w:val="auto"/>
              </w:rPr>
            </w:pPr>
            <w:r>
              <w:rPr>
                <w:rFonts w:ascii="Arial" w:cs="Arial" w:eastAsia="Arial" w:hAnsi="Arial"/>
                <w:sz w:val="22"/>
                <w:szCs w:val="22"/>
                <w:color w:val="auto"/>
              </w:rPr>
              <w:t>Individual Rights of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7.4</w:t>
            </w:r>
          </w:p>
        </w:tc>
        <w:tc>
          <w:tcPr>
            <w:tcW w:w="6400" w:type="dxa"/>
            <w:vAlign w:val="bottom"/>
          </w:tcPr>
          <w:p>
            <w:pPr>
              <w:ind w:left="20"/>
              <w:spacing w:after="0"/>
              <w:rPr>
                <w:sz w:val="20"/>
                <w:szCs w:val="20"/>
                <w:color w:val="auto"/>
              </w:rPr>
            </w:pPr>
            <w:r>
              <w:rPr>
                <w:rFonts w:ascii="Arial" w:cs="Arial" w:eastAsia="Arial" w:hAnsi="Arial"/>
                <w:sz w:val="22"/>
                <w:szCs w:val="22"/>
                <w:color w:val="auto"/>
              </w:rPr>
              <w:t>Trustee’s Disclaimer</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7.5</w:t>
            </w:r>
          </w:p>
        </w:tc>
        <w:tc>
          <w:tcPr>
            <w:tcW w:w="6400" w:type="dxa"/>
            <w:vAlign w:val="bottom"/>
          </w:tcPr>
          <w:p>
            <w:pPr>
              <w:ind w:left="20"/>
              <w:spacing w:after="0"/>
              <w:rPr>
                <w:sz w:val="20"/>
                <w:szCs w:val="20"/>
                <w:color w:val="auto"/>
              </w:rPr>
            </w:pPr>
            <w:r>
              <w:rPr>
                <w:rFonts w:ascii="Arial" w:cs="Arial" w:eastAsia="Arial" w:hAnsi="Arial"/>
                <w:sz w:val="22"/>
                <w:szCs w:val="22"/>
                <w:color w:val="auto"/>
              </w:rPr>
              <w:t>Notice of Defaults</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7.6</w:t>
            </w:r>
          </w:p>
        </w:tc>
        <w:tc>
          <w:tcPr>
            <w:tcW w:w="6400" w:type="dxa"/>
            <w:vAlign w:val="bottom"/>
          </w:tcPr>
          <w:p>
            <w:pPr>
              <w:ind w:left="20"/>
              <w:spacing w:after="0"/>
              <w:rPr>
                <w:sz w:val="20"/>
                <w:szCs w:val="20"/>
                <w:color w:val="auto"/>
              </w:rPr>
            </w:pPr>
            <w:r>
              <w:rPr>
                <w:rFonts w:ascii="Arial" w:cs="Arial" w:eastAsia="Arial" w:hAnsi="Arial"/>
                <w:sz w:val="22"/>
                <w:szCs w:val="22"/>
                <w:color w:val="auto"/>
              </w:rPr>
              <w:t>[Reserved]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7.7</w:t>
            </w:r>
          </w:p>
        </w:tc>
        <w:tc>
          <w:tcPr>
            <w:tcW w:w="6400" w:type="dxa"/>
            <w:vAlign w:val="bottom"/>
          </w:tcPr>
          <w:p>
            <w:pPr>
              <w:ind w:left="20"/>
              <w:spacing w:after="0"/>
              <w:rPr>
                <w:sz w:val="20"/>
                <w:szCs w:val="20"/>
                <w:color w:val="auto"/>
              </w:rPr>
            </w:pPr>
            <w:r>
              <w:rPr>
                <w:rFonts w:ascii="Arial" w:cs="Arial" w:eastAsia="Arial" w:hAnsi="Arial"/>
                <w:sz w:val="22"/>
                <w:szCs w:val="22"/>
                <w:color w:val="auto"/>
              </w:rPr>
              <w:t>Compensation and Indemnity</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111</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7.8</w:t>
            </w:r>
          </w:p>
        </w:tc>
        <w:tc>
          <w:tcPr>
            <w:tcW w:w="6400" w:type="dxa"/>
            <w:vAlign w:val="bottom"/>
          </w:tcPr>
          <w:p>
            <w:pPr>
              <w:ind w:left="20"/>
              <w:spacing w:after="0"/>
              <w:rPr>
                <w:sz w:val="20"/>
                <w:szCs w:val="20"/>
                <w:color w:val="auto"/>
              </w:rPr>
            </w:pPr>
            <w:r>
              <w:rPr>
                <w:rFonts w:ascii="Arial" w:cs="Arial" w:eastAsia="Arial" w:hAnsi="Arial"/>
                <w:sz w:val="22"/>
                <w:szCs w:val="22"/>
                <w:color w:val="auto"/>
              </w:rPr>
              <w:t>Replacement of Trustee</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112</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7.9</w:t>
            </w:r>
          </w:p>
        </w:tc>
        <w:tc>
          <w:tcPr>
            <w:tcW w:w="6400" w:type="dxa"/>
            <w:vAlign w:val="bottom"/>
          </w:tcPr>
          <w:p>
            <w:pPr>
              <w:ind w:left="20"/>
              <w:spacing w:after="0"/>
              <w:rPr>
                <w:sz w:val="20"/>
                <w:szCs w:val="20"/>
                <w:color w:val="auto"/>
              </w:rPr>
            </w:pPr>
            <w:r>
              <w:rPr>
                <w:rFonts w:ascii="Arial" w:cs="Arial" w:eastAsia="Arial" w:hAnsi="Arial"/>
                <w:sz w:val="22"/>
                <w:szCs w:val="22"/>
                <w:color w:val="auto"/>
              </w:rPr>
              <w:t>Successor Trustee by Merger</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113</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7.10</w:t>
            </w:r>
          </w:p>
        </w:tc>
        <w:tc>
          <w:tcPr>
            <w:tcW w:w="6400" w:type="dxa"/>
            <w:vAlign w:val="bottom"/>
          </w:tcPr>
          <w:p>
            <w:pPr>
              <w:ind w:left="20"/>
              <w:spacing w:after="0"/>
              <w:rPr>
                <w:sz w:val="20"/>
                <w:szCs w:val="20"/>
                <w:color w:val="auto"/>
              </w:rPr>
            </w:pPr>
            <w:r>
              <w:rPr>
                <w:rFonts w:ascii="Arial" w:cs="Arial" w:eastAsia="Arial" w:hAnsi="Arial"/>
                <w:sz w:val="22"/>
                <w:szCs w:val="22"/>
                <w:color w:val="auto"/>
              </w:rPr>
              <w:t>Eligibility; Disqualification</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114</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7.11</w:t>
            </w:r>
          </w:p>
        </w:tc>
        <w:tc>
          <w:tcPr>
            <w:tcW w:w="6400" w:type="dxa"/>
            <w:vAlign w:val="bottom"/>
          </w:tcPr>
          <w:p>
            <w:pPr>
              <w:ind w:left="20"/>
              <w:spacing w:after="0"/>
              <w:rPr>
                <w:sz w:val="20"/>
                <w:szCs w:val="20"/>
                <w:color w:val="auto"/>
              </w:rPr>
            </w:pPr>
            <w:r>
              <w:rPr>
                <w:rFonts w:ascii="Arial" w:cs="Arial" w:eastAsia="Arial" w:hAnsi="Arial"/>
                <w:sz w:val="22"/>
                <w:szCs w:val="22"/>
                <w:color w:val="auto"/>
              </w:rPr>
              <w:t>[Reserved].</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114</w:t>
            </w: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7.12</w:t>
            </w:r>
          </w:p>
        </w:tc>
        <w:tc>
          <w:tcPr>
            <w:tcW w:w="6400" w:type="dxa"/>
            <w:vAlign w:val="bottom"/>
          </w:tcPr>
          <w:p>
            <w:pPr>
              <w:ind w:left="20"/>
              <w:spacing w:after="0"/>
              <w:rPr>
                <w:sz w:val="20"/>
                <w:szCs w:val="20"/>
                <w:color w:val="auto"/>
              </w:rPr>
            </w:pPr>
            <w:r>
              <w:rPr>
                <w:rFonts w:ascii="Arial" w:cs="Arial" w:eastAsia="Arial" w:hAnsi="Arial"/>
                <w:sz w:val="22"/>
                <w:szCs w:val="22"/>
                <w:color w:val="auto"/>
              </w:rPr>
              <w:t>Trustee’s Application for Instruction from the Company</w:t>
            </w:r>
          </w:p>
        </w:tc>
        <w:tc>
          <w:tcPr>
            <w:tcW w:w="1860" w:type="dxa"/>
            <w:vAlign w:val="bottom"/>
          </w:tcPr>
          <w:p>
            <w:pPr>
              <w:jc w:val="center"/>
              <w:ind w:left="1432"/>
              <w:spacing w:after="0"/>
              <w:rPr>
                <w:sz w:val="20"/>
                <w:szCs w:val="20"/>
                <w:color w:val="auto"/>
              </w:rPr>
            </w:pPr>
            <w:r>
              <w:rPr>
                <w:rFonts w:ascii="Arial" w:cs="Arial" w:eastAsia="Arial" w:hAnsi="Arial"/>
                <w:sz w:val="22"/>
                <w:szCs w:val="22"/>
                <w:color w:val="auto"/>
                <w:w w:val="87"/>
              </w:rPr>
              <w:t>114</w:t>
            </w:r>
          </w:p>
        </w:tc>
      </w:tr>
    </w:tbl>
    <w:p>
      <w:pPr>
        <w:spacing w:after="0" w:line="26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60"/>
          </w:cols>
          <w:pgMar w:left="280" w:top="996" w:right="7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ARTICLE VIII</w:t>
            </w:r>
          </w:p>
        </w:tc>
        <w:tc>
          <w:tcPr>
            <w:tcW w:w="7440" w:type="dxa"/>
            <w:vAlign w:val="bottom"/>
          </w:tcPr>
          <w:p>
            <w:pPr>
              <w:ind w:left="20"/>
              <w:spacing w:after="0"/>
              <w:rPr>
                <w:sz w:val="20"/>
                <w:szCs w:val="20"/>
                <w:color w:val="auto"/>
              </w:rPr>
            </w:pPr>
            <w:r>
              <w:rPr>
                <w:rFonts w:ascii="Arial" w:cs="Arial" w:eastAsia="Arial" w:hAnsi="Arial"/>
                <w:sz w:val="22"/>
                <w:szCs w:val="22"/>
                <w:color w:val="auto"/>
              </w:rPr>
              <w:t>LEGAL DEFEASANCE AND COVENANT DEFEASANCE</w:t>
            </w:r>
          </w:p>
        </w:tc>
        <w:tc>
          <w:tcPr>
            <w:tcW w:w="82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8.1</w:t>
            </w:r>
          </w:p>
        </w:tc>
        <w:tc>
          <w:tcPr>
            <w:tcW w:w="7440" w:type="dxa"/>
            <w:vAlign w:val="bottom"/>
          </w:tcPr>
          <w:p>
            <w:pPr>
              <w:ind w:left="20"/>
              <w:spacing w:after="0"/>
              <w:rPr>
                <w:sz w:val="20"/>
                <w:szCs w:val="20"/>
                <w:color w:val="auto"/>
              </w:rPr>
            </w:pPr>
            <w:r>
              <w:rPr>
                <w:rFonts w:ascii="Arial" w:cs="Arial" w:eastAsia="Arial" w:hAnsi="Arial"/>
                <w:sz w:val="22"/>
                <w:szCs w:val="22"/>
                <w:color w:val="auto"/>
              </w:rPr>
              <w:t>Option To Effect Legal Defeasance or Covenant Defeasance; Defeasance</w:t>
            </w:r>
          </w:p>
        </w:tc>
        <w:tc>
          <w:tcPr>
            <w:tcW w:w="82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8.2</w:t>
            </w:r>
          </w:p>
        </w:tc>
        <w:tc>
          <w:tcPr>
            <w:tcW w:w="7440" w:type="dxa"/>
            <w:vAlign w:val="bottom"/>
          </w:tcPr>
          <w:p>
            <w:pPr>
              <w:ind w:left="20"/>
              <w:spacing w:after="0"/>
              <w:rPr>
                <w:sz w:val="20"/>
                <w:szCs w:val="20"/>
                <w:color w:val="auto"/>
              </w:rPr>
            </w:pPr>
            <w:r>
              <w:rPr>
                <w:rFonts w:ascii="Arial" w:cs="Arial" w:eastAsia="Arial" w:hAnsi="Arial"/>
                <w:sz w:val="22"/>
                <w:szCs w:val="22"/>
                <w:color w:val="auto"/>
              </w:rPr>
              <w:t>Legal Defeasance and Discharge</w:t>
            </w:r>
          </w:p>
        </w:tc>
        <w:tc>
          <w:tcPr>
            <w:tcW w:w="82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8.3</w:t>
            </w:r>
          </w:p>
        </w:tc>
        <w:tc>
          <w:tcPr>
            <w:tcW w:w="7440" w:type="dxa"/>
            <w:vAlign w:val="bottom"/>
          </w:tcPr>
          <w:p>
            <w:pPr>
              <w:ind w:left="20"/>
              <w:spacing w:after="0"/>
              <w:rPr>
                <w:sz w:val="20"/>
                <w:szCs w:val="20"/>
                <w:color w:val="auto"/>
              </w:rPr>
            </w:pPr>
            <w:r>
              <w:rPr>
                <w:rFonts w:ascii="Arial" w:cs="Arial" w:eastAsia="Arial" w:hAnsi="Arial"/>
                <w:sz w:val="22"/>
                <w:szCs w:val="22"/>
                <w:color w:val="auto"/>
              </w:rPr>
              <w:t>Covenant Defeasance</w:t>
            </w:r>
          </w:p>
        </w:tc>
        <w:tc>
          <w:tcPr>
            <w:tcW w:w="820" w:type="dxa"/>
            <w:vAlign w:val="bottom"/>
          </w:tcPr>
          <w:p>
            <w:pPr>
              <w:jc w:val="right"/>
              <w:spacing w:after="0"/>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8.4</w:t>
            </w:r>
          </w:p>
        </w:tc>
        <w:tc>
          <w:tcPr>
            <w:tcW w:w="7440" w:type="dxa"/>
            <w:vAlign w:val="bottom"/>
          </w:tcPr>
          <w:p>
            <w:pPr>
              <w:ind w:left="20"/>
              <w:spacing w:after="0"/>
              <w:rPr>
                <w:sz w:val="20"/>
                <w:szCs w:val="20"/>
                <w:color w:val="auto"/>
              </w:rPr>
            </w:pPr>
            <w:r>
              <w:rPr>
                <w:rFonts w:ascii="Arial" w:cs="Arial" w:eastAsia="Arial" w:hAnsi="Arial"/>
                <w:sz w:val="22"/>
                <w:szCs w:val="22"/>
                <w:color w:val="auto"/>
              </w:rPr>
              <w:t>Conditions to Legal or Covenant Defeasance</w:t>
            </w:r>
          </w:p>
        </w:tc>
        <w:tc>
          <w:tcPr>
            <w:tcW w:w="820" w:type="dxa"/>
            <w:vAlign w:val="bottom"/>
          </w:tcPr>
          <w:p>
            <w:pPr>
              <w:jc w:val="right"/>
              <w:spacing w:after="0"/>
              <w:rPr>
                <w:sz w:val="20"/>
                <w:szCs w:val="20"/>
                <w:color w:val="auto"/>
              </w:rPr>
            </w:pPr>
            <w:r>
              <w:rPr>
                <w:rFonts w:ascii="Arial" w:cs="Arial" w:eastAsia="Arial" w:hAnsi="Arial"/>
                <w:sz w:val="22"/>
                <w:szCs w:val="22"/>
                <w:color w:val="auto"/>
              </w:rPr>
              <w:t>115</w:t>
            </w:r>
          </w:p>
        </w:tc>
        <w:tc>
          <w:tcPr>
            <w:tcW w:w="0" w:type="dxa"/>
            <w:vAlign w:val="bottom"/>
          </w:tcPr>
          <w:p>
            <w:pPr>
              <w:spacing w:after="0"/>
              <w:rPr>
                <w:sz w:val="1"/>
                <w:szCs w:val="1"/>
                <w:color w:val="auto"/>
              </w:rPr>
            </w:pPr>
          </w:p>
        </w:tc>
      </w:tr>
      <w:tr>
        <w:trPr>
          <w:trHeight w:val="266"/>
        </w:trPr>
        <w:tc>
          <w:tcPr>
            <w:tcW w:w="2600" w:type="dxa"/>
            <w:vAlign w:val="bottom"/>
          </w:tcPr>
          <w:p>
            <w:pPr>
              <w:jc w:val="right"/>
              <w:spacing w:after="0"/>
              <w:rPr>
                <w:sz w:val="20"/>
                <w:szCs w:val="20"/>
                <w:color w:val="auto"/>
              </w:rPr>
            </w:pPr>
            <w:r>
              <w:rPr>
                <w:rFonts w:ascii="Arial" w:cs="Arial" w:eastAsia="Arial" w:hAnsi="Arial"/>
                <w:sz w:val="22"/>
                <w:szCs w:val="22"/>
                <w:color w:val="auto"/>
              </w:rPr>
              <w:t>SECTION 8.5</w:t>
            </w:r>
          </w:p>
        </w:tc>
        <w:tc>
          <w:tcPr>
            <w:tcW w:w="7440" w:type="dxa"/>
            <w:vAlign w:val="bottom"/>
          </w:tcPr>
          <w:p>
            <w:pPr>
              <w:ind w:left="20"/>
              <w:spacing w:after="0"/>
              <w:rPr>
                <w:sz w:val="20"/>
                <w:szCs w:val="20"/>
                <w:color w:val="auto"/>
              </w:rPr>
            </w:pPr>
            <w:r>
              <w:rPr>
                <w:rFonts w:ascii="Arial" w:cs="Arial" w:eastAsia="Arial" w:hAnsi="Arial"/>
                <w:sz w:val="22"/>
                <w:szCs w:val="22"/>
                <w:color w:val="auto"/>
                <w:w w:val="96"/>
              </w:rPr>
              <w:t>Deposited Money and U.S. Government Obligations To Be Held in Trust; Other</w:t>
            </w:r>
          </w:p>
        </w:tc>
        <w:tc>
          <w:tcPr>
            <w:tcW w:w="820" w:type="dxa"/>
            <w:vAlign w:val="bottom"/>
            <w:vMerge w:val="restart"/>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7440" w:type="dxa"/>
            <w:vAlign w:val="bottom"/>
            <w:vMerge w:val="restart"/>
          </w:tcPr>
          <w:p>
            <w:pPr>
              <w:ind w:left="20"/>
              <w:spacing w:after="0"/>
              <w:rPr>
                <w:sz w:val="20"/>
                <w:szCs w:val="20"/>
                <w:color w:val="auto"/>
              </w:rPr>
            </w:pPr>
            <w:r>
              <w:rPr>
                <w:rFonts w:ascii="Arial" w:cs="Arial" w:eastAsia="Arial" w:hAnsi="Arial"/>
                <w:sz w:val="22"/>
                <w:szCs w:val="22"/>
                <w:color w:val="auto"/>
              </w:rPr>
              <w:t>Miscellaneous Provisions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74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040" w:type="dxa"/>
            <w:vAlign w:val="bottom"/>
            <w:gridSpan w:val="2"/>
          </w:tcPr>
          <w:p>
            <w:pPr>
              <w:ind w:left="1340"/>
              <w:spacing w:after="0"/>
              <w:rPr>
                <w:sz w:val="20"/>
                <w:szCs w:val="20"/>
                <w:color w:val="auto"/>
              </w:rPr>
            </w:pPr>
            <w:r>
              <w:rPr>
                <w:rFonts w:ascii="Arial" w:cs="Arial" w:eastAsia="Arial" w:hAnsi="Arial"/>
                <w:sz w:val="22"/>
                <w:szCs w:val="22"/>
                <w:color w:val="auto"/>
              </w:rPr>
              <w:t>SECTION 8.6 Repayment to the Company</w:t>
            </w:r>
          </w:p>
        </w:tc>
        <w:tc>
          <w:tcPr>
            <w:tcW w:w="82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8.7</w:t>
            </w:r>
          </w:p>
        </w:tc>
        <w:tc>
          <w:tcPr>
            <w:tcW w:w="7440" w:type="dxa"/>
            <w:vAlign w:val="bottom"/>
          </w:tcPr>
          <w:p>
            <w:pPr>
              <w:ind w:left="20"/>
              <w:spacing w:after="0"/>
              <w:rPr>
                <w:sz w:val="20"/>
                <w:szCs w:val="20"/>
                <w:color w:val="auto"/>
              </w:rPr>
            </w:pPr>
            <w:r>
              <w:rPr>
                <w:rFonts w:ascii="Arial" w:cs="Arial" w:eastAsia="Arial" w:hAnsi="Arial"/>
                <w:sz w:val="22"/>
                <w:szCs w:val="22"/>
                <w:color w:val="auto"/>
              </w:rPr>
              <w:t>Reinstatement</w:t>
            </w:r>
          </w:p>
        </w:tc>
        <w:tc>
          <w:tcPr>
            <w:tcW w:w="820" w:type="dxa"/>
            <w:vAlign w:val="bottom"/>
          </w:tcPr>
          <w:p>
            <w:pPr>
              <w:jc w:val="right"/>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400"/>
              <w:spacing w:after="0"/>
              <w:rPr>
                <w:sz w:val="20"/>
                <w:szCs w:val="20"/>
                <w:color w:val="auto"/>
              </w:rPr>
            </w:pPr>
            <w:r>
              <w:rPr>
                <w:rFonts w:ascii="Arial" w:cs="Arial" w:eastAsia="Arial" w:hAnsi="Arial"/>
                <w:sz w:val="22"/>
                <w:szCs w:val="22"/>
                <w:color w:val="auto"/>
              </w:rPr>
              <w:t>ARTICLE IX AMENDMENTS</w:t>
            </w:r>
          </w:p>
        </w:tc>
        <w:tc>
          <w:tcPr>
            <w:tcW w:w="820" w:type="dxa"/>
            <w:vAlign w:val="bottom"/>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9.1</w:t>
            </w:r>
          </w:p>
        </w:tc>
        <w:tc>
          <w:tcPr>
            <w:tcW w:w="7440" w:type="dxa"/>
            <w:vAlign w:val="bottom"/>
          </w:tcPr>
          <w:p>
            <w:pPr>
              <w:ind w:left="20"/>
              <w:spacing w:after="0"/>
              <w:rPr>
                <w:sz w:val="20"/>
                <w:szCs w:val="20"/>
                <w:color w:val="auto"/>
              </w:rPr>
            </w:pPr>
            <w:r>
              <w:rPr>
                <w:rFonts w:ascii="Arial" w:cs="Arial" w:eastAsia="Arial" w:hAnsi="Arial"/>
                <w:sz w:val="22"/>
                <w:szCs w:val="22"/>
                <w:color w:val="auto"/>
              </w:rPr>
              <w:t>Without Consent of Holders</w:t>
            </w:r>
          </w:p>
        </w:tc>
        <w:tc>
          <w:tcPr>
            <w:tcW w:w="820" w:type="dxa"/>
            <w:vAlign w:val="bottom"/>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9.2</w:t>
            </w:r>
          </w:p>
        </w:tc>
        <w:tc>
          <w:tcPr>
            <w:tcW w:w="7440" w:type="dxa"/>
            <w:vAlign w:val="bottom"/>
          </w:tcPr>
          <w:p>
            <w:pPr>
              <w:ind w:left="20"/>
              <w:spacing w:after="0"/>
              <w:rPr>
                <w:sz w:val="20"/>
                <w:szCs w:val="20"/>
                <w:color w:val="auto"/>
              </w:rPr>
            </w:pPr>
            <w:r>
              <w:rPr>
                <w:rFonts w:ascii="Arial" w:cs="Arial" w:eastAsia="Arial" w:hAnsi="Arial"/>
                <w:sz w:val="22"/>
                <w:szCs w:val="22"/>
                <w:color w:val="auto"/>
              </w:rPr>
              <w:t>With Consent of Holders</w:t>
            </w:r>
          </w:p>
        </w:tc>
        <w:tc>
          <w:tcPr>
            <w:tcW w:w="820" w:type="dxa"/>
            <w:vAlign w:val="bottom"/>
          </w:tcPr>
          <w:p>
            <w:pPr>
              <w:jc w:val="right"/>
              <w:spacing w:after="0"/>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9.3</w:t>
            </w:r>
          </w:p>
        </w:tc>
        <w:tc>
          <w:tcPr>
            <w:tcW w:w="7440" w:type="dxa"/>
            <w:vAlign w:val="bottom"/>
          </w:tcPr>
          <w:p>
            <w:pPr>
              <w:ind w:left="20"/>
              <w:spacing w:after="0"/>
              <w:rPr>
                <w:sz w:val="20"/>
                <w:szCs w:val="20"/>
                <w:color w:val="auto"/>
              </w:rPr>
            </w:pPr>
            <w:r>
              <w:rPr>
                <w:rFonts w:ascii="Arial" w:cs="Arial" w:eastAsia="Arial" w:hAnsi="Arial"/>
                <w:sz w:val="22"/>
                <w:szCs w:val="22"/>
                <w:color w:val="auto"/>
              </w:rPr>
              <w:t>[Reserved]</w:t>
            </w:r>
          </w:p>
        </w:tc>
        <w:tc>
          <w:tcPr>
            <w:tcW w:w="820" w:type="dxa"/>
            <w:vAlign w:val="bottom"/>
          </w:tcPr>
          <w:p>
            <w:pPr>
              <w:jc w:val="right"/>
              <w:spacing w:after="0"/>
              <w:rPr>
                <w:sz w:val="20"/>
                <w:szCs w:val="20"/>
                <w:color w:val="auto"/>
              </w:rPr>
            </w:pPr>
            <w:r>
              <w:rPr>
                <w:rFonts w:ascii="Arial" w:cs="Arial" w:eastAsia="Arial" w:hAnsi="Arial"/>
                <w:sz w:val="22"/>
                <w:szCs w:val="22"/>
                <w:color w:val="auto"/>
              </w:rPr>
              <w:t>120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9.4</w:t>
            </w:r>
          </w:p>
        </w:tc>
        <w:tc>
          <w:tcPr>
            <w:tcW w:w="7440" w:type="dxa"/>
            <w:vAlign w:val="bottom"/>
          </w:tcPr>
          <w:p>
            <w:pPr>
              <w:ind w:left="20"/>
              <w:spacing w:after="0"/>
              <w:rPr>
                <w:sz w:val="20"/>
                <w:szCs w:val="20"/>
                <w:color w:val="auto"/>
              </w:rPr>
            </w:pPr>
            <w:r>
              <w:rPr>
                <w:rFonts w:ascii="Arial" w:cs="Arial" w:eastAsia="Arial" w:hAnsi="Arial"/>
                <w:sz w:val="22"/>
                <w:szCs w:val="22"/>
                <w:color w:val="auto"/>
              </w:rPr>
              <w:t>Revocation and Effect of Consents and Waivers</w:t>
            </w:r>
          </w:p>
        </w:tc>
        <w:tc>
          <w:tcPr>
            <w:tcW w:w="820" w:type="dxa"/>
            <w:vAlign w:val="bottom"/>
          </w:tcPr>
          <w:p>
            <w:pPr>
              <w:jc w:val="right"/>
              <w:spacing w:after="0"/>
              <w:rPr>
                <w:sz w:val="20"/>
                <w:szCs w:val="20"/>
                <w:color w:val="auto"/>
              </w:rPr>
            </w:pPr>
            <w:r>
              <w:rPr>
                <w:rFonts w:ascii="Arial" w:cs="Arial" w:eastAsia="Arial" w:hAnsi="Arial"/>
                <w:sz w:val="22"/>
                <w:szCs w:val="22"/>
                <w:color w:val="auto"/>
              </w:rPr>
              <w:t>120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9.5</w:t>
            </w:r>
          </w:p>
        </w:tc>
        <w:tc>
          <w:tcPr>
            <w:tcW w:w="7440" w:type="dxa"/>
            <w:vAlign w:val="bottom"/>
          </w:tcPr>
          <w:p>
            <w:pPr>
              <w:ind w:left="20"/>
              <w:spacing w:after="0"/>
              <w:rPr>
                <w:sz w:val="20"/>
                <w:szCs w:val="20"/>
                <w:color w:val="auto"/>
              </w:rPr>
            </w:pPr>
            <w:r>
              <w:rPr>
                <w:rFonts w:ascii="Arial" w:cs="Arial" w:eastAsia="Arial" w:hAnsi="Arial"/>
                <w:sz w:val="22"/>
                <w:szCs w:val="22"/>
                <w:color w:val="auto"/>
              </w:rPr>
              <w:t>Notation on or Exchange of Notes</w:t>
            </w:r>
          </w:p>
        </w:tc>
        <w:tc>
          <w:tcPr>
            <w:tcW w:w="820" w:type="dxa"/>
            <w:vAlign w:val="bottom"/>
          </w:tcPr>
          <w:p>
            <w:pPr>
              <w:jc w:val="right"/>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9.6</w:t>
            </w:r>
          </w:p>
        </w:tc>
        <w:tc>
          <w:tcPr>
            <w:tcW w:w="7440" w:type="dxa"/>
            <w:vAlign w:val="bottom"/>
          </w:tcPr>
          <w:p>
            <w:pPr>
              <w:ind w:left="20"/>
              <w:spacing w:after="0"/>
              <w:rPr>
                <w:sz w:val="20"/>
                <w:szCs w:val="20"/>
                <w:color w:val="auto"/>
              </w:rPr>
            </w:pPr>
            <w:r>
              <w:rPr>
                <w:rFonts w:ascii="Arial" w:cs="Arial" w:eastAsia="Arial" w:hAnsi="Arial"/>
                <w:sz w:val="22"/>
                <w:szCs w:val="22"/>
                <w:color w:val="auto"/>
              </w:rPr>
              <w:t>Trustee Signs Amendments</w:t>
            </w:r>
          </w:p>
        </w:tc>
        <w:tc>
          <w:tcPr>
            <w:tcW w:w="820" w:type="dxa"/>
            <w:vAlign w:val="bottom"/>
          </w:tcPr>
          <w:p>
            <w:pPr>
              <w:jc w:val="right"/>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X</w:t>
            </w:r>
          </w:p>
        </w:tc>
        <w:tc>
          <w:tcPr>
            <w:tcW w:w="7440" w:type="dxa"/>
            <w:vAlign w:val="bottom"/>
          </w:tcPr>
          <w:p>
            <w:pPr>
              <w:ind w:left="20"/>
              <w:spacing w:after="0"/>
              <w:rPr>
                <w:sz w:val="20"/>
                <w:szCs w:val="20"/>
                <w:color w:val="auto"/>
              </w:rPr>
            </w:pPr>
            <w:r>
              <w:rPr>
                <w:rFonts w:ascii="Arial" w:cs="Arial" w:eastAsia="Arial" w:hAnsi="Arial"/>
                <w:sz w:val="22"/>
                <w:szCs w:val="22"/>
                <w:color w:val="auto"/>
              </w:rPr>
              <w:t>GUARANTEE</w:t>
            </w:r>
          </w:p>
        </w:tc>
        <w:tc>
          <w:tcPr>
            <w:tcW w:w="820" w:type="dxa"/>
            <w:vAlign w:val="bottom"/>
          </w:tcPr>
          <w:p>
            <w:pPr>
              <w:jc w:val="right"/>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240"/>
              <w:spacing w:after="0"/>
              <w:rPr>
                <w:sz w:val="20"/>
                <w:szCs w:val="20"/>
                <w:color w:val="auto"/>
              </w:rPr>
            </w:pPr>
            <w:r>
              <w:rPr>
                <w:rFonts w:ascii="Arial" w:cs="Arial" w:eastAsia="Arial" w:hAnsi="Arial"/>
                <w:sz w:val="22"/>
                <w:szCs w:val="22"/>
                <w:color w:val="auto"/>
              </w:rPr>
              <w:t>SECTION 10.1 Guarantee</w:t>
            </w:r>
          </w:p>
        </w:tc>
        <w:tc>
          <w:tcPr>
            <w:tcW w:w="820" w:type="dxa"/>
            <w:vAlign w:val="bottom"/>
          </w:tcPr>
          <w:p>
            <w:pPr>
              <w:jc w:val="right"/>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10.2</w:t>
            </w:r>
          </w:p>
        </w:tc>
        <w:tc>
          <w:tcPr>
            <w:tcW w:w="7440" w:type="dxa"/>
            <w:vAlign w:val="bottom"/>
          </w:tcPr>
          <w:p>
            <w:pPr>
              <w:ind w:left="20"/>
              <w:spacing w:after="0"/>
              <w:rPr>
                <w:sz w:val="20"/>
                <w:szCs w:val="20"/>
                <w:color w:val="auto"/>
              </w:rPr>
            </w:pPr>
            <w:r>
              <w:rPr>
                <w:rFonts w:ascii="Arial" w:cs="Arial" w:eastAsia="Arial" w:hAnsi="Arial"/>
                <w:sz w:val="22"/>
                <w:szCs w:val="22"/>
                <w:color w:val="auto"/>
              </w:rPr>
              <w:t>Limitation on Liability; Termination, Release and Discharge</w:t>
            </w:r>
          </w:p>
        </w:tc>
        <w:tc>
          <w:tcPr>
            <w:tcW w:w="820" w:type="dxa"/>
            <w:vAlign w:val="bottom"/>
          </w:tcPr>
          <w:p>
            <w:pPr>
              <w:jc w:val="right"/>
              <w:spacing w:after="0"/>
              <w:rPr>
                <w:sz w:val="20"/>
                <w:szCs w:val="20"/>
                <w:color w:val="auto"/>
              </w:rPr>
            </w:pPr>
            <w:r>
              <w:rPr>
                <w:rFonts w:ascii="Arial" w:cs="Arial" w:eastAsia="Arial" w:hAnsi="Arial"/>
                <w:sz w:val="22"/>
                <w:szCs w:val="22"/>
                <w:color w:val="auto"/>
              </w:rPr>
              <w:t>123</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10.3</w:t>
            </w:r>
          </w:p>
        </w:tc>
        <w:tc>
          <w:tcPr>
            <w:tcW w:w="7440" w:type="dxa"/>
            <w:vAlign w:val="bottom"/>
          </w:tcPr>
          <w:p>
            <w:pPr>
              <w:ind w:left="20"/>
              <w:spacing w:after="0"/>
              <w:rPr>
                <w:sz w:val="20"/>
                <w:szCs w:val="20"/>
                <w:color w:val="auto"/>
              </w:rPr>
            </w:pPr>
            <w:r>
              <w:rPr>
                <w:rFonts w:ascii="Arial" w:cs="Arial" w:eastAsia="Arial" w:hAnsi="Arial"/>
                <w:sz w:val="22"/>
                <w:szCs w:val="22"/>
                <w:color w:val="auto"/>
              </w:rPr>
              <w:t>Right of Contribution</w:t>
            </w:r>
          </w:p>
        </w:tc>
        <w:tc>
          <w:tcPr>
            <w:tcW w:w="820" w:type="dxa"/>
            <w:vAlign w:val="bottom"/>
          </w:tcPr>
          <w:p>
            <w:pPr>
              <w:jc w:val="right"/>
              <w:spacing w:after="0"/>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240"/>
              <w:spacing w:after="0"/>
              <w:rPr>
                <w:sz w:val="20"/>
                <w:szCs w:val="20"/>
                <w:color w:val="auto"/>
              </w:rPr>
            </w:pPr>
            <w:r>
              <w:rPr>
                <w:rFonts w:ascii="Arial" w:cs="Arial" w:eastAsia="Arial" w:hAnsi="Arial"/>
                <w:sz w:val="22"/>
                <w:szCs w:val="22"/>
                <w:color w:val="auto"/>
              </w:rPr>
              <w:t>SECTION 10.4 No Subrogation</w:t>
            </w:r>
          </w:p>
        </w:tc>
        <w:tc>
          <w:tcPr>
            <w:tcW w:w="82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XI</w:t>
            </w:r>
          </w:p>
        </w:tc>
        <w:tc>
          <w:tcPr>
            <w:tcW w:w="7440" w:type="dxa"/>
            <w:vAlign w:val="bottom"/>
          </w:tcPr>
          <w:p>
            <w:pPr>
              <w:ind w:left="20"/>
              <w:spacing w:after="0"/>
              <w:rPr>
                <w:sz w:val="20"/>
                <w:szCs w:val="20"/>
                <w:color w:val="auto"/>
              </w:rPr>
            </w:pPr>
            <w:r>
              <w:rPr>
                <w:rFonts w:ascii="Arial" w:cs="Arial" w:eastAsia="Arial" w:hAnsi="Arial"/>
                <w:sz w:val="22"/>
                <w:szCs w:val="22"/>
                <w:color w:val="auto"/>
              </w:rPr>
              <w:t>SATISFACTION AND DISCHARGE</w:t>
            </w:r>
          </w:p>
        </w:tc>
        <w:tc>
          <w:tcPr>
            <w:tcW w:w="82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11.1</w:t>
            </w:r>
          </w:p>
        </w:tc>
        <w:tc>
          <w:tcPr>
            <w:tcW w:w="7440" w:type="dxa"/>
            <w:vAlign w:val="bottom"/>
          </w:tcPr>
          <w:p>
            <w:pPr>
              <w:ind w:left="20"/>
              <w:spacing w:after="0"/>
              <w:rPr>
                <w:sz w:val="20"/>
                <w:szCs w:val="20"/>
                <w:color w:val="auto"/>
              </w:rPr>
            </w:pPr>
            <w:r>
              <w:rPr>
                <w:rFonts w:ascii="Arial" w:cs="Arial" w:eastAsia="Arial" w:hAnsi="Arial"/>
                <w:sz w:val="22"/>
                <w:szCs w:val="22"/>
                <w:color w:val="auto"/>
              </w:rPr>
              <w:t>Satisfaction and Discharge</w:t>
            </w:r>
          </w:p>
        </w:tc>
        <w:tc>
          <w:tcPr>
            <w:tcW w:w="820" w:type="dxa"/>
            <w:vAlign w:val="bottom"/>
          </w:tcPr>
          <w:p>
            <w:pPr>
              <w:jc w:val="right"/>
              <w:spacing w:after="0"/>
              <w:rPr>
                <w:sz w:val="20"/>
                <w:szCs w:val="20"/>
                <w:color w:val="auto"/>
              </w:rPr>
            </w:pPr>
            <w:r>
              <w:rPr>
                <w:rFonts w:ascii="Arial" w:cs="Arial" w:eastAsia="Arial" w:hAnsi="Arial"/>
                <w:sz w:val="22"/>
                <w:szCs w:val="22"/>
                <w:color w:val="auto"/>
              </w:rPr>
              <w:t>125</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11.2</w:t>
            </w:r>
          </w:p>
        </w:tc>
        <w:tc>
          <w:tcPr>
            <w:tcW w:w="7440" w:type="dxa"/>
            <w:vAlign w:val="bottom"/>
          </w:tcPr>
          <w:p>
            <w:pPr>
              <w:ind w:left="20"/>
              <w:spacing w:after="0"/>
              <w:rPr>
                <w:sz w:val="20"/>
                <w:szCs w:val="20"/>
                <w:color w:val="auto"/>
              </w:rPr>
            </w:pPr>
            <w:r>
              <w:rPr>
                <w:rFonts w:ascii="Arial" w:cs="Arial" w:eastAsia="Arial" w:hAnsi="Arial"/>
                <w:sz w:val="22"/>
                <w:szCs w:val="22"/>
                <w:color w:val="auto"/>
              </w:rPr>
              <w:t>Application of Trust Money</w:t>
            </w:r>
          </w:p>
        </w:tc>
        <w:tc>
          <w:tcPr>
            <w:tcW w:w="8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22"/>
                <w:szCs w:val="22"/>
                <w:color w:val="auto"/>
              </w:rPr>
              <w:t>ARTICLE XII</w:t>
            </w:r>
          </w:p>
        </w:tc>
        <w:tc>
          <w:tcPr>
            <w:tcW w:w="7440" w:type="dxa"/>
            <w:vAlign w:val="bottom"/>
          </w:tcPr>
          <w:p>
            <w:pPr>
              <w:ind w:left="20"/>
              <w:spacing w:after="0"/>
              <w:rPr>
                <w:sz w:val="20"/>
                <w:szCs w:val="20"/>
                <w:color w:val="auto"/>
              </w:rPr>
            </w:pPr>
            <w:r>
              <w:rPr>
                <w:rFonts w:ascii="Arial" w:cs="Arial" w:eastAsia="Arial" w:hAnsi="Arial"/>
                <w:sz w:val="22"/>
                <w:szCs w:val="22"/>
                <w:color w:val="auto"/>
              </w:rPr>
              <w:t>MISCELLANEOUS</w:t>
            </w:r>
          </w:p>
        </w:tc>
        <w:tc>
          <w:tcPr>
            <w:tcW w:w="8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w:t>
            </w:r>
          </w:p>
        </w:tc>
        <w:tc>
          <w:tcPr>
            <w:tcW w:w="7440" w:type="dxa"/>
            <w:vAlign w:val="bottom"/>
          </w:tcPr>
          <w:p>
            <w:pPr>
              <w:ind w:left="20"/>
              <w:spacing w:after="0"/>
              <w:rPr>
                <w:sz w:val="20"/>
                <w:szCs w:val="20"/>
                <w:color w:val="auto"/>
              </w:rPr>
            </w:pPr>
            <w:r>
              <w:rPr>
                <w:rFonts w:ascii="Arial" w:cs="Arial" w:eastAsia="Arial" w:hAnsi="Arial"/>
                <w:sz w:val="22"/>
                <w:szCs w:val="22"/>
                <w:color w:val="auto"/>
              </w:rPr>
              <w:t>[Reserved]</w:t>
            </w:r>
          </w:p>
        </w:tc>
        <w:tc>
          <w:tcPr>
            <w:tcW w:w="8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240"/>
              <w:spacing w:after="0"/>
              <w:rPr>
                <w:sz w:val="20"/>
                <w:szCs w:val="20"/>
                <w:color w:val="auto"/>
              </w:rPr>
            </w:pPr>
            <w:r>
              <w:rPr>
                <w:rFonts w:ascii="Arial" w:cs="Arial" w:eastAsia="Arial" w:hAnsi="Arial"/>
                <w:sz w:val="22"/>
                <w:szCs w:val="22"/>
                <w:color w:val="auto"/>
              </w:rPr>
              <w:t>SECTION 12.2 Notices</w:t>
            </w:r>
          </w:p>
        </w:tc>
        <w:tc>
          <w:tcPr>
            <w:tcW w:w="820" w:type="dxa"/>
            <w:vAlign w:val="bottom"/>
          </w:tcPr>
          <w:p>
            <w:pPr>
              <w:jc w:val="right"/>
              <w:spacing w:after="0"/>
              <w:rPr>
                <w:sz w:val="20"/>
                <w:szCs w:val="20"/>
                <w:color w:val="auto"/>
              </w:rPr>
            </w:pPr>
            <w:r>
              <w:rPr>
                <w:rFonts w:ascii="Arial" w:cs="Arial" w:eastAsia="Arial" w:hAnsi="Arial"/>
                <w:sz w:val="22"/>
                <w:szCs w:val="22"/>
                <w:color w:val="auto"/>
              </w:rPr>
              <w:t>126</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12.3</w:t>
            </w:r>
          </w:p>
        </w:tc>
        <w:tc>
          <w:tcPr>
            <w:tcW w:w="7440" w:type="dxa"/>
            <w:vAlign w:val="bottom"/>
          </w:tcPr>
          <w:p>
            <w:pPr>
              <w:ind w:left="20"/>
              <w:spacing w:after="0"/>
              <w:rPr>
                <w:sz w:val="20"/>
                <w:szCs w:val="20"/>
                <w:color w:val="auto"/>
              </w:rPr>
            </w:pPr>
            <w:r>
              <w:rPr>
                <w:rFonts w:ascii="Arial" w:cs="Arial" w:eastAsia="Arial" w:hAnsi="Arial"/>
                <w:sz w:val="22"/>
                <w:szCs w:val="22"/>
                <w:color w:val="auto"/>
              </w:rPr>
              <w:t>[Reserved]</w:t>
            </w:r>
          </w:p>
        </w:tc>
        <w:tc>
          <w:tcPr>
            <w:tcW w:w="820" w:type="dxa"/>
            <w:vAlign w:val="bottom"/>
          </w:tcPr>
          <w:p>
            <w:pPr>
              <w:jc w:val="right"/>
              <w:spacing w:after="0"/>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12.4</w:t>
            </w:r>
          </w:p>
        </w:tc>
        <w:tc>
          <w:tcPr>
            <w:tcW w:w="7440" w:type="dxa"/>
            <w:vAlign w:val="bottom"/>
          </w:tcPr>
          <w:p>
            <w:pPr>
              <w:ind w:left="20"/>
              <w:spacing w:after="0"/>
              <w:rPr>
                <w:sz w:val="20"/>
                <w:szCs w:val="20"/>
                <w:color w:val="auto"/>
              </w:rPr>
            </w:pPr>
            <w:r>
              <w:rPr>
                <w:rFonts w:ascii="Arial" w:cs="Arial" w:eastAsia="Arial" w:hAnsi="Arial"/>
                <w:sz w:val="22"/>
                <w:szCs w:val="22"/>
                <w:color w:val="auto"/>
              </w:rPr>
              <w:t>Certificate and Opinion as to Conditions Precedent</w:t>
            </w:r>
          </w:p>
        </w:tc>
        <w:tc>
          <w:tcPr>
            <w:tcW w:w="820" w:type="dxa"/>
            <w:vAlign w:val="bottom"/>
          </w:tcPr>
          <w:p>
            <w:pPr>
              <w:jc w:val="right"/>
              <w:spacing w:after="0"/>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12.5</w:t>
            </w:r>
          </w:p>
        </w:tc>
        <w:tc>
          <w:tcPr>
            <w:tcW w:w="7440" w:type="dxa"/>
            <w:vAlign w:val="bottom"/>
          </w:tcPr>
          <w:p>
            <w:pPr>
              <w:ind w:left="20"/>
              <w:spacing w:after="0"/>
              <w:rPr>
                <w:sz w:val="20"/>
                <w:szCs w:val="20"/>
                <w:color w:val="auto"/>
              </w:rPr>
            </w:pPr>
            <w:r>
              <w:rPr>
                <w:rFonts w:ascii="Arial" w:cs="Arial" w:eastAsia="Arial" w:hAnsi="Arial"/>
                <w:sz w:val="22"/>
                <w:szCs w:val="22"/>
                <w:color w:val="auto"/>
              </w:rPr>
              <w:t>Statements Required in Certificate or Opinion</w:t>
            </w:r>
          </w:p>
        </w:tc>
        <w:tc>
          <w:tcPr>
            <w:tcW w:w="8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240"/>
              <w:spacing w:after="0"/>
              <w:rPr>
                <w:sz w:val="20"/>
                <w:szCs w:val="20"/>
                <w:color w:val="auto"/>
              </w:rPr>
            </w:pPr>
            <w:r>
              <w:rPr>
                <w:rFonts w:ascii="Arial" w:cs="Arial" w:eastAsia="Arial" w:hAnsi="Arial"/>
                <w:sz w:val="22"/>
                <w:szCs w:val="22"/>
                <w:color w:val="auto"/>
              </w:rPr>
              <w:t>SECTION 12.6 When Notes Disregarded</w:t>
            </w:r>
          </w:p>
        </w:tc>
        <w:tc>
          <w:tcPr>
            <w:tcW w:w="8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12.7</w:t>
            </w:r>
          </w:p>
        </w:tc>
        <w:tc>
          <w:tcPr>
            <w:tcW w:w="7440" w:type="dxa"/>
            <w:vAlign w:val="bottom"/>
          </w:tcPr>
          <w:p>
            <w:pPr>
              <w:ind w:left="20"/>
              <w:spacing w:after="0"/>
              <w:rPr>
                <w:sz w:val="20"/>
                <w:szCs w:val="20"/>
                <w:color w:val="auto"/>
              </w:rPr>
            </w:pPr>
            <w:r>
              <w:rPr>
                <w:rFonts w:ascii="Arial" w:cs="Arial" w:eastAsia="Arial" w:hAnsi="Arial"/>
                <w:sz w:val="22"/>
                <w:szCs w:val="22"/>
                <w:color w:val="auto"/>
              </w:rPr>
              <w:t>Rules by Trustee, Paying Agent and Registrar</w:t>
            </w:r>
          </w:p>
        </w:tc>
        <w:tc>
          <w:tcPr>
            <w:tcW w:w="8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12.8</w:t>
            </w:r>
          </w:p>
        </w:tc>
        <w:tc>
          <w:tcPr>
            <w:tcW w:w="7440" w:type="dxa"/>
            <w:vAlign w:val="bottom"/>
          </w:tcPr>
          <w:p>
            <w:pPr>
              <w:ind w:left="20"/>
              <w:spacing w:after="0"/>
              <w:rPr>
                <w:sz w:val="20"/>
                <w:szCs w:val="20"/>
                <w:color w:val="auto"/>
              </w:rPr>
            </w:pPr>
            <w:r>
              <w:rPr>
                <w:rFonts w:ascii="Arial" w:cs="Arial" w:eastAsia="Arial" w:hAnsi="Arial"/>
                <w:sz w:val="22"/>
                <w:szCs w:val="22"/>
                <w:color w:val="auto"/>
              </w:rPr>
              <w:t>Legal Holidays</w:t>
            </w:r>
          </w:p>
        </w:tc>
        <w:tc>
          <w:tcPr>
            <w:tcW w:w="820" w:type="dxa"/>
            <w:vAlign w:val="bottom"/>
          </w:tcPr>
          <w:p>
            <w:pPr>
              <w:jc w:val="right"/>
              <w:spacing w:after="0"/>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97"/>
        </w:trPr>
        <w:tc>
          <w:tcPr>
            <w:tcW w:w="10040" w:type="dxa"/>
            <w:vAlign w:val="bottom"/>
            <w:gridSpan w:val="2"/>
          </w:tcPr>
          <w:p>
            <w:pPr>
              <w:ind w:left="1240"/>
              <w:spacing w:after="0"/>
              <w:rPr>
                <w:sz w:val="20"/>
                <w:szCs w:val="20"/>
                <w:color w:val="auto"/>
              </w:rPr>
            </w:pPr>
            <w:r>
              <w:rPr>
                <w:rFonts w:ascii="Arial" w:cs="Arial" w:eastAsia="Arial" w:hAnsi="Arial"/>
                <w:sz w:val="22"/>
                <w:szCs w:val="22"/>
                <w:color w:val="auto"/>
              </w:rPr>
              <w:t>SECTION 12.9 Governing Law</w:t>
            </w:r>
          </w:p>
        </w:tc>
        <w:tc>
          <w:tcPr>
            <w:tcW w:w="8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12.10</w:t>
            </w:r>
          </w:p>
        </w:tc>
        <w:tc>
          <w:tcPr>
            <w:tcW w:w="7440" w:type="dxa"/>
            <w:vAlign w:val="bottom"/>
          </w:tcPr>
          <w:p>
            <w:pPr>
              <w:ind w:left="20"/>
              <w:spacing w:after="0"/>
              <w:rPr>
                <w:sz w:val="20"/>
                <w:szCs w:val="20"/>
                <w:color w:val="auto"/>
              </w:rPr>
            </w:pPr>
            <w:r>
              <w:rPr>
                <w:rFonts w:ascii="Arial" w:cs="Arial" w:eastAsia="Arial" w:hAnsi="Arial"/>
                <w:sz w:val="22"/>
                <w:szCs w:val="22"/>
                <w:color w:val="auto"/>
              </w:rPr>
              <w:t>Jurisdiction</w:t>
            </w:r>
          </w:p>
        </w:tc>
        <w:tc>
          <w:tcPr>
            <w:tcW w:w="8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12.11</w:t>
            </w:r>
          </w:p>
        </w:tc>
        <w:tc>
          <w:tcPr>
            <w:tcW w:w="7440" w:type="dxa"/>
            <w:vAlign w:val="bottom"/>
          </w:tcPr>
          <w:p>
            <w:pPr>
              <w:ind w:left="20"/>
              <w:spacing w:after="0"/>
              <w:rPr>
                <w:sz w:val="20"/>
                <w:szCs w:val="20"/>
                <w:color w:val="auto"/>
              </w:rPr>
            </w:pPr>
            <w:r>
              <w:rPr>
                <w:rFonts w:ascii="Arial" w:cs="Arial" w:eastAsia="Arial" w:hAnsi="Arial"/>
                <w:sz w:val="22"/>
                <w:szCs w:val="22"/>
                <w:color w:val="auto"/>
              </w:rPr>
              <w:t>Waivers of Jury Trial</w:t>
            </w:r>
          </w:p>
        </w:tc>
        <w:tc>
          <w:tcPr>
            <w:tcW w:w="8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12.12</w:t>
            </w:r>
          </w:p>
        </w:tc>
        <w:tc>
          <w:tcPr>
            <w:tcW w:w="7440" w:type="dxa"/>
            <w:vAlign w:val="bottom"/>
          </w:tcPr>
          <w:p>
            <w:pPr>
              <w:ind w:left="20"/>
              <w:spacing w:after="0"/>
              <w:rPr>
                <w:sz w:val="20"/>
                <w:szCs w:val="20"/>
                <w:color w:val="auto"/>
              </w:rPr>
            </w:pPr>
            <w:r>
              <w:rPr>
                <w:rFonts w:ascii="Arial" w:cs="Arial" w:eastAsia="Arial" w:hAnsi="Arial"/>
                <w:sz w:val="22"/>
                <w:szCs w:val="22"/>
                <w:color w:val="auto"/>
              </w:rPr>
              <w:t>USA PATRIOT Act Section 326 Customer Identification Program</w:t>
            </w:r>
          </w:p>
        </w:tc>
        <w:tc>
          <w:tcPr>
            <w:tcW w:w="8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12.13</w:t>
            </w:r>
          </w:p>
        </w:tc>
        <w:tc>
          <w:tcPr>
            <w:tcW w:w="7440" w:type="dxa"/>
            <w:vAlign w:val="bottom"/>
          </w:tcPr>
          <w:p>
            <w:pPr>
              <w:ind w:left="20"/>
              <w:spacing w:after="0"/>
              <w:rPr>
                <w:sz w:val="20"/>
                <w:szCs w:val="20"/>
                <w:color w:val="auto"/>
              </w:rPr>
            </w:pPr>
            <w:r>
              <w:rPr>
                <w:rFonts w:ascii="Arial" w:cs="Arial" w:eastAsia="Arial" w:hAnsi="Arial"/>
                <w:sz w:val="22"/>
                <w:szCs w:val="22"/>
                <w:color w:val="auto"/>
              </w:rPr>
              <w:t>No Recourse Against Others</w:t>
            </w:r>
          </w:p>
        </w:tc>
        <w:tc>
          <w:tcPr>
            <w:tcW w:w="820" w:type="dxa"/>
            <w:vAlign w:val="bottom"/>
          </w:tcPr>
          <w:p>
            <w:pPr>
              <w:jc w:val="right"/>
              <w:spacing w:after="0"/>
              <w:rPr>
                <w:sz w:val="20"/>
                <w:szCs w:val="20"/>
                <w:color w:val="auto"/>
              </w:rPr>
            </w:pPr>
            <w:r>
              <w:rPr>
                <w:rFonts w:ascii="Arial" w:cs="Arial" w:eastAsia="Arial" w:hAnsi="Arial"/>
                <w:sz w:val="22"/>
                <w:szCs w:val="22"/>
                <w:color w:val="auto"/>
              </w:rPr>
              <w:t>130</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12.14</w:t>
            </w:r>
          </w:p>
        </w:tc>
        <w:tc>
          <w:tcPr>
            <w:tcW w:w="7440" w:type="dxa"/>
            <w:vAlign w:val="bottom"/>
          </w:tcPr>
          <w:p>
            <w:pPr>
              <w:ind w:left="20"/>
              <w:spacing w:after="0"/>
              <w:rPr>
                <w:sz w:val="20"/>
                <w:szCs w:val="20"/>
                <w:color w:val="auto"/>
              </w:rPr>
            </w:pPr>
            <w:r>
              <w:rPr>
                <w:rFonts w:ascii="Arial" w:cs="Arial" w:eastAsia="Arial" w:hAnsi="Arial"/>
                <w:sz w:val="22"/>
                <w:szCs w:val="22"/>
                <w:color w:val="auto"/>
              </w:rPr>
              <w:t>Successors</w:t>
            </w:r>
          </w:p>
        </w:tc>
        <w:tc>
          <w:tcPr>
            <w:tcW w:w="820" w:type="dxa"/>
            <w:vAlign w:val="bottom"/>
          </w:tcPr>
          <w:p>
            <w:pPr>
              <w:jc w:val="right"/>
              <w:spacing w:after="0"/>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12.15</w:t>
            </w:r>
          </w:p>
        </w:tc>
        <w:tc>
          <w:tcPr>
            <w:tcW w:w="7440" w:type="dxa"/>
            <w:vAlign w:val="bottom"/>
          </w:tcPr>
          <w:p>
            <w:pPr>
              <w:ind w:left="20"/>
              <w:spacing w:after="0"/>
              <w:rPr>
                <w:sz w:val="20"/>
                <w:szCs w:val="20"/>
                <w:color w:val="auto"/>
              </w:rPr>
            </w:pPr>
            <w:r>
              <w:rPr>
                <w:rFonts w:ascii="Arial" w:cs="Arial" w:eastAsia="Arial" w:hAnsi="Arial"/>
                <w:sz w:val="22"/>
                <w:szCs w:val="22"/>
                <w:color w:val="auto"/>
              </w:rPr>
              <w:t>Multiple Originals</w:t>
            </w:r>
          </w:p>
        </w:tc>
        <w:tc>
          <w:tcPr>
            <w:tcW w:w="820" w:type="dxa"/>
            <w:vAlign w:val="bottom"/>
          </w:tcPr>
          <w:p>
            <w:pPr>
              <w:jc w:val="right"/>
              <w:spacing w:after="0"/>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r>
        <w:trPr>
          <w:trHeight w:val="297"/>
        </w:trPr>
        <w:tc>
          <w:tcPr>
            <w:tcW w:w="2600" w:type="dxa"/>
            <w:vAlign w:val="bottom"/>
          </w:tcPr>
          <w:p>
            <w:pPr>
              <w:jc w:val="right"/>
              <w:spacing w:after="0"/>
              <w:rPr>
                <w:sz w:val="20"/>
                <w:szCs w:val="20"/>
                <w:color w:val="auto"/>
              </w:rPr>
            </w:pPr>
            <w:r>
              <w:rPr>
                <w:rFonts w:ascii="Arial" w:cs="Arial" w:eastAsia="Arial" w:hAnsi="Arial"/>
                <w:sz w:val="22"/>
                <w:szCs w:val="22"/>
                <w:color w:val="auto"/>
              </w:rPr>
              <w:t>SECTION 12.16</w:t>
            </w:r>
          </w:p>
        </w:tc>
        <w:tc>
          <w:tcPr>
            <w:tcW w:w="7440" w:type="dxa"/>
            <w:vAlign w:val="bottom"/>
          </w:tcPr>
          <w:p>
            <w:pPr>
              <w:ind w:left="20"/>
              <w:spacing w:after="0"/>
              <w:rPr>
                <w:sz w:val="20"/>
                <w:szCs w:val="20"/>
                <w:color w:val="auto"/>
              </w:rPr>
            </w:pPr>
            <w:r>
              <w:rPr>
                <w:rFonts w:ascii="Arial" w:cs="Arial" w:eastAsia="Arial" w:hAnsi="Arial"/>
                <w:sz w:val="22"/>
                <w:szCs w:val="22"/>
                <w:color w:val="auto"/>
              </w:rPr>
              <w:t>[Reserved]</w:t>
            </w:r>
          </w:p>
        </w:tc>
        <w:tc>
          <w:tcPr>
            <w:tcW w:w="820" w:type="dxa"/>
            <w:vAlign w:val="bottom"/>
          </w:tcPr>
          <w:p>
            <w:pPr>
              <w:jc w:val="right"/>
              <w:spacing w:after="0"/>
              <w:rPr>
                <w:sz w:val="20"/>
                <w:szCs w:val="20"/>
                <w:color w:val="auto"/>
              </w:rPr>
            </w:pPr>
            <w:r>
              <w:rPr>
                <w:rFonts w:ascii="Arial" w:cs="Arial" w:eastAsia="Arial" w:hAnsi="Arial"/>
                <w:sz w:val="22"/>
                <w:szCs w:val="22"/>
                <w:color w:val="auto"/>
              </w:rPr>
              <w:t>131</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60"/>
          </w:cols>
          <w:pgMar w:left="280" w:top="996" w:right="759" w:bottom="1440" w:gutter="0" w:footer="0" w:header="0"/>
        </w:sectPr>
      </w:pPr>
    </w:p>
    <w:bookmarkStart w:id="59" w:name="page60"/>
    <w:bookmarkEnd w:id="59"/>
    <w:tbl>
      <w:tblPr>
        <w:tblLayout w:type="fixed"/>
        <w:tblInd w:w="1160" w:type="dxa"/>
        <w:tblCellMar>
          <w:top w:w="0" w:type="dxa"/>
          <w:left w:w="0" w:type="dxa"/>
          <w:bottom w:w="0" w:type="dxa"/>
          <w:right w:w="0" w:type="dxa"/>
        </w:tblCellMar>
      </w:tblPr>
      <w:tr>
        <w:trPr>
          <w:trHeight w:val="275"/>
        </w:trPr>
        <w:tc>
          <w:tcPr>
            <w:tcW w:w="1480" w:type="dxa"/>
            <w:vAlign w:val="bottom"/>
          </w:tcPr>
          <w:p>
            <w:pPr>
              <w:spacing w:after="0"/>
              <w:rPr>
                <w:sz w:val="20"/>
                <w:szCs w:val="20"/>
                <w:color w:val="auto"/>
              </w:rPr>
            </w:pPr>
            <w:r>
              <w:rPr>
                <w:rFonts w:ascii="Arial" w:cs="Arial" w:eastAsia="Arial" w:hAnsi="Arial"/>
                <w:sz w:val="22"/>
                <w:szCs w:val="22"/>
                <w:color w:val="auto"/>
                <w:w w:val="91"/>
              </w:rPr>
              <w:t>SECTION 12.17</w:t>
            </w:r>
          </w:p>
        </w:tc>
        <w:tc>
          <w:tcPr>
            <w:tcW w:w="5220" w:type="dxa"/>
            <w:vAlign w:val="bottom"/>
          </w:tcPr>
          <w:p>
            <w:pPr>
              <w:ind w:left="20"/>
              <w:spacing w:after="0"/>
              <w:rPr>
                <w:sz w:val="20"/>
                <w:szCs w:val="20"/>
                <w:color w:val="auto"/>
              </w:rPr>
            </w:pPr>
            <w:r>
              <w:rPr>
                <w:rFonts w:ascii="Arial" w:cs="Arial" w:eastAsia="Arial" w:hAnsi="Arial"/>
                <w:sz w:val="22"/>
                <w:szCs w:val="22"/>
                <w:color w:val="auto"/>
              </w:rPr>
              <w:t>Table of Contents; Headings</w:t>
            </w:r>
          </w:p>
        </w:tc>
        <w:tc>
          <w:tcPr>
            <w:tcW w:w="30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6700" w:type="dxa"/>
            <w:vAlign w:val="bottom"/>
            <w:gridSpan w:val="2"/>
          </w:tcPr>
          <w:p>
            <w:pPr>
              <w:spacing w:after="0"/>
              <w:rPr>
                <w:sz w:val="20"/>
                <w:szCs w:val="20"/>
                <w:color w:val="auto"/>
              </w:rPr>
            </w:pPr>
            <w:r>
              <w:rPr>
                <w:rFonts w:ascii="Arial" w:cs="Arial" w:eastAsia="Arial" w:hAnsi="Arial"/>
                <w:sz w:val="22"/>
                <w:szCs w:val="22"/>
                <w:color w:val="auto"/>
              </w:rPr>
              <w:t>SECTION 12.18 Force Majeure</w:t>
            </w:r>
          </w:p>
        </w:tc>
        <w:tc>
          <w:tcPr>
            <w:tcW w:w="30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w w:val="91"/>
              </w:rPr>
              <w:t>SECTION 12.19</w:t>
            </w:r>
          </w:p>
        </w:tc>
        <w:tc>
          <w:tcPr>
            <w:tcW w:w="5220" w:type="dxa"/>
            <w:vAlign w:val="bottom"/>
          </w:tcPr>
          <w:p>
            <w:pPr>
              <w:ind w:left="20"/>
              <w:spacing w:after="0"/>
              <w:rPr>
                <w:sz w:val="20"/>
                <w:szCs w:val="20"/>
                <w:color w:val="auto"/>
              </w:rPr>
            </w:pPr>
            <w:r>
              <w:rPr>
                <w:rFonts w:ascii="Arial" w:cs="Arial" w:eastAsia="Arial" w:hAnsi="Arial"/>
                <w:sz w:val="22"/>
                <w:szCs w:val="22"/>
                <w:color w:val="auto"/>
              </w:rPr>
              <w:t>Severability</w:t>
            </w:r>
          </w:p>
        </w:tc>
        <w:tc>
          <w:tcPr>
            <w:tcW w:w="3040" w:type="dxa"/>
            <w:vAlign w:val="bottom"/>
          </w:tcPr>
          <w:p>
            <w:pPr>
              <w:jc w:val="right"/>
              <w:spacing w:after="0"/>
              <w:rPr>
                <w:sz w:val="20"/>
                <w:szCs w:val="20"/>
                <w:color w:val="auto"/>
              </w:rPr>
            </w:pPr>
            <w:r>
              <w:rPr>
                <w:rFonts w:ascii="Arial" w:cs="Arial" w:eastAsia="Arial" w:hAnsi="Arial"/>
                <w:sz w:val="22"/>
                <w:szCs w:val="22"/>
                <w:color w:val="auto"/>
              </w:rPr>
              <w:t>131</w:t>
            </w:r>
          </w:p>
        </w:tc>
      </w:tr>
    </w:tbl>
    <w:p>
      <w:pPr>
        <w:spacing w:after="0" w:line="266"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Global Restricted Note</w:t>
      </w:r>
    </w:p>
    <w:p>
      <w:pPr>
        <w:spacing w:after="0" w:line="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Supplemental Indenture</w:t>
      </w:r>
    </w:p>
    <w:p>
      <w:pPr>
        <w:spacing w:after="0" w:line="200" w:lineRule="exact"/>
        <w:rPr>
          <w:sz w:val="20"/>
          <w:szCs w:val="20"/>
          <w:color w:val="auto"/>
        </w:rPr>
      </w:pPr>
    </w:p>
    <w:p>
      <w:pPr>
        <w:spacing w:after="0" w:line="299"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900"/>
          </w:cols>
          <w:pgMar w:left="240" w:top="996" w:right="759" w:bottom="1440" w:gutter="0" w:footer="0" w:header="0"/>
        </w:sectPr>
      </w:pPr>
    </w:p>
    <w:bookmarkStart w:id="60" w:name="page61"/>
    <w:bookmarkEnd w:id="60"/>
    <w:p>
      <w:pPr>
        <w:jc w:val="center"/>
        <w:ind w:right="360"/>
        <w:spacing w:after="0"/>
        <w:rPr>
          <w:sz w:val="20"/>
          <w:szCs w:val="20"/>
          <w:color w:val="auto"/>
        </w:rPr>
      </w:pPr>
      <w:r>
        <w:rPr>
          <w:rFonts w:ascii="Arial" w:cs="Arial" w:eastAsia="Arial" w:hAnsi="Arial"/>
          <w:sz w:val="22"/>
          <w:szCs w:val="22"/>
          <w:color w:val="auto"/>
        </w:rPr>
        <w:t>INDENTURE dated as of July 3, 2019 (as amended, supplemented or otherwise modified from time to time, this</w:t>
      </w:r>
    </w:p>
    <w:p>
      <w:pPr>
        <w:spacing w:after="0" w:line="22"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Indenture</w:t>
      </w:r>
      <w:r>
        <w:rPr>
          <w:rFonts w:ascii="Arial" w:cs="Arial" w:eastAsia="Arial" w:hAnsi="Arial"/>
          <w:sz w:val="21"/>
          <w:szCs w:val="21"/>
          <w:color w:val="auto"/>
        </w:rPr>
        <w:t>”), among AVIS BUDGET CAR RENTAL, LLC, a limited liability company organized under the laws of the state of Delaware (the “</w:t>
      </w:r>
      <w:r>
        <w:rPr>
          <w:rFonts w:ascii="Arial" w:cs="Arial" w:eastAsia="Arial" w:hAnsi="Arial"/>
          <w:sz w:val="21"/>
          <w:szCs w:val="21"/>
          <w:u w:val="single" w:color="auto"/>
          <w:color w:val="auto"/>
        </w:rPr>
        <w:t>Company</w:t>
      </w:r>
      <w:r>
        <w:rPr>
          <w:rFonts w:ascii="Arial" w:cs="Arial" w:eastAsia="Arial" w:hAnsi="Arial"/>
          <w:sz w:val="21"/>
          <w:szCs w:val="21"/>
          <w:color w:val="auto"/>
        </w:rPr>
        <w:t>”), and AVIS BUDGET FINANCE, INC., a corporation organized under the laws of the State of Delaware (the “</w:t>
      </w:r>
      <w:r>
        <w:rPr>
          <w:rFonts w:ascii="Arial" w:cs="Arial" w:eastAsia="Arial" w:hAnsi="Arial"/>
          <w:sz w:val="21"/>
          <w:szCs w:val="21"/>
          <w:u w:val="single" w:color="auto"/>
          <w:color w:val="auto"/>
        </w:rPr>
        <w:t>Co-Issuer</w:t>
      </w:r>
      <w:r>
        <w:rPr>
          <w:rFonts w:ascii="Arial" w:cs="Arial" w:eastAsia="Arial" w:hAnsi="Arial"/>
          <w:sz w:val="21"/>
          <w:szCs w:val="21"/>
          <w:color w:val="auto"/>
        </w:rPr>
        <w:t>” and, together with the Company,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party hereto (the “</w:t>
      </w:r>
      <w:r>
        <w:rPr>
          <w:rFonts w:ascii="Arial" w:cs="Arial" w:eastAsia="Arial" w:hAnsi="Arial"/>
          <w:sz w:val="21"/>
          <w:szCs w:val="21"/>
          <w:u w:val="single" w:color="auto"/>
          <w:color w:val="auto"/>
        </w:rPr>
        <w:t>Guarantors</w:t>
      </w:r>
      <w:r>
        <w:rPr>
          <w:rFonts w:ascii="Arial" w:cs="Arial" w:eastAsia="Arial" w:hAnsi="Arial"/>
          <w:sz w:val="21"/>
          <w:szCs w:val="21"/>
          <w:color w:val="auto"/>
        </w:rPr>
        <w:t>”) and DEUTSCHE BANK TRUST COMPANY AMERICAS, a New York banking corporation,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p>
    <w:p>
      <w:pPr>
        <w:spacing w:after="0" w:line="112"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21"/>
          <w:szCs w:val="21"/>
          <w:color w:val="auto"/>
        </w:rPr>
        <w:t>WHEREAS, the Issuers have duly authorized the execution and delivery of this Indenture to provide for the issuance of (i) the 5.75% Senior Notes due 2027 issued on the date hereof (the “</w:t>
      </w:r>
      <w:r>
        <w:rPr>
          <w:rFonts w:ascii="Arial" w:cs="Arial" w:eastAsia="Arial" w:hAnsi="Arial"/>
          <w:sz w:val="21"/>
          <w:szCs w:val="21"/>
          <w:u w:val="single" w:color="auto"/>
          <w:color w:val="auto"/>
        </w:rPr>
        <w:t>Initial Notes</w:t>
      </w:r>
      <w:r>
        <w:rPr>
          <w:rFonts w:ascii="Arial" w:cs="Arial" w:eastAsia="Arial" w:hAnsi="Arial"/>
          <w:sz w:val="21"/>
          <w:szCs w:val="21"/>
          <w:color w:val="auto"/>
        </w:rPr>
        <w:t>”) and (ii) any additional Notes (“</w:t>
      </w:r>
      <w:r>
        <w:rPr>
          <w:rFonts w:ascii="Arial" w:cs="Arial" w:eastAsia="Arial" w:hAnsi="Arial"/>
          <w:sz w:val="21"/>
          <w:szCs w:val="21"/>
          <w:u w:val="single" w:color="auto"/>
          <w:color w:val="auto"/>
        </w:rPr>
        <w:t>Additional Notes</w:t>
      </w:r>
      <w:r>
        <w:rPr>
          <w:rFonts w:ascii="Arial" w:cs="Arial" w:eastAsia="Arial" w:hAnsi="Arial"/>
          <w:sz w:val="21"/>
          <w:szCs w:val="21"/>
          <w:color w:val="auto"/>
        </w:rPr>
        <w:t>” and, together with the Initial Notes, the “</w:t>
      </w:r>
      <w:r>
        <w:rPr>
          <w:rFonts w:ascii="Arial" w:cs="Arial" w:eastAsia="Arial" w:hAnsi="Arial"/>
          <w:sz w:val="21"/>
          <w:szCs w:val="21"/>
          <w:u w:val="single" w:color="auto"/>
          <w:color w:val="auto"/>
        </w:rPr>
        <w:t>Notes</w:t>
      </w:r>
      <w:r>
        <w:rPr>
          <w:rFonts w:ascii="Arial" w:cs="Arial" w:eastAsia="Arial" w:hAnsi="Arial"/>
          <w:sz w:val="21"/>
          <w:szCs w:val="21"/>
          <w:color w:val="auto"/>
        </w:rPr>
        <w:t>”) that may be issued after the Issue Date.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Issuers and each of the Guarantors have duly authorized the execution and delivery of this Indenture;</w:t>
      </w:r>
    </w:p>
    <w:p>
      <w:pPr>
        <w:spacing w:after="0" w:line="14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WHEREAS, all things necessary (i) to make the Notes, when executed and duly issued by the Issuers and authenticated and delivered hereunder, the valid obligations of the Issuers, (ii) to make the Guarantees, when this Indenture is executed by each Guarantor, the valid obligation of each Guarantor and (iii) to make this Indenture a valid agreement of the Issuers and each of the Guarantors have been done; and</w:t>
      </w:r>
    </w:p>
    <w:p>
      <w:pPr>
        <w:spacing w:after="0" w:line="80"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NOW, THEREFORE, in consideration of the premises and the purchase of the Notes by the Holders thereof, it is mutually covenanted and agreed, for the equal and proportionate benefit of all Holders, as follows:</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I</w:t>
      </w:r>
    </w:p>
    <w:p>
      <w:pPr>
        <w:spacing w:after="0" w:line="274" w:lineRule="exact"/>
        <w:rPr>
          <w:sz w:val="20"/>
          <w:szCs w:val="20"/>
          <w:color w:val="auto"/>
        </w:rPr>
      </w:pPr>
    </w:p>
    <w:p>
      <w:pPr>
        <w:ind w:left="660" w:right="2900" w:firstLine="2250"/>
        <w:spacing w:after="0" w:line="348" w:lineRule="auto"/>
        <w:rPr>
          <w:sz w:val="20"/>
          <w:szCs w:val="20"/>
          <w:color w:val="auto"/>
        </w:rPr>
      </w:pPr>
      <w:r>
        <w:rPr>
          <w:rFonts w:ascii="Arial" w:cs="Arial" w:eastAsia="Arial" w:hAnsi="Arial"/>
          <w:sz w:val="22"/>
          <w:szCs w:val="22"/>
          <w:b w:val="1"/>
          <w:bCs w:val="1"/>
          <w:u w:val="single" w:color="auto"/>
          <w:color w:val="auto"/>
        </w:rPr>
        <w:t xml:space="preserve">DEFINITIONS AND INCORPORATION BY REFERENCE </w:t>
      </w: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Acquired Indebtedness</w:t>
      </w:r>
      <w:r>
        <w:rPr>
          <w:rFonts w:ascii="Arial" w:cs="Arial" w:eastAsia="Arial" w:hAnsi="Arial"/>
          <w:sz w:val="19"/>
          <w:szCs w:val="19"/>
          <w:color w:val="auto"/>
        </w:rPr>
        <w:t>” means Indebtedness (1) of a Person or any of its Subsidiaries existing at the time such Person becomes a Restricted Subsidiary, or (2) assumed in connection with the acquisition of assets from such Person, in each case whether or not Incurred by such Person in connection with such Person becoming a Restricted Subsidiary of the Company or such acquisition or (3) of a Person at the time such Person merges with or into or consolidates or otherwise combines with the Company or any Restricted Subsidiary. Acquired Indebtedness shall 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112" w:lineRule="exact"/>
        <w:rPr>
          <w:sz w:val="20"/>
          <w:szCs w:val="20"/>
          <w:color w:val="auto"/>
        </w:rPr>
      </w:pPr>
    </w:p>
    <w:p>
      <w:pPr>
        <w:ind w:left="660" w:right="40" w:firstLine="645"/>
        <w:spacing w:after="0" w:line="253" w:lineRule="auto"/>
        <w:tabs>
          <w:tab w:leader="none" w:pos="1776"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property or assets (other than Capital Stock) used or to be used by the Company, a Restricted Subsidiary or otherwise useful in a Similar Business (it being understood that capital expenditures on property or assets already used in a Similar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47" w:right="239" w:bottom="1440" w:gutter="0" w:footer="0" w:header="0"/>
        </w:sectPr>
      </w:pPr>
    </w:p>
    <w:bookmarkStart w:id="61" w:name="page62"/>
    <w:bookmarkEnd w:id="61"/>
    <w:p>
      <w:pPr>
        <w:ind w:left="660" w:right="40"/>
        <w:spacing w:after="0" w:line="263" w:lineRule="auto"/>
        <w:rPr>
          <w:sz w:val="20"/>
          <w:szCs w:val="20"/>
          <w:color w:val="auto"/>
        </w:rPr>
      </w:pPr>
      <w:r>
        <w:rPr>
          <w:rFonts w:ascii="Arial" w:cs="Arial" w:eastAsia="Arial" w:hAnsi="Arial"/>
          <w:sz w:val="22"/>
          <w:szCs w:val="22"/>
          <w:color w:val="auto"/>
        </w:rPr>
        <w:t>Business or to replace any property or assets that are the subject of such Asset Disposition shall be deemed an investment in Additional Assets);</w:t>
      </w:r>
    </w:p>
    <w:p>
      <w:pPr>
        <w:spacing w:after="0" w:line="67" w:lineRule="exact"/>
        <w:rPr>
          <w:sz w:val="20"/>
          <w:szCs w:val="20"/>
          <w:color w:val="auto"/>
        </w:rPr>
      </w:pPr>
    </w:p>
    <w:p>
      <w:pPr>
        <w:ind w:left="660" w:right="280" w:firstLine="645"/>
        <w:spacing w:after="0" w:line="341" w:lineRule="auto"/>
        <w:tabs>
          <w:tab w:leader="none" w:pos="177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Capital Stock of a Person that is engaged in a Similar Business and becomes a Restricted Subsidiary as a result of the acquisition of such Capital Stock by the Company or a Restricted Subsidiary of the Company; or</w:t>
      </w:r>
    </w:p>
    <w:p>
      <w:pPr>
        <w:ind w:left="1780" w:hanging="475"/>
        <w:spacing w:after="0"/>
        <w:tabs>
          <w:tab w:leader="none" w:pos="17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Capital Stock constituting a minority interest in any Person that at such time is a Restricted Subsidiary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94"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84"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each of Euro, British Pounds Sterling, Australian Dollars, Brazilian Real, Canadian dollars, Chinese Yuan, Danish Kroner, Egyptian Pound, Hong Kong Dollars, Indian Rupee, Indonesian Rupiah, Japanese Yen, Korean Won, Mexican Pesos, New Zealand Dollars, Russian Ruble, Singapore Dollars, Swedish Kroner, Swiss Francs and each other currency (other than United States dollars) that is a lawful currency (other than United States dollars) that is readily available and freely transferable and convertible into United States dollars.</w:t>
      </w:r>
    </w:p>
    <w:p>
      <w:pPr>
        <w:spacing w:after="0" w:line="6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Premium</w:t>
      </w:r>
      <w:r>
        <w:rPr>
          <w:rFonts w:ascii="Arial" w:cs="Arial" w:eastAsia="Arial" w:hAnsi="Arial"/>
          <w:sz w:val="22"/>
          <w:szCs w:val="22"/>
          <w:color w:val="auto"/>
        </w:rPr>
        <w:t>” means the greater of (A) 1.0% of the principal amount of such Note and (B) on any redemption date, the excess (to the extent positive) of:</w:t>
      </w:r>
    </w:p>
    <w:p>
      <w:pPr>
        <w:spacing w:after="0" w:line="67" w:lineRule="exact"/>
        <w:rPr>
          <w:sz w:val="20"/>
          <w:szCs w:val="20"/>
          <w:color w:val="auto"/>
        </w:rPr>
      </w:pPr>
    </w:p>
    <w:p>
      <w:pPr>
        <w:ind w:right="140" w:firstLine="656"/>
        <w:spacing w:after="0" w:line="248" w:lineRule="auto"/>
        <w:tabs>
          <w:tab w:leader="none" w:pos="11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present value at such redemption date of (i) the redemption price of such Note at July 15, 2022 (such redemption price (expressed in percentage of principal amount) being set forth in the table under </w:t>
      </w:r>
      <w:r>
        <w:rPr>
          <w:rFonts w:ascii="Arial" w:cs="Arial" w:eastAsia="Arial" w:hAnsi="Arial"/>
          <w:sz w:val="22"/>
          <w:szCs w:val="22"/>
          <w:u w:val="single" w:color="auto"/>
          <w:color w:val="auto"/>
        </w:rPr>
        <w:t>Section 5.7(d)</w:t>
      </w:r>
      <w:r>
        <w:rPr>
          <w:rFonts w:ascii="Arial" w:cs="Arial" w:eastAsia="Arial" w:hAnsi="Arial"/>
          <w:sz w:val="22"/>
          <w:szCs w:val="22"/>
          <w:color w:val="auto"/>
        </w:rPr>
        <w:t xml:space="preserve"> (excluding accrued but unpaid interest)), plus (ii) all required interest payments due on such Note to and including such date set forth in clause (i) (excluding accrued but unpaid interest), computed upon the redemption date using a discount rate equal to the Applicable Treasury Rate at such redemption date plus 50 basis points; over</w:t>
      </w:r>
    </w:p>
    <w:p>
      <w:pPr>
        <w:spacing w:after="0" w:line="84" w:lineRule="exact"/>
        <w:rPr>
          <w:rFonts w:ascii="Arial" w:cs="Arial" w:eastAsia="Arial" w:hAnsi="Arial"/>
          <w:sz w:val="22"/>
          <w:szCs w:val="22"/>
          <w:color w:val="auto"/>
        </w:rPr>
      </w:pPr>
    </w:p>
    <w:p>
      <w:pPr>
        <w:ind w:left="1120" w:hanging="464"/>
        <w:spacing w:after="0"/>
        <w:tabs>
          <w:tab w:leader="none" w:pos="11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outstanding principal amount of such Note;</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in each case, as calculated by the Company or on behalf of the Company by such Person as the Company shall designate.</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Treasury Rate</w:t>
      </w:r>
      <w:r>
        <w:rPr>
          <w:rFonts w:ascii="Arial" w:cs="Arial" w:eastAsia="Arial" w:hAnsi="Arial"/>
          <w:sz w:val="21"/>
          <w:szCs w:val="21"/>
          <w:color w:val="auto"/>
        </w:rPr>
        <w:t xml:space="preserv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Company in good faith)) most nearly equal to the period from the redemption date to July 15, 2022;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period from the redemption date to July 15, 2022 is not equal to the constant maturity of a United States Treasury security for which such a yield is given, the Applicable Treasury Rate shall be obtained by linear interpolation (calculated to the nearest one-twelfth of a year) from the weekly average yields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62" w:name="page63"/>
    <w:bookmarkEnd w:id="62"/>
    <w:p>
      <w:pPr>
        <w:jc w:val="both"/>
        <w:ind w:right="160"/>
        <w:spacing w:after="0" w:line="253" w:lineRule="auto"/>
        <w:rPr>
          <w:sz w:val="20"/>
          <w:szCs w:val="20"/>
          <w:color w:val="auto"/>
        </w:rPr>
      </w:pPr>
      <w:r>
        <w:rPr>
          <w:rFonts w:ascii="Arial" w:cs="Arial" w:eastAsia="Arial" w:hAnsi="Arial"/>
          <w:sz w:val="22"/>
          <w:szCs w:val="22"/>
          <w:color w:val="auto"/>
        </w:rPr>
        <w:t>United States Treasury securities for which yields are given, except that if the period from the redemption date to such applicable date is less than one year, the yield on actually traded United States Treasury securities adjusted to a constant maturity of one year shall be used.</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Disposition</w:t>
      </w:r>
      <w:r>
        <w:rPr>
          <w:rFonts w:ascii="Arial" w:cs="Arial" w:eastAsia="Arial" w:hAnsi="Arial"/>
          <w:sz w:val="22"/>
          <w:szCs w:val="22"/>
          <w:color w:val="auto"/>
        </w:rPr>
        <w:t>” means:</w:t>
      </w:r>
    </w:p>
    <w:p>
      <w:pPr>
        <w:spacing w:after="0" w:line="112" w:lineRule="exact"/>
        <w:rPr>
          <w:sz w:val="20"/>
          <w:szCs w:val="20"/>
          <w:color w:val="auto"/>
        </w:rPr>
      </w:pPr>
    </w:p>
    <w:p>
      <w:pPr>
        <w:jc w:val="both"/>
        <w:ind w:right="80" w:firstLine="656"/>
        <w:spacing w:after="0" w:line="312" w:lineRule="auto"/>
        <w:tabs>
          <w:tab w:leader="none" w:pos="110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sale, conveyance, transfer or other disposition, whether in a single transaction or a series of related transactions, of property or assets (including by way of a Sale and Leaseback Transaction) of the Company or any of its Restricted Subsidiaries (in each case other than Capital Stock of the Company) (each referred to in this definition as a “</w:t>
      </w:r>
      <w:r>
        <w:rPr>
          <w:rFonts w:ascii="Arial" w:cs="Arial" w:eastAsia="Arial" w:hAnsi="Arial"/>
          <w:sz w:val="19"/>
          <w:szCs w:val="19"/>
          <w:u w:val="single" w:color="auto"/>
          <w:color w:val="auto"/>
        </w:rPr>
        <w:t>disposition</w:t>
      </w:r>
      <w:r>
        <w:rPr>
          <w:rFonts w:ascii="Arial" w:cs="Arial" w:eastAsia="Arial" w:hAnsi="Arial"/>
          <w:sz w:val="19"/>
          <w:szCs w:val="19"/>
          <w:color w:val="auto"/>
        </w:rPr>
        <w:t>”); or</w:t>
      </w:r>
    </w:p>
    <w:p>
      <w:pPr>
        <w:spacing w:after="0" w:line="25" w:lineRule="exact"/>
        <w:rPr>
          <w:rFonts w:ascii="Arial" w:cs="Arial" w:eastAsia="Arial" w:hAnsi="Arial"/>
          <w:sz w:val="19"/>
          <w:szCs w:val="19"/>
          <w:color w:val="auto"/>
        </w:rPr>
      </w:pPr>
    </w:p>
    <w:p>
      <w:pPr>
        <w:ind w:right="100" w:firstLine="656"/>
        <w:spacing w:after="0" w:line="253" w:lineRule="auto"/>
        <w:tabs>
          <w:tab w:leader="none" w:pos="111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issuance or sale of Capital Stock of any Restricted Subsidiary (other than Preferred Stock or Disqualified Stock of Restricted Subsidiaries or directors’ qualifying shares and shares issued to foreign nationals as required under applicable law), whether in a single transaction or a series of related transactions;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in each case, other than:</w:t>
      </w:r>
    </w:p>
    <w:p>
      <w:pPr>
        <w:spacing w:after="0" w:line="112" w:lineRule="exact"/>
        <w:rPr>
          <w:sz w:val="20"/>
          <w:szCs w:val="20"/>
          <w:color w:val="auto"/>
        </w:rPr>
      </w:pPr>
    </w:p>
    <w:p>
      <w:pPr>
        <w:ind w:left="660" w:right="380" w:firstLine="645"/>
        <w:spacing w:after="0" w:line="263" w:lineRule="auto"/>
        <w:tabs>
          <w:tab w:leader="none" w:pos="177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disposition by a Restricted Subsidiary to the Company or by the Company or a Restricted Subsidiary to a Restricted Subsidiary;</w:t>
      </w:r>
    </w:p>
    <w:p>
      <w:pPr>
        <w:spacing w:after="0" w:line="66" w:lineRule="exact"/>
        <w:rPr>
          <w:rFonts w:ascii="Arial" w:cs="Arial" w:eastAsia="Arial" w:hAnsi="Arial"/>
          <w:sz w:val="22"/>
          <w:szCs w:val="22"/>
          <w:color w:val="auto"/>
        </w:rPr>
      </w:pPr>
    </w:p>
    <w:p>
      <w:pPr>
        <w:ind w:left="1780" w:hanging="475"/>
        <w:spacing w:after="0"/>
        <w:tabs>
          <w:tab w:leader="none" w:pos="17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disposition of cash, Cash Equivalents or Investment Grade Securities;</w:t>
      </w:r>
    </w:p>
    <w:p>
      <w:pPr>
        <w:spacing w:after="0" w:line="111" w:lineRule="exact"/>
        <w:rPr>
          <w:rFonts w:ascii="Arial" w:cs="Arial" w:eastAsia="Arial" w:hAnsi="Arial"/>
          <w:sz w:val="22"/>
          <w:szCs w:val="22"/>
          <w:color w:val="auto"/>
        </w:rPr>
      </w:pPr>
    </w:p>
    <w:p>
      <w:pPr>
        <w:ind w:left="660" w:right="80" w:firstLine="645"/>
        <w:spacing w:after="0" w:line="312" w:lineRule="auto"/>
        <w:tabs>
          <w:tab w:leader="none" w:pos="177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disposition of inventory or other assets (including abandoned operations) in the ordinary course of business or consistent with past practice (including allowing any registrations or any applications for registrations of any intellectual property rights to lapse or go abandoned in the ordinary course of business or consistent with past practice);</w:t>
      </w:r>
    </w:p>
    <w:p>
      <w:pPr>
        <w:spacing w:after="0" w:line="25" w:lineRule="exact"/>
        <w:rPr>
          <w:rFonts w:ascii="Arial" w:cs="Arial" w:eastAsia="Arial" w:hAnsi="Arial"/>
          <w:sz w:val="19"/>
          <w:szCs w:val="19"/>
          <w:color w:val="auto"/>
        </w:rPr>
      </w:pPr>
    </w:p>
    <w:p>
      <w:pPr>
        <w:ind w:left="660" w:firstLine="645"/>
        <w:spacing w:after="0" w:line="289" w:lineRule="auto"/>
        <w:tabs>
          <w:tab w:leader="none" w:pos="177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 disposition of obsolete, worn-out, uneconomic, damaged or surplus property, equipment or other assets or property, equipment or other assets that are no longer economically practical or commercially desirable to maintain (in the reasonable judgment of the Company)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the Restricted Subsidiaries, no longer used or useful, or economically practicable to maintain, or in respect of which the Company or any Restricted Subsidiary determines in its reasonable judgment of the Company that such action or inaction is desirable);</w:t>
      </w:r>
    </w:p>
    <w:p>
      <w:pPr>
        <w:spacing w:after="0" w:line="49" w:lineRule="exact"/>
        <w:rPr>
          <w:rFonts w:ascii="Arial" w:cs="Arial" w:eastAsia="Arial" w:hAnsi="Arial"/>
          <w:sz w:val="19"/>
          <w:szCs w:val="19"/>
          <w:color w:val="auto"/>
        </w:rPr>
      </w:pPr>
    </w:p>
    <w:p>
      <w:pPr>
        <w:ind w:left="1780" w:hanging="475"/>
        <w:spacing w:after="0"/>
        <w:tabs>
          <w:tab w:leader="none" w:pos="17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transactions permitted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transaction that constitutes a Change of Control;</w:t>
      </w:r>
    </w:p>
    <w:p>
      <w:pPr>
        <w:spacing w:after="0" w:line="111" w:lineRule="exact"/>
        <w:rPr>
          <w:rFonts w:ascii="Arial" w:cs="Arial" w:eastAsia="Arial" w:hAnsi="Arial"/>
          <w:sz w:val="22"/>
          <w:szCs w:val="22"/>
          <w:color w:val="auto"/>
        </w:rPr>
      </w:pPr>
    </w:p>
    <w:p>
      <w:pPr>
        <w:ind w:left="660" w:right="120" w:firstLine="645"/>
        <w:spacing w:after="0" w:line="341" w:lineRule="auto"/>
        <w:tabs>
          <w:tab w:leader="none" w:pos="1776"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 issuance of Capital Stock by a Restricted Subsidiary to the Company or to another Restricted Subsidiary or as part of or pursuant to an equity incentive or compensation plan approved by the Board of Directors;</w:t>
      </w:r>
    </w:p>
    <w:p>
      <w:pPr>
        <w:ind w:left="660" w:right="320" w:firstLine="645"/>
        <w:spacing w:after="0" w:line="263" w:lineRule="auto"/>
        <w:tabs>
          <w:tab w:leader="none" w:pos="177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dispositions of Capital Stock, properties or assets in a single transaction or series of related transactions with a fair market value (as determined in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847"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good faith by the Company) of less than the greater of $75.0 million and 0.5% of Total Assets;</w:t>
      </w:r>
    </w:p>
    <w:p>
      <w:pPr>
        <w:spacing w:after="0" w:line="112" w:lineRule="exact"/>
        <w:rPr>
          <w:sz w:val="20"/>
          <w:szCs w:val="20"/>
          <w:color w:val="auto"/>
        </w:rPr>
      </w:pPr>
    </w:p>
    <w:p>
      <w:pPr>
        <w:jc w:val="both"/>
        <w:ind w:right="180" w:firstLine="645"/>
        <w:spacing w:after="0" w:line="312" w:lineRule="auto"/>
        <w:tabs>
          <w:tab w:leader="none" w:pos="111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any Restricted Payment that is permitted to be made, and is made, under the covenant described above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the making of any Permitted Payment or Permitted Investment or, solely for purposes of </w:t>
      </w:r>
      <w:r>
        <w:rPr>
          <w:rFonts w:ascii="Arial" w:cs="Arial" w:eastAsia="Arial" w:hAnsi="Arial"/>
          <w:sz w:val="19"/>
          <w:szCs w:val="19"/>
          <w:u w:val="single" w:color="auto"/>
          <w:color w:val="auto"/>
        </w:rPr>
        <w:t>Section 3.5(a)(3)</w:t>
      </w:r>
      <w:r>
        <w:rPr>
          <w:rFonts w:ascii="Arial" w:cs="Arial" w:eastAsia="Arial" w:hAnsi="Arial"/>
          <w:sz w:val="19"/>
          <w:szCs w:val="19"/>
          <w:color w:val="auto"/>
        </w:rPr>
        <w:t>, asset sales, the proceeds of which are used to make such Restricted Payments or Permitted Investments;</w:t>
      </w:r>
    </w:p>
    <w:p>
      <w:pPr>
        <w:spacing w:after="0" w:line="25" w:lineRule="exact"/>
        <w:rPr>
          <w:rFonts w:ascii="Arial" w:cs="Arial" w:eastAsia="Arial" w:hAnsi="Arial"/>
          <w:sz w:val="19"/>
          <w:szCs w:val="19"/>
          <w:color w:val="auto"/>
        </w:rPr>
      </w:pPr>
    </w:p>
    <w:p>
      <w:pPr>
        <w:ind w:left="1120" w:hanging="475"/>
        <w:spacing w:after="0"/>
        <w:tabs>
          <w:tab w:leader="none" w:pos="11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dispositions in connection with Permitted Liens;</w:t>
      </w:r>
    </w:p>
    <w:p>
      <w:pPr>
        <w:spacing w:after="0" w:line="111" w:lineRule="exact"/>
        <w:rPr>
          <w:rFonts w:ascii="Arial" w:cs="Arial" w:eastAsia="Arial" w:hAnsi="Arial"/>
          <w:sz w:val="22"/>
          <w:szCs w:val="22"/>
          <w:color w:val="auto"/>
        </w:rPr>
      </w:pPr>
    </w:p>
    <w:p>
      <w:pPr>
        <w:ind w:firstLine="645"/>
        <w:spacing w:after="0" w:line="287" w:lineRule="auto"/>
        <w:tabs>
          <w:tab w:leader="none" w:pos="1224" w:val="left"/>
        </w:tabs>
        <w:numPr>
          <w:ilvl w:val="0"/>
          <w:numId w:val="61"/>
        </w:numPr>
        <w:rPr>
          <w:rFonts w:ascii="Arial" w:cs="Arial" w:eastAsia="Arial" w:hAnsi="Arial"/>
          <w:sz w:val="21"/>
          <w:szCs w:val="21"/>
          <w:color w:val="auto"/>
        </w:rPr>
      </w:pPr>
      <w:r>
        <w:rPr>
          <w:rFonts w:ascii="Arial" w:cs="Arial" w:eastAsia="Arial" w:hAnsi="Arial"/>
          <w:sz w:val="21"/>
          <w:szCs w:val="21"/>
          <w:color w:val="auto"/>
        </w:rPr>
        <w:t>dispositions of Investments or receivables in connection with the compromise, settlement or collection thereof in the ordinary course of business or consistent with past practice or in bankruptcy or similar proceedings;</w:t>
      </w:r>
    </w:p>
    <w:p>
      <w:pPr>
        <w:spacing w:after="0" w:line="43" w:lineRule="exact"/>
        <w:rPr>
          <w:rFonts w:ascii="Arial" w:cs="Arial" w:eastAsia="Arial" w:hAnsi="Arial"/>
          <w:sz w:val="21"/>
          <w:szCs w:val="21"/>
          <w:color w:val="auto"/>
        </w:rPr>
      </w:pPr>
    </w:p>
    <w:p>
      <w:pPr>
        <w:ind w:right="180" w:firstLine="645"/>
        <w:spacing w:after="0" w:line="253" w:lineRule="auto"/>
        <w:tabs>
          <w:tab w:leader="none" w:pos="121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licensing or sub-licensing of intellectual property, or the licensing or sub-licensing of other general intangibles and licenses, sub-licenses, leases or subleases of other property in the ordinary course of business or consistent with past practice;</w:t>
      </w:r>
    </w:p>
    <w:p>
      <w:pPr>
        <w:spacing w:after="0" w:line="77" w:lineRule="exact"/>
        <w:rPr>
          <w:rFonts w:ascii="Arial" w:cs="Arial" w:eastAsia="Arial" w:hAnsi="Arial"/>
          <w:sz w:val="22"/>
          <w:szCs w:val="22"/>
          <w:color w:val="auto"/>
        </w:rPr>
      </w:pPr>
    </w:p>
    <w:p>
      <w:pPr>
        <w:ind w:right="220" w:firstLine="645"/>
        <w:spacing w:after="0" w:line="263" w:lineRule="auto"/>
        <w:tabs>
          <w:tab w:leader="none" w:pos="12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foreclosure, condemnation or any similar action with respect to any property or other assets or the existence of termination rights under any lease, license concession or other agreement;</w:t>
      </w:r>
    </w:p>
    <w:p>
      <w:pPr>
        <w:spacing w:after="0" w:line="66" w:lineRule="exact"/>
        <w:rPr>
          <w:rFonts w:ascii="Arial" w:cs="Arial" w:eastAsia="Arial" w:hAnsi="Arial"/>
          <w:sz w:val="22"/>
          <w:szCs w:val="22"/>
          <w:color w:val="auto"/>
        </w:rPr>
      </w:pPr>
    </w:p>
    <w:p>
      <w:pPr>
        <w:ind w:right="440" w:firstLine="645"/>
        <w:spacing w:after="0" w:line="253" w:lineRule="auto"/>
        <w:tabs>
          <w:tab w:leader="none" w:pos="12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sale or discount (with or without recourse, and on customary or commercially reasonable terms) of accounts receivable or notes receivable arising in the ordinary course of business or consistent with past practice, or the conversion or exchange of accounts receivable for notes receivable;</w:t>
      </w:r>
    </w:p>
    <w:p>
      <w:pPr>
        <w:spacing w:after="0" w:line="77" w:lineRule="exact"/>
        <w:rPr>
          <w:rFonts w:ascii="Arial" w:cs="Arial" w:eastAsia="Arial" w:hAnsi="Arial"/>
          <w:sz w:val="22"/>
          <w:szCs w:val="22"/>
          <w:color w:val="auto"/>
        </w:rPr>
      </w:pPr>
    </w:p>
    <w:p>
      <w:pPr>
        <w:ind w:right="180" w:firstLine="645"/>
        <w:spacing w:after="0" w:line="341" w:lineRule="auto"/>
        <w:tabs>
          <w:tab w:leader="none" w:pos="12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issuance or sale of Capital Stock in, or Indebtedness or other securities of, an Unrestricted Subsidiary or any other disposition of Capital Stock, Indebtedness or other securities of an Unrestricted Subsidiary;</w:t>
      </w:r>
    </w:p>
    <w:p>
      <w:pPr>
        <w:jc w:val="both"/>
        <w:ind w:right="80" w:firstLine="645"/>
        <w:spacing w:after="0" w:line="250" w:lineRule="auto"/>
        <w:tabs>
          <w:tab w:leader="none" w:pos="12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w:t>
      </w:r>
    </w:p>
    <w:p>
      <w:pPr>
        <w:spacing w:after="0" w:line="80" w:lineRule="exact"/>
        <w:rPr>
          <w:rFonts w:ascii="Arial" w:cs="Arial" w:eastAsia="Arial" w:hAnsi="Arial"/>
          <w:sz w:val="22"/>
          <w:szCs w:val="22"/>
          <w:color w:val="auto"/>
        </w:rPr>
      </w:pPr>
    </w:p>
    <w:p>
      <w:pPr>
        <w:ind w:right="40" w:firstLine="645"/>
        <w:spacing w:after="0" w:line="294" w:lineRule="auto"/>
        <w:tabs>
          <w:tab w:leader="none" w:pos="12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(iii) to the extent intended to qualify under Section 1031 of the Code (or any successor section), any exchange of like property (excluding any boot thereon) for use in a Similar Business, and (iv) any exchange of equipment to be leased, rented or otherwise used in a Similar Business;</w:t>
      </w:r>
    </w:p>
    <w:p>
      <w:pPr>
        <w:spacing w:after="0" w:line="41" w:lineRule="exact"/>
        <w:rPr>
          <w:rFonts w:ascii="Arial" w:cs="Arial" w:eastAsia="Arial" w:hAnsi="Arial"/>
          <w:sz w:val="19"/>
          <w:szCs w:val="19"/>
          <w:color w:val="auto"/>
        </w:rPr>
      </w:pPr>
    </w:p>
    <w:p>
      <w:pPr>
        <w:ind w:right="60" w:firstLine="645"/>
        <w:spacing w:after="0" w:line="253" w:lineRule="auto"/>
        <w:tabs>
          <w:tab w:leader="none" w:pos="12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disposition of receivables, or participations therein, in connection with any Special Purpose Financing, or the disposition of an account receivable in connection with the collection or compromise thereof in the ordinary course of business;</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900" w:top="847" w:right="239" w:bottom="1440" w:gutter="0" w:footer="0" w:header="0"/>
        </w:sectPr>
      </w:pPr>
    </w:p>
    <w:bookmarkStart w:id="64" w:name="page65"/>
    <w:bookmarkEnd w:id="64"/>
    <w:p>
      <w:pPr>
        <w:jc w:val="both"/>
        <w:ind w:left="660" w:right="540" w:firstLine="645"/>
        <w:spacing w:after="0" w:line="312" w:lineRule="auto"/>
        <w:tabs>
          <w:tab w:leader="none" w:pos="188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constructed, acquired, replaced, repaired or improved (including any reconstruction, refurbishment, renovation and/or development of real property) by the Company or any Restricted Subsidiary after the Issue Date, including Sale and Leaseback Transactions and asset securitizations;</w:t>
      </w:r>
    </w:p>
    <w:p>
      <w:pPr>
        <w:spacing w:after="0" w:line="25" w:lineRule="exact"/>
        <w:rPr>
          <w:rFonts w:ascii="Arial" w:cs="Arial" w:eastAsia="Arial" w:hAnsi="Arial"/>
          <w:sz w:val="19"/>
          <w:szCs w:val="19"/>
          <w:color w:val="auto"/>
        </w:rPr>
      </w:pPr>
    </w:p>
    <w:p>
      <w:pPr>
        <w:ind w:left="660" w:right="160" w:firstLine="645"/>
        <w:spacing w:after="0" w:line="253" w:lineRule="auto"/>
        <w:tabs>
          <w:tab w:leader="none" w:pos="18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dispositions of Investments in joint ventures or similar entities to the extent required by, or made pursuant to customary buy/sell arrangements between, the parties to such joint venture set forth in joint venture arrangements and similar binding arrangements;</w:t>
      </w:r>
    </w:p>
    <w:p>
      <w:pPr>
        <w:spacing w:after="0" w:line="77"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disposition of not more than 5% of the outstanding Capital Stock of a Foreign Subsidiary;</w:t>
      </w:r>
    </w:p>
    <w:p>
      <w:pPr>
        <w:spacing w:after="0" w:line="111" w:lineRule="exact"/>
        <w:rPr>
          <w:rFonts w:ascii="Arial" w:cs="Arial" w:eastAsia="Arial" w:hAnsi="Arial"/>
          <w:sz w:val="22"/>
          <w:szCs w:val="22"/>
          <w:color w:val="auto"/>
        </w:rPr>
      </w:pPr>
    </w:p>
    <w:p>
      <w:pPr>
        <w:ind w:left="660" w:right="500" w:firstLine="645"/>
        <w:spacing w:after="0" w:line="263" w:lineRule="auto"/>
        <w:tabs>
          <w:tab w:leader="none" w:pos="18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surrender or waiver of contract rights or the settlement, release, waiver or surrender of contract, tort, litigation or other claims of any kind;</w:t>
      </w:r>
    </w:p>
    <w:p>
      <w:pPr>
        <w:spacing w:after="0" w:line="66"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unwinding of any Hedging Obligations;</w:t>
      </w:r>
    </w:p>
    <w:p>
      <w:pPr>
        <w:spacing w:after="0" w:line="111" w:lineRule="exact"/>
        <w:rPr>
          <w:rFonts w:ascii="Arial" w:cs="Arial" w:eastAsia="Arial" w:hAnsi="Arial"/>
          <w:sz w:val="22"/>
          <w:szCs w:val="22"/>
          <w:color w:val="auto"/>
        </w:rPr>
      </w:pPr>
    </w:p>
    <w:p>
      <w:pPr>
        <w:ind w:left="660" w:firstLine="645"/>
        <w:spacing w:after="0" w:line="263" w:lineRule="auto"/>
        <w:tabs>
          <w:tab w:leader="none" w:pos="18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swap of assets in exchange for services or other assets in the ordinary course of business of comparable or greater value or usefulness to the business as determined in good faith by the Company;</w:t>
      </w:r>
    </w:p>
    <w:p>
      <w:pPr>
        <w:spacing w:after="0" w:line="66" w:lineRule="exact"/>
        <w:rPr>
          <w:rFonts w:ascii="Arial" w:cs="Arial" w:eastAsia="Arial" w:hAnsi="Arial"/>
          <w:sz w:val="22"/>
          <w:szCs w:val="22"/>
          <w:color w:val="auto"/>
        </w:rPr>
      </w:pPr>
    </w:p>
    <w:p>
      <w:pPr>
        <w:ind w:left="660" w:right="60" w:firstLine="645"/>
        <w:spacing w:after="0" w:line="253" w:lineRule="auto"/>
        <w:tabs>
          <w:tab w:leader="none" w:pos="18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“fee in lieu” or other disposition of assets to any Governmental Authority or agency that continue in use by the Company or any Restricted Subsidiary, so long as the Company or any Restricted Subsidiary may obtain title to such assets upon reasonable notice by paying a nominal fee;</w:t>
      </w:r>
    </w:p>
    <w:p>
      <w:pPr>
        <w:spacing w:after="0" w:line="77"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Financing Disposition; and</w:t>
      </w:r>
    </w:p>
    <w:p>
      <w:pPr>
        <w:spacing w:after="0" w:line="111" w:lineRule="exact"/>
        <w:rPr>
          <w:rFonts w:ascii="Arial" w:cs="Arial" w:eastAsia="Arial" w:hAnsi="Arial"/>
          <w:sz w:val="22"/>
          <w:szCs w:val="22"/>
          <w:color w:val="auto"/>
        </w:rPr>
      </w:pPr>
    </w:p>
    <w:p>
      <w:pPr>
        <w:ind w:left="1880" w:hanging="575"/>
        <w:spacing w:after="0"/>
        <w:tabs>
          <w:tab w:leader="none" w:pos="18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Dispositions for Cash Equivalents of accounts receivable in connection with any receivables financing.</w:t>
      </w:r>
    </w:p>
    <w:p>
      <w:pPr>
        <w:spacing w:after="0" w:line="12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w:t>
      </w:r>
      <w:r>
        <w:rPr>
          <w:rFonts w:ascii="Arial" w:cs="Arial" w:eastAsia="Arial" w:hAnsi="Arial"/>
          <w:sz w:val="22"/>
          <w:szCs w:val="22"/>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78" w:lineRule="exact"/>
        <w:rPr>
          <w:sz w:val="20"/>
          <w:szCs w:val="20"/>
          <w:color w:val="auto"/>
        </w:rPr>
      </w:pPr>
    </w:p>
    <w:p>
      <w:pPr>
        <w:jc w:val="both"/>
        <w:ind w:right="56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Average Book Value</w:t>
      </w:r>
      <w:r>
        <w:rPr>
          <w:rFonts w:ascii="Arial" w:cs="Arial" w:eastAsia="Arial" w:hAnsi="Arial"/>
          <w:sz w:val="21"/>
          <w:szCs w:val="21"/>
          <w:color w:val="auto"/>
        </w:rPr>
        <w:t>” means, for any period, the amount equal to (x) the sum of the respective book values of Rental Vehicles of the Company and its Restricted Subsidiaries as of the end of each of the most recent thirteen fiscal months of the Company that have ended at or prior to the end of such period, divided by (y) 13.</w:t>
      </w:r>
    </w:p>
    <w:p>
      <w:pPr>
        <w:spacing w:after="0" w:line="6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Interest Rate</w:t>
      </w:r>
      <w:r>
        <w:rPr>
          <w:rFonts w:ascii="Arial" w:cs="Arial" w:eastAsia="Arial" w:hAnsi="Arial"/>
          <w:sz w:val="19"/>
          <w:szCs w:val="19"/>
          <w:color w:val="auto"/>
        </w:rPr>
        <w:t>” means, for any period, the amount equal to (x) the total interest expense of the Company and its Restricted Subsidiaries for such period (excluding any interest expense on any Indebtedness of any Special Purpose Subsidiary that is a Restricted Subsidiary directly or indirectly Incurred to finance or refinance the acquisition of, or secured by, Rental Vehicles and/or related rights and/or assets), divided by (y) the Average Principal Amount of Indebtedness of the Company and its Restricted Subsidiaries for such period (excluding any Indebtedness of any Special Purpose Subsidiary that is a Restricted Subsidiary directly or indirectly Incurred to finance or refinance the acquisition of, or secured by, Rental Vehicles and/or related rights and/or assets).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65" w:name="page66"/>
    <w:bookmarkEnd w:id="65"/>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Principal Amount</w:t>
      </w:r>
      <w:r>
        <w:rPr>
          <w:rFonts w:ascii="Arial" w:cs="Arial" w:eastAsia="Arial" w:hAnsi="Arial"/>
          <w:sz w:val="22"/>
          <w:szCs w:val="22"/>
          <w:color w:val="auto"/>
        </w:rPr>
        <w:t>” means, for any period, the amount equal to (x) the sum of the respective aggregate outstanding principal amounts of the applicable Indebtedness as of the end of each of the most recent thirteen fiscal months of the Company that have ended at or prior to the end of such period, divided by (y) 13.</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Law</w:t>
      </w:r>
      <w:r>
        <w:rPr>
          <w:rFonts w:ascii="Arial" w:cs="Arial" w:eastAsia="Arial" w:hAnsi="Arial"/>
          <w:sz w:val="21"/>
          <w:szCs w:val="21"/>
          <w:color w:val="auto"/>
        </w:rPr>
        <w:t>” means Title 11 of the United States Code or similar federal or state law for the relief of debtors.</w:t>
      </w:r>
    </w:p>
    <w:p>
      <w:pPr>
        <w:spacing w:after="0" w:line="123"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43" w:lineRule="exact"/>
        <w:rPr>
          <w:sz w:val="20"/>
          <w:szCs w:val="20"/>
          <w:color w:val="auto"/>
        </w:rPr>
      </w:pPr>
    </w:p>
    <w:p>
      <w:pPr>
        <w:ind w:right="42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each day that is not a Saturday, Sunday or other day on which banking institutions in New York, New York, United States or the jurisdiction of the place of payment are authorized or required by law to close.</w:t>
      </w:r>
    </w:p>
    <w:p>
      <w:pPr>
        <w:ind w:right="2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Securitization Entity</w:t>
      </w:r>
      <w:r>
        <w:rPr>
          <w:rFonts w:ascii="Arial" w:cs="Arial" w:eastAsia="Arial" w:hAnsi="Arial"/>
          <w:sz w:val="21"/>
          <w:szCs w:val="21"/>
          <w:color w:val="auto"/>
        </w:rPr>
        <w:t>” means WTH Funding Limited Partnership, an Ontario limited partnership, any other special purpose entity formed for the purpose of engaging in vehicle financing in Canada including, without limitation, any other partnership formed from time to time and each of the special purpose entities that may be partners in WTH Funding Limited Partnership or in any other such partnerships, and any successor of the foregoing.</w:t>
      </w:r>
    </w:p>
    <w:p>
      <w:pPr>
        <w:spacing w:after="0" w:line="68"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into such equity.</w:t>
      </w:r>
    </w:p>
    <w:p>
      <w:pPr>
        <w:spacing w:after="0" w:line="7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an obligation that is required to be classified and accounted for as a capitalized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112" w:lineRule="exact"/>
        <w:rPr>
          <w:sz w:val="20"/>
          <w:szCs w:val="20"/>
          <w:color w:val="auto"/>
        </w:rPr>
      </w:pPr>
    </w:p>
    <w:p>
      <w:pPr>
        <w:ind w:left="660" w:right="80" w:firstLine="645"/>
        <w:spacing w:after="0" w:line="253" w:lineRule="auto"/>
        <w:tabs>
          <w:tab w:leader="none" w:pos="177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United States dollars, Canadian dollars, pounds sterling, yen, Euro or any national currency of any member state of the European Union; or (b) any other foreign currency held by the Company and the Restricted Subsidiaries in the ordinary course of business;</w:t>
      </w:r>
    </w:p>
    <w:p>
      <w:pPr>
        <w:spacing w:after="0" w:line="77" w:lineRule="exact"/>
        <w:rPr>
          <w:rFonts w:ascii="Arial" w:cs="Arial" w:eastAsia="Arial" w:hAnsi="Arial"/>
          <w:sz w:val="22"/>
          <w:szCs w:val="22"/>
          <w:color w:val="auto"/>
        </w:rPr>
      </w:pPr>
    </w:p>
    <w:p>
      <w:pPr>
        <w:ind w:left="660" w:right="60" w:firstLine="645"/>
        <w:spacing w:after="0" w:line="263" w:lineRule="auto"/>
        <w:tabs>
          <w:tab w:leader="none" w:pos="1776"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or Canadian, United Kingdom or Japanese governments, a member state of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7" w:right="239" w:bottom="1440" w:gutter="0" w:footer="0" w:header="0"/>
        </w:sectPr>
      </w:pPr>
    </w:p>
    <w:bookmarkStart w:id="66" w:name="page67"/>
    <w:bookmarkEnd w:id="66"/>
    <w:p>
      <w:pPr>
        <w:spacing w:after="0" w:line="253" w:lineRule="auto"/>
        <w:rPr>
          <w:sz w:val="20"/>
          <w:szCs w:val="20"/>
          <w:color w:val="auto"/>
        </w:rPr>
      </w:pPr>
      <w:r>
        <w:rPr>
          <w:rFonts w:ascii="Arial" w:cs="Arial" w:eastAsia="Arial" w:hAnsi="Arial"/>
          <w:sz w:val="22"/>
          <w:szCs w:val="22"/>
          <w:color w:val="auto"/>
        </w:rPr>
        <w:t>European Union or, in each case, or any agency or instrumentality of the foregoing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full faith and credit obligation of such country or such member state is pledged in support thereof), having maturities of not more than two years from the date of acquisition;</w:t>
      </w:r>
    </w:p>
    <w:p>
      <w:pPr>
        <w:spacing w:after="0" w:line="78" w:lineRule="exact"/>
        <w:rPr>
          <w:sz w:val="20"/>
          <w:szCs w:val="20"/>
          <w:color w:val="auto"/>
        </w:rPr>
      </w:pPr>
    </w:p>
    <w:p>
      <w:pPr>
        <w:ind w:right="20" w:firstLine="645"/>
        <w:spacing w:after="0" w:line="260" w:lineRule="auto"/>
        <w:tabs>
          <w:tab w:leader="none" w:pos="1116" w:val="left"/>
        </w:tabs>
        <w:numPr>
          <w:ilvl w:val="0"/>
          <w:numId w:val="64"/>
        </w:numPr>
        <w:rPr>
          <w:rFonts w:ascii="Arial" w:cs="Arial" w:eastAsia="Arial" w:hAnsi="Arial"/>
          <w:sz w:val="21"/>
          <w:szCs w:val="21"/>
          <w:color w:val="auto"/>
        </w:rPr>
      </w:pPr>
      <w:r>
        <w:rPr>
          <w:rFonts w:ascii="Arial" w:cs="Arial" w:eastAsia="Arial" w:hAnsi="Arial"/>
          <w:sz w:val="21"/>
          <w:szCs w:val="21"/>
          <w:color w:val="auto"/>
        </w:rPr>
        <w:t>certificates of deposit, time deposits, eurodollar time deposits, overnight bank deposits or bankers’ acceptances having maturities of not more than one year from the date of acquisition thereof issued by (a) any lender under the Credit Agreement, or (b) any lender or by any bank, trust company or other financial institution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$250.0 million;</w:t>
      </w:r>
    </w:p>
    <w:p>
      <w:pPr>
        <w:spacing w:after="0" w:line="73" w:lineRule="exact"/>
        <w:rPr>
          <w:rFonts w:ascii="Arial" w:cs="Arial" w:eastAsia="Arial" w:hAnsi="Arial"/>
          <w:sz w:val="21"/>
          <w:szCs w:val="21"/>
          <w:color w:val="auto"/>
        </w:rPr>
      </w:pPr>
    </w:p>
    <w:p>
      <w:pPr>
        <w:ind w:right="260" w:firstLine="645"/>
        <w:spacing w:after="0" w:line="263" w:lineRule="auto"/>
        <w:tabs>
          <w:tab w:leader="none" w:pos="11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(2), (3) and (7) entered into with any bank meeting the qualifications specified in clause (3) above;</w:t>
      </w:r>
    </w:p>
    <w:p>
      <w:pPr>
        <w:spacing w:after="0" w:line="66" w:lineRule="exact"/>
        <w:rPr>
          <w:rFonts w:ascii="Arial" w:cs="Arial" w:eastAsia="Arial" w:hAnsi="Arial"/>
          <w:sz w:val="22"/>
          <w:szCs w:val="22"/>
          <w:color w:val="auto"/>
        </w:rPr>
      </w:pPr>
    </w:p>
    <w:p>
      <w:pPr>
        <w:ind w:right="60" w:firstLine="645"/>
        <w:spacing w:after="0" w:line="260" w:lineRule="auto"/>
        <w:tabs>
          <w:tab w:leader="none" w:pos="1116" w:val="left"/>
        </w:tabs>
        <w:numPr>
          <w:ilvl w:val="0"/>
          <w:numId w:val="64"/>
        </w:numPr>
        <w:rPr>
          <w:rFonts w:ascii="Arial" w:cs="Arial" w:eastAsia="Arial" w:hAnsi="Arial"/>
          <w:sz w:val="21"/>
          <w:szCs w:val="21"/>
          <w:color w:val="auto"/>
        </w:rPr>
      </w:pPr>
      <w:r>
        <w:rPr>
          <w:rFonts w:ascii="Arial" w:cs="Arial" w:eastAsia="Arial" w:hAnsi="Arial"/>
          <w:sz w:val="21"/>
          <w:szCs w:val="21"/>
          <w:color w:val="auto"/>
        </w:rPr>
        <w:t>commercial paper rated at least (A) “A-1” or higher by S&amp;P or “P-1” or higher by Moody’s (or, if at the time, neither is issuing comparable 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the issuer of which has an equivalent rating in respect of its long-term debt;</w:t>
      </w:r>
    </w:p>
    <w:p>
      <w:pPr>
        <w:spacing w:after="0" w:line="73" w:lineRule="exact"/>
        <w:rPr>
          <w:rFonts w:ascii="Arial" w:cs="Arial" w:eastAsia="Arial" w:hAnsi="Arial"/>
          <w:sz w:val="21"/>
          <w:szCs w:val="21"/>
          <w:color w:val="auto"/>
        </w:rPr>
      </w:pPr>
    </w:p>
    <w:p>
      <w:pPr>
        <w:ind w:right="100" w:firstLine="645"/>
        <w:spacing w:after="0" w:line="250" w:lineRule="auto"/>
        <w:tabs>
          <w:tab w:leader="none" w:pos="11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marketable short-term money market and similar securities having a rating of at least “P-2” or “A-2” from either S&amp;P or Moody’s, respectively (or, if at the time, neither is issuing comparable ratings, then a comparable rating of another Nationally Recognized Statistical Rating Organization selected by the Company), and in each case maturing within 24 months after the date of creation or acquisition thereof;</w:t>
      </w:r>
    </w:p>
    <w:p>
      <w:pPr>
        <w:spacing w:after="0" w:line="80" w:lineRule="exact"/>
        <w:rPr>
          <w:rFonts w:ascii="Arial" w:cs="Arial" w:eastAsia="Arial" w:hAnsi="Arial"/>
          <w:sz w:val="22"/>
          <w:szCs w:val="22"/>
          <w:color w:val="auto"/>
        </w:rPr>
      </w:pPr>
    </w:p>
    <w:p>
      <w:pPr>
        <w:ind w:right="120" w:firstLine="645"/>
        <w:spacing w:after="0" w:line="263" w:lineRule="auto"/>
        <w:tabs>
          <w:tab w:leader="none" w:pos="1116" w:val="left"/>
        </w:tabs>
        <w:numPr>
          <w:ilvl w:val="0"/>
          <w:numId w:val="64"/>
        </w:numPr>
        <w:rPr>
          <w:rFonts w:ascii="Arial" w:cs="Arial" w:eastAsia="Arial" w:hAnsi="Arial"/>
          <w:sz w:val="21"/>
          <w:szCs w:val="21"/>
          <w:color w:val="auto"/>
        </w:rPr>
      </w:pPr>
      <w:r>
        <w:rPr>
          <w:rFonts w:ascii="Arial" w:cs="Arial" w:eastAsia="Arial" w:hAnsi="Arial"/>
          <w:sz w:val="21"/>
          <w:szCs w:val="21"/>
          <w:color w:val="auto"/>
        </w:rPr>
        <w:t>readily marketable direct obligations issued by any state, commonwealth or territory of the United States of America or any political subdivision, taxing authority or public instrumentality thereof, in each case, having one of the two highest ratings categories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67" w:lineRule="exact"/>
        <w:rPr>
          <w:rFonts w:ascii="Arial" w:cs="Arial" w:eastAsia="Arial" w:hAnsi="Arial"/>
          <w:sz w:val="21"/>
          <w:szCs w:val="21"/>
          <w:color w:val="auto"/>
        </w:rPr>
      </w:pPr>
    </w:p>
    <w:p>
      <w:pPr>
        <w:ind w:right="40" w:firstLine="645"/>
        <w:spacing w:after="0" w:line="253" w:lineRule="auto"/>
        <w:tabs>
          <w:tab w:leader="none" w:pos="11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foreign government or any political subdivision, taxing authority or public instrumentality thereof, in each case, having one of the two highest ratings categories obtainable by S&amp;P or Moody’s (or, if at</w:t>
      </w:r>
    </w:p>
    <w:p>
      <w:pPr>
        <w:spacing w:after="0" w:line="33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0"/>
          </w:cols>
          <w:pgMar w:left="900" w:top="847" w:right="239" w:bottom="1440" w:gutter="0" w:footer="0" w:header="0"/>
        </w:sectPr>
      </w:pPr>
    </w:p>
    <w:bookmarkStart w:id="67" w:name="page68"/>
    <w:bookmarkEnd w:id="67"/>
    <w:p>
      <w:pPr>
        <w:spacing w:after="0" w:line="341" w:lineRule="auto"/>
        <w:rPr>
          <w:sz w:val="20"/>
          <w:szCs w:val="20"/>
          <w:color w:val="auto"/>
        </w:rPr>
      </w:pPr>
      <w:r>
        <w:rPr>
          <w:rFonts w:ascii="Arial" w:cs="Arial" w:eastAsia="Arial" w:hAnsi="Arial"/>
          <w:sz w:val="19"/>
          <w:szCs w:val="19"/>
          <w:color w:val="auto"/>
        </w:rPr>
        <w:t>the time, neither is issuing comparable ratings, then a comparable rating of another Nationally Recognized Statistical Rating Organization selected by the Company) with maturities of not more than two years from the date of acquisition;</w:t>
      </w:r>
    </w:p>
    <w:p>
      <w:pPr>
        <w:ind w:right="20" w:firstLine="645"/>
        <w:spacing w:after="0" w:line="312" w:lineRule="auto"/>
        <w:tabs>
          <w:tab w:leader="none" w:pos="11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 rated within the three highest ratings categories by S&amp;P or Moody’s (or, if at the time, neither is issuing comparable ratings, then a comparable rating of another Nationally Recognized Statistical Rating Organization selected by the Company);</w:t>
      </w:r>
    </w:p>
    <w:p>
      <w:pPr>
        <w:spacing w:after="0" w:line="25" w:lineRule="exact"/>
        <w:rPr>
          <w:rFonts w:ascii="Arial" w:cs="Arial" w:eastAsia="Arial" w:hAnsi="Arial"/>
          <w:sz w:val="19"/>
          <w:szCs w:val="19"/>
          <w:color w:val="auto"/>
        </w:rPr>
      </w:pPr>
    </w:p>
    <w:p>
      <w:pPr>
        <w:ind w:firstLine="645"/>
        <w:spacing w:after="0" w:line="288" w:lineRule="auto"/>
        <w:tabs>
          <w:tab w:leader="none" w:pos="1224" w:val="left"/>
        </w:tabs>
        <w:numPr>
          <w:ilvl w:val="0"/>
          <w:numId w:val="65"/>
        </w:numPr>
        <w:rPr>
          <w:rFonts w:ascii="Arial" w:cs="Arial" w:eastAsia="Arial" w:hAnsi="Arial"/>
          <w:sz w:val="19"/>
          <w:szCs w:val="19"/>
          <w:color w:val="auto"/>
        </w:rPr>
      </w:pPr>
      <w:r>
        <w:rPr>
          <w:rFonts w:ascii="Arial" w:cs="Arial" w:eastAsia="Arial" w:hAnsi="Arial"/>
          <w:sz w:val="19"/>
          <w:szCs w:val="19"/>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w:t>
      </w:r>
    </w:p>
    <w:p>
      <w:pPr>
        <w:spacing w:after="0" w:line="52" w:lineRule="exact"/>
        <w:rPr>
          <w:rFonts w:ascii="Arial" w:cs="Arial" w:eastAsia="Arial" w:hAnsi="Arial"/>
          <w:sz w:val="19"/>
          <w:szCs w:val="19"/>
          <w:color w:val="auto"/>
        </w:rPr>
      </w:pPr>
    </w:p>
    <w:p>
      <w:pPr>
        <w:ind w:right="100" w:firstLine="645"/>
        <w:spacing w:after="0" w:line="294" w:lineRule="auto"/>
        <w:tabs>
          <w:tab w:leader="none" w:pos="1216"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(i) “A” or higher from S&amp;P or “A-2” or higher from Moody’s (or, if at the time, neither is issuing comparable ratings, then a comparable rating of another Nationally Recognized Statistical Rating Organization selected by the Company) with maturities of 24 months or less from the date of acquisition, or (ii) “A-” or higher from S&amp;P or “A-3” or higher from Moody’s (or, if at the time, neither is issuing comparable ratings, then a comparable rating of another Nationally Recognized Statistical Rating Organization selected by the Company) with maturities of 12 months or less from the date of acquisition;</w:t>
      </w:r>
    </w:p>
    <w:p>
      <w:pPr>
        <w:spacing w:after="0" w:line="41" w:lineRule="exact"/>
        <w:rPr>
          <w:rFonts w:ascii="Arial" w:cs="Arial" w:eastAsia="Arial" w:hAnsi="Arial"/>
          <w:sz w:val="19"/>
          <w:szCs w:val="19"/>
          <w:color w:val="auto"/>
        </w:rPr>
      </w:pPr>
    </w:p>
    <w:p>
      <w:pPr>
        <w:ind w:right="200" w:firstLine="645"/>
        <w:spacing w:after="0" w:line="253" w:lineRule="auto"/>
        <w:tabs>
          <w:tab w:leader="none" w:pos="1224" w:val="left"/>
        </w:tabs>
        <w:numPr>
          <w:ilvl w:val="0"/>
          <w:numId w:val="65"/>
        </w:numPr>
        <w:rPr>
          <w:rFonts w:ascii="Arial" w:cs="Arial" w:eastAsia="Arial" w:hAnsi="Arial"/>
          <w:sz w:val="22"/>
          <w:szCs w:val="22"/>
          <w:color w:val="auto"/>
        </w:rPr>
      </w:pPr>
      <w:r>
        <w:rPr>
          <w:rFonts w:ascii="Arial" w:cs="Arial" w:eastAsia="Arial" w:hAnsi="Arial"/>
          <w:sz w:val="22"/>
          <w:szCs w:val="22"/>
          <w:color w:val="auto"/>
        </w:rPr>
        <w:t>bills of exchange issued in the United States, Canada, the United Kingdom, a member state of the European Union or Japan eligible for rediscount at the relevant central bank and accepted by a bank (or any dematerialized equivalent);</w:t>
      </w:r>
    </w:p>
    <w:p>
      <w:pPr>
        <w:spacing w:after="0" w:line="77" w:lineRule="exact"/>
        <w:rPr>
          <w:rFonts w:ascii="Arial" w:cs="Arial" w:eastAsia="Arial" w:hAnsi="Arial"/>
          <w:sz w:val="22"/>
          <w:szCs w:val="22"/>
          <w:color w:val="auto"/>
        </w:rPr>
      </w:pPr>
    </w:p>
    <w:p>
      <w:pPr>
        <w:ind w:right="60" w:firstLine="645"/>
        <w:spacing w:after="0" w:line="263" w:lineRule="auto"/>
        <w:tabs>
          <w:tab w:leader="none" w:pos="1224" w:val="left"/>
        </w:tabs>
        <w:numPr>
          <w:ilvl w:val="0"/>
          <w:numId w:val="65"/>
        </w:numPr>
        <w:rPr>
          <w:rFonts w:ascii="Arial" w:cs="Arial" w:eastAsia="Arial" w:hAnsi="Arial"/>
          <w:sz w:val="22"/>
          <w:szCs w:val="22"/>
          <w:color w:val="auto"/>
        </w:rPr>
      </w:pPr>
      <w:r>
        <w:rPr>
          <w:rFonts w:ascii="Arial" w:cs="Arial" w:eastAsia="Arial" w:hAnsi="Arial"/>
          <w:sz w:val="22"/>
          <w:szCs w:val="22"/>
          <w:color w:val="auto"/>
        </w:rPr>
        <w:t>Cash Equivalents or instruments similar to those referred to in clauses (1) through (12) above denominated in Dollars or any Alternative Currency;</w:t>
      </w:r>
    </w:p>
    <w:p>
      <w:pPr>
        <w:spacing w:after="0" w:line="66" w:lineRule="exact"/>
        <w:rPr>
          <w:rFonts w:ascii="Arial" w:cs="Arial" w:eastAsia="Arial" w:hAnsi="Arial"/>
          <w:sz w:val="22"/>
          <w:szCs w:val="22"/>
          <w:color w:val="auto"/>
        </w:rPr>
      </w:pPr>
    </w:p>
    <w:p>
      <w:pPr>
        <w:ind w:right="540" w:firstLine="645"/>
        <w:spacing w:after="0" w:line="341" w:lineRule="auto"/>
        <w:tabs>
          <w:tab w:leader="none" w:pos="1224"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interests in any investment company, money market, enhanced high yield fund or other investment fund which invests 90% or more of its assets in instruments of the types specified in clauses (1) through (13) above; and</w:t>
      </w:r>
    </w:p>
    <w:p>
      <w:pPr>
        <w:ind w:right="100" w:firstLine="645"/>
        <w:spacing w:after="0" w:line="263" w:lineRule="auto"/>
        <w:tabs>
          <w:tab w:leader="none" w:pos="1224"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purposes of clause (2) of the definition of “Asset Disposition,” any marketable securities portfolio owned by the Company and its Subsidiaries on the Issue Date.</w:t>
      </w:r>
    </w:p>
    <w:p>
      <w:pPr>
        <w:spacing w:after="0" w:line="32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40"/>
          </w:cols>
          <w:pgMar w:left="900" w:top="847" w:right="259" w:bottom="1440" w:gutter="0" w:footer="0" w:header="0"/>
        </w:sectPr>
      </w:pPr>
    </w:p>
    <w:bookmarkStart w:id="68" w:name="page69"/>
    <w:bookmarkEnd w:id="68"/>
    <w:p>
      <w:pPr>
        <w:ind w:left="660" w:right="60" w:firstLine="648"/>
        <w:spacing w:after="0" w:line="287" w:lineRule="auto"/>
        <w:rPr>
          <w:sz w:val="20"/>
          <w:szCs w:val="20"/>
          <w:color w:val="auto"/>
        </w:rPr>
      </w:pPr>
      <w:r>
        <w:rPr>
          <w:rFonts w:ascii="Arial" w:cs="Arial" w:eastAsia="Arial" w:hAnsi="Arial"/>
          <w:sz w:val="19"/>
          <w:szCs w:val="19"/>
          <w:color w:val="auto"/>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in this definition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definition. Notwithstanding the foregoing, Cash Equivalents shall include amounts denominated in currencies other than those set forth in clause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(15) in this definition) will be deemed to be Cash Equivalents for all purposed under this Indenture regardless of the treatment of such items under GAAP.</w:t>
      </w:r>
    </w:p>
    <w:p>
      <w:pPr>
        <w:spacing w:after="0" w:line="52"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Services</w:t>
      </w:r>
      <w:r>
        <w:rPr>
          <w:rFonts w:ascii="Arial" w:cs="Arial" w:eastAsia="Arial" w:hAnsi="Arial"/>
          <w:sz w:val="21"/>
          <w:szCs w:val="21"/>
          <w:color w:val="auto"/>
        </w:rPr>
        <w:t>” means any of the following to the extent not constituting a line of credit (other than an overnight draft facility that is not in default): automated clearing house transfers of funds, treasury, depository, credit or debit card, purchasing card, and/or cash management services, including controlled disbursement services, overdraft facilities, foreign exchange facilities, deposit and other accounts and merchant services.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112" w:lineRule="exact"/>
        <w:rPr>
          <w:sz w:val="20"/>
          <w:szCs w:val="20"/>
          <w:color w:val="auto"/>
        </w:rPr>
      </w:pPr>
    </w:p>
    <w:p>
      <w:pPr>
        <w:ind w:left="660" w:firstLine="645"/>
        <w:spacing w:after="0" w:line="259" w:lineRule="auto"/>
        <w:tabs>
          <w:tab w:leader="none" w:pos="177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Company becomes aware of (by way of a report or any other filing pursuant to Section 13(d) of the 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 other than in connection with any transaction or series of transactions in which the Company shall become the Wholly Owned Subsidiary of a Parent Entity of which no person or group, as noted above, holds more than 50% of the total voting power (other than a Permitted Holder); or</w:t>
      </w:r>
    </w:p>
    <w:p>
      <w:pPr>
        <w:spacing w:after="0" w:line="76" w:lineRule="exact"/>
        <w:rPr>
          <w:rFonts w:ascii="Arial" w:cs="Arial" w:eastAsia="Arial" w:hAnsi="Arial"/>
          <w:sz w:val="21"/>
          <w:szCs w:val="21"/>
          <w:color w:val="auto"/>
        </w:rPr>
      </w:pPr>
    </w:p>
    <w:p>
      <w:pPr>
        <w:ind w:left="660" w:right="240" w:firstLine="645"/>
        <w:spacing w:after="0" w:line="250" w:lineRule="auto"/>
        <w:tabs>
          <w:tab w:leader="none" w:pos="1776"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sale, lease, transfer, conveyance or other disposition (other than by way of merger, consolidation or other business combination transaction), in one or a series of related transactions, of all or substantially all of the assets of the Company and its Restricted Subsidiaries taken as a whole to a Person, other than a Restricted Subsidiary or one or more Permitted Holders.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Repurchase Event</w:t>
      </w:r>
      <w:r>
        <w:rPr>
          <w:rFonts w:ascii="Arial" w:cs="Arial" w:eastAsia="Arial" w:hAnsi="Arial"/>
          <w:sz w:val="21"/>
          <w:szCs w:val="21"/>
          <w:color w:val="auto"/>
        </w:rPr>
        <w:t>” means the occurrence of both a Change of Control and a Ratings Event.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847" w:right="25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xml:space="preserve">” means Clearstream Banking, </w:t>
      </w:r>
      <w:r>
        <w:rPr>
          <w:rFonts w:ascii="Arial" w:cs="Arial" w:eastAsia="Arial" w:hAnsi="Arial"/>
          <w:sz w:val="22"/>
          <w:szCs w:val="22"/>
          <w:i w:val="1"/>
          <w:iCs w:val="1"/>
          <w:color w:val="auto"/>
        </w:rPr>
        <w:t>Société anonym</w:t>
      </w:r>
      <w:r>
        <w:rPr>
          <w:rFonts w:ascii="Arial" w:cs="Arial" w:eastAsia="Arial" w:hAnsi="Arial"/>
          <w:sz w:val="22"/>
          <w:szCs w:val="22"/>
          <w:color w:val="auto"/>
        </w:rPr>
        <w:t>, or any successor securities clearing agency.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ascribed thereto in the recitals to this Indenture.</w:t>
      </w:r>
    </w:p>
    <w:p>
      <w:pPr>
        <w:spacing w:after="0" w:line="112"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8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period, the Consolidated Net Income of such Person for such period:</w:t>
      </w:r>
    </w:p>
    <w:p>
      <w:pPr>
        <w:spacing w:after="0" w:line="67" w:lineRule="exact"/>
        <w:rPr>
          <w:sz w:val="20"/>
          <w:szCs w:val="20"/>
          <w:color w:val="auto"/>
        </w:rPr>
      </w:pPr>
    </w:p>
    <w:p>
      <w:pPr>
        <w:ind w:left="1780" w:hanging="475"/>
        <w:spacing w:after="0"/>
        <w:tabs>
          <w:tab w:leader="none" w:pos="17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increased (without duplication) by:</w:t>
      </w:r>
    </w:p>
    <w:p>
      <w:pPr>
        <w:spacing w:after="0" w:line="111" w:lineRule="exact"/>
        <w:rPr>
          <w:rFonts w:ascii="Arial" w:cs="Arial" w:eastAsia="Arial" w:hAnsi="Arial"/>
          <w:sz w:val="22"/>
          <w:szCs w:val="22"/>
          <w:color w:val="auto"/>
        </w:rPr>
      </w:pPr>
    </w:p>
    <w:p>
      <w:pPr>
        <w:ind w:left="1300" w:right="40" w:firstLine="653"/>
        <w:spacing w:after="0" w:line="261" w:lineRule="auto"/>
        <w:tabs>
          <w:tab w:leader="none" w:pos="2404"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provision for taxes based on income or profits or capital, including, without limitation, federal, state, provincial, local, foreign, unitary, excise, property, franchise and similar taxes and foreign withholding taxes (including any future taxes or other levies which replace or are intended to be in lieu of such taxes and any penalties and interest related to such taxes or arising from tax examinations) and similar taxes of such Person paid or accrued during such period, including any penalties and interest relating to any tax examinations, deducted (and not added back) in computing Consolidated Net Income; </w:t>
      </w:r>
      <w:r>
        <w:rPr>
          <w:rFonts w:ascii="Arial" w:cs="Arial" w:eastAsia="Arial" w:hAnsi="Arial"/>
          <w:sz w:val="21"/>
          <w:szCs w:val="21"/>
          <w:i w:val="1"/>
          <w:iCs w:val="1"/>
          <w:color w:val="auto"/>
        </w:rPr>
        <w:t>plus</w:t>
      </w:r>
    </w:p>
    <w:p>
      <w:pPr>
        <w:spacing w:after="0" w:line="71" w:lineRule="exact"/>
        <w:rPr>
          <w:rFonts w:ascii="Arial" w:cs="Arial" w:eastAsia="Arial" w:hAnsi="Arial"/>
          <w:sz w:val="21"/>
          <w:szCs w:val="21"/>
          <w:color w:val="auto"/>
        </w:rPr>
      </w:pPr>
    </w:p>
    <w:p>
      <w:pPr>
        <w:ind w:left="1300" w:right="120" w:firstLine="653"/>
        <w:spacing w:after="0" w:line="261" w:lineRule="auto"/>
        <w:tabs>
          <w:tab w:leader="none" w:pos="2416" w:val="left"/>
        </w:tabs>
        <w:numPr>
          <w:ilvl w:val="1"/>
          <w:numId w:val="67"/>
        </w:numPr>
        <w:rPr>
          <w:rFonts w:ascii="Arial" w:cs="Arial" w:eastAsia="Arial" w:hAnsi="Arial"/>
          <w:sz w:val="21"/>
          <w:szCs w:val="21"/>
          <w:color w:val="auto"/>
        </w:rPr>
      </w:pPr>
      <w:r>
        <w:rPr>
          <w:rFonts w:ascii="Arial" w:cs="Arial" w:eastAsia="Arial" w:hAnsi="Arial"/>
          <w:sz w:val="21"/>
          <w:szCs w:val="21"/>
          <w:color w:val="auto"/>
        </w:rPr>
        <w:t xml:space="preserve">Fixed Charges and any Special Purpose Financing Fees of such Person for such period (including (x) net losses on any Hedging Obligations or other derivative instruments entered into for the purpose of hedging interest rate, currency or commodities risk, (y) bank fees and (z) costs of surety bonds in connection with financing activities, plus amounts excluded from the definition of “Consolidated Interest Expense” pursuant to clauses (s) through (z) in clause (1) thereof), in each case to the extent the same were deducted (and not added back) in calculating such Consolidated Net Income; </w:t>
      </w:r>
      <w:r>
        <w:rPr>
          <w:rFonts w:ascii="Arial" w:cs="Arial" w:eastAsia="Arial" w:hAnsi="Arial"/>
          <w:sz w:val="21"/>
          <w:szCs w:val="21"/>
          <w:i w:val="1"/>
          <w:iCs w:val="1"/>
          <w:color w:val="auto"/>
        </w:rPr>
        <w:t>plus</w:t>
      </w:r>
    </w:p>
    <w:p>
      <w:pPr>
        <w:spacing w:after="0" w:line="71" w:lineRule="exact"/>
        <w:rPr>
          <w:rFonts w:ascii="Arial" w:cs="Arial" w:eastAsia="Arial" w:hAnsi="Arial"/>
          <w:sz w:val="21"/>
          <w:szCs w:val="21"/>
          <w:color w:val="auto"/>
        </w:rPr>
      </w:pPr>
    </w:p>
    <w:p>
      <w:pPr>
        <w:ind w:left="1300" w:right="20" w:firstLine="653"/>
        <w:spacing w:after="0" w:line="253" w:lineRule="auto"/>
        <w:tabs>
          <w:tab w:leader="none" w:pos="2404"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Consolidated Depreciation and Amortization Expense of such Person (excluding Consolidated Vehicle Depreciation) for such period to the extent the same were deducted (and not added back) in computing Consolidated Net Income; </w:t>
      </w:r>
      <w:r>
        <w:rPr>
          <w:rFonts w:ascii="Arial" w:cs="Arial" w:eastAsia="Arial" w:hAnsi="Arial"/>
          <w:sz w:val="22"/>
          <w:szCs w:val="22"/>
          <w:i w:val="1"/>
          <w:iCs w:val="1"/>
          <w:color w:val="auto"/>
        </w:rPr>
        <w:t>plus</w:t>
      </w:r>
    </w:p>
    <w:p>
      <w:pPr>
        <w:spacing w:after="0" w:line="77" w:lineRule="exact"/>
        <w:rPr>
          <w:rFonts w:ascii="Arial" w:cs="Arial" w:eastAsia="Arial" w:hAnsi="Arial"/>
          <w:sz w:val="22"/>
          <w:szCs w:val="22"/>
          <w:color w:val="auto"/>
        </w:rPr>
      </w:pPr>
    </w:p>
    <w:p>
      <w:pPr>
        <w:ind w:left="1300" w:right="160" w:firstLine="653"/>
        <w:spacing w:after="0" w:line="248" w:lineRule="auto"/>
        <w:tabs>
          <w:tab w:leader="none" w:pos="2416" w:val="left"/>
        </w:tabs>
        <w:numPr>
          <w:ilvl w:val="1"/>
          <w:numId w:val="67"/>
        </w:numPr>
        <w:rPr>
          <w:rFonts w:ascii="Arial" w:cs="Arial" w:eastAsia="Arial" w:hAnsi="Arial"/>
          <w:sz w:val="22"/>
          <w:szCs w:val="22"/>
          <w:color w:val="auto"/>
        </w:rPr>
      </w:pPr>
      <w:r>
        <w:rPr>
          <w:rFonts w:ascii="Arial" w:cs="Arial" w:eastAsia="Arial" w:hAnsi="Arial"/>
          <w:sz w:val="22"/>
          <w:szCs w:val="22"/>
          <w:color w:val="auto"/>
        </w:rPr>
        <w:t>any expenses or charges (other than depreciation or amortization expense) related to any actual, proposed or contemplated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Credit Agreement, any other</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847" w:right="279" w:bottom="1440" w:gutter="0" w:footer="0" w:header="0"/>
        </w:sectPr>
      </w:pPr>
    </w:p>
    <w:bookmarkStart w:id="70" w:name="page71"/>
    <w:bookmarkEnd w:id="70"/>
    <w:p>
      <w:pPr>
        <w:ind w:left="100" w:right="40"/>
        <w:spacing w:after="0" w:line="248" w:lineRule="auto"/>
        <w:rPr>
          <w:sz w:val="20"/>
          <w:szCs w:val="20"/>
          <w:color w:val="auto"/>
        </w:rPr>
      </w:pPr>
      <w:r>
        <w:rPr>
          <w:rFonts w:ascii="Arial" w:cs="Arial" w:eastAsia="Arial" w:hAnsi="Arial"/>
          <w:sz w:val="22"/>
          <w:szCs w:val="22"/>
          <w:color w:val="auto"/>
        </w:rPr>
        <w:t xml:space="preserve">Credit Facilities and any Special Purpose Financing Fees, and (ii) any amendment, waiver or other modification of the Notes, the Credit Agreement, receivables facilities, any other Credit Facilities, any Special Purpose Financing Fees, any other Indebtedness permitted to be Incurred under this Indenture or any Equity Offering, in each case, whether or not consummated, to the extent the same were deducted (and not added back) in computing Consolidated Net Income; </w:t>
      </w:r>
      <w:r>
        <w:rPr>
          <w:rFonts w:ascii="Arial" w:cs="Arial" w:eastAsia="Arial" w:hAnsi="Arial"/>
          <w:sz w:val="22"/>
          <w:szCs w:val="22"/>
          <w:i w:val="1"/>
          <w:iCs w:val="1"/>
          <w:color w:val="auto"/>
        </w:rPr>
        <w:t>plus</w:t>
      </w:r>
    </w:p>
    <w:p>
      <w:pPr>
        <w:spacing w:after="0" w:line="84" w:lineRule="exact"/>
        <w:rPr>
          <w:sz w:val="20"/>
          <w:szCs w:val="20"/>
          <w:color w:val="auto"/>
        </w:rPr>
      </w:pPr>
    </w:p>
    <w:p>
      <w:pPr>
        <w:ind w:left="100" w:right="120" w:firstLine="653"/>
        <w:spacing w:after="0" w:line="286" w:lineRule="auto"/>
        <w:tabs>
          <w:tab w:leader="none" w:pos="120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 the amount of any restructuring charge, accrual or reserve (and adjustments to existing reserves), integration cost or other business optimization expense or cost (including charges directly related to the implementation of cost-savings initiatives and tax restructurings) that is deducted (and not added back) in such period in computing Consolidated Net Income, including any one-time costs incurred in connection with acquisitions or divestitures after the Issue Date (whether or not successful), any severance, retention, signing bonuses, relocation, recruiting and other employee related costs, costs in respect of curtailments or modifications to pension and post-retirement employment benefit plans (including any settlement of pension liabilities) and new product introductions (including labor costs, scrap costs and lower absorption of costs, including due to decreased productivity and greater inefficiencies), systems development and establishment costs, operational and reporting systems, technology initiatives, future lease commitments and costs related to the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settlements thereof; </w:t>
      </w:r>
      <w:r>
        <w:rPr>
          <w:rFonts w:ascii="Arial" w:cs="Arial" w:eastAsia="Arial" w:hAnsi="Arial"/>
          <w:sz w:val="19"/>
          <w:szCs w:val="19"/>
          <w:i w:val="1"/>
          <w:iCs w:val="1"/>
          <w:color w:val="auto"/>
        </w:rPr>
        <w:t>plus</w:t>
      </w:r>
    </w:p>
    <w:p>
      <w:pPr>
        <w:spacing w:after="0" w:line="59" w:lineRule="exact"/>
        <w:rPr>
          <w:rFonts w:ascii="Arial" w:cs="Arial" w:eastAsia="Arial" w:hAnsi="Arial"/>
          <w:sz w:val="19"/>
          <w:szCs w:val="19"/>
          <w:color w:val="auto"/>
        </w:rPr>
      </w:pPr>
    </w:p>
    <w:p>
      <w:pPr>
        <w:ind w:left="100" w:firstLine="653"/>
        <w:spacing w:after="0" w:line="247" w:lineRule="auto"/>
        <w:tabs>
          <w:tab w:leader="none" w:pos="11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any other non-cash charges, write-downs, expenses, losses or items reducing Consolidated Net Income for such period including any impairment charges or the impact of purchase accounting (excluding any such non-cash charge, write-down or item to the extent it represents an accrual or reserve for a cash expenditure for a future period) or other items classified by the Company as special items less other non-cash items of income increasing Consolidated Net Income (excluding any such non-cash item of income to the extent it represents a receipt of cash in any future period); </w:t>
      </w:r>
      <w:r>
        <w:rPr>
          <w:rFonts w:ascii="Arial" w:cs="Arial" w:eastAsia="Arial" w:hAnsi="Arial"/>
          <w:sz w:val="22"/>
          <w:szCs w:val="22"/>
          <w:i w:val="1"/>
          <w:iCs w:val="1"/>
          <w:color w:val="auto"/>
        </w:rPr>
        <w:t>plus</w:t>
      </w:r>
    </w:p>
    <w:p>
      <w:pPr>
        <w:spacing w:after="0" w:line="85" w:lineRule="exact"/>
        <w:rPr>
          <w:rFonts w:ascii="Arial" w:cs="Arial" w:eastAsia="Arial" w:hAnsi="Arial"/>
          <w:sz w:val="22"/>
          <w:szCs w:val="22"/>
          <w:color w:val="auto"/>
        </w:rPr>
      </w:pPr>
    </w:p>
    <w:p>
      <w:pPr>
        <w:ind w:left="100" w:right="40" w:firstLine="653"/>
        <w:spacing w:after="0" w:line="287" w:lineRule="auto"/>
        <w:tabs>
          <w:tab w:leader="none" w:pos="1216"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the amount of any non-controlling interest or minority interest expense consisting of Subsidiary income attributable to minority equity interests of third parties in any non-wholly owned Subsidiary; </w:t>
      </w:r>
      <w:r>
        <w:rPr>
          <w:rFonts w:ascii="Arial" w:cs="Arial" w:eastAsia="Arial" w:hAnsi="Arial"/>
          <w:sz w:val="21"/>
          <w:szCs w:val="21"/>
          <w:i w:val="1"/>
          <w:iCs w:val="1"/>
          <w:color w:val="auto"/>
        </w:rPr>
        <w:t>plus</w:t>
      </w:r>
    </w:p>
    <w:p>
      <w:pPr>
        <w:spacing w:after="0" w:line="43" w:lineRule="exact"/>
        <w:rPr>
          <w:rFonts w:ascii="Arial" w:cs="Arial" w:eastAsia="Arial" w:hAnsi="Arial"/>
          <w:sz w:val="21"/>
          <w:szCs w:val="21"/>
          <w:color w:val="auto"/>
        </w:rPr>
      </w:pPr>
    </w:p>
    <w:p>
      <w:pPr>
        <w:ind w:left="100" w:right="60" w:firstLine="653"/>
        <w:spacing w:after="0" w:line="297" w:lineRule="auto"/>
        <w:tabs>
          <w:tab w:leader="none" w:pos="12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amount of “run-rate” cost savings, operating expense reductions, other operating improvements and initiatives and synergies projected by the Company in good faith to be realizable or for which a plan for realization shall have been established within 24 months of the date thereof, in connection with any Permitted Investment, restructuring initiative, business optimization, cost savings initiative or similar action (including from any actions taken in whole or in part prior to such date), which will be added to Consolidated EBITDA as so</w:t>
      </w:r>
    </w:p>
    <w:p>
      <w:pPr>
        <w:spacing w:after="0" w:line="296"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20"/>
          </w:cols>
          <w:pgMar w:left="1440" w:top="847" w:right="239" w:bottom="1440" w:gutter="0" w:footer="0" w:header="0"/>
        </w:sectPr>
      </w:pPr>
    </w:p>
    <w:bookmarkStart w:id="71" w:name="page72"/>
    <w:bookmarkEnd w:id="71"/>
    <w:p>
      <w:pPr>
        <w:ind w:left="100" w:right="60"/>
        <w:spacing w:after="0" w:line="292" w:lineRule="auto"/>
        <w:rPr>
          <w:sz w:val="20"/>
          <w:szCs w:val="20"/>
          <w:color w:val="auto"/>
        </w:rPr>
      </w:pPr>
      <w:r>
        <w:rPr>
          <w:rFonts w:ascii="Arial" w:cs="Arial" w:eastAsia="Arial" w:hAnsi="Arial"/>
          <w:sz w:val="19"/>
          <w:szCs w:val="19"/>
          <w:color w:val="auto"/>
        </w:rPr>
        <w:t xml:space="preserve">projected until fully realized and calculated on a pro forma basis as though such cost savings, operating expense reductions, other operating improvements and initiatives and synergies had been realized on the first day of such period, net of the amount of actual benefits realized prior to or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cost savings added back shall not exceed 20% of the Consolidated EBITDA in such period;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cost savings are reasonably identifiable and the result of specified actions taken or initiated or to which substantial steps have been taken or initiated or are expected to be taken or initiated (all in the good faith determination of the Company); </w:t>
      </w:r>
      <w:r>
        <w:rPr>
          <w:rFonts w:ascii="Arial" w:cs="Arial" w:eastAsia="Arial" w:hAnsi="Arial"/>
          <w:sz w:val="19"/>
          <w:szCs w:val="19"/>
          <w:i w:val="1"/>
          <w:iCs w:val="1"/>
          <w:color w:val="auto"/>
        </w:rPr>
        <w:t>plus</w:t>
      </w:r>
    </w:p>
    <w:p>
      <w:pPr>
        <w:spacing w:after="0" w:line="43" w:lineRule="exact"/>
        <w:rPr>
          <w:sz w:val="20"/>
          <w:szCs w:val="20"/>
          <w:color w:val="auto"/>
        </w:rPr>
      </w:pPr>
    </w:p>
    <w:p>
      <w:pPr>
        <w:ind w:left="100" w:right="20" w:firstLine="653"/>
        <w:spacing w:after="0" w:line="294" w:lineRule="auto"/>
        <w:tabs>
          <w:tab w:leader="none" w:pos="1168"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any costs or expense incurred by any Parent Entity, the Company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any Parent Entity or the Company or net cash proceeds of an issuance of Capital Stock (other than Disqualified Stock) of any Parent Entity or the Company solely to the extent that such net cash proceeds are excluded from the calculation set forth in </w:t>
      </w:r>
      <w:r>
        <w:rPr>
          <w:rFonts w:ascii="Arial" w:cs="Arial" w:eastAsia="Arial" w:hAnsi="Arial"/>
          <w:sz w:val="19"/>
          <w:szCs w:val="19"/>
          <w:u w:val="single" w:color="auto"/>
          <w:color w:val="auto"/>
        </w:rPr>
        <w:t>Section 3.3(a)(iii)</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plus</w:t>
      </w:r>
    </w:p>
    <w:p>
      <w:pPr>
        <w:spacing w:after="0" w:line="41" w:lineRule="exact"/>
        <w:rPr>
          <w:rFonts w:ascii="Arial" w:cs="Arial" w:eastAsia="Arial" w:hAnsi="Arial"/>
          <w:sz w:val="19"/>
          <w:szCs w:val="19"/>
          <w:color w:val="auto"/>
        </w:rPr>
      </w:pPr>
    </w:p>
    <w:p>
      <w:pPr>
        <w:ind w:left="100" w:right="80" w:firstLine="653"/>
        <w:spacing w:after="0" w:line="253" w:lineRule="auto"/>
        <w:tabs>
          <w:tab w:leader="none" w:pos="1168"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rent expense as determined in accordance with GAAP not actually paid in cash during such period (net of rent expense paid in cash during such period over and above rent expense as determined in accordance with GAAP); </w:t>
      </w:r>
      <w:r>
        <w:rPr>
          <w:rFonts w:ascii="Arial" w:cs="Arial" w:eastAsia="Arial" w:hAnsi="Arial"/>
          <w:sz w:val="22"/>
          <w:szCs w:val="22"/>
          <w:i w:val="1"/>
          <w:iCs w:val="1"/>
          <w:color w:val="auto"/>
        </w:rPr>
        <w:t>plus</w:t>
      </w:r>
    </w:p>
    <w:p>
      <w:pPr>
        <w:spacing w:after="0" w:line="77" w:lineRule="exact"/>
        <w:rPr>
          <w:rFonts w:ascii="Arial" w:cs="Arial" w:eastAsia="Arial" w:hAnsi="Arial"/>
          <w:sz w:val="22"/>
          <w:szCs w:val="22"/>
          <w:color w:val="auto"/>
        </w:rPr>
      </w:pPr>
    </w:p>
    <w:p>
      <w:pPr>
        <w:ind w:left="100" w:right="300" w:firstLine="653"/>
        <w:spacing w:after="0" w:line="250" w:lineRule="auto"/>
        <w:tabs>
          <w:tab w:leader="none" w:pos="1216"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22"/>
          <w:szCs w:val="22"/>
          <w:i w:val="1"/>
          <w:iCs w:val="1"/>
          <w:color w:val="auto"/>
        </w:rPr>
        <w:t>plus</w:t>
      </w:r>
    </w:p>
    <w:p>
      <w:pPr>
        <w:spacing w:after="0" w:line="80" w:lineRule="exact"/>
        <w:rPr>
          <w:rFonts w:ascii="Arial" w:cs="Arial" w:eastAsia="Arial" w:hAnsi="Arial"/>
          <w:sz w:val="22"/>
          <w:szCs w:val="22"/>
          <w:color w:val="auto"/>
        </w:rPr>
      </w:pPr>
    </w:p>
    <w:p>
      <w:pPr>
        <w:ind w:left="100" w:firstLine="653"/>
        <w:spacing w:after="0" w:line="287" w:lineRule="auto"/>
        <w:tabs>
          <w:tab w:leader="none" w:pos="1168" w:val="left"/>
        </w:tabs>
        <w:numPr>
          <w:ilvl w:val="1"/>
          <w:numId w:val="69"/>
        </w:numPr>
        <w:rPr>
          <w:rFonts w:ascii="Arial" w:cs="Arial" w:eastAsia="Arial" w:hAnsi="Arial"/>
          <w:sz w:val="21"/>
          <w:szCs w:val="21"/>
          <w:color w:val="auto"/>
        </w:rPr>
      </w:pPr>
      <w:r>
        <w:rPr>
          <w:rFonts w:ascii="Arial" w:cs="Arial" w:eastAsia="Arial" w:hAnsi="Arial"/>
          <w:sz w:val="21"/>
          <w:szCs w:val="21"/>
          <w:color w:val="auto"/>
        </w:rPr>
        <w:t xml:space="preserve">realized foreign exchange losses resulting from the impact of foreign currency changes on the valuation of assets or liabilities on the balance sheet of the Company and its Restricted Subsidiaries; </w:t>
      </w:r>
      <w:r>
        <w:rPr>
          <w:rFonts w:ascii="Arial" w:cs="Arial" w:eastAsia="Arial" w:hAnsi="Arial"/>
          <w:sz w:val="21"/>
          <w:szCs w:val="21"/>
          <w:i w:val="1"/>
          <w:iCs w:val="1"/>
          <w:color w:val="auto"/>
        </w:rPr>
        <w:t>plus</w:t>
      </w:r>
    </w:p>
    <w:p>
      <w:pPr>
        <w:spacing w:after="0" w:line="43" w:lineRule="exact"/>
        <w:rPr>
          <w:rFonts w:ascii="Arial" w:cs="Arial" w:eastAsia="Arial" w:hAnsi="Arial"/>
          <w:sz w:val="21"/>
          <w:szCs w:val="21"/>
          <w:color w:val="auto"/>
        </w:rPr>
      </w:pPr>
    </w:p>
    <w:p>
      <w:pPr>
        <w:ind w:left="100" w:right="80" w:firstLine="653"/>
        <w:spacing w:after="0" w:line="341" w:lineRule="auto"/>
        <w:tabs>
          <w:tab w:leader="none" w:pos="1276"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net realized losses from Hedging Obligations or embedded derivatives that require similar accounting treatment and the application of Accounting Standard Codification Topic 815 and related pronouncements; </w:t>
      </w:r>
      <w:r>
        <w:rPr>
          <w:rFonts w:ascii="Arial" w:cs="Arial" w:eastAsia="Arial" w:hAnsi="Arial"/>
          <w:sz w:val="19"/>
          <w:szCs w:val="19"/>
          <w:i w:val="1"/>
          <w:iCs w:val="1"/>
          <w:color w:val="auto"/>
        </w:rPr>
        <w:t>plus</w:t>
      </w:r>
    </w:p>
    <w:p>
      <w:pPr>
        <w:ind w:left="1220" w:hanging="467"/>
        <w:spacing w:after="0"/>
        <w:tabs>
          <w:tab w:leader="none" w:pos="12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cost related to the implementation of operational and reporting systems and technology initiatives; </w:t>
      </w:r>
      <w:r>
        <w:rPr>
          <w:rFonts w:ascii="Arial" w:cs="Arial" w:eastAsia="Arial" w:hAnsi="Arial"/>
          <w:sz w:val="19"/>
          <w:szCs w:val="19"/>
          <w:i w:val="1"/>
          <w:iCs w:val="1"/>
          <w:color w:val="auto"/>
        </w:rPr>
        <w:t>plus</w:t>
      </w:r>
    </w:p>
    <w:p>
      <w:pPr>
        <w:spacing w:after="0" w:line="146" w:lineRule="exact"/>
        <w:rPr>
          <w:rFonts w:ascii="Arial" w:cs="Arial" w:eastAsia="Arial" w:hAnsi="Arial"/>
          <w:sz w:val="19"/>
          <w:szCs w:val="19"/>
          <w:color w:val="auto"/>
        </w:rPr>
      </w:pPr>
    </w:p>
    <w:p>
      <w:pPr>
        <w:ind w:left="100" w:right="200" w:firstLine="653"/>
        <w:spacing w:after="0" w:line="263" w:lineRule="auto"/>
        <w:tabs>
          <w:tab w:leader="none" w:pos="1216"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the amount of loss on sale of Vehicles or receivables and related assets to a Special Purpose Entity in connection with a Special Purpose Financing; </w:t>
      </w:r>
      <w:r>
        <w:rPr>
          <w:rFonts w:ascii="Arial" w:cs="Arial" w:eastAsia="Arial" w:hAnsi="Arial"/>
          <w:sz w:val="22"/>
          <w:szCs w:val="22"/>
          <w:i w:val="1"/>
          <w:iCs w:val="1"/>
          <w:color w:val="auto"/>
        </w:rPr>
        <w:t>plus</w:t>
      </w:r>
    </w:p>
    <w:p>
      <w:pPr>
        <w:spacing w:after="0" w:line="66" w:lineRule="exact"/>
        <w:rPr>
          <w:rFonts w:ascii="Arial" w:cs="Arial" w:eastAsia="Arial" w:hAnsi="Arial"/>
          <w:sz w:val="22"/>
          <w:szCs w:val="22"/>
          <w:color w:val="auto"/>
        </w:rPr>
      </w:pPr>
    </w:p>
    <w:p>
      <w:pPr>
        <w:ind w:left="1220" w:hanging="467"/>
        <w:spacing w:after="0"/>
        <w:tabs>
          <w:tab w:leader="none" w:pos="12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with respect to any joint venture, an amount equal to the proportion of those items described in clauses</w:t>
      </w:r>
    </w:p>
    <w:p>
      <w:pPr>
        <w:spacing w:after="0" w:line="56" w:lineRule="exact"/>
        <w:rPr>
          <w:rFonts w:ascii="Arial" w:cs="Arial" w:eastAsia="Arial" w:hAnsi="Arial"/>
          <w:sz w:val="19"/>
          <w:szCs w:val="19"/>
          <w:color w:val="auto"/>
        </w:rPr>
      </w:pPr>
    </w:p>
    <w:p>
      <w:pPr>
        <w:ind w:left="400" w:hanging="295"/>
        <w:spacing w:after="0"/>
        <w:tabs>
          <w:tab w:leader="none" w:pos="4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and (c) above relating to such joint venture</w:t>
      </w:r>
    </w:p>
    <w:p>
      <w:pPr>
        <w:spacing w:after="0" w:line="35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40"/>
          </w:cols>
          <w:pgMar w:left="1440" w:top="847" w:right="319" w:bottom="1440" w:gutter="0" w:footer="0" w:header="0"/>
        </w:sectPr>
      </w:pPr>
    </w:p>
    <w:bookmarkStart w:id="72" w:name="page73"/>
    <w:bookmarkEnd w:id="72"/>
    <w:p>
      <w:pPr>
        <w:ind w:left="640" w:right="200"/>
        <w:spacing w:after="0" w:line="253" w:lineRule="auto"/>
        <w:rPr>
          <w:sz w:val="20"/>
          <w:szCs w:val="20"/>
          <w:color w:val="auto"/>
        </w:rPr>
      </w:pPr>
      <w:r>
        <w:rPr>
          <w:rFonts w:ascii="Arial" w:cs="Arial" w:eastAsia="Arial" w:hAnsi="Arial"/>
          <w:sz w:val="22"/>
          <w:szCs w:val="22"/>
          <w:color w:val="auto"/>
        </w:rPr>
        <w:t xml:space="preserve">corresponding to the Company’s and its Restricted Subsidiaries’ proportionate share of such joint venture’s Consolidated Net Income (determined as if such joint venture were a Restricted Subsidiary) to the extent deducted (and not added back) in calculating Consolidated Net Income; </w:t>
      </w:r>
      <w:r>
        <w:rPr>
          <w:rFonts w:ascii="Arial" w:cs="Arial" w:eastAsia="Arial" w:hAnsi="Arial"/>
          <w:sz w:val="22"/>
          <w:szCs w:val="22"/>
          <w:i w:val="1"/>
          <w:iCs w:val="1"/>
          <w:color w:val="auto"/>
        </w:rPr>
        <w:t>plus</w:t>
      </w:r>
    </w:p>
    <w:p>
      <w:pPr>
        <w:spacing w:after="0" w:line="78" w:lineRule="exact"/>
        <w:rPr>
          <w:sz w:val="20"/>
          <w:szCs w:val="20"/>
          <w:color w:val="auto"/>
        </w:rPr>
      </w:pPr>
    </w:p>
    <w:p>
      <w:pPr>
        <w:jc w:val="both"/>
        <w:ind w:left="640" w:right="660" w:firstLine="653"/>
        <w:spacing w:after="0" w:line="341" w:lineRule="auto"/>
        <w:tabs>
          <w:tab w:leader="none" w:pos="1756" w:val="left"/>
        </w:tabs>
        <w:numPr>
          <w:ilvl w:val="1"/>
          <w:numId w:val="71"/>
        </w:numPr>
        <w:rPr>
          <w:rFonts w:ascii="Arial" w:cs="Arial" w:eastAsia="Arial" w:hAnsi="Arial"/>
          <w:sz w:val="19"/>
          <w:szCs w:val="19"/>
          <w:color w:val="auto"/>
        </w:rPr>
      </w:pPr>
      <w:r>
        <w:rPr>
          <w:rFonts w:ascii="Arial" w:cs="Arial" w:eastAsia="Arial" w:hAnsi="Arial"/>
          <w:sz w:val="19"/>
          <w:szCs w:val="19"/>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19"/>
          <w:szCs w:val="19"/>
          <w:i w:val="1"/>
          <w:iCs w:val="1"/>
          <w:color w:val="auto"/>
        </w:rPr>
        <w:t>FAS 160</w:t>
      </w:r>
      <w:r>
        <w:rPr>
          <w:rFonts w:ascii="Arial" w:cs="Arial" w:eastAsia="Arial" w:hAnsi="Arial"/>
          <w:sz w:val="19"/>
          <w:szCs w:val="19"/>
          <w:color w:val="auto"/>
        </w:rPr>
        <w:t>”).</w:t>
      </w:r>
    </w:p>
    <w:p>
      <w:pPr>
        <w:ind w:right="20" w:firstLine="645"/>
        <w:spacing w:after="0" w:line="289" w:lineRule="auto"/>
        <w:tabs>
          <w:tab w:leader="none" w:pos="117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decreased (without duplication) by: (a) non-cash gains increasing Consolidated Net Income of such Person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realized foreign exchange income or gains resulting from the impact of foreign currency changes on the valuation of assets or liabilities on the balance sheet of the Company and its Restricted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any net realized income or gains from Hedging Obligations or embedded derivatives that require similar accounting treatment and the application of Accounting Standards Codification Topic 815 and related pronouncements;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any net income included in Consolidated Net Income attributable to non-controlling interests pursuant to the application of Topic 810; and</w:t>
      </w:r>
    </w:p>
    <w:p>
      <w:pPr>
        <w:spacing w:after="0" w:line="49" w:lineRule="exact"/>
        <w:rPr>
          <w:rFonts w:ascii="Arial" w:cs="Arial" w:eastAsia="Arial" w:hAnsi="Arial"/>
          <w:sz w:val="19"/>
          <w:szCs w:val="19"/>
          <w:color w:val="auto"/>
        </w:rPr>
      </w:pPr>
    </w:p>
    <w:p>
      <w:pPr>
        <w:ind w:right="180" w:firstLine="645"/>
        <w:spacing w:after="0" w:line="263" w:lineRule="auto"/>
        <w:tabs>
          <w:tab w:leader="none" w:pos="11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increased or decreased (without duplication) by, as applicable, any adjustments resulting from the application of Accounting Standards Codification Topic 460 or any comparable regulation.</w:t>
      </w:r>
    </w:p>
    <w:p>
      <w:pPr>
        <w:spacing w:after="0" w:line="67"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For purposes of testing the covenants under this Indenture in connection with any transaction, the Consolidated EBITDA of the Company and the Restricted Subsidiaries shall be adjusted to reflect such pro forma adjustments as are appropriate and consistent with the pro forma adjustment provisions set forth in the definition of “Fixed Charge Coverage Ratio.”</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respect to any Person for any period, without duplication, the sum of:</w:t>
      </w:r>
    </w:p>
    <w:p>
      <w:pPr>
        <w:spacing w:after="0" w:line="123" w:lineRule="exact"/>
        <w:rPr>
          <w:sz w:val="20"/>
          <w:szCs w:val="20"/>
          <w:color w:val="auto"/>
        </w:rPr>
      </w:pPr>
    </w:p>
    <w:p>
      <w:pPr>
        <w:ind w:firstLine="645"/>
        <w:spacing w:after="0" w:line="289" w:lineRule="auto"/>
        <w:tabs>
          <w:tab w:leader="none" w:pos="1116" w:val="left"/>
        </w:tabs>
        <w:numPr>
          <w:ilvl w:val="0"/>
          <w:numId w:val="73"/>
        </w:numPr>
        <w:rPr>
          <w:rFonts w:ascii="Arial" w:cs="Arial" w:eastAsia="Arial" w:hAnsi="Arial"/>
          <w:sz w:val="19"/>
          <w:szCs w:val="19"/>
          <w:color w:val="auto"/>
        </w:rPr>
      </w:pPr>
      <w:r>
        <w:rPr>
          <w:rFonts w:ascii="Arial" w:cs="Arial" w:eastAsia="Arial" w:hAnsi="Arial"/>
          <w:sz w:val="19"/>
          <w:szCs w:val="19"/>
          <w:color w:val="auto"/>
        </w:rPr>
        <w:t>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pursuant to interest rate Hedging Obligations with respect to Indebtedness, and excluding (s) penalties and interest relating to taxes, (t) any additional cash interest owing pursuant to any registration rights agreement, (u) accretion or accrual of discounted liabilities other</w:t>
      </w:r>
    </w:p>
    <w:p>
      <w:pPr>
        <w:spacing w:after="0" w:line="3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0"/>
          </w:cols>
          <w:pgMar w:left="900" w:top="847" w:right="259" w:bottom="1440" w:gutter="0" w:footer="0" w:header="0"/>
        </w:sectPr>
      </w:pPr>
    </w:p>
    <w:bookmarkStart w:id="73" w:name="page74"/>
    <w:bookmarkEnd w:id="73"/>
    <w:p>
      <w:pPr>
        <w:ind w:left="660" w:right="40"/>
        <w:spacing w:after="0" w:line="297" w:lineRule="auto"/>
        <w:rPr>
          <w:sz w:val="20"/>
          <w:szCs w:val="20"/>
          <w:color w:val="auto"/>
        </w:rPr>
      </w:pPr>
      <w:r>
        <w:rPr>
          <w:rFonts w:ascii="Arial" w:cs="Arial" w:eastAsia="Arial" w:hAnsi="Arial"/>
          <w:sz w:val="19"/>
          <w:szCs w:val="19"/>
          <w:color w:val="auto"/>
        </w:rPr>
        <w:t xml:space="preserve">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and (z) Consolidated Vehicle Interest Expense); </w:t>
      </w:r>
      <w:r>
        <w:rPr>
          <w:rFonts w:ascii="Arial" w:cs="Arial" w:eastAsia="Arial" w:hAnsi="Arial"/>
          <w:sz w:val="19"/>
          <w:szCs w:val="19"/>
          <w:i w:val="1"/>
          <w:iCs w:val="1"/>
          <w:color w:val="auto"/>
        </w:rPr>
        <w:t>less</w:t>
      </w:r>
    </w:p>
    <w:p>
      <w:pPr>
        <w:spacing w:after="0" w:line="39" w:lineRule="exact"/>
        <w:rPr>
          <w:sz w:val="20"/>
          <w:szCs w:val="20"/>
          <w:color w:val="auto"/>
        </w:rPr>
      </w:pPr>
    </w:p>
    <w:p>
      <w:pPr>
        <w:ind w:left="660" w:right="40" w:firstLine="645"/>
        <w:spacing w:after="0" w:line="253" w:lineRule="auto"/>
        <w:tabs>
          <w:tab w:leader="none" w:pos="1776"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interest income for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the definition of “Consolidated Vehicle Interest Expense,” “Consolidated Interest Expense” shall include the interest expense in respect of Indebtedness that is secured by Liens incurred pursuant to clause (32) of the definition of “Permitted Liens.”</w:t>
      </w:r>
    </w:p>
    <w:p>
      <w:pPr>
        <w:spacing w:after="0" w:line="78"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78"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net income (loss) of such Person and its Restricted Subsidiaries for such period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78" w:lineRule="exact"/>
        <w:rPr>
          <w:sz w:val="20"/>
          <w:szCs w:val="20"/>
          <w:color w:val="auto"/>
        </w:rPr>
      </w:pPr>
    </w:p>
    <w:p>
      <w:pPr>
        <w:ind w:left="660" w:right="240" w:firstLine="645"/>
        <w:spacing w:after="0" w:line="294" w:lineRule="auto"/>
        <w:tabs>
          <w:tab w:leader="none" w:pos="177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the Company’s equity in the net income of any such Person for such period will be included in such Consolidated Net Income up to the aggregate amount of cash or Cash Equivalents actually distributed or that (as reasonably determined by an Officer of the Company) could have been distributed by such Person during such period to the Company or a Restricted Subsidiary as a dividend or other distribution or return on investment (subject, in the case of a dividend or other distribution or return on investment to a Restricted Subsidiary, to the limitations contained in clause (2) below);</w:t>
      </w:r>
    </w:p>
    <w:p>
      <w:pPr>
        <w:spacing w:after="0" w:line="41" w:lineRule="exact"/>
        <w:rPr>
          <w:rFonts w:ascii="Arial" w:cs="Arial" w:eastAsia="Arial" w:hAnsi="Arial"/>
          <w:sz w:val="19"/>
          <w:szCs w:val="19"/>
          <w:color w:val="auto"/>
        </w:rPr>
      </w:pPr>
    </w:p>
    <w:p>
      <w:pPr>
        <w:ind w:left="660" w:firstLine="645"/>
        <w:spacing w:after="0" w:line="287" w:lineRule="auto"/>
        <w:tabs>
          <w:tab w:leader="none" w:pos="177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for Restricted Payments under </w:t>
      </w:r>
      <w:r>
        <w:rPr>
          <w:rFonts w:ascii="Arial" w:cs="Arial" w:eastAsia="Arial" w:hAnsi="Arial"/>
          <w:sz w:val="19"/>
          <w:szCs w:val="19"/>
          <w:u w:val="single" w:color="auto"/>
          <w:color w:val="auto"/>
        </w:rPr>
        <w:t>Section 3.3(a)(iii)(B)</w:t>
      </w:r>
      <w:r>
        <w:rPr>
          <w:rFonts w:ascii="Arial" w:cs="Arial" w:eastAsia="Arial" w:hAnsi="Arial"/>
          <w:sz w:val="19"/>
          <w:szCs w:val="19"/>
          <w:color w:val="auto"/>
        </w:rPr>
        <w:t xml:space="preserve"> hereof, any net income (loss) of any Restricted Subsidiary (other than the Subsidiary Guarantors) if such Subsidiary is subject to restrictions, directly or indirectly, on the payment of dividends or the making of distributions by such Restricted Subsidiary, directly or indirectly, to the Company or a Subsidiary Guarantor by operation of the terms of such Restricted Subsidiary’s articles, charter or any agreement, instrument, judgment, decree, order, statute or governmental rule or regulation applicable to such Restricted Subsidiary or its shareholders (other than (a) restrictions that have been waived or otherwise released, (b) restrictions pursuant to the Credit Agreement, the Notes, or this Indenture, (c) restrictions in effect on the Issue Date with respect to a Restricted Subsidiary and other restrictions with respect to such Restricted Subsidiary that taken as a whole are not materially less favorable to holders of Notes than such restrictions in effect on the Issue Date, and (d) any encumbrance or restriction arising pursuant to an agreement or instrument relating to any Indebtedness Incurred subsequent to the Issue Date and the encumbrances and restrictions contained in any such agreement or instrument taken as a whole are not materially less favorable to the Holders than the encumbrances and restrictions contained in the Credit Agreement,</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847" w:right="259" w:bottom="1440" w:gutter="0" w:footer="0" w:header="0"/>
        </w:sectPr>
      </w:pPr>
    </w:p>
    <w:bookmarkStart w:id="74" w:name="page75"/>
    <w:bookmarkEnd w:id="74"/>
    <w:p>
      <w:pPr>
        <w:jc w:val="both"/>
        <w:spacing w:after="0" w:line="297" w:lineRule="auto"/>
        <w:rPr>
          <w:sz w:val="20"/>
          <w:szCs w:val="20"/>
          <w:color w:val="auto"/>
        </w:rPr>
      </w:pPr>
      <w:r>
        <w:rPr>
          <w:rFonts w:ascii="Arial" w:cs="Arial" w:eastAsia="Arial" w:hAnsi="Arial"/>
          <w:sz w:val="19"/>
          <w:szCs w:val="19"/>
          <w:color w:val="auto"/>
        </w:rPr>
        <w:t>together with the security documents associated therewith as in effect on the Issue Date),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39" w:lineRule="exact"/>
        <w:rPr>
          <w:sz w:val="20"/>
          <w:szCs w:val="20"/>
          <w:color w:val="auto"/>
        </w:rPr>
      </w:pPr>
    </w:p>
    <w:p>
      <w:pPr>
        <w:ind w:right="300" w:firstLine="645"/>
        <w:spacing w:after="0" w:line="250" w:lineRule="auto"/>
        <w:tabs>
          <w:tab w:leader="none" w:pos="11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net gain (or loss) realized upon the sale or other disposition of any asset (including pursuant to any Sale and Leaseback Transaction) or disposed operations of the Company or any Restricted Subsidiaries which is not sold or otherwise disposed of in the ordinary course of business (as determined in good faith by an Officer or the Board of Directors of the Company);</w:t>
      </w:r>
    </w:p>
    <w:p>
      <w:pPr>
        <w:spacing w:after="0" w:line="80" w:lineRule="exact"/>
        <w:rPr>
          <w:rFonts w:ascii="Arial" w:cs="Arial" w:eastAsia="Arial" w:hAnsi="Arial"/>
          <w:sz w:val="22"/>
          <w:szCs w:val="22"/>
          <w:color w:val="auto"/>
        </w:rPr>
      </w:pPr>
    </w:p>
    <w:p>
      <w:pPr>
        <w:ind w:right="60" w:firstLine="645"/>
        <w:spacing w:after="0" w:line="286" w:lineRule="auto"/>
        <w:tabs>
          <w:tab w:leader="none" w:pos="111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extraordinary, exceptional, unusual or nonrecurring gain, loss, charge or expense, including any restructuring costs, charges or reserves (whether or not classified as restructuring expense on the consolidated financial statements), relocation costs, integration and facilities’ or bases’ opening costs, facility consolidation and closing costs, severance costs and expenses, costs relating to pre-opening, opening and conversion costs for facilities, losses, costs or cost inefficiencies related to facility or property disruptions or shutdowns, signing, retention and completion bonuses, recruiting costs, costs incurred in connection with any cost savings initiatives, transition costs, contract terminations, litigation and arbitration fees, costs and charges, expenses in connection with one-time rate changes, management transition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w:t>
      </w:r>
    </w:p>
    <w:p>
      <w:pPr>
        <w:spacing w:after="0" w:line="51" w:lineRule="exact"/>
        <w:rPr>
          <w:rFonts w:ascii="Arial" w:cs="Arial" w:eastAsia="Arial" w:hAnsi="Arial"/>
          <w:sz w:val="19"/>
          <w:szCs w:val="19"/>
          <w:color w:val="auto"/>
        </w:rPr>
      </w:pPr>
    </w:p>
    <w:p>
      <w:pPr>
        <w:ind w:left="1120" w:hanging="475"/>
        <w:spacing w:after="0"/>
        <w:tabs>
          <w:tab w:leader="none" w:pos="11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111" w:lineRule="exact"/>
        <w:rPr>
          <w:rFonts w:ascii="Arial" w:cs="Arial" w:eastAsia="Arial" w:hAnsi="Arial"/>
          <w:sz w:val="22"/>
          <w:szCs w:val="22"/>
          <w:color w:val="auto"/>
        </w:rPr>
      </w:pPr>
    </w:p>
    <w:p>
      <w:pPr>
        <w:ind w:right="60" w:firstLine="645"/>
        <w:spacing w:after="0" w:line="253" w:lineRule="auto"/>
        <w:tabs>
          <w:tab w:leader="none" w:pos="111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w:t>
      </w:r>
    </w:p>
    <w:p>
      <w:pPr>
        <w:spacing w:after="0" w:line="77" w:lineRule="exact"/>
        <w:rPr>
          <w:rFonts w:ascii="Arial" w:cs="Arial" w:eastAsia="Arial" w:hAnsi="Arial"/>
          <w:sz w:val="22"/>
          <w:szCs w:val="22"/>
          <w:color w:val="auto"/>
        </w:rPr>
      </w:pPr>
    </w:p>
    <w:p>
      <w:pPr>
        <w:ind w:right="240" w:firstLine="645"/>
        <w:spacing w:after="0" w:line="343" w:lineRule="auto"/>
        <w:tabs>
          <w:tab w:leader="none" w:pos="111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deferred financing costs written off and premiums paid or other expenses incurred in connection with any early extinguishment of Indebtedness and any net gain (loss) from any write-off or forgiveness of Indebtedness;</w:t>
      </w:r>
    </w:p>
    <w:p>
      <w:pPr>
        <w:spacing w:after="0" w:line="25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40"/>
          </w:cols>
          <w:pgMar w:left="900" w:top="847" w:right="259" w:bottom="1440" w:gutter="0" w:footer="0" w:header="0"/>
        </w:sectPr>
      </w:pPr>
    </w:p>
    <w:bookmarkStart w:id="75" w:name="page76"/>
    <w:bookmarkEnd w:id="75"/>
    <w:p>
      <w:pPr>
        <w:ind w:left="660" w:right="180" w:firstLine="645"/>
        <w:spacing w:after="0" w:line="312" w:lineRule="auto"/>
        <w:tabs>
          <w:tab w:leader="none" w:pos="177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gains or losses in respect of any Hedging Obligations or any ineffectiveness recognized in earnings related to qualifying hedge transactions or the fair value of changes therein recognized in earnings for derivatives that do not qualify as hedge transactions, in each case, in respect of any Hedging Obligations;</w:t>
      </w:r>
    </w:p>
    <w:p>
      <w:pPr>
        <w:spacing w:after="0" w:line="25" w:lineRule="exact"/>
        <w:rPr>
          <w:rFonts w:ascii="Arial" w:cs="Arial" w:eastAsia="Arial" w:hAnsi="Arial"/>
          <w:sz w:val="19"/>
          <w:szCs w:val="19"/>
          <w:color w:val="auto"/>
        </w:rPr>
      </w:pPr>
    </w:p>
    <w:p>
      <w:pPr>
        <w:ind w:left="660" w:right="280" w:firstLine="645"/>
        <w:spacing w:after="0" w:line="312" w:lineRule="auto"/>
        <w:tabs>
          <w:tab w:leader="none" w:pos="177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spacing w:after="0" w:line="25" w:lineRule="exact"/>
        <w:rPr>
          <w:rFonts w:ascii="Arial" w:cs="Arial" w:eastAsia="Arial" w:hAnsi="Arial"/>
          <w:sz w:val="19"/>
          <w:szCs w:val="19"/>
          <w:color w:val="auto"/>
        </w:rPr>
      </w:pPr>
    </w:p>
    <w:p>
      <w:pPr>
        <w:ind w:left="660" w:right="100" w:firstLine="645"/>
        <w:spacing w:after="0" w:line="247" w:lineRule="auto"/>
        <w:tabs>
          <w:tab w:leader="none" w:pos="188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unrealized gain or loss (after any offset) resulting in such period from currency translation increase or decreases or transaction gains or losses, including those related to currency remeasurements of Indebtedness (including any net loss or gain resulting from Hedging Obligations for currency risk), intercompany balances, other balance sheet items, Hedging Obligations or other obligations of the Company or any Restricted Subsidiary owing to the Company or any Restricted Subsidiary and any other unrealized gains or losses relating to translation of assets and liabilities denominated in foreign currencies;</w:t>
      </w:r>
    </w:p>
    <w:p>
      <w:pPr>
        <w:spacing w:after="0" w:line="85" w:lineRule="exact"/>
        <w:rPr>
          <w:rFonts w:ascii="Arial" w:cs="Arial" w:eastAsia="Arial" w:hAnsi="Arial"/>
          <w:sz w:val="22"/>
          <w:szCs w:val="22"/>
          <w:color w:val="auto"/>
        </w:rPr>
      </w:pPr>
    </w:p>
    <w:p>
      <w:pPr>
        <w:ind w:left="660" w:firstLine="645"/>
        <w:spacing w:after="0" w:line="263" w:lineRule="auto"/>
        <w:tabs>
          <w:tab w:leader="none" w:pos="1876" w:val="left"/>
        </w:tabs>
        <w:numPr>
          <w:ilvl w:val="0"/>
          <w:numId w:val="77"/>
        </w:numPr>
        <w:rPr>
          <w:rFonts w:ascii="Arial" w:cs="Arial" w:eastAsia="Arial" w:hAnsi="Arial"/>
          <w:sz w:val="21"/>
          <w:szCs w:val="21"/>
          <w:color w:val="auto"/>
        </w:rPr>
      </w:pPr>
      <w:r>
        <w:rPr>
          <w:rFonts w:ascii="Arial" w:cs="Arial" w:eastAsia="Arial" w:hAnsi="Arial"/>
          <w:sz w:val="21"/>
          <w:szCs w:val="21"/>
          <w:color w:val="auto"/>
        </w:rPr>
        <w:t>any purchase accounting effects including adjustments to inventory, property and equipment, software and 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67" w:lineRule="exact"/>
        <w:rPr>
          <w:rFonts w:ascii="Arial" w:cs="Arial" w:eastAsia="Arial" w:hAnsi="Arial"/>
          <w:sz w:val="21"/>
          <w:szCs w:val="21"/>
          <w:color w:val="auto"/>
        </w:rPr>
      </w:pPr>
    </w:p>
    <w:p>
      <w:pPr>
        <w:ind w:left="1880" w:hanging="575"/>
        <w:spacing w:after="0"/>
        <w:tabs>
          <w:tab w:leader="none" w:pos="18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goodwill or other intangible asset impairment charge or write-off;</w:t>
      </w:r>
    </w:p>
    <w:p>
      <w:pPr>
        <w:spacing w:after="0" w:line="111" w:lineRule="exact"/>
        <w:rPr>
          <w:rFonts w:ascii="Arial" w:cs="Arial" w:eastAsia="Arial" w:hAnsi="Arial"/>
          <w:sz w:val="22"/>
          <w:szCs w:val="22"/>
          <w:color w:val="auto"/>
        </w:rPr>
      </w:pPr>
    </w:p>
    <w:p>
      <w:pPr>
        <w:ind w:left="660" w:right="440" w:firstLine="645"/>
        <w:spacing w:after="0" w:line="263" w:lineRule="auto"/>
        <w:tabs>
          <w:tab w:leader="none" w:pos="188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extinguishment or cancellation of Indebtedness or any Hedging Obligations or other derivative instruments;</w:t>
      </w:r>
    </w:p>
    <w:p>
      <w:pPr>
        <w:spacing w:after="0" w:line="66" w:lineRule="exact"/>
        <w:rPr>
          <w:rFonts w:ascii="Arial" w:cs="Arial" w:eastAsia="Arial" w:hAnsi="Arial"/>
          <w:sz w:val="22"/>
          <w:szCs w:val="22"/>
          <w:color w:val="auto"/>
        </w:rPr>
      </w:pPr>
    </w:p>
    <w:p>
      <w:pPr>
        <w:ind w:left="660" w:right="220" w:firstLine="645"/>
        <w:spacing w:after="0" w:line="287" w:lineRule="auto"/>
        <w:tabs>
          <w:tab w:leader="none" w:pos="1884" w:val="left"/>
        </w:tabs>
        <w:numPr>
          <w:ilvl w:val="0"/>
          <w:numId w:val="77"/>
        </w:numPr>
        <w:rPr>
          <w:rFonts w:ascii="Arial" w:cs="Arial" w:eastAsia="Arial" w:hAnsi="Arial"/>
          <w:sz w:val="21"/>
          <w:szCs w:val="21"/>
          <w:color w:val="auto"/>
        </w:rPr>
      </w:pPr>
      <w:r>
        <w:rPr>
          <w:rFonts w:ascii="Arial" w:cs="Arial" w:eastAsia="Arial" w:hAnsi="Arial"/>
          <w:sz w:val="21"/>
          <w:szCs w:val="21"/>
          <w:color w:val="auto"/>
        </w:rPr>
        <w:t>accruals and reserves that are established or adjusted within twelve (12) months after the Issue Date that are so required to be established or adjusted as a result of the Transactions in accordance with GAAP;</w:t>
      </w:r>
    </w:p>
    <w:p>
      <w:pPr>
        <w:spacing w:after="0" w:line="43" w:lineRule="exact"/>
        <w:rPr>
          <w:rFonts w:ascii="Arial" w:cs="Arial" w:eastAsia="Arial" w:hAnsi="Arial"/>
          <w:sz w:val="21"/>
          <w:szCs w:val="21"/>
          <w:color w:val="auto"/>
        </w:rPr>
      </w:pPr>
    </w:p>
    <w:p>
      <w:pPr>
        <w:ind w:left="660" w:right="140" w:firstLine="645"/>
        <w:spacing w:after="0" w:line="253" w:lineRule="auto"/>
        <w:tabs>
          <w:tab w:leader="none" w:pos="188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net unrealized gains and losses resulting from Hedging Obligations or embedded derivatives that require similar accounting treatment and the application of Accounting Standards Codification Topic 815 and related pronouncements; and</w:t>
      </w:r>
    </w:p>
    <w:p>
      <w:pPr>
        <w:spacing w:after="0" w:line="77" w:lineRule="exact"/>
        <w:rPr>
          <w:rFonts w:ascii="Arial" w:cs="Arial" w:eastAsia="Arial" w:hAnsi="Arial"/>
          <w:sz w:val="22"/>
          <w:szCs w:val="22"/>
          <w:color w:val="auto"/>
        </w:rPr>
      </w:pPr>
    </w:p>
    <w:p>
      <w:pPr>
        <w:ind w:left="660" w:right="600" w:firstLine="645"/>
        <w:spacing w:after="0" w:line="263" w:lineRule="auto"/>
        <w:tabs>
          <w:tab w:leader="none" w:pos="188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deferred tax expense associated with tax deductions or net operating losses arising as a result of the Transactions, or the release of any valuation allowances related to such item.</w:t>
      </w:r>
    </w:p>
    <w:p>
      <w:pPr>
        <w:spacing w:after="0" w:line="67" w:lineRule="exact"/>
        <w:rPr>
          <w:sz w:val="20"/>
          <w:szCs w:val="20"/>
          <w:color w:val="auto"/>
        </w:rPr>
      </w:pPr>
    </w:p>
    <w:p>
      <w:pPr>
        <w:ind w:right="240" w:firstLine="648"/>
        <w:spacing w:after="0" w:line="263" w:lineRule="auto"/>
        <w:rPr>
          <w:sz w:val="20"/>
          <w:szCs w:val="20"/>
          <w:color w:val="auto"/>
        </w:rPr>
      </w:pPr>
      <w:r>
        <w:rPr>
          <w:rFonts w:ascii="Arial" w:cs="Arial" w:eastAsia="Arial" w:hAnsi="Arial"/>
          <w:sz w:val="21"/>
          <w:szCs w:val="21"/>
          <w:color w:val="auto"/>
        </w:rPr>
        <w:t>In addition, to the extent not already included in the Consolidated Net Income of such Person and its Restricted Subsidiaries, notwithstanding anything to the contrary in the foregoing, Consolidated Net Income shall include: (i) any expenses, charges or losses that are reimbursed by indemnification or other reimbursement provisions in connection with any investment or any sale, conveyance, transfer or other disposition of assets permitted hereunder, or, so long as the Company has made a determination that there exists reasonable evidence that such amount will</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76" w:name="page77"/>
    <w:bookmarkEnd w:id="76"/>
    <w:p>
      <w:pPr>
        <w:spacing w:after="0" w:line="260" w:lineRule="auto"/>
        <w:rPr>
          <w:sz w:val="20"/>
          <w:szCs w:val="20"/>
          <w:color w:val="auto"/>
        </w:rPr>
      </w:pPr>
      <w:r>
        <w:rPr>
          <w:rFonts w:ascii="Arial" w:cs="Arial" w:eastAsia="Arial" w:hAnsi="Arial"/>
          <w:sz w:val="21"/>
          <w:szCs w:val="21"/>
          <w:color w:val="auto"/>
        </w:rPr>
        <w:t>in fact be reimbursed and only to the extent that such amount is in fact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w:t>
      </w:r>
    </w:p>
    <w:p>
      <w:pPr>
        <w:spacing w:after="0" w:line="7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Indebtedness</w:t>
      </w:r>
      <w:r>
        <w:rPr>
          <w:rFonts w:ascii="Arial" w:cs="Arial" w:eastAsia="Arial" w:hAnsi="Arial"/>
          <w:sz w:val="21"/>
          <w:szCs w:val="21"/>
          <w:color w:val="auto"/>
        </w:rPr>
        <w:t>” means, as of any date of determination, (a) the aggregate principal amount of Indebtedness for borrowed money (other than Permitted Vehicle Indebtedness or Indebtedness with respect to Cash Management Services) of the Company and its Restricted Subsidiaries outstanding on such date minus (b) the aggregate amount of cash and Cash Equivalents included in the consolidated balance sheet of the Company and its Restricted Subsidiaries as of the end of the most recent fiscal period for which internal financial statements of the Company are available with such pro forma adjustments as are consistent with the pro forma adjustments set forth in the definition of “Fixed Charge Coverage Ratio” and as determined in good faith by the Company.</w:t>
      </w:r>
    </w:p>
    <w:p>
      <w:pPr>
        <w:spacing w:after="0" w:line="73"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means, as of any date of determination, the ratio of (x) Consolidated Total Indebtedness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84" w:lineRule="exact"/>
        <w:rPr>
          <w:sz w:val="20"/>
          <w:szCs w:val="20"/>
          <w:color w:val="auto"/>
        </w:rPr>
      </w:pPr>
    </w:p>
    <w:p>
      <w:pPr>
        <w:ind w:right="36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Secured Leverage Ratio</w:t>
      </w:r>
      <w:r>
        <w:rPr>
          <w:rFonts w:ascii="Arial" w:cs="Arial" w:eastAsia="Arial" w:hAnsi="Arial"/>
          <w:sz w:val="19"/>
          <w:szCs w:val="19"/>
          <w:color w:val="auto"/>
        </w:rPr>
        <w:t>” means, as of any date of determination, the ratio of (x) Consolidated Total Indebtedness secured by a Lien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9"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Vehicle Depreciation</w:t>
      </w:r>
      <w:r>
        <w:rPr>
          <w:rFonts w:ascii="Arial" w:cs="Arial" w:eastAsia="Arial" w:hAnsi="Arial"/>
          <w:sz w:val="22"/>
          <w:szCs w:val="22"/>
          <w:color w:val="auto"/>
        </w:rPr>
        <w:t>” means, for any period, depreciation on all Rental Vehicles (after adjustments thereto), to the extent deducted in calculating Consolidated Net Income for such period.</w:t>
      </w:r>
    </w:p>
    <w:p>
      <w:pPr>
        <w:spacing w:after="0" w:line="67"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Vehicle Interest Expense</w:t>
      </w:r>
      <w:r>
        <w:rPr>
          <w:rFonts w:ascii="Arial" w:cs="Arial" w:eastAsia="Arial" w:hAnsi="Arial"/>
          <w:sz w:val="19"/>
          <w:szCs w:val="19"/>
          <w:color w:val="auto"/>
        </w:rPr>
        <w:t>” means, for any period, the sum of (a) the aggregate interest expense for such period on any Indebtedness (including costs associated with letters of credit related to such Indebtedness) of any Special Purpose Subsidiary that is a Restricted Subsidiary directly or indirectly Incurred to finance or refinance the acquisition of, or secured by, Rental Vehicles and/or related rights and/or assets plus (b) either (x) the aggregate interest expense for such period on other Indebtedness of the Company and its Restricted Subsidiaries that is attributable to the financing or refinancing of Rental Vehicles and/or any related rights and/or assets, as determined in good faith by the Company (which determination shall be conclusive) or, at the Company’s option, (y) an amount of the total interest expense of</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847" w:right="239" w:bottom="1440" w:gutter="0" w:footer="0" w:header="0"/>
        </w:sectPr>
      </w:pPr>
    </w:p>
    <w:bookmarkStart w:id="77" w:name="page78"/>
    <w:bookmarkEnd w:id="77"/>
    <w:p>
      <w:pPr>
        <w:ind w:right="40"/>
        <w:spacing w:after="0" w:line="248" w:lineRule="auto"/>
        <w:rPr>
          <w:sz w:val="20"/>
          <w:szCs w:val="20"/>
          <w:color w:val="auto"/>
        </w:rPr>
      </w:pPr>
      <w:r>
        <w:rPr>
          <w:rFonts w:ascii="Arial" w:cs="Arial" w:eastAsia="Arial" w:hAnsi="Arial"/>
          <w:sz w:val="22"/>
          <w:szCs w:val="22"/>
          <w:color w:val="auto"/>
        </w:rPr>
        <w:t>the Company and its Restricted Subsidiaries for such period equal to (i) the Average Interest Rate for such period multiplied by (ii) the amount equal to (1) 90% of the Average Book Value for such period of Rental Vehicles of the Company and its Restricted Subsidiaries minus (2) the Average Principal Amount for such period of any Indebtedness of any Special Purpose Subsidiary that is a Restricted Subsidiary directly or indirectly Incurred to finance or refinance the acquisition of, or secured by, Rental Vehicles and/or related rights and/or assets.</w:t>
      </w:r>
    </w:p>
    <w:p>
      <w:pPr>
        <w:spacing w:after="0" w:line="84"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including any obligation of such Person, whether or not contingent:</w:t>
      </w:r>
    </w:p>
    <w:p>
      <w:pPr>
        <w:spacing w:after="0" w:line="26" w:lineRule="exact"/>
        <w:rPr>
          <w:sz w:val="20"/>
          <w:szCs w:val="20"/>
          <w:color w:val="auto"/>
        </w:rPr>
      </w:pPr>
    </w:p>
    <w:p>
      <w:pPr>
        <w:ind w:left="1780" w:hanging="475"/>
        <w:spacing w:after="0"/>
        <w:tabs>
          <w:tab w:leader="none" w:pos="17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to purchase any such primary obligation or any property constituting direct or indirect security therefor;</w:t>
      </w:r>
    </w:p>
    <w:p>
      <w:pPr>
        <w:spacing w:after="0" w:line="123" w:lineRule="exact"/>
        <w:rPr>
          <w:rFonts w:ascii="Arial" w:cs="Arial" w:eastAsia="Arial" w:hAnsi="Arial"/>
          <w:sz w:val="21"/>
          <w:szCs w:val="21"/>
          <w:color w:val="auto"/>
        </w:rPr>
      </w:pPr>
    </w:p>
    <w:p>
      <w:pPr>
        <w:ind w:left="1780" w:hanging="475"/>
        <w:spacing w:after="0"/>
        <w:tabs>
          <w:tab w:leader="none" w:pos="17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111" w:lineRule="exact"/>
        <w:rPr>
          <w:rFonts w:ascii="Arial" w:cs="Arial" w:eastAsia="Arial" w:hAnsi="Arial"/>
          <w:sz w:val="22"/>
          <w:szCs w:val="22"/>
          <w:color w:val="auto"/>
        </w:rPr>
      </w:pPr>
    </w:p>
    <w:p>
      <w:pPr>
        <w:ind w:left="2400" w:hanging="447"/>
        <w:spacing w:after="0"/>
        <w:tabs>
          <w:tab w:leader="none" w:pos="24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111" w:lineRule="exact"/>
        <w:rPr>
          <w:rFonts w:ascii="Arial" w:cs="Arial" w:eastAsia="Arial" w:hAnsi="Arial"/>
          <w:sz w:val="22"/>
          <w:szCs w:val="22"/>
          <w:color w:val="auto"/>
        </w:rPr>
      </w:pPr>
    </w:p>
    <w:p>
      <w:pPr>
        <w:ind w:left="1300" w:right="80" w:firstLine="653"/>
        <w:spacing w:after="0" w:line="263" w:lineRule="auto"/>
        <w:tabs>
          <w:tab w:leader="none" w:pos="2416"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maintain the working capital or equity capital of the primary obligor or otherwise to maintain the net worth or solvency of the primary obligor; or</w:t>
      </w:r>
    </w:p>
    <w:p>
      <w:pPr>
        <w:spacing w:after="0" w:line="66" w:lineRule="exact"/>
        <w:rPr>
          <w:rFonts w:ascii="Arial" w:cs="Arial" w:eastAsia="Arial" w:hAnsi="Arial"/>
          <w:sz w:val="22"/>
          <w:szCs w:val="22"/>
          <w:color w:val="auto"/>
        </w:rPr>
      </w:pPr>
    </w:p>
    <w:p>
      <w:pPr>
        <w:ind w:left="660" w:right="40" w:firstLine="645"/>
        <w:spacing w:after="0" w:line="341" w:lineRule="auto"/>
        <w:tabs>
          <w:tab w:leader="none" w:pos="17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fifth amended and restated senior secured credit facilities, dated as of February 13, 2018, entered into by the Company, as borrower, and certain of its subsidiaries, as subsidiary borrowers, with JPMorgan Chase Bank, N.A., as administrative agent, Deutsche Bank Securities Inc., as syndication agent, and the lenders party thereto from time to time, and in each case any Loan Documents (as defined therein), together with the related documents thereto (including the revolving loans thereunder, any letters of credit and reimbursement obligations related thereto, any guarantees and security documents), as amended, extended, supplemented, waived, renewed, restated, refunded, replaced, refinanced, restructured,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changing the maturity of any Indebtedness Incurred thereunder or contemplated thereby,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spacing w:after="0" w:line="52"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w:t>
      </w:r>
      <w:r>
        <w:rPr>
          <w:rFonts w:ascii="Arial" w:cs="Arial" w:eastAsia="Arial" w:hAnsi="Arial"/>
          <w:sz w:val="22"/>
          <w:szCs w:val="22"/>
          <w:color w:val="auto"/>
        </w:rPr>
        <w:t>” means, with respect to the Company or any of its Subsidiaries, one or more debt facilities, indentures or other arrangements (including the Credit Agreement or commercial paper facilities and overdraft facilities) with banks, other financial institutions 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47" w:right="239" w:bottom="1440" w:gutter="0" w:footer="0" w:header="0"/>
        </w:sectPr>
      </w:pPr>
    </w:p>
    <w:bookmarkStart w:id="78" w:name="page79"/>
    <w:bookmarkEnd w:id="78"/>
    <w:p>
      <w:pPr>
        <w:ind w:right="40"/>
        <w:spacing w:after="0" w:line="286" w:lineRule="auto"/>
        <w:rPr>
          <w:sz w:val="20"/>
          <w:szCs w:val="20"/>
          <w:color w:val="auto"/>
        </w:rPr>
      </w:pPr>
      <w:r>
        <w:rPr>
          <w:rFonts w:ascii="Arial" w:cs="Arial" w:eastAsia="Arial" w:hAnsi="Arial"/>
          <w:sz w:val="19"/>
          <w:szCs w:val="19"/>
          <w:color w:val="auto"/>
        </w:rPr>
        <w:t>investors providing for revolving credit loans, term loans, notes, receivables or fleet financing (including through the sale of receivables or fleet assets to such institutions or to special purpose entities formed to borrow from such institutions against such receivables or fleet assets or the creation of any Liens in respect of such receivables or fleet assets in favor of such institutions), letters of credit or other Indebtedness,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and in each case as amended, restated, modified, supplemented,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Facility or one or more other credit or other agreements, indentures, financing agreements or otherwise).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3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Facility Documents</w:t>
      </w:r>
      <w:r>
        <w:rPr>
          <w:rFonts w:ascii="Arial" w:cs="Arial" w:eastAsia="Arial" w:hAnsi="Arial"/>
          <w:sz w:val="21"/>
          <w:szCs w:val="21"/>
          <w:color w:val="auto"/>
        </w:rPr>
        <w:t>” means the collective reference to any Credit Facility, any notes issued pursuant thereto and the guarantees thereof, and the collateral documents relating thereto, as amended, supplemented, restated, renewed, refunded, replaced, restructured, repaid, refinanced or otherwise modified, in whole or in part, from time to time.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Custodian</w:t>
      </w:r>
      <w:r>
        <w:rPr>
          <w:rFonts w:ascii="Arial" w:cs="Arial" w:eastAsia="Arial" w:hAnsi="Arial"/>
          <w:sz w:val="19"/>
          <w:szCs w:val="19"/>
          <w:color w:val="auto"/>
        </w:rPr>
        <w:t>” means any receiver, trustee, assignee, liquidator, custodian or similar official under any Bankruptcy Law.</w:t>
      </w:r>
    </w:p>
    <w:p>
      <w:pPr>
        <w:spacing w:after="0" w:line="1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means any event that is, or with the passage of time or the giving of notice or both would be,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Notes</w:t>
      </w:r>
      <w:r>
        <w:rPr>
          <w:rFonts w:ascii="Arial" w:cs="Arial" w:eastAsia="Arial" w:hAnsi="Arial"/>
          <w:sz w:val="22"/>
          <w:szCs w:val="22"/>
          <w:color w:val="auto"/>
        </w:rPr>
        <w:t>” means certificated Notes.</w:t>
      </w:r>
    </w:p>
    <w:p>
      <w:pPr>
        <w:spacing w:after="0" w:line="112"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Derivative Instrument</w:t>
      </w:r>
      <w:r>
        <w:rPr>
          <w:rFonts w:ascii="Arial" w:cs="Arial" w:eastAsia="Arial" w:hAnsi="Arial"/>
          <w:sz w:val="22"/>
          <w:szCs w:val="22"/>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“Performance References”).</w:t>
      </w:r>
    </w:p>
    <w:p>
      <w:pPr>
        <w:spacing w:after="0" w:line="8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means the fair market value (as determined in good faith by the Company) of non-cash consideration received by the Company or one of its Restricted Subsidiaries in connection with an Asset Disposition that is so designated as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80"/>
          </w:cols>
          <w:pgMar w:left="240" w:top="847" w:right="279" w:bottom="1440" w:gutter="0" w:footer="0" w:header="0"/>
        </w:sectPr>
      </w:pPr>
    </w:p>
    <w:bookmarkStart w:id="79" w:name="page80"/>
    <w:bookmarkEnd w:id="79"/>
    <w:p>
      <w:pPr>
        <w:ind w:right="20"/>
        <w:spacing w:after="0" w:line="248" w:lineRule="auto"/>
        <w:rPr>
          <w:sz w:val="20"/>
          <w:szCs w:val="20"/>
          <w:color w:val="auto"/>
        </w:rPr>
      </w:pPr>
      <w:r>
        <w:rPr>
          <w:rFonts w:ascii="Arial" w:cs="Arial" w:eastAsia="Arial" w:hAnsi="Arial"/>
          <w:sz w:val="22"/>
          <w:szCs w:val="22"/>
          <w:color w:val="auto"/>
        </w:rPr>
        <w:t xml:space="preserve">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84"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Designated Preferred Stock</w:t>
      </w:r>
      <w:r>
        <w:rPr>
          <w:rFonts w:ascii="Arial" w:cs="Arial" w:eastAsia="Arial" w:hAnsi="Arial"/>
          <w:sz w:val="19"/>
          <w:szCs w:val="19"/>
          <w:color w:val="auto"/>
        </w:rPr>
        <w:t>” means, with respect to the Company, Preferred Stock (other than Disqualified Stock) (a)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 Preferred Stock” pursuant to an Officer’s Certificate of the Company at or prior to the issuance thereof, the Net Cash Proceeds of which are excluded from the calculation set forth in </w:t>
      </w:r>
      <w:r>
        <w:rPr>
          <w:rFonts w:ascii="Arial" w:cs="Arial" w:eastAsia="Arial" w:hAnsi="Arial"/>
          <w:sz w:val="19"/>
          <w:szCs w:val="19"/>
          <w:u w:val="single" w:color="auto"/>
          <w:color w:val="auto"/>
        </w:rPr>
        <w:t>Section 3.3(a)(iii)(C)</w:t>
      </w:r>
      <w:r>
        <w:rPr>
          <w:rFonts w:ascii="Arial" w:cs="Arial" w:eastAsia="Arial" w:hAnsi="Arial"/>
          <w:sz w:val="19"/>
          <w:szCs w:val="19"/>
          <w:color w:val="auto"/>
        </w:rPr>
        <w:t>.</w:t>
      </w:r>
    </w:p>
    <w:p>
      <w:pPr>
        <w:spacing w:after="0" w:line="39"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Parent</w:t>
      </w:r>
      <w:r>
        <w:rPr>
          <w:rFonts w:ascii="Arial" w:cs="Arial" w:eastAsia="Arial" w:hAnsi="Arial"/>
          <w:sz w:val="22"/>
          <w:szCs w:val="22"/>
          <w:color w:val="auto"/>
        </w:rPr>
        <w:t>” means Avis Budget Holdings, LLC, a limited liability company organized under the laws of the State of Delaware.</w:t>
      </w:r>
    </w:p>
    <w:p>
      <w:pPr>
        <w:spacing w:after="0" w:line="67" w:lineRule="exact"/>
        <w:rPr>
          <w:sz w:val="20"/>
          <w:szCs w:val="20"/>
          <w:color w:val="auto"/>
        </w:rPr>
      </w:pPr>
    </w:p>
    <w:p>
      <w:pPr>
        <w:ind w:right="4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of such Person which by its terms (or by the terms of any security into which it is convertible or for which it is exchangeable) or upon the happening of any event:</w:t>
      </w:r>
    </w:p>
    <w:p>
      <w:pPr>
        <w:ind w:left="660" w:right="520" w:firstLine="645"/>
        <w:spacing w:after="0" w:line="263" w:lineRule="auto"/>
        <w:tabs>
          <w:tab w:leader="none" w:pos="1776"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matures or is mandatorily redeemable for cash or in exchange for Indebtedness pursuant to a sinking fund obligation or otherwise; or</w:t>
      </w:r>
    </w:p>
    <w:p>
      <w:pPr>
        <w:spacing w:after="0" w:line="66" w:lineRule="exact"/>
        <w:rPr>
          <w:rFonts w:ascii="Arial" w:cs="Arial" w:eastAsia="Arial" w:hAnsi="Arial"/>
          <w:sz w:val="22"/>
          <w:szCs w:val="22"/>
          <w:color w:val="auto"/>
        </w:rPr>
      </w:pPr>
    </w:p>
    <w:p>
      <w:pPr>
        <w:ind w:left="660" w:right="20" w:firstLine="645"/>
        <w:spacing w:after="0" w:line="253" w:lineRule="auto"/>
        <w:tabs>
          <w:tab w:leader="none" w:pos="1776" w:val="left"/>
        </w:tabs>
        <w:numPr>
          <w:ilvl w:val="0"/>
          <w:numId w:val="79"/>
        </w:numPr>
        <w:rPr>
          <w:rFonts w:ascii="Arial" w:cs="Arial" w:eastAsia="Arial" w:hAnsi="Arial"/>
          <w:sz w:val="22"/>
          <w:szCs w:val="22"/>
          <w:color w:val="auto"/>
        </w:rPr>
      </w:pPr>
      <w:r>
        <w:rPr>
          <w:rFonts w:ascii="Arial" w:cs="Arial" w:eastAsia="Arial" w:hAnsi="Arial"/>
          <w:sz w:val="22"/>
          <w:szCs w:val="22"/>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78"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in each case on or prior to the earlier of (a) the Stated Maturity of the Notes or (b) the date on which there are no Notes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only the portion of Capital Stock which so matures or is mandatorily redeemable, is so convertible or exchangeable or is so redeemable at the option of the holder thereof prior to such date will be deemed to be Disqualified Stock and</w:t>
      </w:r>
    </w:p>
    <w:p>
      <w:pPr>
        <w:spacing w:after="0" w:line="1" w:lineRule="exact"/>
        <w:rPr>
          <w:sz w:val="20"/>
          <w:szCs w:val="20"/>
          <w:color w:val="auto"/>
        </w:rPr>
      </w:pPr>
    </w:p>
    <w:p>
      <w:pPr>
        <w:ind w:right="60" w:firstLine="8"/>
        <w:spacing w:after="0" w:line="257" w:lineRule="auto"/>
        <w:tabs>
          <w:tab w:leader="none" w:pos="31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any Capital Stock that would constitute Disqualified Stock solely because the holders thereof have the right to require such Person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money of the United States of America.</w:t>
      </w:r>
    </w:p>
    <w:p>
      <w:pPr>
        <w:spacing w:after="0" w:line="11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with respect to any Person, any Restricted Subsidiary of such Person other than a Foreign Subsidiary.</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DTC</w:t>
      </w:r>
      <w:r>
        <w:rPr>
          <w:rFonts w:ascii="Arial" w:cs="Arial" w:eastAsia="Arial" w:hAnsi="Arial"/>
          <w:sz w:val="22"/>
          <w:szCs w:val="22"/>
          <w:color w:val="auto"/>
        </w:rPr>
        <w:t>” means The Depository Trust Company or any successor securities clearing agency.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847" w:right="239" w:bottom="1440" w:gutter="0" w:footer="0" w:header="0"/>
        </w:sectPr>
      </w:pPr>
    </w:p>
    <w:bookmarkStart w:id="80" w:name="page81"/>
    <w:bookmarkEnd w:id="80"/>
    <w:p>
      <w:pPr>
        <w:ind w:right="2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Offering</w:t>
      </w:r>
      <w:r>
        <w:rPr>
          <w:rFonts w:ascii="Arial" w:cs="Arial" w:eastAsia="Arial" w:hAnsi="Arial"/>
          <w:sz w:val="22"/>
          <w:szCs w:val="22"/>
          <w:color w:val="auto"/>
        </w:rPr>
        <w:t>” means (x) a sale of Capital Stock of the Company (other than Disqualified Stock) other than offerings registered on Form S-8 (or any successor form) under the Securities Act or any similar offering in other jurisdictions, or (y) the sale of Capital Stock or other securities, the proceeds of which are contributed to the equity (other than through the issuance of Disqualified Stock or Designated Preferred Stock or through an Excluded Contribution) of the Company or any of its Restricted Subsidiaries.</w:t>
      </w:r>
    </w:p>
    <w:p>
      <w:pPr>
        <w:spacing w:after="0" w:line="84" w:lineRule="exact"/>
        <w:rPr>
          <w:sz w:val="20"/>
          <w:szCs w:val="20"/>
          <w:color w:val="auto"/>
        </w:rPr>
      </w:pPr>
    </w:p>
    <w:p>
      <w:pPr>
        <w:ind w:right="4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Euroclear Bank S.A./N.V., as operator of the Euroclear System, or any successor securities clearing agency.</w:t>
      </w:r>
    </w:p>
    <w:p>
      <w:pPr>
        <w:spacing w:after="0" w:line="67"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and the rules and regulations of the SEC promulgated thereunder, as amended.</w:t>
      </w:r>
    </w:p>
    <w:p>
      <w:pPr>
        <w:spacing w:after="0" w:line="67"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w:t>
      </w:r>
      <w:r>
        <w:rPr>
          <w:rFonts w:ascii="Arial" w:cs="Arial" w:eastAsia="Arial" w:hAnsi="Arial"/>
          <w:sz w:val="19"/>
          <w:szCs w:val="19"/>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to the extent designated as an Excluded Contribution pursuant to an Officer’s Certificate of the Company.</w:t>
      </w:r>
    </w:p>
    <w:p>
      <w:pPr>
        <w:spacing w:after="0" w:line="42" w:lineRule="exact"/>
        <w:rPr>
          <w:sz w:val="20"/>
          <w:szCs w:val="20"/>
          <w:color w:val="auto"/>
        </w:rPr>
      </w:pPr>
    </w:p>
    <w:p>
      <w:pPr>
        <w:jc w:val="both"/>
        <w:ind w:right="4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7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Disposition</w:t>
      </w:r>
      <w:r>
        <w:rPr>
          <w:rFonts w:ascii="Arial" w:cs="Arial" w:eastAsia="Arial" w:hAnsi="Arial"/>
          <w:sz w:val="22"/>
          <w:szCs w:val="22"/>
          <w:color w:val="auto"/>
        </w:rPr>
        <w:t>” means any sale, transfer, conveyance or other disposition of, or creation or incurrence of any Lien on, property or assets by the Company or any Subsidiary thereof to or in favor of any Special Purpose Entity, or by any Special Purpose Subsidiary, in each case in connection with a financing by a Special Purpose Entity or in connection with the Incurrence by a Special Purpose Entity of Indebtedness or obligations to make payments to the obligor on Indebtedness, which may be secured by a Lien in respect of such property or assets.</w:t>
      </w:r>
    </w:p>
    <w:p>
      <w:pPr>
        <w:spacing w:after="0" w:line="84"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means, with respect to any Person on any determination date, the ratio of Consolidated EBITDA of such Person for the most recent four consecutive fiscal quarters ending immediately prior to such determination date for which internal consolidated financial statements are available to the Fixed Charges of such Person for four consecutive fiscal quarters.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40" w:top="847" w:right="259" w:bottom="1440" w:gutter="0" w:footer="0" w:header="0"/>
        </w:sectPr>
      </w:pPr>
    </w:p>
    <w:bookmarkStart w:id="81" w:name="page82"/>
    <w:bookmarkEnd w:id="81"/>
    <w:p>
      <w:pPr>
        <w:ind w:right="180"/>
        <w:spacing w:after="0" w:line="263" w:lineRule="auto"/>
        <w:rPr>
          <w:sz w:val="20"/>
          <w:szCs w:val="20"/>
          <w:color w:val="auto"/>
        </w:rPr>
      </w:pPr>
      <w:r>
        <w:rPr>
          <w:rFonts w:ascii="Arial" w:cs="Arial" w:eastAsia="Arial" w:hAnsi="Arial"/>
          <w:sz w:val="22"/>
          <w:szCs w:val="22"/>
          <w:color w:val="auto"/>
        </w:rPr>
        <w:t xml:space="preserve">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pro forma calculation shall not give effect to any Indebtedness Incurred on such determination date.</w:t>
      </w:r>
    </w:p>
    <w:p>
      <w:pPr>
        <w:spacing w:after="0" w:line="67"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For purposes of making the computation referred to above, any Investments, acquisitions, dispositions, mergers, consolidations and disposed operations that have been made by the 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72"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Notwithstanding anything in this definition to the contrary, when calculating the Consolidated Total Secured Leverage Ratio, the Consolidated Total Leverage Ratio or the Fixed Charge Coverage Ratio, as applicable, in each case in connection with a Limited Condition Acquisition, the date of determination of such ratio and of any default or event of default blocker shall, at the option of the Company, be the date the definitive agreements for such Limited Condition Acquisition are entered into and such ratios shall be calculated on a pro forma basis after giving effect to such Limited Condition Acquisition and the other transactions to be entered into in connection therewith (including any incurrence of Indebtedness and the use of proceeds thereof) as if they occurred at the beginning of the four-quarter reference period, and, for the avoidance of doubt, (x) if any such ratios are exceeded as a result of fluctuations in such ratio (including due to fluctuations in Consolidated EBITDA of the Company or the target company) at or prior to the consummation of the relevant Limited Condition Acquisition, such ratios will not be deemed to have been exceeded as a result of such fluctuations solely for purposes of determining whether the Limited Condition Acquisition is permitted hereunder and (y) such ratios shall not be tested at the time of consummation of such Limited Condition Acquisition or related transactions;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 Company elects to have such determinations occur at the time of entry into such definitive agreement, any such transaction shall be deemed to have occurred on the date the definitive agreements are entered and outstanding thereafter for purposes of subsequently calculating any ratios under this Indenture after the date of such agreement and before the consummation of such Limited Condition Acquisition and to the extent baskets were utilized in satisfying any covenants, such baskets shall be deemed utilized, but any calculation of Total Assets or Consolidated Net Income for purposes of other incurrences of Indebtedness or Liens or making of Restricted Payments (not related to such Limited Condition Acquisition) shall not reflect such Limited Condition Acquisition until it is closed.</w:t>
      </w:r>
    </w:p>
    <w:p>
      <w:pPr>
        <w:spacing w:after="0" w:line="31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For purposes of this definition, whenever pro forma effect is to be given to a transaction, the pro forma calculations shall be made in good faith by a responsible financial or chief</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82" w:name="page83"/>
    <w:bookmarkEnd w:id="82"/>
    <w:p>
      <w:pPr>
        <w:spacing w:after="0" w:line="287" w:lineRule="auto"/>
        <w:rPr>
          <w:sz w:val="20"/>
          <w:szCs w:val="20"/>
          <w:color w:val="auto"/>
        </w:rPr>
      </w:pPr>
      <w:r>
        <w:rPr>
          <w:rFonts w:ascii="Arial" w:cs="Arial" w:eastAsia="Arial" w:hAnsi="Arial"/>
          <w:sz w:val="19"/>
          <w:szCs w:val="19"/>
          <w:color w:val="auto"/>
        </w:rPr>
        <w:t xml:space="preserve">accounting officer of the Company (including cost savings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reasonably attributable to the action specified and reasonably anticipated to result from such actions.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with respect to any Person for any period, the sum of:</w:t>
      </w:r>
    </w:p>
    <w:p>
      <w:pPr>
        <w:spacing w:after="0" w:line="112" w:lineRule="exact"/>
        <w:rPr>
          <w:sz w:val="20"/>
          <w:szCs w:val="20"/>
          <w:color w:val="auto"/>
        </w:rPr>
      </w:pPr>
    </w:p>
    <w:p>
      <w:pPr>
        <w:ind w:left="1780" w:hanging="475"/>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Consolidated Interest Expense of such Person for such period;</w:t>
      </w:r>
    </w:p>
    <w:p>
      <w:pPr>
        <w:spacing w:after="0" w:line="111" w:lineRule="exact"/>
        <w:rPr>
          <w:rFonts w:ascii="Arial" w:cs="Arial" w:eastAsia="Arial" w:hAnsi="Arial"/>
          <w:sz w:val="22"/>
          <w:szCs w:val="22"/>
          <w:color w:val="auto"/>
        </w:rPr>
      </w:pPr>
    </w:p>
    <w:p>
      <w:pPr>
        <w:ind w:left="660" w:right="360" w:firstLine="645"/>
        <w:spacing w:after="0" w:line="263" w:lineRule="auto"/>
        <w:tabs>
          <w:tab w:leader="none" w:pos="177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any Restricted Subsidiary of such Person during such period; and</w:t>
      </w:r>
    </w:p>
    <w:p>
      <w:pPr>
        <w:spacing w:after="0" w:line="66" w:lineRule="exact"/>
        <w:rPr>
          <w:rFonts w:ascii="Arial" w:cs="Arial" w:eastAsia="Arial" w:hAnsi="Arial"/>
          <w:sz w:val="22"/>
          <w:szCs w:val="22"/>
          <w:color w:val="auto"/>
        </w:rPr>
      </w:pPr>
    </w:p>
    <w:p>
      <w:pPr>
        <w:ind w:left="660" w:right="360" w:firstLine="645"/>
        <w:spacing w:after="0" w:line="263" w:lineRule="auto"/>
        <w:tabs>
          <w:tab w:leader="none" w:pos="1776" w:val="left"/>
        </w:tabs>
        <w:numPr>
          <w:ilvl w:val="0"/>
          <w:numId w:val="81"/>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during this period.</w:t>
      </w:r>
    </w:p>
    <w:p>
      <w:pPr>
        <w:spacing w:after="0" w:line="67" w:lineRule="exact"/>
        <w:rPr>
          <w:sz w:val="20"/>
          <w:szCs w:val="20"/>
          <w:color w:val="auto"/>
        </w:rPr>
      </w:pPr>
    </w:p>
    <w:p>
      <w:pPr>
        <w:ind w:right="3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with respect to any Person, any Subsidiary of such Person that is not organized or existing under the laws of the United States, any state thereof or the District of Columbia, and any Subsidiary of such Subsidiary.</w:t>
      </w:r>
    </w:p>
    <w:p>
      <w:pPr>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as in effect on the Issue Date. At any time after the Issue Date, the Company may elect to establish that GAAP shall mean the GAAP as in effect on or prior to the date of such election;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this Indenture), including as to the ability of the Company to make an election pursuant to the previous sentence;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election, once made,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calculation or determination in this Indenture that requires the application of GAAP for periods that include fiscal quarters ended prior to the Company’s election to apply IFRS shall remain as previously calculated or determined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i w:val="1"/>
          <w:iCs w:val="1"/>
          <w:color w:val="auto"/>
        </w:rPr>
        <w:t>again</w:t>
      </w:r>
      <w:r>
        <w:rPr>
          <w:rFonts w:ascii="Arial" w:cs="Arial" w:eastAsia="Arial" w:hAnsi="Arial"/>
          <w:sz w:val="21"/>
          <w:szCs w:val="21"/>
          <w:color w:val="auto"/>
        </w:rPr>
        <w:t>, that the Company may only make such election if it also elects to report any subsequent financial reports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60"/>
          </w:cols>
          <w:pgMar w:left="240" w:top="847" w:right="299" w:bottom="1440" w:gutter="0" w:footer="0" w:header="0"/>
        </w:sectPr>
      </w:pPr>
    </w:p>
    <w:bookmarkStart w:id="83" w:name="page84"/>
    <w:bookmarkEnd w:id="83"/>
    <w:p>
      <w:pPr>
        <w:ind w:right="60"/>
        <w:spacing w:after="0" w:line="253" w:lineRule="auto"/>
        <w:rPr>
          <w:sz w:val="20"/>
          <w:szCs w:val="20"/>
          <w:color w:val="auto"/>
        </w:rPr>
      </w:pPr>
      <w:r>
        <w:rPr>
          <w:rFonts w:ascii="Arial" w:cs="Arial" w:eastAsia="Arial" w:hAnsi="Arial"/>
          <w:sz w:val="22"/>
          <w:szCs w:val="22"/>
          <w:color w:val="auto"/>
        </w:rPr>
        <w:t xml:space="preserve">required to be made by the Company, including pursuant to Section 13 or Section 15(d) of the Exchange Act and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herein in IFRS. The Company shall give notice of any such election made in accordance with this definition to the Trustee and the Holders.</w:t>
      </w:r>
    </w:p>
    <w:p>
      <w:pPr>
        <w:spacing w:after="0" w:line="78"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sovereign or government, any state, province, territory or other political subdivision thereof, any agency, authority, instrumentality, regulatory body, court, administrative tribunal, central bank, stock exchange or other entity or authority exercising executive, legislative, judicial, taxing, regulatory, self-regulatory or administrative powers or functions of or pertaining to government.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means, any obligation, contingent or otherwise, of any Person directly or indirectly guaranteeing any</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Indebtedness of any other Person, including any such obligation, direct or indirect, contingent or otherwise, of such Person:</w:t>
      </w:r>
    </w:p>
    <w:p>
      <w:pPr>
        <w:spacing w:after="0" w:line="128" w:lineRule="exact"/>
        <w:rPr>
          <w:sz w:val="20"/>
          <w:szCs w:val="20"/>
          <w:color w:val="auto"/>
        </w:rPr>
      </w:pPr>
    </w:p>
    <w:p>
      <w:pPr>
        <w:jc w:val="both"/>
        <w:ind w:left="660" w:right="380" w:firstLine="645"/>
        <w:spacing w:after="0" w:line="312" w:lineRule="auto"/>
        <w:tabs>
          <w:tab w:leader="none" w:pos="1776" w:val="left"/>
        </w:tabs>
        <w:numPr>
          <w:ilvl w:val="0"/>
          <w:numId w:val="82"/>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25" w:lineRule="exact"/>
        <w:rPr>
          <w:rFonts w:ascii="Arial" w:cs="Arial" w:eastAsia="Arial" w:hAnsi="Arial"/>
          <w:sz w:val="19"/>
          <w:szCs w:val="19"/>
          <w:color w:val="auto"/>
        </w:rPr>
      </w:pPr>
    </w:p>
    <w:p>
      <w:pPr>
        <w:ind w:left="660" w:right="320" w:firstLine="645"/>
        <w:spacing w:after="0" w:line="341" w:lineRule="auto"/>
        <w:tabs>
          <w:tab w:leader="none" w:pos="1776" w:val="left"/>
        </w:tabs>
        <w:numPr>
          <w:ilvl w:val="0"/>
          <w:numId w:val="82"/>
        </w:numPr>
        <w:rPr>
          <w:rFonts w:ascii="Arial" w:cs="Arial" w:eastAsia="Arial" w:hAnsi="Arial"/>
          <w:sz w:val="19"/>
          <w:szCs w:val="19"/>
          <w:color w:val="auto"/>
        </w:rPr>
      </w:pPr>
      <w:r>
        <w:rPr>
          <w:rFonts w:ascii="Arial" w:cs="Arial" w:eastAsia="Arial" w:hAnsi="Arial"/>
          <w:sz w:val="19"/>
          <w:szCs w:val="19"/>
          <w:color w:val="auto"/>
        </w:rPr>
        <w:t>entered into primarily for purposes of assuring in any other manner the obligee of such Indebtedness of the payment thereof or to protect such obligee against loss in respect thereof (in whole or in part),</w:t>
      </w:r>
    </w:p>
    <w:p>
      <w:pPr>
        <w:ind w:right="400"/>
        <w:spacing w:after="0" w:line="341"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will not include endorsements for collection or deposit in the ordinary course of business or consistent with past practice. The term “Guarantee” used as a verb has a corresponding meaning.</w:t>
      </w: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means the Indirect Parent, the Direct Parent and each Restricted Subsidiary that Guarantees the Notes, in each case until such Guarantee is released in accordance with the terms of this Indenture.</w:t>
      </w:r>
    </w:p>
    <w:p>
      <w:pPr>
        <w:spacing w:after="0" w:line="6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35"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each Person in whose name the Notes are registered on the Registrar’s books, which shall initially be the respective nominee of DTC.</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the international financial reporting standards as issued by the International Accounting Standards Board as in effect from time to time.</w:t>
      </w:r>
    </w:p>
    <w:p>
      <w:pPr>
        <w:spacing w:after="0" w:line="67"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Immaterial Subsidiary</w:t>
      </w:r>
      <w:r>
        <w:rPr>
          <w:rFonts w:ascii="Arial" w:cs="Arial" w:eastAsia="Arial" w:hAnsi="Arial"/>
          <w:sz w:val="22"/>
          <w:szCs w:val="22"/>
          <w:color w:val="auto"/>
        </w:rPr>
        <w:t>” means, at any date of determination, each Restricted Subsidiary of the Company that (i) has not guaranteed any other Indebtedness of the Company and (ii) has Total Assets together with all other Immaterial Subsidiaries (other than Foreign Subsidiaries and</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20"/>
          </w:cols>
          <w:pgMar w:left="240" w:top="847" w:right="339" w:bottom="1440" w:gutter="0" w:footer="0" w:header="0"/>
        </w:sectPr>
      </w:pPr>
    </w:p>
    <w:bookmarkStart w:id="84" w:name="page85"/>
    <w:bookmarkEnd w:id="84"/>
    <w:p>
      <w:pPr>
        <w:spacing w:after="0" w:line="259" w:lineRule="auto"/>
        <w:rPr>
          <w:sz w:val="20"/>
          <w:szCs w:val="20"/>
          <w:color w:val="auto"/>
        </w:rPr>
      </w:pPr>
      <w:r>
        <w:rPr>
          <w:rFonts w:ascii="Arial" w:cs="Arial" w:eastAsia="Arial" w:hAnsi="Arial"/>
          <w:sz w:val="21"/>
          <w:szCs w:val="21"/>
          <w:color w:val="auto"/>
        </w:rPr>
        <w:t>Unrestricted Subsidiaries) (as determined in accordance with GAAP) and Consolidated EBITDA together with all Immaterial Subsidiaries (other than Foreign Subsidiaries and Unrestricted Subsidiaries) (as determined in accordance with the definition of Consolidated EBITDA herein) of less than 5.0% of the Company’s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76"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xml:space="preserve">” means issue, create, assume, enter into any Guarantee of, incur, extend or otherwise become liable 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with respect to any Person on any date of determination (without duplication):</w:t>
      </w:r>
    </w:p>
    <w:p>
      <w:pPr>
        <w:spacing w:after="0" w:line="112" w:lineRule="exact"/>
        <w:rPr>
          <w:sz w:val="20"/>
          <w:szCs w:val="20"/>
          <w:color w:val="auto"/>
        </w:rPr>
      </w:pPr>
    </w:p>
    <w:p>
      <w:pPr>
        <w:ind w:left="1780" w:hanging="475"/>
        <w:spacing w:after="0"/>
        <w:tabs>
          <w:tab w:leader="none" w:pos="17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principal of indebtedness of such Person for borrowed money;</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principal of obligations of such Person evidenced by bonds, debentures, notes or other similar instruments;</w:t>
      </w:r>
    </w:p>
    <w:p>
      <w:pPr>
        <w:spacing w:after="0" w:line="146" w:lineRule="exact"/>
        <w:rPr>
          <w:rFonts w:ascii="Arial" w:cs="Arial" w:eastAsia="Arial" w:hAnsi="Arial"/>
          <w:sz w:val="19"/>
          <w:szCs w:val="19"/>
          <w:color w:val="auto"/>
        </w:rPr>
      </w:pPr>
    </w:p>
    <w:p>
      <w:pPr>
        <w:ind w:left="660" w:right="60" w:firstLine="645"/>
        <w:spacing w:after="0" w:line="248" w:lineRule="auto"/>
        <w:tabs>
          <w:tab w:leader="none" w:pos="17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84" w:lineRule="exact"/>
        <w:rPr>
          <w:rFonts w:ascii="Arial" w:cs="Arial" w:eastAsia="Arial" w:hAnsi="Arial"/>
          <w:sz w:val="22"/>
          <w:szCs w:val="22"/>
          <w:color w:val="auto"/>
        </w:rPr>
      </w:pPr>
    </w:p>
    <w:p>
      <w:pPr>
        <w:ind w:left="660" w:right="120" w:firstLine="645"/>
        <w:spacing w:after="0" w:line="253" w:lineRule="auto"/>
        <w:tabs>
          <w:tab w:leader="none" w:pos="17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principal component of all obligations of such Person to pay the deferred and unpaid purchase price of property (except trade payables), which purchase price is due more than one year after the date of placing such property in service or taking final delivery and title thereto;</w:t>
      </w:r>
    </w:p>
    <w:p>
      <w:pPr>
        <w:spacing w:after="0" w:line="77" w:lineRule="exact"/>
        <w:rPr>
          <w:rFonts w:ascii="Arial" w:cs="Arial" w:eastAsia="Arial" w:hAnsi="Arial"/>
          <w:sz w:val="22"/>
          <w:szCs w:val="22"/>
          <w:color w:val="auto"/>
        </w:rPr>
      </w:pPr>
    </w:p>
    <w:p>
      <w:pPr>
        <w:ind w:left="1780" w:hanging="475"/>
        <w:spacing w:after="0"/>
        <w:tabs>
          <w:tab w:leader="none" w:pos="17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Capitalized Lease Obligations of such Person;</w:t>
      </w:r>
    </w:p>
    <w:p>
      <w:pPr>
        <w:spacing w:after="0" w:line="111" w:lineRule="exact"/>
        <w:rPr>
          <w:rFonts w:ascii="Arial" w:cs="Arial" w:eastAsia="Arial" w:hAnsi="Arial"/>
          <w:sz w:val="22"/>
          <w:szCs w:val="22"/>
          <w:color w:val="auto"/>
        </w:rPr>
      </w:pPr>
    </w:p>
    <w:p>
      <w:pPr>
        <w:ind w:left="660" w:right="520" w:firstLine="645"/>
        <w:spacing w:after="0" w:line="253" w:lineRule="auto"/>
        <w:tabs>
          <w:tab w:leader="none" w:pos="17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77" w:lineRule="exact"/>
        <w:rPr>
          <w:rFonts w:ascii="Arial" w:cs="Arial" w:eastAsia="Arial" w:hAnsi="Arial"/>
          <w:sz w:val="22"/>
          <w:szCs w:val="22"/>
          <w:color w:val="auto"/>
        </w:rPr>
      </w:pPr>
    </w:p>
    <w:p>
      <w:pPr>
        <w:ind w:left="660" w:firstLine="645"/>
        <w:spacing w:after="0" w:line="253" w:lineRule="auto"/>
        <w:tabs>
          <w:tab w:leader="none" w:pos="17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principal component of all Indebtedness of other Persons secured by a Lien on any asset of such Person, 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such Indebtedness will be the lesser of (a)</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60"/>
          </w:cols>
          <w:pgMar w:left="240" w:top="847" w:right="299" w:bottom="1440" w:gutter="0" w:footer="0" w:header="0"/>
        </w:sectPr>
      </w:pPr>
    </w:p>
    <w:bookmarkStart w:id="85" w:name="page86"/>
    <w:bookmarkEnd w:id="85"/>
    <w:p>
      <w:pPr>
        <w:ind w:left="660" w:right="160"/>
        <w:spacing w:after="0" w:line="263" w:lineRule="auto"/>
        <w:rPr>
          <w:sz w:val="20"/>
          <w:szCs w:val="20"/>
          <w:color w:val="auto"/>
        </w:rPr>
      </w:pPr>
      <w:r>
        <w:rPr>
          <w:rFonts w:ascii="Arial" w:cs="Arial" w:eastAsia="Arial" w:hAnsi="Arial"/>
          <w:sz w:val="22"/>
          <w:szCs w:val="22"/>
          <w:color w:val="auto"/>
        </w:rPr>
        <w:t>the fair market value of such asset at such date of determination (as determined in good faith by the Company) and (b) the amount of such Indebtedness of such other Persons;</w:t>
      </w:r>
    </w:p>
    <w:p>
      <w:pPr>
        <w:spacing w:after="0" w:line="67" w:lineRule="exact"/>
        <w:rPr>
          <w:sz w:val="20"/>
          <w:szCs w:val="20"/>
          <w:color w:val="auto"/>
        </w:rPr>
      </w:pPr>
    </w:p>
    <w:p>
      <w:pPr>
        <w:ind w:left="660" w:right="860" w:firstLine="645"/>
        <w:spacing w:after="0" w:line="263" w:lineRule="auto"/>
        <w:tabs>
          <w:tab w:leader="none" w:pos="17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Guarantees by such Person of the principal component of Indebtedness of other Persons to the extent Guaranteed by such Person; and</w:t>
      </w:r>
    </w:p>
    <w:p>
      <w:pPr>
        <w:spacing w:after="0" w:line="66" w:lineRule="exact"/>
        <w:rPr>
          <w:rFonts w:ascii="Arial" w:cs="Arial" w:eastAsia="Arial" w:hAnsi="Arial"/>
          <w:sz w:val="22"/>
          <w:szCs w:val="22"/>
          <w:color w:val="auto"/>
        </w:rPr>
      </w:pPr>
    </w:p>
    <w:p>
      <w:pPr>
        <w:ind w:left="660" w:right="280" w:firstLine="645"/>
        <w:spacing w:after="0" w:line="250" w:lineRule="auto"/>
        <w:tabs>
          <w:tab w:leader="none" w:pos="17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80"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 xml:space="preserve">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Indebtedness of any Parent Entity appearing upon the balance sheet of the Company solely by reason of push-down accounting under GAAP shall be excluded.</w:t>
      </w:r>
    </w:p>
    <w:p>
      <w:pPr>
        <w:spacing w:after="0" w:line="68"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The term “Indebtedness” shall not include any lease, concession or license of property (or Guarantee thereof) which would be considered an operating lease under GAAP as in effect on the Issue Date,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spacing w:after="0" w:line="3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above provisions, in no event shall the following constitute Indebtedness:</w:t>
      </w:r>
    </w:p>
    <w:p>
      <w:pPr>
        <w:spacing w:after="0" w:line="112" w:lineRule="exact"/>
        <w:rPr>
          <w:sz w:val="20"/>
          <w:szCs w:val="20"/>
          <w:color w:val="auto"/>
        </w:rPr>
      </w:pPr>
    </w:p>
    <w:p>
      <w:pPr>
        <w:ind w:left="660" w:right="380" w:firstLine="1293"/>
        <w:spacing w:after="0" w:line="263" w:lineRule="auto"/>
        <w:tabs>
          <w:tab w:leader="none" w:pos="2425"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 or consistent with past practice, other than assumptions of Indebtedness;</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Cash Management Services;</w:t>
      </w:r>
    </w:p>
    <w:p>
      <w:pPr>
        <w:spacing w:after="0" w:line="111" w:lineRule="exact"/>
        <w:rPr>
          <w:rFonts w:ascii="Arial" w:cs="Arial" w:eastAsia="Arial" w:hAnsi="Arial"/>
          <w:sz w:val="22"/>
          <w:szCs w:val="22"/>
          <w:color w:val="auto"/>
        </w:rPr>
      </w:pPr>
    </w:p>
    <w:p>
      <w:pPr>
        <w:ind w:left="660" w:right="500" w:firstLine="1293"/>
        <w:spacing w:after="0" w:line="271" w:lineRule="auto"/>
        <w:tabs>
          <w:tab w:leader="none" w:pos="2425"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lease, concession or license of property (or Guarantee thereof) which would be considered an operating lease under GAAP as in effect on the Issue Date or any prepayments of deposits received from clients or customers in the ordinary course of business or consistent with past practice;</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60"/>
          </w:cols>
          <w:pgMar w:left="240" w:top="847" w:right="299" w:bottom="1440" w:gutter="0" w:footer="0" w:header="0"/>
        </w:sectPr>
      </w:pPr>
    </w:p>
    <w:bookmarkStart w:id="86" w:name="page87"/>
    <w:bookmarkEnd w:id="86"/>
    <w:p>
      <w:pPr>
        <w:ind w:left="660" w:right="820" w:firstLine="1293"/>
        <w:spacing w:after="0" w:line="341" w:lineRule="auto"/>
        <w:tabs>
          <w:tab w:leader="none" w:pos="2425" w:val="left"/>
        </w:tabs>
        <w:numPr>
          <w:ilvl w:val="0"/>
          <w:numId w:val="86"/>
        </w:numPr>
        <w:rPr>
          <w:rFonts w:ascii="Arial" w:cs="Arial" w:eastAsia="Arial" w:hAnsi="Arial"/>
          <w:sz w:val="19"/>
          <w:szCs w:val="19"/>
          <w:color w:val="auto"/>
        </w:rPr>
      </w:pPr>
      <w:r>
        <w:rPr>
          <w:rFonts w:ascii="Arial" w:cs="Arial" w:eastAsia="Arial" w:hAnsi="Arial"/>
          <w:sz w:val="19"/>
          <w:szCs w:val="19"/>
          <w:color w:val="auto"/>
        </w:rPr>
        <w:t>obligations under any license, permit or other approval (or Guarantees given in respect of such obligations) incurred prior to the Issue Date or in the ordinary course of business or consistent with past practice;</w:t>
      </w:r>
    </w:p>
    <w:p>
      <w:pPr>
        <w:ind w:left="660" w:right="240" w:firstLine="1293"/>
        <w:spacing w:after="0" w:line="297" w:lineRule="auto"/>
        <w:tabs>
          <w:tab w:leader="none" w:pos="2425"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in connection with the purchase by the Company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closing, the amount of any such payment is not determinable and, to the extent such payment thereafter becomes fixed and determined, the amount is paid in a timely manner; or</w:t>
      </w:r>
    </w:p>
    <w:p>
      <w:pPr>
        <w:spacing w:after="0" w:line="39" w:lineRule="exact"/>
        <w:rPr>
          <w:rFonts w:ascii="Arial" w:cs="Arial" w:eastAsia="Arial" w:hAnsi="Arial"/>
          <w:sz w:val="19"/>
          <w:szCs w:val="19"/>
          <w:color w:val="auto"/>
        </w:rPr>
      </w:pPr>
    </w:p>
    <w:p>
      <w:pPr>
        <w:ind w:left="660" w:right="920" w:firstLine="1293"/>
        <w:spacing w:after="0" w:line="253" w:lineRule="auto"/>
        <w:tabs>
          <w:tab w:leader="none" w:pos="2425" w:val="left"/>
        </w:tabs>
        <w:numPr>
          <w:ilvl w:val="0"/>
          <w:numId w:val="86"/>
        </w:numPr>
        <w:rPr>
          <w:rFonts w:ascii="Arial" w:cs="Arial" w:eastAsia="Arial" w:hAnsi="Arial"/>
          <w:sz w:val="22"/>
          <w:szCs w:val="22"/>
          <w:color w:val="auto"/>
        </w:rPr>
      </w:pPr>
      <w:r>
        <w:rPr>
          <w:rFonts w:ascii="Arial" w:cs="Arial" w:eastAsia="Arial" w:hAnsi="Arial"/>
          <w:sz w:val="22"/>
          <w:szCs w:val="22"/>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Indirect Parent</w:t>
      </w:r>
      <w:r>
        <w:rPr>
          <w:rFonts w:ascii="Arial" w:cs="Arial" w:eastAsia="Arial" w:hAnsi="Arial"/>
          <w:sz w:val="21"/>
          <w:szCs w:val="21"/>
          <w:color w:val="auto"/>
        </w:rPr>
        <w:t>” means Avis Budget Group, Inc., a corporation organized under the laws of the State of Delaware.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Notes</w:t>
      </w:r>
      <w:r>
        <w:rPr>
          <w:rFonts w:ascii="Arial" w:cs="Arial" w:eastAsia="Arial" w:hAnsi="Arial"/>
          <w:sz w:val="22"/>
          <w:szCs w:val="22"/>
          <w:color w:val="auto"/>
        </w:rPr>
        <w:t>” has the meaning ascribed to it in the second introductory paragraph of this Indenture.</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means BofA Securities, Inc., Citigroup Global Markets Inc., Morgan Stanley &amp; Co. LLC, Scotia Capital (USA) Inc., BMO Capital Markets Corp., HSBC Securities (USA) Inc., RBC Capital Markets, LLC and SunTrust Robinson Humphrey, Inc.</w:t>
      </w:r>
    </w:p>
    <w:p>
      <w:pPr>
        <w:spacing w:after="0" w:line="7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dealers, licensees, franchisees,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other Persons and all other items that are or would be classified as investments on a balance sheet prepared on the basis of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 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that the amount of Restricted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47" w:right="239" w:bottom="1440" w:gutter="0" w:footer="0" w:header="0"/>
        </w:sectPr>
      </w:pPr>
    </w:p>
    <w:bookmarkStart w:id="87" w:name="page88"/>
    <w:bookmarkEnd w:id="87"/>
    <w:p>
      <w:pPr>
        <w:ind w:right="20"/>
        <w:spacing w:after="0" w:line="312" w:lineRule="auto"/>
        <w:rPr>
          <w:sz w:val="20"/>
          <w:szCs w:val="20"/>
          <w:color w:val="auto"/>
        </w:rPr>
      </w:pPr>
      <w:r>
        <w:rPr>
          <w:rFonts w:ascii="Arial" w:cs="Arial" w:eastAsia="Arial" w:hAnsi="Arial"/>
          <w:sz w:val="19"/>
          <w:szCs w:val="19"/>
          <w:color w:val="auto"/>
        </w:rPr>
        <w:t xml:space="preserve">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hereof:</w:t>
      </w:r>
    </w:p>
    <w:p>
      <w:pPr>
        <w:spacing w:after="0" w:line="112" w:lineRule="exact"/>
        <w:rPr>
          <w:sz w:val="20"/>
          <w:szCs w:val="20"/>
          <w:color w:val="auto"/>
        </w:rPr>
      </w:pPr>
    </w:p>
    <w:p>
      <w:pPr>
        <w:ind w:left="660" w:firstLine="645"/>
        <w:spacing w:after="0" w:line="290" w:lineRule="auto"/>
        <w:tabs>
          <w:tab w:leader="none" w:pos="177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w:t>
      </w:r>
      <w:r>
        <w:rPr>
          <w:rFonts w:ascii="Arial" w:cs="Arial" w:eastAsia="Arial" w:hAnsi="Arial"/>
          <w:sz w:val="19"/>
          <w:szCs w:val="19"/>
          <w:color w:val="auto"/>
        </w:rPr>
        <w:t xml:space="preserve">” will include the portion (proportionate to the Company’s equity interest in a Restricted Subsidiary to be designated as an Unrestricted Subsidiary) of the fair market value of the net assets of such Restricted Subsidiary of the Company at the time that such Restricted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48" w:lineRule="exact"/>
        <w:rPr>
          <w:rFonts w:ascii="Arial" w:cs="Arial" w:eastAsia="Arial" w:hAnsi="Arial"/>
          <w:sz w:val="19"/>
          <w:szCs w:val="19"/>
          <w:color w:val="auto"/>
        </w:rPr>
      </w:pPr>
    </w:p>
    <w:p>
      <w:pPr>
        <w:ind w:left="660" w:right="20" w:firstLine="645"/>
        <w:spacing w:after="0" w:line="287" w:lineRule="auto"/>
        <w:tabs>
          <w:tab w:leader="none" w:pos="1776" w:val="left"/>
        </w:tabs>
        <w:numPr>
          <w:ilvl w:val="0"/>
          <w:numId w:val="87"/>
        </w:numPr>
        <w:rPr>
          <w:rFonts w:ascii="Arial" w:cs="Arial" w:eastAsia="Arial" w:hAnsi="Arial"/>
          <w:sz w:val="21"/>
          <w:szCs w:val="21"/>
          <w:color w:val="auto"/>
        </w:rPr>
      </w:pPr>
      <w:r>
        <w:rPr>
          <w:rFonts w:ascii="Arial" w:cs="Arial" w:eastAsia="Arial" w:hAnsi="Arial"/>
          <w:sz w:val="21"/>
          <w:szCs w:val="21"/>
          <w:color w:val="auto"/>
        </w:rPr>
        <w:t>any property transferred to or from an Unrestricted Subsidiary will be valued at its fair market value at the time of such transfer, in each case as determined in good faith by the Board of Directors of the Company.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Securities</w:t>
      </w:r>
      <w:r>
        <w:rPr>
          <w:rFonts w:ascii="Arial" w:cs="Arial" w:eastAsia="Arial" w:hAnsi="Arial"/>
          <w:sz w:val="22"/>
          <w:szCs w:val="22"/>
          <w:color w:val="auto"/>
        </w:rPr>
        <w:t>” means:</w:t>
      </w:r>
    </w:p>
    <w:p>
      <w:pPr>
        <w:spacing w:after="0" w:line="112" w:lineRule="exact"/>
        <w:rPr>
          <w:sz w:val="20"/>
          <w:szCs w:val="20"/>
          <w:color w:val="auto"/>
        </w:rPr>
      </w:pPr>
    </w:p>
    <w:p>
      <w:pPr>
        <w:ind w:left="660" w:right="300" w:firstLine="645"/>
        <w:spacing w:after="0" w:line="263" w:lineRule="auto"/>
        <w:tabs>
          <w:tab w:leader="none" w:pos="1776" w:val="left"/>
        </w:tabs>
        <w:numPr>
          <w:ilvl w:val="0"/>
          <w:numId w:val="88"/>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or Canadian government or any agency or instrumentality thereof (other than Cash Equivalents);</w:t>
      </w:r>
    </w:p>
    <w:p>
      <w:pPr>
        <w:spacing w:after="0" w:line="66" w:lineRule="exact"/>
        <w:rPr>
          <w:rFonts w:ascii="Arial" w:cs="Arial" w:eastAsia="Arial" w:hAnsi="Arial"/>
          <w:sz w:val="22"/>
          <w:szCs w:val="22"/>
          <w:color w:val="auto"/>
        </w:rPr>
      </w:pPr>
    </w:p>
    <w:p>
      <w:pPr>
        <w:ind w:left="660" w:firstLine="645"/>
        <w:spacing w:after="0" w:line="341" w:lineRule="auto"/>
        <w:tabs>
          <w:tab w:leader="none" w:pos="1776" w:val="left"/>
        </w:tabs>
        <w:numPr>
          <w:ilvl w:val="0"/>
          <w:numId w:val="88"/>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Kingdom or Japanese governments, a member of the European Union, or any agency or instrumentality thereof (other than Cash Equivalents);</w:t>
      </w:r>
    </w:p>
    <w:p>
      <w:pPr>
        <w:ind w:left="660" w:right="440" w:firstLine="645"/>
        <w:spacing w:after="0" w:line="302" w:lineRule="auto"/>
        <w:tabs>
          <w:tab w:leader="none" w:pos="1776" w:val="left"/>
        </w:tabs>
        <w:numPr>
          <w:ilvl w:val="0"/>
          <w:numId w:val="88"/>
        </w:numPr>
        <w:rPr>
          <w:rFonts w:ascii="Arial" w:cs="Arial" w:eastAsia="Arial" w:hAnsi="Arial"/>
          <w:sz w:val="19"/>
          <w:szCs w:val="19"/>
          <w:color w:val="auto"/>
        </w:rPr>
      </w:pPr>
      <w:r>
        <w:rPr>
          <w:rFonts w:ascii="Arial" w:cs="Arial" w:eastAsia="Arial" w:hAnsi="Arial"/>
          <w:sz w:val="19"/>
          <w:szCs w:val="19"/>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the Company and its Subsidiaries;</w:t>
      </w:r>
    </w:p>
    <w:p>
      <w:pPr>
        <w:spacing w:after="0" w:line="34" w:lineRule="exact"/>
        <w:rPr>
          <w:rFonts w:ascii="Arial" w:cs="Arial" w:eastAsia="Arial" w:hAnsi="Arial"/>
          <w:sz w:val="19"/>
          <w:szCs w:val="19"/>
          <w:color w:val="auto"/>
        </w:rPr>
      </w:pPr>
    </w:p>
    <w:p>
      <w:pPr>
        <w:ind w:left="660" w:right="100" w:firstLine="645"/>
        <w:spacing w:after="0" w:line="287" w:lineRule="auto"/>
        <w:tabs>
          <w:tab w:leader="none" w:pos="1776" w:val="left"/>
        </w:tabs>
        <w:numPr>
          <w:ilvl w:val="0"/>
          <w:numId w:val="88"/>
        </w:numPr>
        <w:rPr>
          <w:rFonts w:ascii="Arial" w:cs="Arial" w:eastAsia="Arial" w:hAnsi="Arial"/>
          <w:sz w:val="21"/>
          <w:szCs w:val="21"/>
          <w:color w:val="auto"/>
        </w:rPr>
      </w:pPr>
      <w:r>
        <w:rPr>
          <w:rFonts w:ascii="Arial" w:cs="Arial" w:eastAsia="Arial" w:hAnsi="Arial"/>
          <w:sz w:val="21"/>
          <w:szCs w:val="21"/>
          <w:color w:val="auto"/>
        </w:rPr>
        <w:t>investments in any fund that invests exclusively in investments of the type described in clauses (1), (2) and (3) above which fund may also hold cash and Cash Equivalents pending investment or distribution; and</w:t>
      </w:r>
    </w:p>
    <w:p>
      <w:pPr>
        <w:spacing w:after="0" w:line="43" w:lineRule="exact"/>
        <w:rPr>
          <w:rFonts w:ascii="Arial" w:cs="Arial" w:eastAsia="Arial" w:hAnsi="Arial"/>
          <w:sz w:val="21"/>
          <w:szCs w:val="21"/>
          <w:color w:val="auto"/>
        </w:rPr>
      </w:pPr>
    </w:p>
    <w:p>
      <w:pPr>
        <w:ind w:left="1780" w:hanging="475"/>
        <w:spacing w:after="0"/>
        <w:tabs>
          <w:tab w:leader="none" w:pos="17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corresponding instruments in countries other than the United States customarily utilized for high quality</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investments.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Status</w:t>
      </w:r>
      <w:r>
        <w:rPr>
          <w:rFonts w:ascii="Arial" w:cs="Arial" w:eastAsia="Arial" w:hAnsi="Arial"/>
          <w:sz w:val="22"/>
          <w:szCs w:val="22"/>
          <w:color w:val="auto"/>
        </w:rPr>
        <w:t>” shall occur when the Notes receive the following:</w:t>
      </w:r>
    </w:p>
    <w:p>
      <w:pPr>
        <w:spacing w:after="0" w:line="112" w:lineRule="exact"/>
        <w:rPr>
          <w:sz w:val="20"/>
          <w:szCs w:val="20"/>
          <w:color w:val="auto"/>
        </w:rPr>
      </w:pPr>
    </w:p>
    <w:p>
      <w:pPr>
        <w:ind w:left="5600" w:right="5600" w:hanging="4295"/>
        <w:spacing w:after="0" w:line="491" w:lineRule="auto"/>
        <w:tabs>
          <w:tab w:leader="none" w:pos="1767" w:val="left"/>
        </w:tabs>
        <w:numPr>
          <w:ilvl w:val="0"/>
          <w:numId w:val="89"/>
        </w:numPr>
        <w:rPr>
          <w:rFonts w:ascii="Arial" w:cs="Arial" w:eastAsia="Arial" w:hAnsi="Arial"/>
          <w:sz w:val="19"/>
          <w:szCs w:val="19"/>
          <w:color w:val="auto"/>
        </w:rPr>
      </w:pPr>
      <w:r>
        <w:rPr>
          <w:rFonts w:ascii="Arial" w:cs="Arial" w:eastAsia="Arial" w:hAnsi="Arial"/>
          <w:sz w:val="19"/>
          <w:szCs w:val="19"/>
          <w:color w:val="auto"/>
        </w:rPr>
        <w:t>a rating of “BBB-” or higher from S&amp;P; and 28</w:t>
      </w:r>
    </w:p>
    <w:p>
      <w:pPr>
        <w:sectPr>
          <w:pgSz w:w="11900" w:h="16838" w:orient="portrait"/>
          <w:cols w:equalWidth="0" w:num="1">
            <w:col w:w="11420"/>
          </w:cols>
          <w:pgMar w:left="240" w:top="847" w:right="239" w:bottom="1440" w:gutter="0" w:footer="0" w:header="0"/>
        </w:sectPr>
      </w:pPr>
    </w:p>
    <w:bookmarkStart w:id="88" w:name="page89"/>
    <w:bookmarkEnd w:id="88"/>
    <w:p>
      <w:pPr>
        <w:ind w:left="1780" w:hanging="475"/>
        <w:spacing w:after="0"/>
        <w:tabs>
          <w:tab w:leader="none" w:pos="17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rating of “Baa3” or higher from Moody’s,</w:t>
      </w:r>
    </w:p>
    <w:p>
      <w:pPr>
        <w:spacing w:after="0" w:line="112"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or the equivalent of such rating by either such rating organization or, if no rating of Moody’s or S&amp;P then exists, the equivalent of such rating by any other Nationally Recognized Statistical Rating Organization.</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means July 3, 2019.</w:t>
      </w:r>
    </w:p>
    <w:p>
      <w:pPr>
        <w:spacing w:after="0" w:line="112"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lien, hypothecation or charge of any kind (including any conditional sale or other title retention agreement or lease in the nature thereof).</w:t>
      </w:r>
    </w:p>
    <w:p>
      <w:pPr>
        <w:spacing w:after="0" w:line="6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xml:space="preserve">” means any acquisition, including by means of a merger or consolidation, by the Company or one or more of its Restricted Subsidiaries, the consummation of which is not conditioned upon the availability of, or on obtaining, third party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determining compliance with </w:t>
      </w:r>
      <w:r>
        <w:rPr>
          <w:rFonts w:ascii="Arial" w:cs="Arial" w:eastAsia="Arial" w:hAnsi="Arial"/>
          <w:sz w:val="22"/>
          <w:szCs w:val="22"/>
          <w:u w:val="single" w:color="auto"/>
          <w:color w:val="auto"/>
        </w:rPr>
        <w:t>Section 3.3</w:t>
      </w:r>
      <w:r>
        <w:rPr>
          <w:rFonts w:ascii="Arial" w:cs="Arial" w:eastAsia="Arial" w:hAnsi="Arial"/>
          <w:sz w:val="22"/>
          <w:szCs w:val="22"/>
          <w:color w:val="auto"/>
        </w:rPr>
        <w:t>, the Consolidated Net Income (and any other financial defined term derived therefrom) shall not include any Consolidated Net Income of or attributable to the target company or assets associated with any such Limited Condition Acquisition unless and until the closing of such Limited Condition Acquisition shall have actually occurred.</w:t>
      </w:r>
    </w:p>
    <w:p>
      <w:pPr>
        <w:spacing w:after="0" w:line="86"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Derivative Instrument</w:t>
      </w:r>
      <w:r>
        <w:rPr>
          <w:rFonts w:ascii="Arial" w:cs="Arial" w:eastAsia="Arial" w:hAnsi="Arial"/>
          <w:sz w:val="22"/>
          <w:szCs w:val="2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80" w:lineRule="exact"/>
        <w:rPr>
          <w:sz w:val="20"/>
          <w:szCs w:val="20"/>
          <w:color w:val="auto"/>
        </w:rPr>
      </w:pPr>
    </w:p>
    <w:p>
      <w:pPr>
        <w:ind w:right="5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Advances</w:t>
      </w:r>
      <w:r>
        <w:rPr>
          <w:rFonts w:ascii="Arial" w:cs="Arial" w:eastAsia="Arial" w:hAnsi="Arial"/>
          <w:sz w:val="19"/>
          <w:szCs w:val="19"/>
          <w:color w:val="auto"/>
        </w:rPr>
        <w:t>” means loans or advances made to, or Guarantees with respect to loans or advances made to, directors, officers, employees or consultants of any Parent Entity, the Company or any Restricted Subsidiary:</w:t>
      </w:r>
    </w:p>
    <w:p>
      <w:pPr>
        <w:ind w:left="660" w:right="40" w:firstLine="645"/>
        <w:spacing w:after="0" w:line="250" w:lineRule="auto"/>
        <w:tabs>
          <w:tab w:leader="none" w:pos="1776"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in respect of travel, entertainment or moving related expenses Incurred in the ordinary course of business or consistent with past practice or (b) for purposes of funding any such person’s purchase of Capital Stock (or similar obligations) of the Company, its Subsidiaries or any Parent Entity with (in the case of this sub-clause (b)) the approval of the Board of Directors;</w:t>
      </w:r>
    </w:p>
    <w:p>
      <w:pPr>
        <w:spacing w:after="0" w:line="80" w:lineRule="exact"/>
        <w:rPr>
          <w:rFonts w:ascii="Arial" w:cs="Arial" w:eastAsia="Arial" w:hAnsi="Arial"/>
          <w:sz w:val="22"/>
          <w:szCs w:val="22"/>
          <w:color w:val="auto"/>
        </w:rPr>
      </w:pPr>
    </w:p>
    <w:p>
      <w:pPr>
        <w:ind w:left="1780" w:hanging="475"/>
        <w:spacing w:after="0"/>
        <w:tabs>
          <w:tab w:leader="none" w:pos="17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 respect of moving related expenses Incurred in connection with any closing or consolidation of any facility</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office; or</w:t>
      </w:r>
    </w:p>
    <w:p>
      <w:pPr>
        <w:spacing w:after="0" w:line="93" w:lineRule="exact"/>
        <w:rPr>
          <w:rFonts w:ascii="Arial" w:cs="Arial" w:eastAsia="Arial" w:hAnsi="Arial"/>
          <w:sz w:val="19"/>
          <w:szCs w:val="19"/>
          <w:color w:val="auto"/>
        </w:rPr>
      </w:pPr>
    </w:p>
    <w:p>
      <w:pPr>
        <w:ind w:left="1780" w:hanging="475"/>
        <w:spacing w:after="0"/>
        <w:tabs>
          <w:tab w:leader="none" w:pos="17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not exceeding $25.0 million in the aggregate outstanding at any time.</w:t>
      </w:r>
    </w:p>
    <w:p>
      <w:pPr>
        <w:spacing w:after="0" w:line="112"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of its successors or assigns that is a Nationally Recognized Statistical Rating Organization.</w:t>
      </w:r>
    </w:p>
    <w:p>
      <w:pPr>
        <w:spacing w:after="0" w:line="67"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Nationally Recognized Statistical Rating Organization</w:t>
      </w:r>
      <w:r>
        <w:rPr>
          <w:rFonts w:ascii="Arial" w:cs="Arial" w:eastAsia="Arial" w:hAnsi="Arial"/>
          <w:sz w:val="22"/>
          <w:szCs w:val="22"/>
          <w:color w:val="auto"/>
        </w:rPr>
        <w:t>” means a nationally recognized statistical rating organization within the meaning of Rule 436 under the Securities Act.</w:t>
      </w:r>
    </w:p>
    <w:p>
      <w:pPr>
        <w:spacing w:after="0" w:line="6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Available Cash</w:t>
      </w:r>
      <w:r>
        <w:rPr>
          <w:rFonts w:ascii="Arial" w:cs="Arial" w:eastAsia="Arial" w:hAnsi="Arial"/>
          <w:sz w:val="19"/>
          <w:szCs w:val="19"/>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47" w:right="239" w:bottom="1440" w:gutter="0" w:footer="0" w:header="0"/>
        </w:sectPr>
      </w:pPr>
    </w:p>
    <w:bookmarkStart w:id="89" w:name="page90"/>
    <w:bookmarkEnd w:id="89"/>
    <w:p>
      <w:pPr>
        <w:ind w:right="240"/>
        <w:spacing w:after="0" w:line="253" w:lineRule="auto"/>
        <w:rPr>
          <w:sz w:val="20"/>
          <w:szCs w:val="20"/>
          <w:color w:val="auto"/>
        </w:rPr>
      </w:pPr>
      <w:r>
        <w:rPr>
          <w:rFonts w:ascii="Arial" w:cs="Arial" w:eastAsia="Arial" w:hAnsi="Arial"/>
          <w:sz w:val="22"/>
          <w:szCs w:val="22"/>
          <w:color w:val="auto"/>
        </w:rPr>
        <w:t>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78" w:lineRule="exact"/>
        <w:rPr>
          <w:sz w:val="20"/>
          <w:szCs w:val="20"/>
          <w:color w:val="auto"/>
        </w:rPr>
      </w:pPr>
    </w:p>
    <w:p>
      <w:pPr>
        <w:ind w:left="660" w:right="300" w:firstLine="645"/>
        <w:spacing w:after="0" w:line="297" w:lineRule="auto"/>
        <w:tabs>
          <w:tab w:leader="none" w:pos="17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 expenses Incurred, and all Taxes paid, reasonably estimated to be actually payable or accrued as a liability under GAAP (including, for the avoidance of doubt, any income, withholding and other Taxes payable as a result of the distribution of such proceeds to the Company and after taking into account any available tax credits or deductions and any tax sharing agreements), as a consequence of such Asset Disposition, including distributions for Related Taxes;</w:t>
      </w:r>
    </w:p>
    <w:p>
      <w:pPr>
        <w:spacing w:after="0" w:line="39" w:lineRule="exact"/>
        <w:rPr>
          <w:rFonts w:ascii="Arial" w:cs="Arial" w:eastAsia="Arial" w:hAnsi="Arial"/>
          <w:sz w:val="19"/>
          <w:szCs w:val="19"/>
          <w:color w:val="auto"/>
        </w:rPr>
      </w:pPr>
    </w:p>
    <w:p>
      <w:pPr>
        <w:ind w:left="660" w:firstLine="645"/>
        <w:spacing w:after="0" w:line="253" w:lineRule="auto"/>
        <w:tabs>
          <w:tab w:leader="none" w:pos="17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payments made on any Indebtedness which is secured by any assets subject to such Asset Disposition, in accordance with the terms of any Lien upon such assets, or which by applicable law be repaid out of the proceeds from such Asset Disposition;</w:t>
      </w:r>
    </w:p>
    <w:p>
      <w:pPr>
        <w:spacing w:after="0" w:line="77" w:lineRule="exact"/>
        <w:rPr>
          <w:rFonts w:ascii="Arial" w:cs="Arial" w:eastAsia="Arial" w:hAnsi="Arial"/>
          <w:sz w:val="22"/>
          <w:szCs w:val="22"/>
          <w:color w:val="auto"/>
        </w:rPr>
      </w:pPr>
    </w:p>
    <w:p>
      <w:pPr>
        <w:ind w:left="660" w:right="380" w:firstLine="645"/>
        <w:spacing w:after="0" w:line="253" w:lineRule="auto"/>
        <w:tabs>
          <w:tab w:leader="none" w:pos="17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distributions and other payments required to be made to minority interest holders (other than any Parent Entity, the Company or any of its respective Subsidiaries) in Subsidiaries or joint ventures as a result of such Asset Disposition;</w:t>
      </w:r>
    </w:p>
    <w:p>
      <w:pPr>
        <w:spacing w:after="0" w:line="77" w:lineRule="exact"/>
        <w:rPr>
          <w:rFonts w:ascii="Arial" w:cs="Arial" w:eastAsia="Arial" w:hAnsi="Arial"/>
          <w:sz w:val="22"/>
          <w:szCs w:val="22"/>
          <w:color w:val="auto"/>
        </w:rPr>
      </w:pPr>
    </w:p>
    <w:p>
      <w:pPr>
        <w:jc w:val="both"/>
        <w:ind w:left="660" w:right="120" w:firstLine="645"/>
        <w:spacing w:after="0" w:line="253" w:lineRule="auto"/>
        <w:tabs>
          <w:tab w:leader="none" w:pos="177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 and</w:t>
      </w:r>
    </w:p>
    <w:p>
      <w:pPr>
        <w:spacing w:after="0" w:line="77" w:lineRule="exact"/>
        <w:rPr>
          <w:rFonts w:ascii="Arial" w:cs="Arial" w:eastAsia="Arial" w:hAnsi="Arial"/>
          <w:sz w:val="22"/>
          <w:szCs w:val="22"/>
          <w:color w:val="auto"/>
        </w:rPr>
      </w:pPr>
    </w:p>
    <w:p>
      <w:pPr>
        <w:ind w:left="660" w:right="20" w:firstLine="645"/>
        <w:spacing w:after="0" w:line="302" w:lineRule="auto"/>
        <w:tabs>
          <w:tab w:leader="none" w:pos="17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any funded escrow established pursuant to the documents evidencing any such sale or disposition to secure any indemnification obligations or adjustments to the purchase price associated with any such Asset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termination of such escrow, Net Available Cash will be increased by any portion of funds therein that are released or otherwise transferred or distributed to the Company or any Restricted Subsidiary.</w:t>
      </w:r>
    </w:p>
    <w:p>
      <w:pPr>
        <w:spacing w:after="0" w:line="3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distributions for Related Taxes).</w:t>
      </w:r>
    </w:p>
    <w:p>
      <w:pPr>
        <w:spacing w:after="0" w:line="42"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Short</w:t>
      </w:r>
      <w:r>
        <w:rPr>
          <w:rFonts w:ascii="Arial" w:cs="Arial" w:eastAsia="Arial" w:hAnsi="Arial"/>
          <w:sz w:val="22"/>
          <w:szCs w:val="22"/>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847" w:right="2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Definitions) to have occurred with respect to the Company or any Guarantor immediately prior to such date of determination.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w:t>
      </w:r>
      <w:r>
        <w:rPr>
          <w:rFonts w:ascii="Arial" w:cs="Arial" w:eastAsia="Arial" w:hAnsi="Arial"/>
          <w:sz w:val="22"/>
          <w:szCs w:val="22"/>
          <w:color w:val="auto"/>
        </w:rPr>
        <w:t>” means any Restricted Subsidiary that is not a Guarantor, excluding the Issuers.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 (as defined in Regulation 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Documents</w:t>
      </w:r>
      <w:r>
        <w:rPr>
          <w:rFonts w:ascii="Arial" w:cs="Arial" w:eastAsia="Arial" w:hAnsi="Arial"/>
          <w:sz w:val="22"/>
          <w:szCs w:val="22"/>
          <w:color w:val="auto"/>
        </w:rPr>
        <w:t>” means the Notes (including Additional Notes), the Guarantees and this Indenture.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ascribed to it in the second introductory paragraph of this Indenture.</w:t>
      </w:r>
    </w:p>
    <w:p>
      <w:pPr>
        <w:spacing w:after="0" w:line="112"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 Custodian</w:t>
      </w:r>
      <w:r>
        <w:rPr>
          <w:rFonts w:ascii="Arial" w:cs="Arial" w:eastAsia="Arial" w:hAnsi="Arial"/>
          <w:sz w:val="22"/>
          <w:szCs w:val="22"/>
          <w:color w:val="auto"/>
        </w:rPr>
        <w:t>” means the custodian with respect to the Global Notes (as appointed by DTC), or any successor Person thereto and shall initially be the Registrar.</w:t>
      </w:r>
    </w:p>
    <w:p>
      <w:pPr>
        <w:spacing w:after="0" w:line="6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any principal, interest (including interest accruing on or after the filing of any petition in bankruptcy or for reorganization relating to the Issuer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w:t>
      </w:r>
      <w:r>
        <w:rPr>
          <w:rFonts w:ascii="Arial" w:cs="Arial" w:eastAsia="Arial" w:hAnsi="Arial"/>
          <w:sz w:val="22"/>
          <w:szCs w:val="22"/>
          <w:color w:val="auto"/>
        </w:rPr>
        <w:t>” means the offering of the Notes and the application of the proceeds thereof.</w:t>
      </w:r>
    </w:p>
    <w:p>
      <w:pPr>
        <w:spacing w:after="0" w:line="112"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final offering memorandum, dated June 19, 2019, relating to the Offering by the Issuers of $400,000,000 aggregate principal amount of 5.75% Senior Notes due 2027 and any future offering memorandum relating to Additional Notes.</w:t>
      </w:r>
    </w:p>
    <w:p>
      <w:pPr>
        <w:spacing w:after="0" w:line="7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w:t>
      </w:r>
      <w:r>
        <w:rPr>
          <w:rFonts w:ascii="Arial" w:cs="Arial" w:eastAsia="Arial" w:hAnsi="Arial"/>
          <w:sz w:val="19"/>
          <w:szCs w:val="19"/>
          <w:color w:val="auto"/>
        </w:rPr>
        <w:t>” means, with respect to any Person, (1) the Chairman of the Board of Directors, any Director, the Chief Executive Officer, the President, the Chief Financial Officer, any Vice President, the Treasurer, any Assistant Treasurer, any Managing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with respect to any Person, a certificate signed by one Officer of such Person.</w:t>
      </w:r>
    </w:p>
    <w:p>
      <w:pPr>
        <w:spacing w:after="0" w:line="1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from legal counsel reasonably satisfactory to the Trustee. The counsel may be an employee of or counsel to the Company or its Subsidiaries.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w:t>
      </w:r>
      <w:r>
        <w:rPr>
          <w:rFonts w:ascii="Arial" w:cs="Arial" w:eastAsia="Arial" w:hAnsi="Arial"/>
          <w:sz w:val="22"/>
          <w:szCs w:val="22"/>
          <w:color w:val="auto"/>
        </w:rPr>
        <w:t>” means any direct or indirect parent of the Company.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 Expenses</w:t>
      </w:r>
      <w:r>
        <w:rPr>
          <w:rFonts w:ascii="Arial" w:cs="Arial" w:eastAsia="Arial" w:hAnsi="Arial"/>
          <w:sz w:val="22"/>
          <w:szCs w:val="22"/>
          <w:color w:val="auto"/>
        </w:rPr>
        <w:t>” means:</w:t>
      </w:r>
    </w:p>
    <w:p>
      <w:pPr>
        <w:spacing w:after="0" w:line="112" w:lineRule="exact"/>
        <w:rPr>
          <w:sz w:val="20"/>
          <w:szCs w:val="20"/>
          <w:color w:val="auto"/>
        </w:rPr>
      </w:pPr>
    </w:p>
    <w:p>
      <w:pPr>
        <w:ind w:left="660" w:right="100" w:firstLine="645"/>
        <w:spacing w:after="0" w:line="250" w:lineRule="auto"/>
        <w:tabs>
          <w:tab w:leader="none" w:pos="1776"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costs (including all professional fees and expenses) Incurred by any Parent Entity in connection with reporting obligations under or otherwise Incurred in connection with compliance with applicable laws, rules or regulations of any governmental, regulatory or self-regulatory body or stock exchange, this Indenture or any other agreement or instrument relating to the Notes, the Guarantees or any other Indebtedness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847" w:right="239" w:bottom="1440" w:gutter="0" w:footer="0" w:header="0"/>
        </w:sectPr>
      </w:pPr>
    </w:p>
    <w:bookmarkStart w:id="91" w:name="page92"/>
    <w:bookmarkEnd w:id="91"/>
    <w:p>
      <w:pPr>
        <w:ind w:left="660" w:right="480"/>
        <w:spacing w:after="0" w:line="341" w:lineRule="auto"/>
        <w:rPr>
          <w:sz w:val="20"/>
          <w:szCs w:val="20"/>
          <w:color w:val="auto"/>
        </w:rPr>
      </w:pPr>
      <w:r>
        <w:rPr>
          <w:rFonts w:ascii="Arial" w:cs="Arial" w:eastAsia="Arial" w:hAnsi="Arial"/>
          <w:sz w:val="19"/>
          <w:szCs w:val="19"/>
          <w:color w:val="auto"/>
        </w:rPr>
        <w:t>of the Company or any Restricted Subsidiary, including in respect of any reports filed or delivered with respect to the Securities Act or Exchange Act or the respective rules and regulations promulgated thereunder;</w:t>
      </w:r>
    </w:p>
    <w:p>
      <w:pPr>
        <w:ind w:left="660" w:right="220" w:firstLine="645"/>
        <w:spacing w:after="0" w:line="253" w:lineRule="auto"/>
        <w:tabs>
          <w:tab w:leader="none" w:pos="17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customary indemnification obligations of any Parent Entity owing to directors, officers, employees or other Persons under its articles, charter, by-laws, partnership agreement or other constating documents or pursuant to written agreements with any such Person;</w:t>
      </w:r>
    </w:p>
    <w:p>
      <w:pPr>
        <w:spacing w:after="0" w:line="77" w:lineRule="exact"/>
        <w:rPr>
          <w:rFonts w:ascii="Arial" w:cs="Arial" w:eastAsia="Arial" w:hAnsi="Arial"/>
          <w:sz w:val="22"/>
          <w:szCs w:val="22"/>
          <w:color w:val="auto"/>
        </w:rPr>
      </w:pPr>
    </w:p>
    <w:p>
      <w:pPr>
        <w:ind w:left="660" w:right="140" w:firstLine="645"/>
        <w:spacing w:after="0" w:line="263" w:lineRule="auto"/>
        <w:tabs>
          <w:tab w:leader="none" w:pos="17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obligations of any Parent Entity in respect of director and officer insurance (including premiums therefor) to the extent relating to the Company and its Subsidiaries;</w:t>
      </w:r>
    </w:p>
    <w:p>
      <w:pPr>
        <w:spacing w:after="0" w:line="66" w:lineRule="exact"/>
        <w:rPr>
          <w:rFonts w:ascii="Arial" w:cs="Arial" w:eastAsia="Arial" w:hAnsi="Arial"/>
          <w:sz w:val="22"/>
          <w:szCs w:val="22"/>
          <w:color w:val="auto"/>
        </w:rPr>
      </w:pPr>
    </w:p>
    <w:p>
      <w:pPr>
        <w:ind w:left="660" w:firstLine="645"/>
        <w:spacing w:after="0" w:line="253" w:lineRule="auto"/>
        <w:tabs>
          <w:tab w:leader="none" w:pos="1776" w:val="left"/>
        </w:tabs>
        <w:numPr>
          <w:ilvl w:val="0"/>
          <w:numId w:val="94"/>
        </w:numPr>
        <w:rPr>
          <w:rFonts w:ascii="Arial" w:cs="Arial" w:eastAsia="Arial" w:hAnsi="Arial"/>
          <w:sz w:val="22"/>
          <w:szCs w:val="22"/>
          <w:color w:val="auto"/>
        </w:rPr>
      </w:pPr>
      <w:r>
        <w:rPr>
          <w:rFonts w:ascii="Arial" w:cs="Arial" w:eastAsia="Arial" w:hAnsi="Arial"/>
          <w:sz w:val="22"/>
          <w:szCs w:val="22"/>
          <w:color w:val="auto"/>
        </w:rPr>
        <w:t>(x) general corporate overhead expenses, including professional fees and expenses and (y) other operational expenses of any Parent Entity related to the ownership or operation of the business of the Company or any of its Restricted Subsidiaries; and</w:t>
      </w:r>
    </w:p>
    <w:p>
      <w:pPr>
        <w:spacing w:after="0" w:line="77" w:lineRule="exact"/>
        <w:rPr>
          <w:rFonts w:ascii="Arial" w:cs="Arial" w:eastAsia="Arial" w:hAnsi="Arial"/>
          <w:sz w:val="22"/>
          <w:szCs w:val="22"/>
          <w:color w:val="auto"/>
        </w:rPr>
      </w:pPr>
    </w:p>
    <w:p>
      <w:pPr>
        <w:ind w:left="660" w:firstLine="645"/>
        <w:spacing w:after="0" w:line="286" w:lineRule="auto"/>
        <w:tabs>
          <w:tab w:leader="none" w:pos="177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expenses Incurred by any Parent Entity in connection with any offering, sale, conversion or exchange of Capital Stock or Indebtedness; and amounts to finance Investments that would otherwise be permitted to be made pursuant to the covenant described above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if made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Restricted Payment shall be made substantially concurrently with the closing of such Investment, (B) such direct or indirect parent company shall, immediately following the closing thereof, cause (1) all property acquired (whether assets or equity interests) to be contributed to the capital of the Company or one of its Restricted Subsidiaries or (2) the merger, consolidation or amalgamation of the Person formed or acquired into the Company or one of its Restricted Subsidiaries (to the extent not prohibited by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order to consummate such Investment, (C) such direct or indirect parent company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clause (3)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(E) such Investment shall be deemed to be made by the Company or such Restricted Subsidiary pursuant to another provision of this covenant or pursuant to the definition of “Permitted Investments.”</w:t>
      </w:r>
    </w:p>
    <w:p>
      <w:pPr>
        <w:spacing w:after="0" w:line="312" w:lineRule="exact"/>
        <w:rPr>
          <w:sz w:val="20"/>
          <w:szCs w:val="20"/>
          <w:color w:val="auto"/>
        </w:rPr>
      </w:pPr>
    </w:p>
    <w:p>
      <w:pPr>
        <w:ind w:right="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Pari Passu Indebtedness</w:t>
      </w:r>
      <w:r>
        <w:rPr>
          <w:rFonts w:ascii="Arial" w:cs="Arial" w:eastAsia="Arial" w:hAnsi="Arial"/>
          <w:sz w:val="19"/>
          <w:szCs w:val="19"/>
          <w:color w:val="auto"/>
        </w:rPr>
        <w:t>” means Indebtedness of the Company which ranks equally in right of payment to the Notes or of any Subsidiary Guarantor if such Indebtedness ranks equally in right of payment to the Subsidiary Guarantees of the Notes.</w:t>
      </w:r>
    </w:p>
    <w:p>
      <w:pPr>
        <w:ind w:right="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Company to pay the principal of (and premium, if any) or interest on any Note on behalf of the Company.</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References</w:t>
      </w:r>
      <w:r>
        <w:rPr>
          <w:rFonts w:ascii="Arial" w:cs="Arial" w:eastAsia="Arial" w:hAnsi="Arial"/>
          <w:sz w:val="22"/>
          <w:szCs w:val="22"/>
          <w:color w:val="auto"/>
        </w:rPr>
        <w:t>” has the meaning ascribed to it in the definition of Derivative Instrument.</w:t>
      </w:r>
    </w:p>
    <w:p>
      <w:pPr>
        <w:spacing w:after="0" w:line="1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means the concurrent purchase and sale or exchange of assets used or useful in a Similar Business or a combination of such assets and cash, Cash Equivalents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80"/>
          </w:cols>
          <w:pgMar w:left="240" w:top="847" w:right="379" w:bottom="1440" w:gutter="0" w:footer="0" w:header="0"/>
        </w:sectPr>
      </w:pPr>
    </w:p>
    <w:bookmarkStart w:id="92" w:name="page93"/>
    <w:bookmarkEnd w:id="92"/>
    <w:p>
      <w:pPr>
        <w:ind w:right="160"/>
        <w:spacing w:after="0" w:line="253" w:lineRule="auto"/>
        <w:rPr>
          <w:sz w:val="20"/>
          <w:szCs w:val="20"/>
          <w:color w:val="auto"/>
        </w:rPr>
      </w:pPr>
      <w:r>
        <w:rPr>
          <w:rFonts w:ascii="Arial" w:cs="Arial" w:eastAsia="Arial" w:hAnsi="Arial"/>
          <w:sz w:val="22"/>
          <w:szCs w:val="22"/>
          <w:color w:val="auto"/>
        </w:rPr>
        <w:t xml:space="preserve">between the Company or any of its Restricted Subsidiaries and another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cash or Cash Equivalents received in excess of the value of any cash or Cash Equivalents sold or exchanged must be applied in accordance with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hereof.</w:t>
      </w:r>
    </w:p>
    <w:p>
      <w:pPr>
        <w:spacing w:after="0" w:line="7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xml:space="preserve">” means, collectively, (1) the Indirect Parent, (2) the Direct Parent, (3) the Company, (4) any one or more Persons, together with such Persons’ Affiliates, whose beneficial ownership constitutes or results in a Change of Control in respect of which a Change of Control Offer is made in accordance with the requirements of this Indenture, (5) members of management of the Company (or any Parent Entity), (6) any Person who is acting solely as an underwriter in connection with a public or private offering of Capital Stock of any Parent Entity or the Company, acting in such capacity, and (7) any group (within the meaning of Section 13(d)(3) or Section 14(d)(2) of the Exchange Act or any successor provision) of which any of the foregoing are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such group and without giving effect to the existence of such group or any other group, the Indirect Parent, Direct Parent and members of management, collectively, have beneficial ownership of more than 50% of the total voting power of the Voting Stock of the Company or any of its direct or indirect Parent Entities held by such group.</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(in each case, by the Company or any of its Restricted Subsidiaries):</w:t>
      </w:r>
    </w:p>
    <w:p>
      <w:pPr>
        <w:spacing w:after="0" w:line="112" w:lineRule="exact"/>
        <w:rPr>
          <w:sz w:val="20"/>
          <w:szCs w:val="20"/>
          <w:color w:val="auto"/>
        </w:rPr>
      </w:pPr>
    </w:p>
    <w:p>
      <w:pPr>
        <w:ind w:left="660" w:right="440" w:firstLine="645"/>
        <w:spacing w:after="0" w:line="253" w:lineRule="auto"/>
        <w:tabs>
          <w:tab w:leader="none" w:pos="177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in (a) a Restricted Subsidiary (including the Capital Stock of a Restricted Subsidiary) or the Company, (b) a Person (including the Capital Stock of any such Person) that will, upon the making of such Investment, become a Restricted Subsidiary, or (c) a Special Purpose Entity;</w:t>
      </w:r>
    </w:p>
    <w:p>
      <w:pPr>
        <w:spacing w:after="0" w:line="77" w:lineRule="exact"/>
        <w:rPr>
          <w:rFonts w:ascii="Arial" w:cs="Arial" w:eastAsia="Arial" w:hAnsi="Arial"/>
          <w:sz w:val="22"/>
          <w:szCs w:val="22"/>
          <w:color w:val="auto"/>
        </w:rPr>
      </w:pPr>
    </w:p>
    <w:p>
      <w:pPr>
        <w:ind w:left="660" w:right="140" w:firstLine="645"/>
        <w:spacing w:after="0" w:line="294" w:lineRule="auto"/>
        <w:tabs>
          <w:tab w:leader="none" w:pos="1776"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Investments in another Person (including, to the extent constituting an Investment, in assets of a Person that represent all or substantially all of its assets or a division, business unit, product line or line of business, including research and development and related assets in respect of any product) if such Person is engaged,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w:t>
      </w:r>
    </w:p>
    <w:p>
      <w:pPr>
        <w:spacing w:after="0" w:line="41" w:lineRule="exact"/>
        <w:rPr>
          <w:rFonts w:ascii="Arial" w:cs="Arial" w:eastAsia="Arial" w:hAnsi="Arial"/>
          <w:sz w:val="19"/>
          <w:szCs w:val="19"/>
          <w:color w:val="auto"/>
        </w:rPr>
      </w:pPr>
    </w:p>
    <w:p>
      <w:pPr>
        <w:ind w:left="1780" w:hanging="475"/>
        <w:spacing w:after="0"/>
        <w:tabs>
          <w:tab w:leader="none" w:pos="17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in cash, Cash Equivalents or Investment Grade Securities;</w:t>
      </w:r>
    </w:p>
    <w:p>
      <w:pPr>
        <w:spacing w:after="0" w:line="111" w:lineRule="exact"/>
        <w:rPr>
          <w:rFonts w:ascii="Arial" w:cs="Arial" w:eastAsia="Arial" w:hAnsi="Arial"/>
          <w:sz w:val="22"/>
          <w:szCs w:val="22"/>
          <w:color w:val="auto"/>
        </w:rPr>
      </w:pPr>
    </w:p>
    <w:p>
      <w:pPr>
        <w:ind w:left="660" w:right="540" w:firstLine="645"/>
        <w:spacing w:after="0" w:line="263" w:lineRule="auto"/>
        <w:tabs>
          <w:tab w:leader="none" w:pos="177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in receivables owing to the Company or any Restricted Subsidiary created or acquired in the ordinary course of business or consistent with past practice;</w:t>
      </w:r>
    </w:p>
    <w:p>
      <w:pPr>
        <w:spacing w:after="0" w:line="66" w:lineRule="exact"/>
        <w:rPr>
          <w:rFonts w:ascii="Arial" w:cs="Arial" w:eastAsia="Arial" w:hAnsi="Arial"/>
          <w:sz w:val="22"/>
          <w:szCs w:val="22"/>
          <w:color w:val="auto"/>
        </w:rPr>
      </w:pPr>
    </w:p>
    <w:p>
      <w:pPr>
        <w:ind w:left="660" w:right="160" w:firstLine="645"/>
        <w:spacing w:after="0" w:line="253" w:lineRule="auto"/>
        <w:tabs>
          <w:tab w:leader="none" w:pos="1776"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Investments in payroll, travel and similar advances to cover matters that are expected at the time of such advances ultimately to be treated as expenses for accounting purposes and that are made in the ordinary course of business or consistent with past practice;</w:t>
      </w:r>
    </w:p>
    <w:p>
      <w:pPr>
        <w:spacing w:after="0" w:line="77" w:lineRule="exact"/>
        <w:rPr>
          <w:rFonts w:ascii="Arial" w:cs="Arial" w:eastAsia="Arial" w:hAnsi="Arial"/>
          <w:sz w:val="22"/>
          <w:szCs w:val="22"/>
          <w:color w:val="auto"/>
        </w:rPr>
      </w:pPr>
    </w:p>
    <w:p>
      <w:pPr>
        <w:ind w:left="1780" w:hanging="475"/>
        <w:spacing w:after="0"/>
        <w:tabs>
          <w:tab w:leader="none" w:pos="17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Management Advances;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847" w:right="259" w:bottom="1440" w:gutter="0" w:footer="0" w:header="0"/>
        </w:sectPr>
      </w:pPr>
    </w:p>
    <w:bookmarkStart w:id="93" w:name="page94"/>
    <w:bookmarkEnd w:id="93"/>
    <w:p>
      <w:pPr>
        <w:ind w:left="-540" w:right="40" w:firstLine="645"/>
        <w:spacing w:after="0" w:line="294" w:lineRule="auto"/>
        <w:tabs>
          <w:tab w:leader="none" w:pos="576"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Investments received in settlement of debts created in the ordinary course of business or consistent with past practice and owing to, or of other claims asserted by,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spacing w:after="0" w:line="41" w:lineRule="exact"/>
        <w:rPr>
          <w:rFonts w:ascii="Arial" w:cs="Arial" w:eastAsia="Arial" w:hAnsi="Arial"/>
          <w:sz w:val="19"/>
          <w:szCs w:val="19"/>
          <w:color w:val="auto"/>
        </w:rPr>
      </w:pPr>
    </w:p>
    <w:p>
      <w:pPr>
        <w:ind w:left="-540" w:right="660" w:firstLine="645"/>
        <w:spacing w:after="0" w:line="263" w:lineRule="auto"/>
        <w:tabs>
          <w:tab w:leader="none" w:pos="576"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Investments made as a result of the receipt of non-cash consideration from a sale or other disposition of property or assets, including an Asset Disposition;</w:t>
      </w:r>
    </w:p>
    <w:p>
      <w:pPr>
        <w:spacing w:after="0" w:line="66" w:lineRule="exact"/>
        <w:rPr>
          <w:rFonts w:ascii="Arial" w:cs="Arial" w:eastAsia="Arial" w:hAnsi="Arial"/>
          <w:sz w:val="22"/>
          <w:szCs w:val="22"/>
          <w:color w:val="auto"/>
        </w:rPr>
      </w:pPr>
    </w:p>
    <w:p>
      <w:pPr>
        <w:ind w:left="-540" w:right="360" w:firstLine="645"/>
        <w:spacing w:after="0" w:line="250" w:lineRule="auto"/>
        <w:tabs>
          <w:tab w:leader="none" w:pos="576"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Investments existing or pursuant to agreements or arrangements in effect on the Issue Date and any modification, replacement, renewal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such Investment may not be increased except as required by the terms of such Investment as in existence on the Issue Date or as otherwise permitted under this Indenture;</w:t>
      </w:r>
    </w:p>
    <w:p>
      <w:pPr>
        <w:spacing w:after="0" w:line="80" w:lineRule="exact"/>
        <w:rPr>
          <w:rFonts w:ascii="Arial" w:cs="Arial" w:eastAsia="Arial" w:hAnsi="Arial"/>
          <w:sz w:val="22"/>
          <w:szCs w:val="22"/>
          <w:color w:val="auto"/>
        </w:rPr>
      </w:pPr>
    </w:p>
    <w:p>
      <w:pPr>
        <w:ind w:left="680" w:hanging="575"/>
        <w:spacing w:after="0"/>
        <w:tabs>
          <w:tab w:leader="none" w:pos="6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Hedging Obligations;</w:t>
      </w:r>
    </w:p>
    <w:p>
      <w:pPr>
        <w:spacing w:after="0" w:line="111" w:lineRule="exact"/>
        <w:rPr>
          <w:rFonts w:ascii="Arial" w:cs="Arial" w:eastAsia="Arial" w:hAnsi="Arial"/>
          <w:sz w:val="22"/>
          <w:szCs w:val="22"/>
          <w:color w:val="auto"/>
        </w:rPr>
      </w:pPr>
    </w:p>
    <w:p>
      <w:pPr>
        <w:ind w:left="-540" w:right="420" w:firstLine="645"/>
        <w:spacing w:after="0" w:line="312" w:lineRule="auto"/>
        <w:tabs>
          <w:tab w:leader="none" w:pos="676"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endorsements of negotiable instruments and documents in the ordinary course of business, or pledges or 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25" w:lineRule="exact"/>
        <w:rPr>
          <w:rFonts w:ascii="Arial" w:cs="Arial" w:eastAsia="Arial" w:hAnsi="Arial"/>
          <w:sz w:val="19"/>
          <w:szCs w:val="19"/>
          <w:color w:val="auto"/>
        </w:rPr>
      </w:pPr>
    </w:p>
    <w:p>
      <w:pPr>
        <w:ind w:left="-540" w:right="360" w:firstLine="645"/>
        <w:spacing w:after="0" w:line="263" w:lineRule="auto"/>
        <w:tabs>
          <w:tab w:leader="none" w:pos="6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Investment to the extent made using Capital Stock of the Company (other than Disqualified Stock) or Capital Stock of any Parent Entity as consideration;</w:t>
      </w:r>
    </w:p>
    <w:p>
      <w:pPr>
        <w:spacing w:after="0" w:line="66" w:lineRule="exact"/>
        <w:rPr>
          <w:rFonts w:ascii="Arial" w:cs="Arial" w:eastAsia="Arial" w:hAnsi="Arial"/>
          <w:sz w:val="22"/>
          <w:szCs w:val="22"/>
          <w:color w:val="auto"/>
        </w:rPr>
      </w:pPr>
    </w:p>
    <w:p>
      <w:pPr>
        <w:jc w:val="both"/>
        <w:ind w:left="-540" w:right="80" w:firstLine="645"/>
        <w:spacing w:after="0" w:line="302" w:lineRule="auto"/>
        <w:tabs>
          <w:tab w:leader="none" w:pos="684"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Investments consisting of (i) purchases or other acquisitions of inventory, supplies, materials, equipment and similar assets or (ii) licenses, sublicenses, cross-licenses, leases, subleases, assignments, contributions or other Investments of intellectual property, in each case, in the ordinary course of business pursuant to any joint development, joint venture or marketing arrangements with other Persons and any other Investments reasonably related or ancillary thereto;</w:t>
      </w:r>
    </w:p>
    <w:p>
      <w:pPr>
        <w:spacing w:after="0" w:line="34" w:lineRule="exact"/>
        <w:rPr>
          <w:rFonts w:ascii="Arial" w:cs="Arial" w:eastAsia="Arial" w:hAnsi="Arial"/>
          <w:sz w:val="19"/>
          <w:szCs w:val="19"/>
          <w:color w:val="auto"/>
        </w:rPr>
      </w:pPr>
    </w:p>
    <w:p>
      <w:pPr>
        <w:ind w:left="-540" w:right="260" w:firstLine="645"/>
        <w:spacing w:after="0" w:line="263" w:lineRule="auto"/>
        <w:tabs>
          <w:tab w:leader="none" w:pos="6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(i) Keepwells and similar arrangements in the ordinary course of business, and (ii) performance guarantees with respect to obligations that are permitted by this Indenture;</w:t>
      </w:r>
    </w:p>
    <w:p>
      <w:pPr>
        <w:spacing w:after="0" w:line="66" w:lineRule="exact"/>
        <w:rPr>
          <w:rFonts w:ascii="Arial" w:cs="Arial" w:eastAsia="Arial" w:hAnsi="Arial"/>
          <w:sz w:val="22"/>
          <w:szCs w:val="22"/>
          <w:color w:val="auto"/>
        </w:rPr>
      </w:pPr>
    </w:p>
    <w:p>
      <w:pPr>
        <w:ind w:left="-540" w:right="80" w:firstLine="645"/>
        <w:spacing w:after="0" w:line="263" w:lineRule="auto"/>
        <w:tabs>
          <w:tab w:leader="none" w:pos="6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Investments consisting of earnest money deposits required in connection with a purchase agreement, or letter of intent, or other acquisitions to the extent not otherwise prohibited by this Indenture;</w:t>
      </w:r>
    </w:p>
    <w:p>
      <w:pPr>
        <w:spacing w:after="0" w:line="66" w:lineRule="exact"/>
        <w:rPr>
          <w:rFonts w:ascii="Arial" w:cs="Arial" w:eastAsia="Arial" w:hAnsi="Arial"/>
          <w:sz w:val="22"/>
          <w:szCs w:val="22"/>
          <w:color w:val="auto"/>
        </w:rPr>
      </w:pPr>
    </w:p>
    <w:p>
      <w:pPr>
        <w:jc w:val="both"/>
        <w:ind w:left="-540" w:firstLine="645"/>
        <w:spacing w:after="0" w:line="250" w:lineRule="auto"/>
        <w:tabs>
          <w:tab w:leader="none" w:pos="6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Investments of a Restricted Subsidiary acquired after the Issue Date or of an entity merged into the Company or merged into or 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spacing w:after="0" w:line="33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180"/>
          </w:cols>
          <w:pgMar w:left="1440" w:top="847" w:right="279" w:bottom="1440" w:gutter="0" w:footer="0" w:header="0"/>
        </w:sectPr>
      </w:pPr>
    </w:p>
    <w:bookmarkStart w:id="94" w:name="page95"/>
    <w:bookmarkEnd w:id="94"/>
    <w:p>
      <w:pPr>
        <w:ind w:left="-540" w:right="720" w:firstLine="645"/>
        <w:spacing w:after="0" w:line="263" w:lineRule="auto"/>
        <w:tabs>
          <w:tab w:leader="none" w:pos="68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Investments consisting of licensing or contribution of intellectual property pursuant to joint marketing arrangements with other Persons;</w:t>
      </w:r>
    </w:p>
    <w:p>
      <w:pPr>
        <w:spacing w:after="0" w:line="66" w:lineRule="exact"/>
        <w:rPr>
          <w:rFonts w:ascii="Arial" w:cs="Arial" w:eastAsia="Arial" w:hAnsi="Arial"/>
          <w:sz w:val="22"/>
          <w:szCs w:val="22"/>
          <w:color w:val="auto"/>
        </w:rPr>
      </w:pPr>
    </w:p>
    <w:p>
      <w:pPr>
        <w:ind w:left="-540" w:firstLine="645"/>
        <w:spacing w:after="0" w:line="263" w:lineRule="auto"/>
        <w:tabs>
          <w:tab w:leader="none" w:pos="684"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other grantor trust subject to claims of creditors in the case of a bankruptcy of the Company;</w:t>
      </w:r>
    </w:p>
    <w:p>
      <w:pPr>
        <w:spacing w:after="0" w:line="66" w:lineRule="exact"/>
        <w:rPr>
          <w:rFonts w:ascii="Arial" w:cs="Arial" w:eastAsia="Arial" w:hAnsi="Arial"/>
          <w:sz w:val="22"/>
          <w:szCs w:val="22"/>
          <w:color w:val="auto"/>
        </w:rPr>
      </w:pPr>
    </w:p>
    <w:p>
      <w:pPr>
        <w:ind w:left="-540" w:right="200" w:firstLine="645"/>
        <w:spacing w:after="0" w:line="302" w:lineRule="auto"/>
        <w:tabs>
          <w:tab w:leader="none" w:pos="68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Investments in joint ventures and similar entities and Unrestricted Subsidiaries having an aggregate fair market value, when taken together with all other Investments made pursuant to this clause that are at the time outstanding, not to exceed the greater of $300.0 million and 1.75% of Total Assets at the time of such Investment (with the fair market value of each Investment being measured at the time made and without giving effect to subsequent changes in value);</w:t>
      </w:r>
    </w:p>
    <w:p>
      <w:pPr>
        <w:spacing w:after="0" w:line="34" w:lineRule="exact"/>
        <w:rPr>
          <w:rFonts w:ascii="Arial" w:cs="Arial" w:eastAsia="Arial" w:hAnsi="Arial"/>
          <w:sz w:val="19"/>
          <w:szCs w:val="19"/>
          <w:color w:val="auto"/>
        </w:rPr>
      </w:pPr>
    </w:p>
    <w:p>
      <w:pPr>
        <w:ind w:left="-540" w:right="60" w:firstLine="645"/>
        <w:spacing w:after="0" w:line="289" w:lineRule="auto"/>
        <w:tabs>
          <w:tab w:leader="none" w:pos="684"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additional Investments having an aggregate fair market value, taken together with all other Investments made pursuant to this clause (20) that are at that time outstanding, not to exceed the greater of $300.0 million and 1.75% of Total Assets (with the fair market value of each Investment being measured at the time made and without giving effect to subsequent changes in value), plus the amount of any distributions, dividends, payments or other returns in respect of such Investments (without duplication for purposes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any amounts applied pursuant to clause (c) of the first paragraph of such covenant) with the fair market value of each Investment being measured at the time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Investment is in Capital Stock of a Person that subsequently becomes a Restricted Subsidiary, such Investment shall thereafter be deemed permitted under clause (1) or (2) above and shall not be included as having been made pursuant to this clause (20);</w:t>
      </w:r>
    </w:p>
    <w:p>
      <w:pPr>
        <w:spacing w:after="0" w:line="49" w:lineRule="exact"/>
        <w:rPr>
          <w:rFonts w:ascii="Arial" w:cs="Arial" w:eastAsia="Arial" w:hAnsi="Arial"/>
          <w:sz w:val="19"/>
          <w:szCs w:val="19"/>
          <w:color w:val="auto"/>
        </w:rPr>
      </w:pPr>
    </w:p>
    <w:p>
      <w:pPr>
        <w:ind w:left="-540" w:right="20" w:firstLine="645"/>
        <w:spacing w:after="0" w:line="250" w:lineRule="auto"/>
        <w:tabs>
          <w:tab w:leader="none" w:pos="68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 Investments in a Special Purpose Entity or any Investment by a Special Purpose Subsidiary in any other Person in connection with a Special Purpose Financing and (ii) distributions or payments of Special Purpose Financing Fees and purchases of receivables pursuant to a securitization repurchase obligation in connection with a Special Purpose Financing;</w:t>
      </w:r>
    </w:p>
    <w:p>
      <w:pPr>
        <w:spacing w:after="0" w:line="80" w:lineRule="exact"/>
        <w:rPr>
          <w:rFonts w:ascii="Arial" w:cs="Arial" w:eastAsia="Arial" w:hAnsi="Arial"/>
          <w:sz w:val="22"/>
          <w:szCs w:val="22"/>
          <w:color w:val="auto"/>
        </w:rPr>
      </w:pPr>
    </w:p>
    <w:p>
      <w:pPr>
        <w:ind w:left="680" w:hanging="575"/>
        <w:spacing w:after="0"/>
        <w:tabs>
          <w:tab w:leader="none" w:pos="6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repurchases of Notes;</w:t>
      </w:r>
    </w:p>
    <w:p>
      <w:pPr>
        <w:spacing w:after="0" w:line="111" w:lineRule="exact"/>
        <w:rPr>
          <w:rFonts w:ascii="Arial" w:cs="Arial" w:eastAsia="Arial" w:hAnsi="Arial"/>
          <w:sz w:val="22"/>
          <w:szCs w:val="22"/>
          <w:color w:val="auto"/>
        </w:rPr>
      </w:pPr>
    </w:p>
    <w:p>
      <w:pPr>
        <w:ind w:left="-540" w:right="660" w:firstLine="645"/>
        <w:spacing w:after="0" w:line="263" w:lineRule="auto"/>
        <w:tabs>
          <w:tab w:leader="none" w:pos="684" w:val="left"/>
        </w:tabs>
        <w:numPr>
          <w:ilvl w:val="0"/>
          <w:numId w:val="97"/>
        </w:numPr>
        <w:rPr>
          <w:rFonts w:ascii="Arial" w:cs="Arial" w:eastAsia="Arial" w:hAnsi="Arial"/>
          <w:sz w:val="22"/>
          <w:szCs w:val="22"/>
          <w:color w:val="auto"/>
        </w:rPr>
      </w:pPr>
      <w:r>
        <w:rPr>
          <w:rFonts w:ascii="Arial" w:cs="Arial" w:eastAsia="Arial" w:hAnsi="Arial"/>
          <w:sz w:val="22"/>
          <w:szCs w:val="22"/>
          <w:color w:val="auto"/>
        </w:rPr>
        <w:t xml:space="preserve">Investments by an Unrestricted Subsidiary entered into prior to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herein;</w:t>
      </w:r>
    </w:p>
    <w:p>
      <w:pPr>
        <w:spacing w:after="0" w:line="66" w:lineRule="exact"/>
        <w:rPr>
          <w:rFonts w:ascii="Arial" w:cs="Arial" w:eastAsia="Arial" w:hAnsi="Arial"/>
          <w:sz w:val="22"/>
          <w:szCs w:val="22"/>
          <w:color w:val="auto"/>
        </w:rPr>
      </w:pPr>
    </w:p>
    <w:p>
      <w:pPr>
        <w:ind w:left="-540" w:right="80" w:firstLine="645"/>
        <w:spacing w:after="0" w:line="292" w:lineRule="auto"/>
        <w:tabs>
          <w:tab w:leader="none" w:pos="684"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issuance or sale of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w:t>
      </w:r>
    </w:p>
    <w:p>
      <w:pPr>
        <w:spacing w:after="0" w:line="30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220"/>
          </w:cols>
          <w:pgMar w:left="1440" w:top="847" w:right="239" w:bottom="1440" w:gutter="0" w:footer="0" w:header="0"/>
        </w:sectPr>
      </w:pPr>
    </w:p>
    <w:bookmarkStart w:id="95" w:name="page96"/>
    <w:bookmarkEnd w:id="95"/>
    <w:p>
      <w:pPr>
        <w:ind w:right="60"/>
        <w:spacing w:after="0" w:line="302" w:lineRule="auto"/>
        <w:rPr>
          <w:sz w:val="20"/>
          <w:szCs w:val="20"/>
          <w:color w:val="auto"/>
        </w:rPr>
      </w:pPr>
      <w:r>
        <w:rPr>
          <w:rFonts w:ascii="Arial" w:cs="Arial" w:eastAsia="Arial" w:hAnsi="Arial"/>
          <w:sz w:val="19"/>
          <w:szCs w:val="19"/>
          <w:color w:val="auto"/>
        </w:rPr>
        <w:t>arrangements), the payment of compensation, reasonable fees and reimbursement of expenses to, or indemnities provided on behalf of, in each case, officers, employees, directors or consultants of any Parent Entity, the Company or any Restricted Subsidiary (whether directly or indirectly and including through any Person owned or controlled by any of such directors, officers or employees), in each case in the ordinary course of business or consistent with past practice;</w:t>
      </w:r>
    </w:p>
    <w:p>
      <w:pPr>
        <w:spacing w:after="0" w:line="35" w:lineRule="exact"/>
        <w:rPr>
          <w:sz w:val="20"/>
          <w:szCs w:val="20"/>
          <w:color w:val="auto"/>
        </w:rPr>
      </w:pPr>
    </w:p>
    <w:p>
      <w:pPr>
        <w:ind w:right="220" w:firstLine="645"/>
        <w:spacing w:after="0" w:line="250" w:lineRule="auto"/>
        <w:tabs>
          <w:tab w:leader="none" w:pos="1224"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Investments pursuant to transactions arising out of the Separation and Distribution Agreement, dated as of July 27, 2006 (as amended, modified or supplemented in accordance with its terms), among Avis Budget Group, Inc., Realogy Corporation, Wyndham Worldwide Corporation and Travelport Inc. in existence on the Issue Date, and any payments made pursuant thereto;</w:t>
      </w:r>
    </w:p>
    <w:p>
      <w:pPr>
        <w:spacing w:after="0" w:line="80" w:lineRule="exact"/>
        <w:rPr>
          <w:rFonts w:ascii="Arial" w:cs="Arial" w:eastAsia="Arial" w:hAnsi="Arial"/>
          <w:sz w:val="22"/>
          <w:szCs w:val="22"/>
          <w:color w:val="auto"/>
        </w:rPr>
      </w:pPr>
    </w:p>
    <w:p>
      <w:pPr>
        <w:ind w:right="60" w:firstLine="645"/>
        <w:spacing w:after="0" w:line="253" w:lineRule="auto"/>
        <w:tabs>
          <w:tab w:leader="none" w:pos="1224"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entry into, and payments by the Company (and any Parent Entity) and its Restricted Subsidiaries pursuant to, any tax sharing agreements or other equity agreements among the Company (and any such Parent Entity) and its Restricted Subsidiaries on customary terms;</w:t>
      </w:r>
    </w:p>
    <w:p>
      <w:pPr>
        <w:spacing w:after="0" w:line="77" w:lineRule="exact"/>
        <w:rPr>
          <w:rFonts w:ascii="Arial" w:cs="Arial" w:eastAsia="Arial" w:hAnsi="Arial"/>
          <w:sz w:val="22"/>
          <w:szCs w:val="22"/>
          <w:color w:val="auto"/>
        </w:rPr>
      </w:pPr>
    </w:p>
    <w:p>
      <w:pPr>
        <w:ind w:right="120" w:firstLine="645"/>
        <w:spacing w:after="0" w:line="290" w:lineRule="auto"/>
        <w:tabs>
          <w:tab w:leader="none" w:pos="1224" w:val="left"/>
        </w:tabs>
        <w:numPr>
          <w:ilvl w:val="0"/>
          <w:numId w:val="98"/>
        </w:numPr>
        <w:rPr>
          <w:rFonts w:ascii="Arial" w:cs="Arial" w:eastAsia="Arial" w:hAnsi="Arial"/>
          <w:sz w:val="19"/>
          <w:szCs w:val="19"/>
          <w:color w:val="auto"/>
        </w:rPr>
      </w:pPr>
      <w:r>
        <w:rPr>
          <w:rFonts w:ascii="Arial" w:cs="Arial" w:eastAsia="Arial" w:hAnsi="Arial"/>
          <w:sz w:val="19"/>
          <w:szCs w:val="19"/>
          <w:color w:val="auto"/>
        </w:rPr>
        <w:t>(a) Investments in a Subsidiary, consisting of a demand note or promissory note of the Company or a Restricted Subsidiary issued in favor of or for the benefit of a Special Purpose Subsidiary and which serves solely as credit enhancement for any vehicle-related financing in such Special Purpose Subsidiary, (b) Investments by a Special Purpose Subsidiary which is a Restricted Subsidiary in any such demand note or other promissory note issued by the Company, any Restricted Subsidiary or any Parent Entity to such Special Purpose Subsidiary which is a Restricted Subsidiary, provided that if such Parent Entity receives cash from the relevant Special Purpose Entity in exchange for such note, an equal cash amount is contributed by any Parent Entity to the Company and (c) Investments made between Restricted Subsidiaries in connection with, or relating to, a Canadian Special Purpose Financing;</w:t>
      </w:r>
    </w:p>
    <w:p>
      <w:pPr>
        <w:spacing w:after="0" w:line="48" w:lineRule="exact"/>
        <w:rPr>
          <w:rFonts w:ascii="Arial" w:cs="Arial" w:eastAsia="Arial" w:hAnsi="Arial"/>
          <w:sz w:val="19"/>
          <w:szCs w:val="19"/>
          <w:color w:val="auto"/>
        </w:rPr>
      </w:pPr>
    </w:p>
    <w:p>
      <w:pPr>
        <w:ind w:right="360" w:firstLine="645"/>
        <w:spacing w:after="0" w:line="287" w:lineRule="auto"/>
        <w:tabs>
          <w:tab w:leader="none" w:pos="1224" w:val="left"/>
        </w:tabs>
        <w:numPr>
          <w:ilvl w:val="0"/>
          <w:numId w:val="98"/>
        </w:numPr>
        <w:rPr>
          <w:rFonts w:ascii="Arial" w:cs="Arial" w:eastAsia="Arial" w:hAnsi="Arial"/>
          <w:sz w:val="21"/>
          <w:szCs w:val="21"/>
          <w:color w:val="auto"/>
        </w:rPr>
      </w:pPr>
      <w:r>
        <w:rPr>
          <w:rFonts w:ascii="Arial" w:cs="Arial" w:eastAsia="Arial" w:hAnsi="Arial"/>
          <w:sz w:val="21"/>
          <w:szCs w:val="21"/>
          <w:color w:val="auto"/>
        </w:rPr>
        <w:t>Investments consisting of, or arising out of or related to, Vehicle Rental Concession Rights (including any Investments referred to in the definition of the term “Vehicle Rental Concession Rights”); and</w:t>
      </w:r>
    </w:p>
    <w:p>
      <w:pPr>
        <w:spacing w:after="0" w:line="43" w:lineRule="exact"/>
        <w:rPr>
          <w:rFonts w:ascii="Arial" w:cs="Arial" w:eastAsia="Arial" w:hAnsi="Arial"/>
          <w:sz w:val="21"/>
          <w:szCs w:val="21"/>
          <w:color w:val="auto"/>
        </w:rPr>
      </w:pPr>
    </w:p>
    <w:p>
      <w:pPr>
        <w:ind w:left="1220" w:hanging="575"/>
        <w:spacing w:after="0"/>
        <w:tabs>
          <w:tab w:leader="none" w:pos="12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customary Investments in connection with a receivables financing.</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112" w:lineRule="exact"/>
        <w:rPr>
          <w:sz w:val="20"/>
          <w:szCs w:val="20"/>
          <w:color w:val="auto"/>
        </w:rPr>
      </w:pPr>
    </w:p>
    <w:p>
      <w:pPr>
        <w:ind w:right="80" w:firstLine="645"/>
        <w:spacing w:after="0" w:line="341" w:lineRule="auto"/>
        <w:tabs>
          <w:tab w:leader="none" w:pos="1116"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on assets or property of a Restricted Subsidiary (other than the Co-Issuer) that is not a Subsidiary Guarantor securing Indebtedness of any Restricted Subsidiary (other than the Co-Issuer) that is not a Subsidiary Guarantor;</w:t>
      </w:r>
    </w:p>
    <w:p>
      <w:pPr>
        <w:ind w:firstLine="645"/>
        <w:spacing w:after="0" w:line="247" w:lineRule="auto"/>
        <w:tabs>
          <w:tab w:leader="none" w:pos="1116" w:val="left"/>
        </w:tabs>
        <w:numPr>
          <w:ilvl w:val="0"/>
          <w:numId w:val="99"/>
        </w:numPr>
        <w:rPr>
          <w:rFonts w:ascii="Arial" w:cs="Arial" w:eastAsia="Arial" w:hAnsi="Arial"/>
          <w:sz w:val="22"/>
          <w:szCs w:val="22"/>
          <w:color w:val="auto"/>
        </w:rPr>
      </w:pPr>
      <w:r>
        <w:rPr>
          <w:rFonts w:ascii="Arial" w:cs="Arial" w:eastAsia="Arial" w:hAnsi="Arial"/>
          <w:sz w:val="22"/>
          <w:szCs w:val="22"/>
          <w:color w:val="auto"/>
        </w:rPr>
        <w:t>pledges, deposits or Liens under workmen’s compensation laws, payroll taxes, unemployment insurance laws, 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advance payment, guarantees of government</w:t>
      </w:r>
    </w:p>
    <w:p>
      <w:pPr>
        <w:spacing w:after="0" w:line="34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740"/>
          </w:cols>
          <w:pgMar w:left="900" w:top="847" w:right="259" w:bottom="1440" w:gutter="0" w:footer="0" w:header="0"/>
        </w:sectPr>
      </w:pPr>
    </w:p>
    <w:bookmarkStart w:id="96" w:name="page97"/>
    <w:bookmarkEnd w:id="96"/>
    <w:p>
      <w:pPr>
        <w:ind w:left="4" w:right="560"/>
        <w:spacing w:after="0" w:line="253" w:lineRule="auto"/>
        <w:rPr>
          <w:sz w:val="20"/>
          <w:szCs w:val="20"/>
          <w:color w:val="auto"/>
        </w:rPr>
      </w:pPr>
      <w:r>
        <w:rPr>
          <w:rFonts w:ascii="Arial" w:cs="Arial" w:eastAsia="Arial" w:hAnsi="Arial"/>
          <w:sz w:val="22"/>
          <w:szCs w:val="22"/>
          <w:color w:val="auto"/>
        </w:rPr>
        <w:t>contracts, completion guarantees or warranties (or other similar bonds, instruments or obligations), or as security for contested taxes or for import or customs duties or the payment of rent, or other obligations of like nature, in each case Incurred in the ordinary course of business or consistent with past practice;</w:t>
      </w:r>
    </w:p>
    <w:p>
      <w:pPr>
        <w:spacing w:after="0" w:line="78" w:lineRule="exact"/>
        <w:rPr>
          <w:sz w:val="20"/>
          <w:szCs w:val="20"/>
          <w:color w:val="auto"/>
        </w:rPr>
      </w:pPr>
    </w:p>
    <w:p>
      <w:pPr>
        <w:ind w:left="4" w:right="240" w:firstLine="645"/>
        <w:spacing w:after="0" w:line="271" w:lineRule="auto"/>
        <w:tabs>
          <w:tab w:leader="none" w:pos="112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Liens imposed by law, including carriers’, warehousemen’s, mechanics’, landlords’, materialmen’s, repairmen’s, construction contractors’ or other like Liens, in each case for sums not yet overdue for a period of more than 60 days or that are bonded or being contested in good faith by appropriate proceedings;</w:t>
      </w:r>
    </w:p>
    <w:p>
      <w:pPr>
        <w:spacing w:after="0" w:line="59" w:lineRule="exact"/>
        <w:rPr>
          <w:rFonts w:ascii="Arial" w:cs="Arial" w:eastAsia="Arial" w:hAnsi="Arial"/>
          <w:sz w:val="21"/>
          <w:szCs w:val="21"/>
          <w:color w:val="auto"/>
        </w:rPr>
      </w:pPr>
    </w:p>
    <w:p>
      <w:pPr>
        <w:ind w:left="4" w:right="280" w:firstLine="645"/>
        <w:spacing w:after="0" w:line="265" w:lineRule="auto"/>
        <w:tabs>
          <w:tab w:leader="none" w:pos="112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Liens for Taxes which are not overdue for a period of more than 60 days, or the nonpayment of which in the aggregate would not reasonably be expected to have a material adverse effect on the Company and its Restricted Subsidiaries, or which are being contested in good faith by appropriate proceedings;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appropriate reserves required pursuant to GAAP have been made in respect thereof;</w:t>
      </w:r>
    </w:p>
    <w:p>
      <w:pPr>
        <w:spacing w:after="0" w:line="67" w:lineRule="exact"/>
        <w:rPr>
          <w:rFonts w:ascii="Arial" w:cs="Arial" w:eastAsia="Arial" w:hAnsi="Arial"/>
          <w:sz w:val="21"/>
          <w:szCs w:val="21"/>
          <w:color w:val="auto"/>
        </w:rPr>
      </w:pPr>
    </w:p>
    <w:p>
      <w:pPr>
        <w:ind w:left="4" w:right="40" w:firstLine="645"/>
        <w:spacing w:after="0" w:line="288" w:lineRule="auto"/>
        <w:tabs>
          <w:tab w:leader="none" w:pos="112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under the Credit Agreement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Company and its Restricted Subsidiaries, taken as a whole;</w:t>
      </w:r>
    </w:p>
    <w:p>
      <w:pPr>
        <w:spacing w:after="0" w:line="52" w:lineRule="exact"/>
        <w:rPr>
          <w:rFonts w:ascii="Arial" w:cs="Arial" w:eastAsia="Arial" w:hAnsi="Arial"/>
          <w:sz w:val="19"/>
          <w:szCs w:val="19"/>
          <w:color w:val="auto"/>
        </w:rPr>
      </w:pPr>
    </w:p>
    <w:p>
      <w:pPr>
        <w:jc w:val="both"/>
        <w:ind w:left="4" w:right="120" w:firstLine="645"/>
        <w:spacing w:after="0" w:line="291" w:lineRule="auto"/>
        <w:tabs>
          <w:tab w:leader="none" w:pos="112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Liens (a) on assets or property of the Company or any Restricted Subsidiary securing Hedging Obligations or Cash Management Services permitted under this Indenture; (b) that are contractual rights of set-off or, in the case of clause</w:t>
      </w:r>
    </w:p>
    <w:p>
      <w:pPr>
        <w:spacing w:after="0" w:line="1" w:lineRule="exact"/>
        <w:rPr>
          <w:rFonts w:ascii="Arial" w:cs="Arial" w:eastAsia="Arial" w:hAnsi="Arial"/>
          <w:sz w:val="19"/>
          <w:szCs w:val="19"/>
          <w:color w:val="auto"/>
        </w:rPr>
      </w:pPr>
    </w:p>
    <w:p>
      <w:pPr>
        <w:ind w:left="4" w:hanging="4"/>
        <w:spacing w:after="0" w:line="286" w:lineRule="auto"/>
        <w:tabs>
          <w:tab w:leader="none" w:pos="26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or (ii) below, other bankers’ Liens (i) relating to treasury, depository and cash management services or any automated clearing house transfers of funds in the ordinary course of business and not given in connection with the issuance of Indebtedness, (ii) relating to the honoring by a bank or other financial institution of a check, draft or similar instrument drawn against insufficient funds or relating to pooled deposit or sweep accounts to permit satisfaction of overdraft or similar obligations incurred in the ordinary course of business of the Company or any Subsidiary or (iii) relating to purchase orders and other agreements entered into with customers of the Company or any Restricted Subsidiary in the ordinary course of business; (c) on cash accounts securing Indebtedness incurred with financial institutions in respect of customer deposits and advance payments received in the ordinary course of business or consistent with past practice from customers for goods or services purchased in the ordinary course of business or consistent with past practice; (d) encumbering reasonable customary initial deposits and margin deposits and similar</w:t>
      </w:r>
    </w:p>
    <w:p>
      <w:pPr>
        <w:spacing w:after="0" w:line="30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744"/>
          </w:cols>
          <w:pgMar w:left="896" w:top="847" w:right="259" w:bottom="1440" w:gutter="0" w:footer="0" w:header="0"/>
        </w:sectPr>
      </w:pPr>
    </w:p>
    <w:bookmarkStart w:id="97" w:name="page98"/>
    <w:bookmarkEnd w:id="97"/>
    <w:p>
      <w:pPr>
        <w:ind w:right="40"/>
        <w:spacing w:after="0" w:line="259" w:lineRule="auto"/>
        <w:rPr>
          <w:sz w:val="20"/>
          <w:szCs w:val="20"/>
          <w:color w:val="auto"/>
        </w:rPr>
      </w:pPr>
      <w:r>
        <w:rPr>
          <w:rFonts w:ascii="Arial" w:cs="Arial" w:eastAsia="Arial" w:hAnsi="Arial"/>
          <w:sz w:val="21"/>
          <w:szCs w:val="21"/>
          <w:color w:val="auto"/>
        </w:rPr>
        <w:t>Liens attaching to commodity trading accounts or other brokerage accounts incurred in the ordinary course of business; (e) on receivables (including related rights); (f) arising in connection with repurchase agreements on assets that are the subject of such repurchase agreements; and/or (g) (i) of a collection bank arising under Section 4-210 of the Uniform Commercial Code on items in the course of collection and (ii) in favor of a banking 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to secure any Indebtedness;</w:t>
      </w:r>
    </w:p>
    <w:p>
      <w:pPr>
        <w:spacing w:after="0" w:line="76" w:lineRule="exact"/>
        <w:rPr>
          <w:sz w:val="20"/>
          <w:szCs w:val="20"/>
          <w:color w:val="auto"/>
        </w:rPr>
      </w:pPr>
    </w:p>
    <w:p>
      <w:pPr>
        <w:ind w:left="1120" w:hanging="475"/>
        <w:spacing w:after="0"/>
        <w:tabs>
          <w:tab w:leader="none" w:pos="11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leases, licenses, subleases and sublicenses of assets (including real property and intellectual property rights);</w:t>
      </w:r>
    </w:p>
    <w:p>
      <w:pPr>
        <w:spacing w:after="0" w:line="146" w:lineRule="exact"/>
        <w:rPr>
          <w:rFonts w:ascii="Arial" w:cs="Arial" w:eastAsia="Arial" w:hAnsi="Arial"/>
          <w:sz w:val="19"/>
          <w:szCs w:val="19"/>
          <w:color w:val="auto"/>
        </w:rPr>
      </w:pPr>
    </w:p>
    <w:p>
      <w:pPr>
        <w:ind w:right="120" w:firstLine="645"/>
        <w:spacing w:after="0" w:line="302" w:lineRule="auto"/>
        <w:tabs>
          <w:tab w:leader="none" w:pos="111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Liens arising out of judgments, decrees, orders or awards not giving rise to an Event of Default so long as (a) any appropriate legal proceedings which may have been duly initiated for the review of such judgment, decree, order or award have not been finally terminated or (b) no more than 60 days have passed after (i) such judgment, decree, order or award has become final or (ii) such period within which such proceedings may be initiated has expired;</w:t>
      </w:r>
    </w:p>
    <w:p>
      <w:pPr>
        <w:spacing w:after="0" w:line="34" w:lineRule="exact"/>
        <w:rPr>
          <w:rFonts w:ascii="Arial" w:cs="Arial" w:eastAsia="Arial" w:hAnsi="Arial"/>
          <w:sz w:val="19"/>
          <w:szCs w:val="19"/>
          <w:color w:val="auto"/>
        </w:rPr>
      </w:pPr>
    </w:p>
    <w:p>
      <w:pPr>
        <w:ind w:right="140" w:firstLine="645"/>
        <w:spacing w:after="0" w:line="312" w:lineRule="auto"/>
        <w:tabs>
          <w:tab w:leader="none" w:pos="111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Liens (i) on assets or property of the Company or any Restricted Subsidiary for the purpose of securing Capitalized Lease Obligations (or any interest or title of any lessor thereunder or under any operating lease) or Purchase Money Obligations, and (ii) on any interest or title of a lessor under any Capitalized Lease Obligations or operating lease;</w:t>
      </w:r>
    </w:p>
    <w:p>
      <w:pPr>
        <w:spacing w:after="0" w:line="25" w:lineRule="exact"/>
        <w:rPr>
          <w:rFonts w:ascii="Arial" w:cs="Arial" w:eastAsia="Arial" w:hAnsi="Arial"/>
          <w:sz w:val="19"/>
          <w:szCs w:val="19"/>
          <w:color w:val="auto"/>
        </w:rPr>
      </w:pPr>
    </w:p>
    <w:p>
      <w:pPr>
        <w:jc w:val="both"/>
        <w:ind w:right="80" w:firstLine="645"/>
        <w:spacing w:after="0" w:line="253" w:lineRule="auto"/>
        <w:tabs>
          <w:tab w:leader="none" w:pos="122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Liens perfected or evidenced by or Uniform Commercial Code financing statement filings (or similar filings in other applicable jurisdictions) regarding operating leases entered into by the Company and its Restricted Subsidiaries in the ordinary course of business;</w:t>
      </w:r>
    </w:p>
    <w:p>
      <w:pPr>
        <w:spacing w:after="0" w:line="77" w:lineRule="exact"/>
        <w:rPr>
          <w:rFonts w:ascii="Arial" w:cs="Arial" w:eastAsia="Arial" w:hAnsi="Arial"/>
          <w:sz w:val="22"/>
          <w:szCs w:val="22"/>
          <w:color w:val="auto"/>
        </w:rPr>
      </w:pPr>
    </w:p>
    <w:p>
      <w:pPr>
        <w:ind w:right="600" w:firstLine="645"/>
        <w:spacing w:after="0" w:line="263" w:lineRule="auto"/>
        <w:tabs>
          <w:tab w:leader="none" w:pos="121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Liens existing on, or provided for in written arrangements existing on, the Issue Date, excluding Liens securing the Credit Agreement;</w:t>
      </w:r>
    </w:p>
    <w:p>
      <w:pPr>
        <w:spacing w:after="0" w:line="66" w:lineRule="exact"/>
        <w:rPr>
          <w:rFonts w:ascii="Arial" w:cs="Arial" w:eastAsia="Arial" w:hAnsi="Arial"/>
          <w:sz w:val="22"/>
          <w:szCs w:val="22"/>
          <w:color w:val="auto"/>
        </w:rPr>
      </w:pPr>
    </w:p>
    <w:p>
      <w:pPr>
        <w:ind w:firstLine="645"/>
        <w:spacing w:after="0" w:line="259" w:lineRule="auto"/>
        <w:tabs>
          <w:tab w:leader="none" w:pos="122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Liens on property, other assets or shares of stock of a Person at the time such Person becomes a Restricted Subsidiary (or at the time the Company or a Restricted Subsidiary acquires such property, other assets or shares of stock, including any acquisition by means of a merger, consolidation or other business combination transaction with or into the Company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Liens are not created, Incurred or assumed in anticipation of or in connection with such other Person becoming a Restricted Subsidiary (or such acquisition of such property, other assets or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3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660"/>
          </w:cols>
          <w:pgMar w:left="900" w:top="847" w:right="339" w:bottom="1440" w:gutter="0" w:footer="0" w:header="0"/>
        </w:sectPr>
      </w:pPr>
    </w:p>
    <w:bookmarkStart w:id="98" w:name="page99"/>
    <w:bookmarkEnd w:id="98"/>
    <w:p>
      <w:pPr>
        <w:ind w:left="-540" w:right="80" w:firstLine="645"/>
        <w:spacing w:after="0" w:line="253"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on assets or property of the Company or any Restricted Subsidiary securing Indebtedness or other obligations of the Company or such Restricted Subsidiary owing to the Company or another Restricted Subsidiary, or Liens in favor of the Company or any Restricted Subsidiary;</w:t>
      </w:r>
    </w:p>
    <w:p>
      <w:pPr>
        <w:spacing w:after="0" w:line="77" w:lineRule="exact"/>
        <w:rPr>
          <w:rFonts w:ascii="Arial" w:cs="Arial" w:eastAsia="Arial" w:hAnsi="Arial"/>
          <w:sz w:val="22"/>
          <w:szCs w:val="22"/>
          <w:color w:val="auto"/>
        </w:rPr>
      </w:pPr>
    </w:p>
    <w:p>
      <w:pPr>
        <w:ind w:left="-540" w:firstLine="645"/>
        <w:spacing w:after="0" w:line="261" w:lineRule="auto"/>
        <w:tabs>
          <w:tab w:leader="none" w:pos="68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Liens securing Refinancing Indebtedness Incurred to refinance Indebtedness that was previously so secured, and permitted to be secured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(other than Liens permitted under clauses 6(a), 9, 19, 26, 33, 35, 36, 37 or 38 of this definition), or is in respect of property that is or could be the security for or subject to a Permitted Lien hereunder;</w:t>
      </w:r>
    </w:p>
    <w:p>
      <w:pPr>
        <w:spacing w:after="0" w:line="71" w:lineRule="exact"/>
        <w:rPr>
          <w:rFonts w:ascii="Arial" w:cs="Arial" w:eastAsia="Arial" w:hAnsi="Arial"/>
          <w:sz w:val="21"/>
          <w:szCs w:val="21"/>
          <w:color w:val="auto"/>
        </w:rPr>
      </w:pPr>
    </w:p>
    <w:p>
      <w:pPr>
        <w:ind w:left="-540" w:right="180" w:firstLine="645"/>
        <w:spacing w:after="0" w:line="248"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mortgages, liens, security interests, restrictions, encumbrances or any other matters of record that have been placed by any government, statutory or regulatory authority, developer, landlord or other third party on property over which the Company or any Restricted Subsidiary of the Company has easement rights or on any leased property and subordination or similar arrangements relating thereto and (b) any condemnation or eminent domain proceedings affecting any real property;</w:t>
      </w:r>
    </w:p>
    <w:p>
      <w:pPr>
        <w:spacing w:after="0" w:line="84" w:lineRule="exact"/>
        <w:rPr>
          <w:rFonts w:ascii="Arial" w:cs="Arial" w:eastAsia="Arial" w:hAnsi="Arial"/>
          <w:sz w:val="22"/>
          <w:szCs w:val="22"/>
          <w:color w:val="auto"/>
        </w:rPr>
      </w:pPr>
    </w:p>
    <w:p>
      <w:pPr>
        <w:ind w:left="-540" w:right="420" w:firstLine="645"/>
        <w:spacing w:after="0" w:line="263"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Capital Stock of any joint venture or similar arrangement pursuant to any joint venture or similar agreement;</w:t>
      </w:r>
    </w:p>
    <w:p>
      <w:pPr>
        <w:spacing w:after="0" w:line="66" w:lineRule="exact"/>
        <w:rPr>
          <w:rFonts w:ascii="Arial" w:cs="Arial" w:eastAsia="Arial" w:hAnsi="Arial"/>
          <w:sz w:val="22"/>
          <w:szCs w:val="22"/>
          <w:color w:val="auto"/>
        </w:rPr>
      </w:pPr>
    </w:p>
    <w:p>
      <w:pPr>
        <w:ind w:left="-540" w:right="420" w:firstLine="645"/>
        <w:spacing w:after="0" w:line="263"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66" w:lineRule="exact"/>
        <w:rPr>
          <w:rFonts w:ascii="Arial" w:cs="Arial" w:eastAsia="Arial" w:hAnsi="Arial"/>
          <w:sz w:val="22"/>
          <w:szCs w:val="22"/>
          <w:color w:val="auto"/>
        </w:rPr>
      </w:pPr>
    </w:p>
    <w:p>
      <w:pPr>
        <w:ind w:left="-540" w:right="280" w:firstLine="645"/>
        <w:spacing w:after="0" w:line="263"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hire purchase, consignment or similar arrangements for the sale of goods entered into in the ordinary course of business;</w:t>
      </w:r>
    </w:p>
    <w:p>
      <w:pPr>
        <w:spacing w:after="0" w:line="66" w:lineRule="exact"/>
        <w:rPr>
          <w:rFonts w:ascii="Arial" w:cs="Arial" w:eastAsia="Arial" w:hAnsi="Arial"/>
          <w:sz w:val="22"/>
          <w:szCs w:val="22"/>
          <w:color w:val="auto"/>
        </w:rPr>
      </w:pPr>
    </w:p>
    <w:p>
      <w:pPr>
        <w:ind w:left="-540" w:firstLine="645"/>
        <w:spacing w:after="0" w:line="294" w:lineRule="auto"/>
        <w:tabs>
          <w:tab w:leader="none" w:pos="68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pursuant to any Credit Facility (including letters of credit or bankers’ acceptances issued or created under any Credit Facility), and (without limiting the foregoing), in each case, any Refinancing Indebtedness in respect thereof and Guarantees in respect of such Indebtedness in a maximum aggregate principal amount at any time outstanding not exceeding (i) $3,500 million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in the case of any refinancing of any Indebtedness permitted to be secured under this clause or any portion thereof, the aggregate amount of fees, underwriting discounts, premiums and other costs and expenses Incurred in connection with such refinancing;</w:t>
      </w:r>
    </w:p>
    <w:p>
      <w:pPr>
        <w:spacing w:after="0" w:line="41" w:lineRule="exact"/>
        <w:rPr>
          <w:rFonts w:ascii="Arial" w:cs="Arial" w:eastAsia="Arial" w:hAnsi="Arial"/>
          <w:sz w:val="19"/>
          <w:szCs w:val="19"/>
          <w:color w:val="auto"/>
        </w:rPr>
      </w:pPr>
    </w:p>
    <w:p>
      <w:pPr>
        <w:ind w:left="680" w:hanging="575"/>
        <w:spacing w:after="0"/>
        <w:tabs>
          <w:tab w:leader="none" w:pos="6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Liens to secure Indebtedness of any Non-Guarantors, covering only the assets of such Subsidiary;</w:t>
      </w:r>
    </w:p>
    <w:p>
      <w:pPr>
        <w:spacing w:after="0" w:line="123" w:lineRule="exact"/>
        <w:rPr>
          <w:rFonts w:ascii="Arial" w:cs="Arial" w:eastAsia="Arial" w:hAnsi="Arial"/>
          <w:sz w:val="21"/>
          <w:szCs w:val="21"/>
          <w:color w:val="auto"/>
        </w:rPr>
      </w:pPr>
    </w:p>
    <w:p>
      <w:pPr>
        <w:ind w:left="-540" w:right="60" w:firstLine="645"/>
        <w:spacing w:after="0" w:line="263" w:lineRule="auto"/>
        <w:tabs>
          <w:tab w:leader="none" w:pos="6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Liens on Capital Stock or other securities or assets of any Unrestricted Subsidiary that secure Indebtedness of such Unrestricted Subsidiary;</w:t>
      </w:r>
    </w:p>
    <w:p>
      <w:pPr>
        <w:spacing w:after="0" w:line="3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220"/>
          </w:cols>
          <w:pgMar w:left="1440" w:top="847" w:right="239" w:bottom="1440" w:gutter="0" w:footer="0" w:header="0"/>
        </w:sectPr>
      </w:pPr>
    </w:p>
    <w:bookmarkStart w:id="99" w:name="page100"/>
    <w:bookmarkEnd w:id="99"/>
    <w:p>
      <w:pPr>
        <w:ind w:left="-540" w:right="4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security granted over the marketable securities portfolio described in clause (9) of the definition of “Cash Equivalents” in connection with the disposal thereof to a third party;</w:t>
      </w:r>
    </w:p>
    <w:p>
      <w:pPr>
        <w:spacing w:after="0" w:line="66" w:lineRule="exact"/>
        <w:rPr>
          <w:rFonts w:ascii="Arial" w:cs="Arial" w:eastAsia="Arial" w:hAnsi="Arial"/>
          <w:sz w:val="22"/>
          <w:szCs w:val="22"/>
          <w:color w:val="auto"/>
        </w:rPr>
      </w:pPr>
    </w:p>
    <w:p>
      <w:pPr>
        <w:ind w:left="-540" w:right="360" w:firstLine="645"/>
        <w:spacing w:after="0" w:line="25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on specific items of inventory of other goods and proceeds of any Person securing such Person’s obligations in respect of bankers’ acceptances issued or created for the account of such Person to facilitate the purchase, shipment or storage of such inventory or other goods;</w:t>
      </w:r>
    </w:p>
    <w:p>
      <w:pPr>
        <w:spacing w:after="0" w:line="77" w:lineRule="exact"/>
        <w:rPr>
          <w:rFonts w:ascii="Arial" w:cs="Arial" w:eastAsia="Arial" w:hAnsi="Arial"/>
          <w:sz w:val="22"/>
          <w:szCs w:val="22"/>
          <w:color w:val="auto"/>
        </w:rPr>
      </w:pPr>
    </w:p>
    <w:p>
      <w:pPr>
        <w:ind w:left="-540" w:right="2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on equipment of the Company or any Restricted Subsidiary and located on the premises of any client or supplier in the ordinary course of business;</w:t>
      </w:r>
    </w:p>
    <w:p>
      <w:pPr>
        <w:spacing w:after="0" w:line="66" w:lineRule="exact"/>
        <w:rPr>
          <w:rFonts w:ascii="Arial" w:cs="Arial" w:eastAsia="Arial" w:hAnsi="Arial"/>
          <w:sz w:val="22"/>
          <w:szCs w:val="22"/>
          <w:color w:val="auto"/>
        </w:rPr>
      </w:pPr>
    </w:p>
    <w:p>
      <w:pPr>
        <w:ind w:left="-540" w:right="320" w:firstLine="645"/>
        <w:spacing w:after="0" w:line="341" w:lineRule="auto"/>
        <w:tabs>
          <w:tab w:leader="none" w:pos="6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on assets or securities deemed to arise in connection with and solely as a result of the execution, delivery or performance of contracts to sell such assets or securities if such sale is otherwise permitted by this Indenture;</w:t>
      </w:r>
    </w:p>
    <w:p>
      <w:pPr>
        <w:ind w:left="-540" w:right="100" w:firstLine="645"/>
        <w:spacing w:after="0" w:line="250"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arising by operation of law or contract on insurance policies and the proceeds thereof to secure premiums thereunder, and Liens, pledges and deposits in the ordinary course of business securing liability for premiums or reimbursement or indemnification obligations of (including obligations in respect of letters of credit or bank guarantees for the benefits of) insurance carriers;</w:t>
      </w:r>
    </w:p>
    <w:p>
      <w:pPr>
        <w:spacing w:after="0" w:line="80" w:lineRule="exact"/>
        <w:rPr>
          <w:rFonts w:ascii="Arial" w:cs="Arial" w:eastAsia="Arial" w:hAnsi="Arial"/>
          <w:sz w:val="22"/>
          <w:szCs w:val="22"/>
          <w:color w:val="auto"/>
        </w:rPr>
      </w:pPr>
    </w:p>
    <w:p>
      <w:pPr>
        <w:ind w:left="-540" w:right="44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in connection with any letter of intent or purchase agreement permitted hereunder;</w:t>
      </w:r>
    </w:p>
    <w:p>
      <w:pPr>
        <w:spacing w:after="0" w:line="66" w:lineRule="exact"/>
        <w:rPr>
          <w:rFonts w:ascii="Arial" w:cs="Arial" w:eastAsia="Arial" w:hAnsi="Arial"/>
          <w:sz w:val="22"/>
          <w:szCs w:val="22"/>
          <w:color w:val="auto"/>
        </w:rPr>
      </w:pPr>
    </w:p>
    <w:p>
      <w:pPr>
        <w:jc w:val="both"/>
        <w:ind w:left="-540" w:firstLine="645"/>
        <w:spacing w:after="0" w:line="302" w:lineRule="auto"/>
        <w:tabs>
          <w:tab w:leader="none" w:pos="6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Liens (i) on cash advances in favor of the seller of any property to be acquired in an Investment permitted pursuant to Permitted Investments to be applied against the purchase price for such Investment, and (ii) consisting of an agreement to sell any property in an asset sale permitted by </w:t>
      </w:r>
      <w:r>
        <w:rPr>
          <w:rFonts w:ascii="Arial" w:cs="Arial" w:eastAsia="Arial" w:hAnsi="Arial"/>
          <w:sz w:val="19"/>
          <w:szCs w:val="19"/>
          <w:u w:val="single" w:color="auto"/>
          <w:color w:val="auto"/>
        </w:rPr>
        <w:t>Section 3.5</w:t>
      </w:r>
      <w:r>
        <w:rPr>
          <w:rFonts w:ascii="Arial" w:cs="Arial" w:eastAsia="Arial" w:hAnsi="Arial"/>
          <w:sz w:val="19"/>
          <w:szCs w:val="19"/>
          <w:color w:val="auto"/>
        </w:rPr>
        <w:t>, in each case, solely to the extent such Investment or asset sale, as the case may be, would have been permitted on the date of the creation of such Lien;</w:t>
      </w:r>
    </w:p>
    <w:p>
      <w:pPr>
        <w:spacing w:after="0" w:line="34" w:lineRule="exact"/>
        <w:rPr>
          <w:rFonts w:ascii="Arial" w:cs="Arial" w:eastAsia="Arial" w:hAnsi="Arial"/>
          <w:sz w:val="19"/>
          <w:szCs w:val="19"/>
          <w:color w:val="auto"/>
        </w:rPr>
      </w:pPr>
    </w:p>
    <w:p>
      <w:pPr>
        <w:ind w:left="-540" w:right="12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securing Indebtedness and other obligations in an aggregate principal amount not to exceed the greater of (a) $200 million and (b) 1.5% of Total Assets, at any one time outstanding;</w:t>
      </w:r>
    </w:p>
    <w:p>
      <w:pPr>
        <w:spacing w:after="0" w:line="66" w:lineRule="exact"/>
        <w:rPr>
          <w:rFonts w:ascii="Arial" w:cs="Arial" w:eastAsia="Arial" w:hAnsi="Arial"/>
          <w:sz w:val="22"/>
          <w:szCs w:val="22"/>
          <w:color w:val="auto"/>
        </w:rPr>
      </w:pPr>
    </w:p>
    <w:p>
      <w:pPr>
        <w:ind w:left="-540" w:right="88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Liens then existing with respect to assets of an Unrestricted Subsidiary on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jc w:val="both"/>
        <w:ind w:left="-540" w:right="200" w:firstLine="645"/>
        <w:spacing w:after="0" w:line="341" w:lineRule="auto"/>
        <w:tabs>
          <w:tab w:leader="none" w:pos="68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Liens Incurred to secure Obligations in respect of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and after giving pro forma effect thereto, the Consolidated Total Secured Leverage Ratio would be no greater than 4.0 to 1.00;</w:t>
      </w:r>
    </w:p>
    <w:p>
      <w:pPr>
        <w:ind w:left="-540" w:right="70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securing Indebtedness which is secured by Rental Vehicles in the ordinary course of business or consistent with past practice;</w:t>
      </w:r>
    </w:p>
    <w:p>
      <w:pPr>
        <w:spacing w:after="0" w:line="66" w:lineRule="exact"/>
        <w:rPr>
          <w:rFonts w:ascii="Arial" w:cs="Arial" w:eastAsia="Arial" w:hAnsi="Arial"/>
          <w:sz w:val="22"/>
          <w:szCs w:val="22"/>
          <w:color w:val="auto"/>
        </w:rPr>
      </w:pPr>
    </w:p>
    <w:p>
      <w:pPr>
        <w:ind w:left="680" w:hanging="575"/>
        <w:spacing w:after="0"/>
        <w:tabs>
          <w:tab w:leader="none" w:pos="6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on or under, or arising out of or relating to, any Vehicle Rental Concession Rights;</w:t>
      </w:r>
    </w:p>
    <w:p>
      <w:pPr>
        <w:spacing w:after="0" w:line="111" w:lineRule="exact"/>
        <w:rPr>
          <w:rFonts w:ascii="Arial" w:cs="Arial" w:eastAsia="Arial" w:hAnsi="Arial"/>
          <w:sz w:val="22"/>
          <w:szCs w:val="22"/>
          <w:color w:val="auto"/>
        </w:rPr>
      </w:pPr>
    </w:p>
    <w:p>
      <w:pPr>
        <w:ind w:left="-540" w:right="200" w:firstLine="645"/>
        <w:spacing w:after="0" w:line="263" w:lineRule="auto"/>
        <w:tabs>
          <w:tab w:leader="none" w:pos="68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Liens securing Indebtedness arising from agreements providing for guarantees, indemnification, obligations in respect of earn-outs or other adjustments of</w:t>
      </w:r>
    </w:p>
    <w:p>
      <w:pPr>
        <w:spacing w:after="0" w:line="3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00"/>
          </w:cols>
          <w:pgMar w:left="1440" w:top="847" w:right="259" w:bottom="1440" w:gutter="0" w:footer="0" w:header="0"/>
        </w:sectPr>
      </w:pPr>
    </w:p>
    <w:bookmarkStart w:id="100" w:name="page101"/>
    <w:bookmarkEnd w:id="100"/>
    <w:p>
      <w:pPr>
        <w:ind w:left="660" w:right="120"/>
        <w:spacing w:after="0" w:line="263" w:lineRule="auto"/>
        <w:rPr>
          <w:sz w:val="20"/>
          <w:szCs w:val="20"/>
          <w:color w:val="auto"/>
        </w:rPr>
      </w:pPr>
      <w:r>
        <w:rPr>
          <w:rFonts w:ascii="Arial" w:cs="Arial" w:eastAsia="Arial" w:hAnsi="Arial"/>
          <w:sz w:val="22"/>
          <w:szCs w:val="22"/>
          <w:color w:val="auto"/>
        </w:rPr>
        <w:t>purchase price or, in each case, similar obligations, in each case, Incurred or assumed in connection with the acquisition or disposition of any business or assets or Person or any Capital Stock of a Subsidiary;</w:t>
      </w:r>
    </w:p>
    <w:p>
      <w:pPr>
        <w:spacing w:after="0" w:line="67" w:lineRule="exact"/>
        <w:rPr>
          <w:sz w:val="20"/>
          <w:szCs w:val="20"/>
          <w:color w:val="auto"/>
        </w:rPr>
      </w:pPr>
    </w:p>
    <w:p>
      <w:pPr>
        <w:ind w:left="660" w:firstLine="645"/>
        <w:spacing w:after="0" w:line="248" w:lineRule="auto"/>
        <w:tabs>
          <w:tab w:leader="none" w:pos="188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securing Indebtedness consisting of (a) accommodation guarantees for the benefit of trade creditors of the Company or any of its Restricted Subsidiaries, (b) Guarantees in connection with the construction or improvement of all or any portion of a Public Facility to be used by the Company or any Restricted Subsidiary or (c) Guarantees required or reasonably necessary (in the good faith determination of the Company) in connection with Vehicle Rental Concession Rights;</w:t>
      </w:r>
    </w:p>
    <w:p>
      <w:pPr>
        <w:spacing w:after="0" w:line="84" w:lineRule="exact"/>
        <w:rPr>
          <w:rFonts w:ascii="Arial" w:cs="Arial" w:eastAsia="Arial" w:hAnsi="Arial"/>
          <w:sz w:val="22"/>
          <w:szCs w:val="22"/>
          <w:color w:val="auto"/>
        </w:rPr>
      </w:pPr>
    </w:p>
    <w:p>
      <w:pPr>
        <w:ind w:left="660" w:right="80" w:firstLine="645"/>
        <w:spacing w:after="0" w:line="287" w:lineRule="auto"/>
        <w:tabs>
          <w:tab w:leader="none" w:pos="188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Liens securing Indebtedness (a) of a Special Purpose Subsidiary secured by a Lien on all or part of the assets disposed of in, or otherwise Incurred in connection with, a Financing Disposition, or (b) otherwise Incurred in connection with a Special Purpose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such Indebtedness is not recourse to the Company or any Restricted Subsidiary that is not a Special Purpose Subsidiary (other than with respect to Special Purpose Financing Undertakings or with respect to potential liability of Aviscar Inc. or Budgetcar Inc., or their respective successors, in their capacity as partners in a Canadian Securitization Entity), (2) in the event such Indebtedness shall become recourse to the Company or any Restricted Subsidiary that is not a Special Purpose Subsidiary (other than with respect to Special Purpose Financing Undertakings), the related Liens will be deemed to be, and must be classified by the Company as, Incurred at such time (or at the time initially Incurred) under one or more of the other provisions of this “Permitted Liens” definition, for so long as such Indebtedness shall be so recourse; and (3) in the event that at any time thereafter such Indebtedness shall comply with the provisions of the preceding subclause (1), the Company may classify the related Liens in whole or in part as Incurred under this clause (36);</w:t>
      </w:r>
    </w:p>
    <w:p>
      <w:pPr>
        <w:spacing w:after="0" w:line="313" w:lineRule="exact"/>
        <w:rPr>
          <w:rFonts w:ascii="Arial" w:cs="Arial" w:eastAsia="Arial" w:hAnsi="Arial"/>
          <w:sz w:val="19"/>
          <w:szCs w:val="19"/>
          <w:color w:val="auto"/>
        </w:rPr>
      </w:pPr>
    </w:p>
    <w:p>
      <w:pPr>
        <w:ind w:left="1880" w:hanging="575"/>
        <w:spacing w:after="0"/>
        <w:tabs>
          <w:tab w:leader="none" w:pos="18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securing Permitted Vehicle Indebtedness;</w:t>
      </w:r>
    </w:p>
    <w:p>
      <w:pPr>
        <w:spacing w:after="0" w:line="111" w:lineRule="exact"/>
        <w:rPr>
          <w:rFonts w:ascii="Arial" w:cs="Arial" w:eastAsia="Arial" w:hAnsi="Arial"/>
          <w:sz w:val="22"/>
          <w:szCs w:val="22"/>
          <w:color w:val="auto"/>
        </w:rPr>
      </w:pPr>
    </w:p>
    <w:p>
      <w:pPr>
        <w:ind w:left="1880" w:hanging="575"/>
        <w:spacing w:after="0"/>
        <w:tabs>
          <w:tab w:leader="none" w:pos="18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securing the Notes and Guarantees; and</w:t>
      </w:r>
    </w:p>
    <w:p>
      <w:pPr>
        <w:spacing w:after="0" w:line="111" w:lineRule="exact"/>
        <w:rPr>
          <w:rFonts w:ascii="Arial" w:cs="Arial" w:eastAsia="Arial" w:hAnsi="Arial"/>
          <w:sz w:val="22"/>
          <w:szCs w:val="22"/>
          <w:color w:val="auto"/>
        </w:rPr>
      </w:pPr>
    </w:p>
    <w:p>
      <w:pPr>
        <w:ind w:left="1880" w:hanging="575"/>
        <w:spacing w:after="0"/>
        <w:tabs>
          <w:tab w:leader="none" w:pos="18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on receivables and related assets arising in connection with a receivables financing.</w:t>
      </w:r>
    </w:p>
    <w:p>
      <w:pPr>
        <w:spacing w:after="0" w:line="112"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For purposes of this definition,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covenant and such Permitted Lien shall be treated as having been made pursuant only to the clause or clauses of the definition of Permitted Lien to which such Permitted Lien has been classified or reclassified.</w:t>
      </w:r>
    </w:p>
    <w:p>
      <w:pPr>
        <w:spacing w:after="0" w:line="84" w:lineRule="exact"/>
        <w:rPr>
          <w:sz w:val="20"/>
          <w:szCs w:val="20"/>
          <w:color w:val="auto"/>
        </w:rPr>
      </w:pPr>
    </w:p>
    <w:p>
      <w:pPr>
        <w:ind w:right="280" w:firstLine="648"/>
        <w:spacing w:after="0" w:line="247" w:lineRule="auto"/>
        <w:rPr>
          <w:sz w:val="20"/>
          <w:szCs w:val="20"/>
          <w:color w:val="auto"/>
        </w:rPr>
      </w:pPr>
      <w:r>
        <w:rPr>
          <w:rFonts w:ascii="Arial" w:cs="Arial" w:eastAsia="Arial" w:hAnsi="Arial"/>
          <w:sz w:val="22"/>
          <w:szCs w:val="22"/>
          <w:color w:val="auto"/>
        </w:rPr>
        <w:t xml:space="preserve">For purposes of determining compliance with any U.S. dollar-denominated restriction on the incurrence of Liens with respect to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22"/>
          <w:szCs w:val="22"/>
          <w:u w:val="single" w:color="auto"/>
          <w:color w:val="auto"/>
        </w:rPr>
        <w:t>provided</w:t>
      </w:r>
      <w:r>
        <w:rPr>
          <w:rFonts w:ascii="Arial" w:cs="Arial" w:eastAsia="Arial" w:hAnsi="Arial"/>
          <w:sz w:val="22"/>
          <w:szCs w:val="22"/>
          <w:color w:val="auto"/>
        </w:rPr>
        <w:t>, that if such Indebtedness is Incurred to refinance other Indebtedness denominated in a foreign currency, and such refinancing would cause the applicable U.S. dollar-denominated restriction to be exceeded if</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80"/>
          </w:cols>
          <w:pgMar w:left="240" w:top="847" w:right="279" w:bottom="1440" w:gutter="0" w:footer="0" w:header="0"/>
        </w:sectPr>
      </w:pPr>
    </w:p>
    <w:bookmarkStart w:id="101" w:name="page102"/>
    <w:bookmarkEnd w:id="101"/>
    <w:p>
      <w:pPr>
        <w:ind w:right="20"/>
        <w:spacing w:after="0" w:line="248" w:lineRule="auto"/>
        <w:rPr>
          <w:sz w:val="20"/>
          <w:szCs w:val="20"/>
          <w:color w:val="auto"/>
        </w:rPr>
      </w:pPr>
      <w:r>
        <w:rPr>
          <w:rFonts w:ascii="Arial" w:cs="Arial" w:eastAsia="Arial" w:hAnsi="Arial"/>
          <w:sz w:val="22"/>
          <w:szCs w:val="22"/>
          <w:color w:val="auto"/>
        </w:rPr>
        <w:t>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spacing w:after="0" w:line="84"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Notwithstanding any other provision of this definition, the maximum amount of Indebtedness with respect to which the Company or a Restricted Subsidiary may Incur Liens under this definition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9"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Vehicle Indebtedness</w:t>
      </w:r>
      <w:r>
        <w:rPr>
          <w:rFonts w:ascii="Arial" w:cs="Arial" w:eastAsia="Arial" w:hAnsi="Arial"/>
          <w:sz w:val="19"/>
          <w:szCs w:val="19"/>
          <w:color w:val="auto"/>
        </w:rPr>
        <w:t>” means (i) any Indebtedness Incurred in connection with the acquisition, sale, leasing, financing or refinancing of Vehicles and/or related rights (including under leases, manufacturer warranties and buy-back programs, and insurance policies) and/or related assets, including, without limitation, assets that have been transferred to a Special Purpose Entity or made subject to a Lien in a Financing Disposition, and (ii) any refinancing of the Indebtedness under clause (i). The amount of any Permitted Vehicle Indebtedness shall be determined in accordance with the definition of “Indebtedness.”</w:t>
      </w:r>
    </w:p>
    <w:p>
      <w:pPr>
        <w:spacing w:after="0" w:line="39" w:lineRule="exact"/>
        <w:rPr>
          <w:sz w:val="20"/>
          <w:szCs w:val="20"/>
          <w:color w:val="auto"/>
        </w:rPr>
      </w:pPr>
    </w:p>
    <w:p>
      <w:pPr>
        <w:ind w:right="4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78" w:lineRule="exact"/>
        <w:rPr>
          <w:sz w:val="20"/>
          <w:szCs w:val="20"/>
          <w:color w:val="auto"/>
        </w:rPr>
      </w:pPr>
    </w:p>
    <w:p>
      <w:pPr>
        <w:jc w:val="both"/>
        <w:ind w:right="9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78"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Facility</w:t>
      </w:r>
      <w:r>
        <w:rPr>
          <w:rFonts w:ascii="Arial" w:cs="Arial" w:eastAsia="Arial" w:hAnsi="Arial"/>
          <w:sz w:val="21"/>
          <w:szCs w:val="21"/>
          <w:color w:val="auto"/>
        </w:rPr>
        <w:t>” means (i) any airport; marine port; rail, subway, bus or other transit stop, station or terminal; stadium; convention center; or military camp, fort, post or base or (ii) any other facility owned or operated by any nation or government or political subdivision thereof, or agency, authority or other instrumentality of any thereof, or other entity exercising regulatory, administrative or other functions of or pertaining to government, or any organization of nations (including the United Nations, the European Union and the North Atlantic Treaty Organization).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Facility Operator</w:t>
      </w:r>
      <w:r>
        <w:rPr>
          <w:rFonts w:ascii="Arial" w:cs="Arial" w:eastAsia="Arial" w:hAnsi="Arial"/>
          <w:sz w:val="22"/>
          <w:szCs w:val="22"/>
          <w:color w:val="auto"/>
        </w:rPr>
        <w:t>” means a Person that grants or has the power to grant a Vehicle Rental Concession.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47" w:right="239" w:bottom="1440" w:gutter="0" w:footer="0" w:header="0"/>
        </w:sectPr>
      </w:pPr>
    </w:p>
    <w:bookmarkStart w:id="102" w:name="page103"/>
    <w:bookmarkEnd w:id="102"/>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Obligations</w:t>
      </w:r>
      <w:r>
        <w:rPr>
          <w:rFonts w:ascii="Arial" w:cs="Arial" w:eastAsia="Arial" w:hAnsi="Arial"/>
          <w:sz w:val="22"/>
          <w:szCs w:val="22"/>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means any “qualified institutional buyer” as such term is defined in Rule 144A.</w:t>
      </w:r>
    </w:p>
    <w:p>
      <w:pPr>
        <w:spacing w:after="0" w:line="112"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means (1) each of Moody’s and S&amp;P, and (2) if Moody’s or S&amp;P ceases to rate the Notes for reasons outside of the Company’s control, a Nationally Recognized Statistical Rating Organization selected by the Company or any parent of the Company as a replacement agency for Moody’s or S&amp;P, as the case may be.</w:t>
      </w:r>
    </w:p>
    <w:p>
      <w:pPr>
        <w:spacing w:after="0" w:line="78" w:lineRule="exact"/>
        <w:rPr>
          <w:sz w:val="20"/>
          <w:szCs w:val="20"/>
          <w:color w:val="auto"/>
        </w:rPr>
      </w:pPr>
    </w:p>
    <w:p>
      <w:pPr>
        <w:ind w:right="34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Ratings Decline Period</w:t>
      </w:r>
      <w:r>
        <w:rPr>
          <w:rFonts w:ascii="Arial" w:cs="Arial" w:eastAsia="Arial" w:hAnsi="Arial"/>
          <w:sz w:val="21"/>
          <w:szCs w:val="21"/>
          <w:color w:val="auto"/>
        </w:rPr>
        <w:t xml:space="preserve">” means the period that (i) begins on the earlier of (a) a Change of Control or (b) the first public notice of the intention by the Company to affect a Change of Control and (ii) ends 60 days following the consummation of such Change of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period will be extended so long as the rating of the Notes is under publicly announced consideration for a possible downgrade by either of the Rating Agencies.</w:t>
      </w:r>
    </w:p>
    <w:p>
      <w:pPr>
        <w:spacing w:after="0" w:line="6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Ratings Event</w:t>
      </w:r>
      <w:r>
        <w:rPr>
          <w:rFonts w:ascii="Arial" w:cs="Arial" w:eastAsia="Arial" w:hAnsi="Arial"/>
          <w:sz w:val="19"/>
          <w:szCs w:val="19"/>
          <w:color w:val="auto"/>
        </w:rPr>
        <w:t>” means (x)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(y) the Notes do not have an Investment Grade Status from any Rating Agency.</w:t>
      </w:r>
    </w:p>
    <w:p>
      <w:pPr>
        <w:spacing w:after="0" w:line="35" w:lineRule="exact"/>
        <w:rPr>
          <w:sz w:val="20"/>
          <w:szCs w:val="20"/>
          <w:color w:val="auto"/>
        </w:rPr>
      </w:pPr>
    </w:p>
    <w:p>
      <w:pPr>
        <w:jc w:val="both"/>
        <w:ind w:right="28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Refinance</w:t>
      </w:r>
      <w:r>
        <w:rPr>
          <w:rFonts w:ascii="Arial" w:cs="Arial" w:eastAsia="Arial" w:hAnsi="Arial"/>
          <w:sz w:val="21"/>
          <w:szCs w:val="21"/>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21"/>
          <w:szCs w:val="21"/>
          <w:u w:val="single" w:color="auto"/>
          <w:color w:val="auto"/>
        </w:rPr>
        <w:t>refinances,</w:t>
      </w:r>
      <w:r>
        <w:rPr>
          <w:rFonts w:ascii="Arial" w:cs="Arial" w:eastAsia="Arial" w:hAnsi="Arial"/>
          <w:sz w:val="21"/>
          <w:szCs w:val="21"/>
          <w:color w:val="auto"/>
        </w:rPr>
        <w:t>” “</w:t>
      </w:r>
      <w:r>
        <w:rPr>
          <w:rFonts w:ascii="Arial" w:cs="Arial" w:eastAsia="Arial" w:hAnsi="Arial"/>
          <w:sz w:val="21"/>
          <w:szCs w:val="21"/>
          <w:u w:val="single" w:color="auto"/>
          <w:color w:val="auto"/>
        </w:rPr>
        <w:t>refinanced</w:t>
      </w:r>
      <w:r>
        <w:rPr>
          <w:rFonts w:ascii="Arial" w:cs="Arial" w:eastAsia="Arial" w:hAnsi="Arial"/>
          <w:sz w:val="21"/>
          <w:szCs w:val="21"/>
          <w:color w:val="auto"/>
        </w:rPr>
        <w:t>” and “</w:t>
      </w:r>
      <w:r>
        <w:rPr>
          <w:rFonts w:ascii="Arial" w:cs="Arial" w:eastAsia="Arial" w:hAnsi="Arial"/>
          <w:sz w:val="21"/>
          <w:szCs w:val="21"/>
          <w:u w:val="single" w:color="auto"/>
          <w:color w:val="auto"/>
        </w:rPr>
        <w:t>refinancing</w:t>
      </w:r>
      <w:r>
        <w:rPr>
          <w:rFonts w:ascii="Arial" w:cs="Arial" w:eastAsia="Arial" w:hAnsi="Arial"/>
          <w:sz w:val="21"/>
          <w:szCs w:val="21"/>
          <w:color w:val="auto"/>
        </w:rPr>
        <w:t>” as used for any purpose in this Indenture shall have a correlative meaning.</w:t>
      </w:r>
    </w:p>
    <w:p>
      <w:pPr>
        <w:spacing w:after="0" w:line="6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39" w:lineRule="exact"/>
        <w:rPr>
          <w:sz w:val="20"/>
          <w:szCs w:val="20"/>
          <w:color w:val="auto"/>
        </w:rPr>
      </w:pPr>
    </w:p>
    <w:p>
      <w:pPr>
        <w:ind w:left="660" w:firstLine="645"/>
        <w:spacing w:after="0" w:line="271" w:lineRule="auto"/>
        <w:tabs>
          <w:tab w:leader="none" w:pos="177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if the Indebtedness being refinanced is Subordinated Indebtedness, such Refinancing Indebtedness has a Stated Maturity at the time such Refinancing Indebtedness is Incurred which is not less than the remaining Stated Maturity of the Indebtedness, Disqualified Stock or Preferred Stock being refunded or refinanced;</w:t>
      </w:r>
    </w:p>
    <w:p>
      <w:pPr>
        <w:spacing w:after="0" w:line="59" w:lineRule="exact"/>
        <w:rPr>
          <w:rFonts w:ascii="Arial" w:cs="Arial" w:eastAsia="Arial" w:hAnsi="Arial"/>
          <w:sz w:val="21"/>
          <w:szCs w:val="21"/>
          <w:color w:val="auto"/>
        </w:rPr>
      </w:pPr>
    </w:p>
    <w:p>
      <w:pPr>
        <w:ind w:left="1780" w:hanging="475"/>
        <w:spacing w:after="0"/>
        <w:tabs>
          <w:tab w:leader="none" w:pos="17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Refinancing Indebtedness shall not include:</w:t>
      </w:r>
    </w:p>
    <w:p>
      <w:pPr>
        <w:spacing w:after="0" w:line="111" w:lineRule="exact"/>
        <w:rPr>
          <w:rFonts w:ascii="Arial" w:cs="Arial" w:eastAsia="Arial" w:hAnsi="Arial"/>
          <w:sz w:val="22"/>
          <w:szCs w:val="22"/>
          <w:color w:val="auto"/>
        </w:rPr>
      </w:pPr>
    </w:p>
    <w:p>
      <w:pPr>
        <w:ind w:left="1300" w:right="520" w:firstLine="653"/>
        <w:spacing w:after="0" w:line="253" w:lineRule="auto"/>
        <w:tabs>
          <w:tab w:leader="none" w:pos="240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Indebtedness, Disqualified Stock or Preferred Stock of a Subsidiary of the Company that is not a Subsidiary Guarantor that refinances Indebtedness, Disqualified Stock or Preferred Stock of the Company or a Subsidiary Guarantor; or</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380"/>
          </w:cols>
          <w:pgMar w:left="240" w:top="847" w:right="279" w:bottom="1440" w:gutter="0" w:footer="0" w:header="0"/>
        </w:sectPr>
      </w:pPr>
    </w:p>
    <w:bookmarkStart w:id="103" w:name="page104"/>
    <w:bookmarkEnd w:id="103"/>
    <w:p>
      <w:pPr>
        <w:ind w:left="1300" w:right="400" w:firstLine="653"/>
        <w:spacing w:after="0" w:line="341" w:lineRule="auto"/>
        <w:tabs>
          <w:tab w:leader="none" w:pos="2416"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the Company or a Restricted Subsidiary that refinances Indebtedness, Disqualified Stock or Preferred Stock of an Unrestricted Subsidiary; and</w:t>
      </w:r>
    </w:p>
    <w:p>
      <w:pPr>
        <w:ind w:left="660" w:right="180" w:firstLine="645"/>
        <w:spacing w:after="0" w:line="265" w:lineRule="auto"/>
        <w:tabs>
          <w:tab w:leader="none" w:pos="177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such Refinancing Indebtedness has an aggregate principal amount (or if Incurred with original issue discount, an aggregate issue price) that is equal to or less than the aggregate principal amount (or if Incurred with original issue discount, the aggregate accreted value) then outstanding (plus fees, underwriting discounts and expenses, including any premium and defeasance costs) under the Indebtedness being refinanced.</w:t>
      </w:r>
    </w:p>
    <w:p>
      <w:pPr>
        <w:spacing w:after="0" w:line="68"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Refinancing Indebtedness in respect of any Credit Facility or any other Indebtedness may be Incurred from time to time after the termination, discharge or repayment of any such Credit Facility or other Indebtedness.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under the Securities Act.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S-X</w:t>
      </w:r>
      <w:r>
        <w:rPr>
          <w:rFonts w:ascii="Arial" w:cs="Arial" w:eastAsia="Arial" w:hAnsi="Arial"/>
          <w:sz w:val="22"/>
          <w:szCs w:val="22"/>
          <w:color w:val="auto"/>
        </w:rPr>
        <w:t>” means Regulation S-X under the Securities Act.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Taxes</w:t>
      </w:r>
      <w:r>
        <w:rPr>
          <w:rFonts w:ascii="Arial" w:cs="Arial" w:eastAsia="Arial" w:hAnsi="Arial"/>
          <w:sz w:val="19"/>
          <w:szCs w:val="19"/>
          <w:color w:val="auto"/>
        </w:rPr>
        <w:t>” means any and all Taxes required to be paid by any Parent Entity other than Taxes directly attributable to</w:t>
      </w:r>
    </w:p>
    <w:p>
      <w:pPr>
        <w:spacing w:after="0" w:line="56" w:lineRule="exact"/>
        <w:rPr>
          <w:sz w:val="20"/>
          <w:szCs w:val="20"/>
          <w:color w:val="auto"/>
        </w:rPr>
      </w:pPr>
    </w:p>
    <w:p>
      <w:pPr>
        <w:ind w:right="120" w:firstLine="8"/>
        <w:spacing w:after="0" w:line="302" w:lineRule="auto"/>
        <w:tabs>
          <w:tab w:leader="none" w:pos="25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income of any entity other than any Parent Entity, the Company or any of its Subsidiaries, (ii) owning stock or other equity interests of any corporation or other entity other than any Parent Entity, the Company or any of its Subsidiaries or (iii) withholding taxes on payments actually made by any Parent Entity other than to another Parent Entity, the Company or any of its Subsidiaries.</w:t>
      </w:r>
    </w:p>
    <w:p>
      <w:pPr>
        <w:spacing w:after="0" w:line="35"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Rental Vehicles</w:t>
      </w:r>
      <w:r>
        <w:rPr>
          <w:rFonts w:ascii="Arial" w:cs="Arial" w:eastAsia="Arial" w:hAnsi="Arial"/>
          <w:sz w:val="22"/>
          <w:szCs w:val="22"/>
          <w:color w:val="auto"/>
        </w:rPr>
        <w:t>” means all Vehicles owned by or leased to the Company or any Subsidiary that are or have been offered for lease or rental by any of the Company and its Restricted Subsidiaries in their vehicle rental operations (and not, for the avoidance of doubt, in connection with any business or operations involving the leasing or renting of other types of Vehicles), including any such Vehicles being held for sale.</w:t>
      </w:r>
    </w:p>
    <w:p>
      <w:pPr>
        <w:spacing w:after="0" w:line="8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any officer with the corporate trust department of the Trustee (or any successor group of the Trustee) who shall have direct responsibility for the administration of this Indenture and also means, with respect to a particular corporate trust matter, any other officer to whom such matter is referred because of such person’s knowledge of and familiarity with the particular subject.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means any Investment other than a Permitted Investment.</w:t>
      </w:r>
    </w:p>
    <w:p>
      <w:pPr>
        <w:spacing w:after="0" w:line="112" w:lineRule="exact"/>
        <w:rPr>
          <w:sz w:val="20"/>
          <w:szCs w:val="20"/>
          <w:color w:val="auto"/>
        </w:rPr>
      </w:pPr>
    </w:p>
    <w:p>
      <w:pPr>
        <w:ind w:right="1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w:t>
      </w:r>
      <w:r>
        <w:rPr>
          <w:rFonts w:ascii="Arial" w:cs="Arial" w:eastAsia="Arial" w:hAnsi="Arial"/>
          <w:sz w:val="22"/>
          <w:szCs w:val="22"/>
          <w:color w:val="auto"/>
        </w:rPr>
        <w:t xml:space="preserve">” means Initial Notes and Additional Notes bearing one of the restrictive legends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 Legend</w:t>
      </w:r>
      <w:r>
        <w:rPr>
          <w:rFonts w:ascii="Arial" w:cs="Arial" w:eastAsia="Arial" w:hAnsi="Arial"/>
          <w:sz w:val="22"/>
          <w:szCs w:val="22"/>
          <w:color w:val="auto"/>
        </w:rPr>
        <w:t xml:space="preserve">” means the legend set forth in </w:t>
      </w:r>
      <w:r>
        <w:rPr>
          <w:rFonts w:ascii="Arial" w:cs="Arial" w:eastAsia="Arial" w:hAnsi="Arial"/>
          <w:sz w:val="22"/>
          <w:szCs w:val="22"/>
          <w:u w:val="single" w:color="auto"/>
          <w:color w:val="auto"/>
        </w:rPr>
        <w:t>Section 2.1(d)(1)</w:t>
      </w:r>
      <w:r>
        <w:rPr>
          <w:rFonts w:ascii="Arial" w:cs="Arial" w:eastAsia="Arial" w:hAnsi="Arial"/>
          <w:sz w:val="22"/>
          <w:szCs w:val="22"/>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the Company other than an Unrestricted Subsidiary.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under the Securities Act.</w:t>
      </w:r>
    </w:p>
    <w:p>
      <w:pPr>
        <w:spacing w:after="0" w:line="112"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Investors Ratings Services or any of its successors or assigns that is a Nationally Recognized Statistical Rating Organization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47" w:right="239" w:bottom="1440" w:gutter="0" w:footer="0" w:header="0"/>
        </w:sectPr>
      </w:pPr>
    </w:p>
    <w:bookmarkStart w:id="104" w:name="page105"/>
    <w:bookmarkEnd w:id="104"/>
    <w:p>
      <w:pPr>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78"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Screened Affiliate</w:t>
      </w:r>
      <w:r>
        <w:rPr>
          <w:rFonts w:ascii="Arial" w:cs="Arial" w:eastAsia="Arial" w:hAnsi="Arial"/>
          <w:sz w:val="19"/>
          <w:szCs w:val="19"/>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thereto.</w:t>
      </w:r>
    </w:p>
    <w:p>
      <w:pPr>
        <w:spacing w:after="0" w:line="112"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pacing w:after="0" w:line="67" w:lineRule="exact"/>
        <w:rPr>
          <w:sz w:val="20"/>
          <w:szCs w:val="20"/>
          <w:color w:val="auto"/>
        </w:rPr>
      </w:pPr>
    </w:p>
    <w:p>
      <w:pPr>
        <w:ind w:righ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Transactions</w:t>
      </w:r>
      <w:r>
        <w:rPr>
          <w:rFonts w:ascii="Arial" w:cs="Arial" w:eastAsia="Arial" w:hAnsi="Arial"/>
          <w:sz w:val="19"/>
          <w:szCs w:val="19"/>
          <w:color w:val="auto"/>
        </w:rPr>
        <w:t>” means the Separation and Distribution Agreement, dated as of July 27, 2006 (as amended, modified or supplemented in accordance with its terms), among Avis Budget Group, Inc., Realogy Corporation, Wyndham Worldwide Corporation and Travelport Inc., and all transactions, agreements and arrangements related thereto.</w:t>
      </w:r>
    </w:p>
    <w:p>
      <w:pPr>
        <w:spacing w:after="0" w:line="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Derivative Instrument</w:t>
      </w:r>
      <w:r>
        <w:rPr>
          <w:rFonts w:ascii="Arial" w:cs="Arial" w:eastAsia="Arial" w:hAnsi="Arial"/>
          <w:sz w:val="22"/>
          <w:szCs w:val="2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80" w:lineRule="exact"/>
        <w:rPr>
          <w:sz w:val="20"/>
          <w:szCs w:val="20"/>
          <w:color w:val="auto"/>
        </w:rPr>
      </w:pPr>
    </w:p>
    <w:p>
      <w:pPr>
        <w:ind w:right="2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Restricted Subsidiary that would be a “significant subsidiary” as defined in Article 1, Rule 1-02 of Regulation S-X, promulgated pursuant to the Securities Act, as such regulation is in effect on the Issue Date.</w:t>
      </w:r>
    </w:p>
    <w:p>
      <w:pPr>
        <w:ind w:right="1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means (a) any businesses, services or activities engaged in by the Company or any of its Subsidiaries or any Associates on the Issue Date and (b) any businesses, services and activities engaged in by the Company or any of its Subsidiaries or any Associates that are related, complementary, synergistic, incidental, ancillary or similar to any of the foregoing or are extensions or developments of any thereof.</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Entity</w:t>
      </w:r>
      <w:r>
        <w:rPr>
          <w:rFonts w:ascii="Arial" w:cs="Arial" w:eastAsia="Arial" w:hAnsi="Arial"/>
          <w:sz w:val="19"/>
          <w:szCs w:val="19"/>
          <w:color w:val="auto"/>
        </w:rPr>
        <w:t>” means (x) any Special Purpose Subsidiary, (y) any other Person that is engaged in the business of</w:t>
      </w:r>
    </w:p>
    <w:p>
      <w:pPr>
        <w:spacing w:after="0" w:line="56" w:lineRule="exact"/>
        <w:rPr>
          <w:sz w:val="20"/>
          <w:szCs w:val="20"/>
          <w:color w:val="auto"/>
        </w:rPr>
      </w:pPr>
    </w:p>
    <w:p>
      <w:pPr>
        <w:ind w:right="180" w:firstLine="8"/>
        <w:spacing w:after="0" w:line="244" w:lineRule="auto"/>
        <w:tabs>
          <w:tab w:leader="none" w:pos="25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acquiring, selling, collecting, financing or refinancing receivables, accounts (as defined in the Uniform Commercial Code as in effect in any jurisdiction from time to time), other accounts and/or other receivables, and/or related assets, and/or (ii) acquiring, selling, leasing, financing or refinancing Vehicles, and/or related rights (including under leases, manufacturer warranties and buy-back programs, and insurance policies)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47" w:right="239" w:bottom="1440" w:gutter="0" w:footer="0" w:header="0"/>
        </w:sectPr>
      </w:pPr>
    </w:p>
    <w:bookmarkStart w:id="105" w:name="page106"/>
    <w:bookmarkEnd w:id="105"/>
    <w:p>
      <w:pPr>
        <w:ind w:right="440"/>
        <w:spacing w:after="0" w:line="263" w:lineRule="auto"/>
        <w:rPr>
          <w:sz w:val="20"/>
          <w:szCs w:val="20"/>
          <w:color w:val="auto"/>
        </w:rPr>
      </w:pPr>
      <w:r>
        <w:rPr>
          <w:rFonts w:ascii="Arial" w:cs="Arial" w:eastAsia="Arial" w:hAnsi="Arial"/>
          <w:sz w:val="22"/>
          <w:szCs w:val="22"/>
          <w:color w:val="auto"/>
        </w:rPr>
        <w:t>and/or assets (including managing, exercising and disposing of any such rights and/or assets) or (z) any successor of any of the foregoing.</w:t>
      </w:r>
    </w:p>
    <w:p>
      <w:pPr>
        <w:spacing w:after="0" w:line="67"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w:t>
      </w:r>
      <w:r>
        <w:rPr>
          <w:rFonts w:ascii="Arial" w:cs="Arial" w:eastAsia="Arial" w:hAnsi="Arial"/>
          <w:sz w:val="22"/>
          <w:szCs w:val="22"/>
          <w:color w:val="auto"/>
        </w:rPr>
        <w:t>” means any financing or refinancing of assets consisting of or including receivables or Vehicles of the Company or any Restricted Subsidiary that have been transferred to a Special Purpose Entity or made subject to a Lien in a Financing Disposition.</w:t>
      </w:r>
    </w:p>
    <w:p>
      <w:pPr>
        <w:spacing w:after="0" w:line="78"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 Fees</w:t>
      </w:r>
      <w:r>
        <w:rPr>
          <w:rFonts w:ascii="Arial" w:cs="Arial" w:eastAsia="Arial" w:hAnsi="Arial"/>
          <w:sz w:val="22"/>
          <w:szCs w:val="22"/>
          <w:color w:val="auto"/>
        </w:rPr>
        <w:t>” means distributions or payments made directly or by means of discounts with respect to any participation interest issued or sold in connection with, and other fees paid to a Person that is not a Restricted Subsidiary in connection with, any Special Purpose Financing.</w:t>
      </w:r>
    </w:p>
    <w:p>
      <w:pPr>
        <w:spacing w:after="0" w:line="78"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Financing Undertakings</w:t>
      </w:r>
      <w:r>
        <w:rPr>
          <w:rFonts w:ascii="Arial" w:cs="Arial" w:eastAsia="Arial" w:hAnsi="Arial"/>
          <w:sz w:val="19"/>
          <w:szCs w:val="19"/>
          <w:color w:val="auto"/>
        </w:rPr>
        <w:t xml:space="preserve">” means representations, warranties, covenants, indemnities, guarantees of performance and (subject to clause (b) of the proviso below) other agreements and undertakings entered into or provided by the Company or any of its Restricted Subsidiaries that the Company determines in good faith (which determination shall be conclusive) are customary or otherwise necessary or advisable in connection with a Special Purpose Financing or a Financing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it is understood that Special Purpose Financing Undertakings may consist of or include (i) reimbursement and other obligations in respect of notes, letters of credit, surety bonds and similar instruments provided for credit enhancement purposes or (ii) Hedging Obligations entered into by the Company or any Restricted Subsidiary, in respect of any Special Purpose Financing or Financing Disposition, and (b) subject to the preceding clause (a), any such other agreements and undertakings shall not include any Guarantee of Indebtedness of a Special Purpose Subsidiary by the Company or a Restricted Subsidiary that is not a Special Purpose Subsidiary.</w:t>
      </w:r>
    </w:p>
    <w:p>
      <w:pPr>
        <w:spacing w:after="0" w:line="306"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Purpose Subsidiary</w:t>
      </w:r>
      <w:r>
        <w:rPr>
          <w:rFonts w:ascii="Arial" w:cs="Arial" w:eastAsia="Arial" w:hAnsi="Arial"/>
          <w:sz w:val="21"/>
          <w:szCs w:val="21"/>
          <w:color w:val="auto"/>
        </w:rPr>
        <w:t>” means a Subsidiary of the Company that is engaged solely in (x) the business of (i) acquiring, selling, collecting, financing or refinancing receivables, accounts (as defined in the Uniform Commercial Code as in effect in any jurisdiction from time to time) and other accounts and receivables (including any thereof constituting or evidenced by chattel paper, instruments or general intangibles), all proceeds thereof and all rights (contractual and other), collateral and other assets relating thereto, and/or (ii) acquiring, selling, leasing, financing or refinancing Vehicles, and/or related rights (including under leases, manufacturer warranties and buy-back programs, and insurance policies) and/or assets (including managing, exercising and disposing of any such rights and/or assets), all proceeds thereof and all rights (contractual and other), collateral and other assets relating thereto, and (y) any business or activities incidental or related to such business, which shall, for greater certainty, include any Canadian Securitization Entity.</w:t>
      </w:r>
    </w:p>
    <w:p>
      <w:pPr>
        <w:spacing w:after="0" w:line="72"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80" w:lineRule="exact"/>
        <w:rPr>
          <w:sz w:val="20"/>
          <w:szCs w:val="20"/>
          <w:color w:val="auto"/>
        </w:rPr>
      </w:pPr>
    </w:p>
    <w:p>
      <w:pPr>
        <w:ind w:right="20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with respect to any Person, any Indebtedness (whether outstanding on the Issue Date or thereafter Incurred) which is expressly subordinated in right of payment to the Notes pursuant to a written agreement.</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47" w:right="239" w:bottom="1440" w:gutter="0" w:footer="0" w:header="0"/>
        </w:sectPr>
      </w:pPr>
    </w:p>
    <w:bookmarkStart w:id="106" w:name="page107"/>
    <w:bookmarkEnd w:id="10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w:t>
      </w:r>
    </w:p>
    <w:p>
      <w:pPr>
        <w:spacing w:after="0" w:line="112" w:lineRule="exact"/>
        <w:rPr>
          <w:sz w:val="20"/>
          <w:szCs w:val="20"/>
          <w:color w:val="auto"/>
        </w:rPr>
      </w:pPr>
    </w:p>
    <w:p>
      <w:pPr>
        <w:jc w:val="both"/>
        <w:ind w:left="660" w:right="120" w:firstLine="645"/>
        <w:spacing w:after="0" w:line="263" w:lineRule="auto"/>
        <w:tabs>
          <w:tab w:leader="none" w:pos="177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67" w:lineRule="exact"/>
        <w:rPr>
          <w:rFonts w:ascii="Arial" w:cs="Arial" w:eastAsia="Arial" w:hAnsi="Arial"/>
          <w:sz w:val="21"/>
          <w:szCs w:val="21"/>
          <w:color w:val="auto"/>
        </w:rPr>
      </w:pPr>
    </w:p>
    <w:p>
      <w:pPr>
        <w:ind w:left="1780" w:hanging="475"/>
        <w:spacing w:after="0"/>
        <w:tabs>
          <w:tab w:leader="none" w:pos="17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or similar entity of which:</w:t>
      </w:r>
    </w:p>
    <w:p>
      <w:pPr>
        <w:spacing w:after="0" w:line="111" w:lineRule="exact"/>
        <w:rPr>
          <w:rFonts w:ascii="Arial" w:cs="Arial" w:eastAsia="Arial" w:hAnsi="Arial"/>
          <w:sz w:val="22"/>
          <w:szCs w:val="22"/>
          <w:color w:val="auto"/>
        </w:rPr>
      </w:pPr>
    </w:p>
    <w:p>
      <w:pPr>
        <w:ind w:left="1300" w:right="40" w:firstLine="653"/>
        <w:spacing w:after="0" w:line="250" w:lineRule="auto"/>
        <w:tabs>
          <w:tab w:leader="none" w:pos="2404" w:val="left"/>
        </w:tabs>
        <w:numPr>
          <w:ilvl w:val="1"/>
          <w:numId w:val="111"/>
        </w:numPr>
        <w:rPr>
          <w:rFonts w:ascii="Arial" w:cs="Arial" w:eastAsia="Arial" w:hAnsi="Arial"/>
          <w:sz w:val="22"/>
          <w:szCs w:val="22"/>
          <w:color w:val="auto"/>
        </w:rPr>
      </w:pPr>
      <w:r>
        <w:rPr>
          <w:rFonts w:ascii="Arial" w:cs="Arial" w:eastAsia="Arial" w:hAnsi="Arial"/>
          <w:sz w:val="22"/>
          <w:szCs w:val="22"/>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80" w:lineRule="exact"/>
        <w:rPr>
          <w:rFonts w:ascii="Arial" w:cs="Arial" w:eastAsia="Arial" w:hAnsi="Arial"/>
          <w:sz w:val="22"/>
          <w:szCs w:val="22"/>
          <w:color w:val="auto"/>
        </w:rPr>
      </w:pPr>
    </w:p>
    <w:p>
      <w:pPr>
        <w:ind w:left="2420" w:hanging="467"/>
        <w:spacing w:after="0"/>
        <w:tabs>
          <w:tab w:leader="none" w:pos="242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w:t>
      </w:r>
    </w:p>
    <w:p>
      <w:pPr>
        <w:spacing w:after="0" w:line="5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94"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Guarantee</w:t>
      </w:r>
      <w:r>
        <w:rPr>
          <w:rFonts w:ascii="Arial" w:cs="Arial" w:eastAsia="Arial" w:hAnsi="Arial"/>
          <w:sz w:val="22"/>
          <w:szCs w:val="22"/>
          <w:color w:val="auto"/>
        </w:rPr>
        <w:t>” means any guarantee that may from time to time be entered into by a Restricted Subsidiary of the Company on or after the Issue Date.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Restricted Subsidiary that Guarantees the Notes.</w:t>
      </w:r>
    </w:p>
    <w:p>
      <w:pPr>
        <w:spacing w:after="0" w:line="112"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and future taxes, levies, imposts, deductions, charges, assessments, duties and withholdings and any charges of a similar nature (including interest, penalties and other liabilities with respect thereto) that are imposed by any government or other taxing authority, including but not limited to income, sales, use, transfer, rental, ad valorem, value-added, stamp, property consumption, franchise, license, capital, net worth, gross receipts, excise, occupancy, intangibles or similar tax, charges or assessments.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TIA</w:t>
      </w:r>
      <w:r>
        <w:rPr>
          <w:rFonts w:ascii="Arial" w:cs="Arial" w:eastAsia="Arial" w:hAnsi="Arial"/>
          <w:sz w:val="22"/>
          <w:szCs w:val="22"/>
          <w:color w:val="auto"/>
        </w:rPr>
        <w:t>” means the Trust Indenture Act of 1939, as amended.</w:t>
      </w:r>
    </w:p>
    <w:p>
      <w:pPr>
        <w:spacing w:after="0" w:line="112" w:lineRule="exact"/>
        <w:rPr>
          <w:sz w:val="20"/>
          <w:szCs w:val="20"/>
          <w:color w:val="auto"/>
        </w:rPr>
      </w:pPr>
    </w:p>
    <w:p>
      <w:pPr>
        <w:ind w:right="32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means, as of any date, the total consolidated assets of the Company and its Subsidiaries on a consolidated basis, as shown on the most recent consolidated balance sheet of the Company and its Subsidiaries, determined on a pro forma basis in a manner consistent with the pro forma basis contained in the definition of Fixed Charge Coverage Ratio.</w:t>
      </w:r>
    </w:p>
    <w:p>
      <w:pPr>
        <w:spacing w:after="0" w:line="2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any fees or expenses incurred or paid by any Parent Entity, the Company or any Restricted Subsidiary in connection with the Transactions.</w:t>
      </w:r>
    </w:p>
    <w:p>
      <w:pPr>
        <w:spacing w:after="0" w:line="67"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issuance of the Notes, repayment of existing indebtedness with the proceeds of the Notes and other related transactions.</w:t>
      </w:r>
    </w:p>
    <w:p>
      <w:pPr>
        <w:spacing w:after="0" w:line="67" w:lineRule="exact"/>
        <w:rPr>
          <w:sz w:val="20"/>
          <w:szCs w:val="20"/>
          <w:color w:val="auto"/>
        </w:rPr>
      </w:pPr>
    </w:p>
    <w:p>
      <w:pPr>
        <w:ind w:right="9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any Person authorized by the Company to effect the transfer of any Note on behalf of the Company.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00"/>
          </w:cols>
          <w:pgMar w:left="240" w:top="847" w:right="259" w:bottom="1440" w:gutter="0" w:footer="0" w:header="0"/>
        </w:sectPr>
      </w:pPr>
    </w:p>
    <w:bookmarkStart w:id="107" w:name="page108"/>
    <w:bookmarkEnd w:id="107"/>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means the party named as such in this Indenture until a successor replaces it and, thereafter, means the successor.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112" w:lineRule="exact"/>
        <w:rPr>
          <w:sz w:val="20"/>
          <w:szCs w:val="20"/>
          <w:color w:val="auto"/>
        </w:rPr>
      </w:pPr>
    </w:p>
    <w:p>
      <w:pPr>
        <w:ind w:left="660" w:right="220" w:firstLine="645"/>
        <w:spacing w:after="0" w:line="263" w:lineRule="auto"/>
        <w:tabs>
          <w:tab w:leader="none" w:pos="177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Subsidiary of the Company that at the time of determination is an Unrestricted Subsidiary (as designated by the Company in the manner provided below);</w:t>
      </w:r>
    </w:p>
    <w:p>
      <w:pPr>
        <w:spacing w:after="0" w:line="66" w:lineRule="exact"/>
        <w:rPr>
          <w:rFonts w:ascii="Arial" w:cs="Arial" w:eastAsia="Arial" w:hAnsi="Arial"/>
          <w:sz w:val="22"/>
          <w:szCs w:val="22"/>
          <w:color w:val="auto"/>
        </w:rPr>
      </w:pPr>
    </w:p>
    <w:p>
      <w:pPr>
        <w:ind w:left="1780" w:hanging="475"/>
        <w:spacing w:after="0"/>
        <w:tabs>
          <w:tab w:leader="none" w:pos="17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Special Purpose Subsidiary that is designated by the Board of Directors in the manner provided below; and</w:t>
      </w:r>
    </w:p>
    <w:p>
      <w:pPr>
        <w:spacing w:after="0" w:line="146" w:lineRule="exact"/>
        <w:rPr>
          <w:rFonts w:ascii="Arial" w:cs="Arial" w:eastAsia="Arial" w:hAnsi="Arial"/>
          <w:sz w:val="19"/>
          <w:szCs w:val="19"/>
          <w:color w:val="auto"/>
        </w:rPr>
      </w:pPr>
    </w:p>
    <w:p>
      <w:pPr>
        <w:ind w:left="1780" w:hanging="475"/>
        <w:spacing w:after="0"/>
        <w:tabs>
          <w:tab w:leader="none" w:pos="17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112"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78" w:lineRule="exact"/>
        <w:rPr>
          <w:sz w:val="20"/>
          <w:szCs w:val="20"/>
          <w:color w:val="auto"/>
        </w:rPr>
      </w:pPr>
    </w:p>
    <w:p>
      <w:pPr>
        <w:ind w:left="660" w:right="220" w:firstLine="645"/>
        <w:spacing w:after="0" w:line="253" w:lineRule="auto"/>
        <w:tabs>
          <w:tab w:leader="none" w:pos="177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77" w:lineRule="exact"/>
        <w:rPr>
          <w:rFonts w:ascii="Arial" w:cs="Arial" w:eastAsia="Arial" w:hAnsi="Arial"/>
          <w:sz w:val="22"/>
          <w:szCs w:val="22"/>
          <w:color w:val="auto"/>
        </w:rPr>
      </w:pPr>
    </w:p>
    <w:p>
      <w:pPr>
        <w:ind w:left="1780" w:hanging="475"/>
        <w:spacing w:after="0"/>
        <w:tabs>
          <w:tab w:leader="none" w:pos="17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such designation and the Investment of the Company in such Subsidiary complies with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w:t>
      </w:r>
    </w:p>
    <w:p>
      <w:pPr>
        <w:spacing w:after="0" w:line="146"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Obligations</w:t>
      </w:r>
      <w:r>
        <w:rPr>
          <w:rFonts w:ascii="Arial" w:cs="Arial" w:eastAsia="Arial" w:hAnsi="Arial"/>
          <w:sz w:val="19"/>
          <w:szCs w:val="19"/>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52"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 Rental Concession</w:t>
      </w:r>
      <w:r>
        <w:rPr>
          <w:rFonts w:ascii="Arial" w:cs="Arial" w:eastAsia="Arial" w:hAnsi="Arial"/>
          <w:sz w:val="22"/>
          <w:szCs w:val="22"/>
          <w:color w:val="auto"/>
        </w:rPr>
        <w:t>” means any right, whether or not exclusive, to conduct a Vehicle rental business at a Public Facility, or to pick up or discharge persons or otherwise to possess or use all or part of a Public Facility in connection with such a business, and any related rights or interests.</w:t>
      </w:r>
    </w:p>
    <w:p>
      <w:pPr>
        <w:spacing w:after="0" w:line="78"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Vehicle Rental Concession Rights</w:t>
      </w:r>
      <w:r>
        <w:rPr>
          <w:rFonts w:ascii="Arial" w:cs="Arial" w:eastAsia="Arial" w:hAnsi="Arial"/>
          <w:sz w:val="21"/>
          <w:szCs w:val="21"/>
          <w:color w:val="auto"/>
        </w:rPr>
        <w:t>” means any or all of the following: (a) any Vehicle Rental Concession, (b) any rights of the Company or any Restricted Subsidiary thereof under or relating to (i) any law, regulation, license, permit, request for proposals, invitation to bid, lease, agreement or understanding with a Public Facility Operator in connection with which a Vehicle Rental Concession has been or may be granted to the Company or any Restricted Subsidiary and</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00"/>
          </w:cols>
          <w:pgMar w:left="240" w:top="847" w:right="259" w:bottom="1440" w:gutter="0" w:footer="0" w:header="0"/>
        </w:sectPr>
      </w:pPr>
    </w:p>
    <w:bookmarkStart w:id="108" w:name="page109"/>
    <w:bookmarkEnd w:id="108"/>
    <w:p>
      <w:pPr>
        <w:ind w:right="160" w:firstLine="8"/>
        <w:spacing w:after="0" w:line="250" w:lineRule="auto"/>
        <w:tabs>
          <w:tab w:leader="none" w:pos="31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agreement with, or Investment or other interest or participation in, any Person, property or asset required (x) by any such law, ordinance, regulation, license, permit, request for proposals, invitation to bid, lease, agreement or understanding or (y) by any Public Facility Operator as a condition to obtaining or maintaining a Vehicle Rental Concession, and (c) any liabilities or obligations relating to or arising in connection with any of the foregoing.</w:t>
      </w:r>
    </w:p>
    <w:p>
      <w:pPr>
        <w:spacing w:after="0" w:line="80"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Vehicles</w:t>
      </w:r>
      <w:r>
        <w:rPr>
          <w:rFonts w:ascii="Arial" w:cs="Arial" w:eastAsia="Arial" w:hAnsi="Arial"/>
          <w:sz w:val="22"/>
          <w:szCs w:val="22"/>
          <w:color w:val="auto"/>
        </w:rPr>
        <w:t>” means vehicles owned or operated by, or leased or rented to or by, the Company or any of its Subsidiaries, including automobiles, trucks, tractors, trailers, vans, sport utility vehicles, buses, campers, motor homes, motorcycles and other motor vehicles.</w:t>
      </w:r>
    </w:p>
    <w:p>
      <w:pPr>
        <w:spacing w:after="0" w:line="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 Person means all classes of Capital Stock of such Person then outstanding and normally entitled to vote in the election of directors.</w:t>
      </w:r>
    </w:p>
    <w:p>
      <w:pPr>
        <w:spacing w:after="0" w:line="6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Domestic Subsidiary</w:t>
      </w:r>
      <w:r>
        <w:rPr>
          <w:rFonts w:ascii="Arial" w:cs="Arial" w:eastAsia="Arial" w:hAnsi="Arial"/>
          <w:sz w:val="19"/>
          <w:szCs w:val="19"/>
          <w:color w:val="auto"/>
        </w:rPr>
        <w:t>” means a Domestic Subsidiary of the Company, all of the Capital Stock of which (other than directors’ qualifying shares or shares required by any applicable law or regulation to be held by a Person other than the Company or another Domestic Subsidiary) is owned by the Company or another Domestic Subsidiary.</w:t>
      </w:r>
    </w:p>
    <w:p>
      <w:pPr>
        <w:spacing w:after="0" w:line="2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340" w:type="dxa"/>
            <w:vAlign w:val="bottom"/>
            <w:tcBorders>
              <w:top w:val="single" w:sz="8" w:color="auto"/>
              <w:left w:val="single" w:sz="8" w:color="00000A"/>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500" w:type="dxa"/>
            <w:vAlign w:val="bottom"/>
            <w:tcBorders>
              <w:top w:val="single" w:sz="8" w:color="auto"/>
              <w:right w:val="single" w:sz="8" w:color="00000A"/>
            </w:tcBorders>
          </w:tcPr>
          <w:p>
            <w:pPr>
              <w:spacing w:after="0"/>
              <w:rPr>
                <w:sz w:val="24"/>
                <w:szCs w:val="24"/>
                <w:color w:val="auto"/>
              </w:rPr>
            </w:pPr>
          </w:p>
        </w:tc>
        <w:tc>
          <w:tcPr>
            <w:tcW w:w="2720" w:type="dxa"/>
            <w:vAlign w:val="bottom"/>
            <w:tcBorders>
              <w:top w:val="single" w:sz="8" w:color="auto"/>
              <w:right w:val="single" w:sz="8" w:color="00000A"/>
            </w:tcBorders>
          </w:tcPr>
          <w:p>
            <w:pPr>
              <w:ind w:left="860"/>
              <w:spacing w:after="0"/>
              <w:rPr>
                <w:sz w:val="20"/>
                <w:szCs w:val="20"/>
                <w:color w:val="auto"/>
              </w:rPr>
            </w:pPr>
            <w:r>
              <w:rPr>
                <w:rFonts w:ascii="Arial" w:cs="Arial" w:eastAsia="Arial" w:hAnsi="Arial"/>
                <w:sz w:val="22"/>
                <w:szCs w:val="22"/>
                <w:b w:val="1"/>
                <w:bCs w:val="1"/>
                <w:color w:val="auto"/>
              </w:rPr>
              <w:t>Defined in</w:t>
            </w:r>
          </w:p>
        </w:tc>
        <w:tc>
          <w:tcPr>
            <w:tcW w:w="0" w:type="dxa"/>
            <w:vAlign w:val="bottom"/>
          </w:tcPr>
          <w:p>
            <w:pPr>
              <w:spacing w:after="0"/>
              <w:rPr>
                <w:sz w:val="1"/>
                <w:szCs w:val="1"/>
                <w:color w:val="auto"/>
              </w:rPr>
            </w:pPr>
          </w:p>
        </w:tc>
      </w:tr>
      <w:tr>
        <w:trPr>
          <w:trHeight w:val="291"/>
        </w:trPr>
        <w:tc>
          <w:tcPr>
            <w:tcW w:w="8720" w:type="dxa"/>
            <w:vAlign w:val="bottom"/>
            <w:tcBorders>
              <w:left w:val="single" w:sz="8" w:color="00000A"/>
              <w:bottom w:val="single" w:sz="8" w:color="auto"/>
              <w:right w:val="single" w:sz="8" w:color="00000A"/>
            </w:tcBorders>
            <w:gridSpan w:val="16"/>
          </w:tcPr>
          <w:p>
            <w:pPr>
              <w:ind w:left="160"/>
              <w:spacing w:after="0"/>
              <w:rPr>
                <w:sz w:val="20"/>
                <w:szCs w:val="20"/>
                <w:color w:val="auto"/>
              </w:rPr>
            </w:pPr>
            <w:r>
              <w:rPr>
                <w:rFonts w:ascii="Arial" w:cs="Arial" w:eastAsia="Arial" w:hAnsi="Arial"/>
                <w:sz w:val="22"/>
                <w:szCs w:val="22"/>
                <w:color w:val="auto"/>
              </w:rPr>
              <w:t>Term</w:t>
            </w:r>
          </w:p>
        </w:tc>
        <w:tc>
          <w:tcPr>
            <w:tcW w:w="2720" w:type="dxa"/>
            <w:vAlign w:val="bottom"/>
            <w:tcBorders>
              <w:bottom w:val="single" w:sz="8" w:color="auto"/>
              <w:right w:val="single" w:sz="8" w:color="00000A"/>
            </w:tcBorders>
          </w:tcPr>
          <w:p>
            <w:pPr>
              <w:ind w:left="1020"/>
              <w:spacing w:after="0"/>
              <w:rPr>
                <w:sz w:val="20"/>
                <w:szCs w:val="20"/>
                <w:color w:val="auto"/>
              </w:rPr>
            </w:pPr>
            <w:r>
              <w:rPr>
                <w:rFonts w:ascii="Arial" w:cs="Arial" w:eastAsia="Arial" w:hAnsi="Arial"/>
                <w:sz w:val="22"/>
                <w:szCs w:val="22"/>
                <w:b w:val="1"/>
                <w:bCs w:val="1"/>
                <w:color w:val="auto"/>
              </w:rPr>
              <w:t>Section</w:t>
            </w:r>
          </w:p>
        </w:tc>
        <w:tc>
          <w:tcPr>
            <w:tcW w:w="0" w:type="dxa"/>
            <w:vAlign w:val="bottom"/>
          </w:tcPr>
          <w:p>
            <w:pPr>
              <w:spacing w:after="0"/>
              <w:rPr>
                <w:sz w:val="1"/>
                <w:szCs w:val="1"/>
                <w:color w:val="auto"/>
              </w:rPr>
            </w:pPr>
          </w:p>
        </w:tc>
      </w:tr>
      <w:tr>
        <w:trPr>
          <w:trHeight w:val="338"/>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“Additional Interest”</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3.10(c)</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“Additional Restricted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2.1(e)(2)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“Agent Members”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(8.4100)</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“Applicable Premium Deficit”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“Asset Disposition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“Authenticating Agent”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“Change of Control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“Change of Control Payment”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3.9(a)(2)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“Change of Control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20" w:type="dxa"/>
            <w:vAlign w:val="bottom"/>
            <w:tcBorders>
              <w:left w:val="single" w:sz="8" w:color="auto"/>
            </w:tcBorders>
            <w:gridSpan w:val="3"/>
            <w:shd w:val="clear" w:color="auto" w:fill="000000"/>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“Covenant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“Default Direction”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2.15</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“Defaulted Interest”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“Directing Holder”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“Election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“Event of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“Excess Proceeds”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3.5(e)</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“Foreign Disposition”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“Global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10.1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“Guaranteed Obligations”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20" w:type="dxa"/>
            <w:vAlign w:val="bottom"/>
            <w:tcBorders>
              <w:right w:val="single" w:sz="8" w:color="auto"/>
            </w:tcBorders>
            <w:gridSpan w:val="6"/>
            <w:shd w:val="clear" w:color="auto" w:fill="000000"/>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632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6"/>
          </w:tcPr>
          <w:p>
            <w:pPr>
              <w:ind w:left="240"/>
              <w:spacing w:after="0"/>
              <w:rPr>
                <w:sz w:val="20"/>
                <w:szCs w:val="20"/>
                <w:color w:val="auto"/>
              </w:rPr>
            </w:pPr>
            <w:r>
              <w:rPr>
                <w:rFonts w:ascii="Arial" w:cs="Arial" w:eastAsia="Arial" w:hAnsi="Arial"/>
                <w:sz w:val="22"/>
                <w:szCs w:val="22"/>
                <w:color w:val="auto"/>
              </w:rPr>
              <w:t>“Increased Amount”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500" w:type="dxa"/>
            <w:vAlign w:val="bottom"/>
            <w:tcBorders>
              <w:right w:val="single" w:sz="8" w:color="00000A"/>
            </w:tcBorders>
          </w:tcPr>
          <w:p>
            <w:pPr>
              <w:spacing w:after="0"/>
              <w:rPr>
                <w:sz w:val="4"/>
                <w:szCs w:val="4"/>
                <w:color w:val="auto"/>
              </w:rPr>
            </w:pPr>
          </w:p>
        </w:tc>
        <w:tc>
          <w:tcPr>
            <w:tcW w:w="27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847" w:right="219" w:bottom="1440" w:gutter="0" w:footer="0" w:header="0"/>
        </w:sectPr>
      </w:pP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440"/>
          </w:cols>
          <w:pgMar w:left="240" w:top="847" w:right="219" w:bottom="1440" w:gutter="0" w:footer="0" w:header="0"/>
          <w:type w:val="continuous"/>
        </w:sectPr>
      </w:pPr>
    </w:p>
    <w:bookmarkStart w:id="109" w:name="page110"/>
    <w:bookmarkEnd w:id="109"/>
    <w:tbl>
      <w:tblPr>
        <w:tblLayout w:type="fixed"/>
        <w:tblInd w:w="10" w:type="dxa"/>
        <w:tblCellMar>
          <w:top w:w="0" w:type="dxa"/>
          <w:left w:w="0" w:type="dxa"/>
          <w:bottom w:w="0" w:type="dxa"/>
          <w:right w:w="0" w:type="dxa"/>
        </w:tblCellMar>
      </w:tblPr>
      <w:tr>
        <w:trPr>
          <w:trHeight w:val="338"/>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“Initial Default”</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6.3</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“Initial Lien”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“Institutional Accredited Investor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“Institutional Accredited Investor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2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“Issuer Order”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“Legal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12.8</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“Legal Holiday”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“Notes Register”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“Noteholder Direction”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10.2(b)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“Other Guarantee”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“Permitted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“Position Representation”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3"/>
              </w:rPr>
              <w:t>2.11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“protected purchaser”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5.7(a)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“Redemption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“Refunding Capital Stock”</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“Registrar”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“Regulation S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“Regulation S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2.6(b)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“Resale Restriction Termination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3.3(a)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“Restricted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“Restricted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“Reversion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7"/>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“Rule 144A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“Rule 144A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“Special Interest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“Special Record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4.1(a)(1)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“Successor Company”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“Suspended Covenant”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“Suspension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1"/>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3.22(a)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“Terminated Covenants”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940" w:type="dxa"/>
            <w:vAlign w:val="bottom"/>
            <w:tcBorders>
              <w:right w:val="single" w:sz="8" w:color="auto"/>
            </w:tcBorders>
            <w:gridSpan w:val="15"/>
            <w:shd w:val="clear" w:color="auto" w:fill="000000"/>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4"/>
          </w:tcPr>
          <w:p>
            <w:pPr>
              <w:ind w:left="240"/>
              <w:spacing w:after="0"/>
              <w:rPr>
                <w:sz w:val="20"/>
                <w:szCs w:val="20"/>
                <w:color w:val="auto"/>
              </w:rPr>
            </w:pPr>
            <w:r>
              <w:rPr>
                <w:rFonts w:ascii="Arial" w:cs="Arial" w:eastAsia="Arial" w:hAnsi="Arial"/>
                <w:sz w:val="22"/>
                <w:szCs w:val="22"/>
                <w:color w:val="auto"/>
              </w:rPr>
              <w:t>“Verification Covenant”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60" w:type="dxa"/>
            <w:vAlign w:val="bottom"/>
            <w:tcBorders>
              <w:bottom w:val="single" w:sz="8" w:color="auto"/>
              <w:right w:val="single" w:sz="8" w:color="00000A"/>
            </w:tcBorders>
          </w:tcPr>
          <w:p>
            <w:pPr>
              <w:spacing w:after="0"/>
              <w:rPr>
                <w:sz w:val="4"/>
                <w:szCs w:val="4"/>
                <w:color w:val="auto"/>
              </w:rPr>
            </w:pPr>
          </w:p>
        </w:tc>
        <w:tc>
          <w:tcPr>
            <w:tcW w:w="272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Inapplicability of the TIA</w:t>
      </w:r>
      <w:r>
        <w:rPr>
          <w:rFonts w:ascii="Arial" w:cs="Arial" w:eastAsia="Arial" w:hAnsi="Arial"/>
          <w:sz w:val="22"/>
          <w:szCs w:val="22"/>
          <w:color w:val="auto"/>
        </w:rPr>
        <w:t>. No provisions of the TIA are incorporated by reference in or made a part of this Indenture unless explicitly incorporated herein by reference. Unless specifically provided in this Indenture, no terms that are defined in the TIA have the meanings specified therein for purposes of this Indenture.</w:t>
      </w:r>
    </w:p>
    <w:p>
      <w:pPr>
        <w:spacing w:after="0" w:line="7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ectPr>
          <w:pgSz w:w="11900" w:h="16838" w:orient="portrait"/>
          <w:cols w:equalWidth="0" w:num="1">
            <w:col w:w="11440"/>
          </w:cols>
          <w:pgMar w:left="240" w:top="990" w:right="219" w:bottom="892" w:gutter="0" w:footer="0" w:header="0"/>
        </w:sect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440"/>
          </w:cols>
          <w:pgMar w:left="240" w:top="990" w:right="219" w:bottom="892" w:gutter="0" w:footer="0" w:header="0"/>
          <w:type w:val="continuous"/>
        </w:sectPr>
      </w:pPr>
    </w:p>
    <w:bookmarkStart w:id="110" w:name="page111"/>
    <w:bookmarkEnd w:id="110"/>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123" w:lineRule="exact"/>
        <w:rPr>
          <w:rFonts w:ascii="Arial" w:cs="Arial" w:eastAsia="Arial" w:hAnsi="Arial"/>
          <w:sz w:val="21"/>
          <w:szCs w:val="21"/>
          <w:color w:val="auto"/>
        </w:rPr>
      </w:pPr>
    </w:p>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111" w:lineRule="exact"/>
        <w:rPr>
          <w:rFonts w:ascii="Arial" w:cs="Arial" w:eastAsia="Arial" w:hAnsi="Arial"/>
          <w:sz w:val="22"/>
          <w:szCs w:val="22"/>
          <w:color w:val="auto"/>
        </w:rPr>
      </w:pPr>
    </w:p>
    <w:p>
      <w:pPr>
        <w:ind w:left="1780" w:hanging="475"/>
        <w:spacing w:after="0"/>
        <w:tabs>
          <w:tab w:leader="none" w:pos="17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111" w:lineRule="exact"/>
        <w:rPr>
          <w:rFonts w:ascii="Arial" w:cs="Arial" w:eastAsia="Arial" w:hAnsi="Arial"/>
          <w:sz w:val="22"/>
          <w:szCs w:val="22"/>
          <w:color w:val="auto"/>
        </w:rPr>
      </w:pPr>
    </w:p>
    <w:p>
      <w:pPr>
        <w:ind w:left="660" w:right="260" w:firstLine="645"/>
        <w:spacing w:after="0" w:line="341" w:lineRule="auto"/>
        <w:tabs>
          <w:tab w:leader="none" w:pos="177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principal amount of any non-interest bearing or other discount security at any date shall be the principal amount thereof that would be shown on a balance sheet of the issuer dated such date prepared in accordance with GAAP;</w:t>
      </w:r>
    </w:p>
    <w:p>
      <w:pPr>
        <w:jc w:val="both"/>
        <w:ind w:left="660" w:right="100" w:firstLine="645"/>
        <w:spacing w:after="0" w:line="253" w:lineRule="auto"/>
        <w:tabs>
          <w:tab w:leader="none" w:pos="177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77" w:lineRule="exact"/>
        <w:rPr>
          <w:rFonts w:ascii="Arial" w:cs="Arial" w:eastAsia="Arial" w:hAnsi="Arial"/>
          <w:sz w:val="22"/>
          <w:szCs w:val="22"/>
          <w:color w:val="auto"/>
        </w:rPr>
      </w:pPr>
    </w:p>
    <w:p>
      <w:pPr>
        <w:ind w:left="660" w:right="40" w:firstLine="645"/>
        <w:spacing w:after="0" w:line="263" w:lineRule="auto"/>
        <w:tabs>
          <w:tab w:leader="none" w:pos="177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all amounts expressed in this Indenture or in any of the Notes in terms of money refer to the lawful currency of the United States of America;</w:t>
      </w:r>
    </w:p>
    <w:p>
      <w:pPr>
        <w:spacing w:after="0" w:line="66" w:lineRule="exact"/>
        <w:rPr>
          <w:rFonts w:ascii="Arial" w:cs="Arial" w:eastAsia="Arial" w:hAnsi="Arial"/>
          <w:sz w:val="22"/>
          <w:szCs w:val="22"/>
          <w:color w:val="auto"/>
        </w:rPr>
      </w:pPr>
    </w:p>
    <w:p>
      <w:pPr>
        <w:ind w:left="660" w:right="280" w:firstLine="645"/>
        <w:spacing w:after="0" w:line="263" w:lineRule="auto"/>
        <w:tabs>
          <w:tab w:leader="none" w:pos="188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66" w:lineRule="exact"/>
        <w:rPr>
          <w:rFonts w:ascii="Arial" w:cs="Arial" w:eastAsia="Arial" w:hAnsi="Arial"/>
          <w:sz w:val="22"/>
          <w:szCs w:val="22"/>
          <w:color w:val="auto"/>
        </w:rPr>
      </w:pPr>
    </w:p>
    <w:p>
      <w:pPr>
        <w:ind w:left="660" w:right="60" w:firstLine="645"/>
        <w:spacing w:after="0" w:line="248" w:lineRule="auto"/>
        <w:tabs>
          <w:tab w:leader="none" w:pos="187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unless otherwise specifically indicated, the term “consolidation” means the consolidation of the accounts of each of the Restricted Subsidiaries with those of the Company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THE NOTES</w:t>
      </w:r>
    </w:p>
    <w:p>
      <w:pPr>
        <w:spacing w:after="0" w:line="11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Form, Dating and Terms</w:t>
      </w:r>
      <w:r>
        <w:rPr>
          <w:rFonts w:ascii="Arial" w:cs="Arial" w:eastAsia="Arial" w:hAnsi="Arial"/>
          <w:sz w:val="19"/>
          <w:szCs w:val="19"/>
          <w:color w:val="auto"/>
        </w:rPr>
        <w:t>.</w:t>
      </w:r>
    </w:p>
    <w:p>
      <w:pPr>
        <w:spacing w:after="0" w:line="112" w:lineRule="exact"/>
        <w:rPr>
          <w:sz w:val="20"/>
          <w:szCs w:val="20"/>
          <w:color w:val="auto"/>
        </w:rPr>
      </w:pPr>
    </w:p>
    <w:p>
      <w:pPr>
        <w:ind w:firstLine="1305"/>
        <w:spacing w:after="0" w:line="261" w:lineRule="auto"/>
        <w:tabs>
          <w:tab w:leader="none" w:pos="174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The aggregate principal amount of Notes that may be authenticated and delivered under this Indenture is unlimited. The Initial Notes issued on the date hereof will be in an aggregate principal amount of $400,000,000. In addition, the Issuers may issue, from time to time in accordance with the provisions of this Indenture any Additional Notes (as provided herein). Furthermore, Notes may be authenticated and delivered upon registration of transfer, exchange or in lieu of, other Notes pursuant to </w:t>
      </w:r>
      <w:r>
        <w:rPr>
          <w:rFonts w:ascii="Arial" w:cs="Arial" w:eastAsia="Arial" w:hAnsi="Arial"/>
          <w:sz w:val="21"/>
          <w:szCs w:val="21"/>
          <w:u w:val="single" w:color="auto"/>
          <w:color w:val="auto"/>
        </w:rPr>
        <w:t>Sections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9.5</w:t>
      </w:r>
      <w:r>
        <w:rPr>
          <w:rFonts w:ascii="Arial" w:cs="Arial" w:eastAsia="Arial" w:hAnsi="Arial"/>
          <w:sz w:val="21"/>
          <w:szCs w:val="21"/>
          <w:color w:val="auto"/>
        </w:rPr>
        <w:t xml:space="preserve">, in connection with an Asset Disposition Offer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or in connection with a Change of Control Offer pursuant to </w:t>
      </w:r>
      <w:r>
        <w:rPr>
          <w:rFonts w:ascii="Arial" w:cs="Arial" w:eastAsia="Arial" w:hAnsi="Arial"/>
          <w:sz w:val="21"/>
          <w:szCs w:val="21"/>
          <w:u w:val="single" w:color="auto"/>
          <w:color w:val="auto"/>
        </w:rPr>
        <w:t>Section 3.9</w:t>
      </w:r>
      <w:r>
        <w:rPr>
          <w:rFonts w:ascii="Arial" w:cs="Arial" w:eastAsia="Arial" w:hAnsi="Arial"/>
          <w:sz w:val="21"/>
          <w:szCs w:val="21"/>
          <w:color w:val="auto"/>
        </w:rPr>
        <w:t>.</w:t>
      </w:r>
    </w:p>
    <w:p>
      <w:pPr>
        <w:spacing w:after="0" w:line="72"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With respect to any Additional Notes, the Issuers shall set forth in (i) an Officer’s Certificate or (ii) one or more indentures supplemental hereto, the following information:</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00"/>
          </w:cols>
          <w:pgMar w:left="240" w:top="847" w:right="259" w:bottom="1440" w:gutter="0" w:footer="0" w:header="0"/>
        </w:sectPr>
      </w:pPr>
    </w:p>
    <w:bookmarkStart w:id="111" w:name="page112"/>
    <w:bookmarkEnd w:id="111"/>
    <w:p>
      <w:pPr>
        <w:ind w:left="1960"/>
        <w:spacing w:after="0"/>
        <w:tabs>
          <w:tab w:leader="none" w:pos="240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aggregate principal amount of such Additional Notes to be authenticated and delivered pursuant to</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Indenture;</w:t>
      </w:r>
    </w:p>
    <w:p>
      <w:pPr>
        <w:spacing w:after="0" w:line="94"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issue price and the issue date of such Additional Notes, including the date from which interest shall</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accrue; and</w:t>
      </w:r>
    </w:p>
    <w:p>
      <w:pPr>
        <w:spacing w:after="0" w:line="94"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whether such Additional Notes shall be Restricted Notes.</w:t>
      </w:r>
    </w:p>
    <w:p>
      <w:pPr>
        <w:spacing w:after="0" w:line="112" w:lineRule="exact"/>
        <w:rPr>
          <w:sz w:val="20"/>
          <w:szCs w:val="20"/>
          <w:color w:val="auto"/>
        </w:rPr>
      </w:pPr>
    </w:p>
    <w:p>
      <w:pPr>
        <w:ind w:right="60" w:firstLine="648"/>
        <w:spacing w:after="0" w:line="271" w:lineRule="auto"/>
        <w:rPr>
          <w:sz w:val="20"/>
          <w:szCs w:val="20"/>
          <w:color w:val="auto"/>
        </w:rPr>
      </w:pPr>
      <w:r>
        <w:rPr>
          <w:rFonts w:ascii="Arial" w:cs="Arial" w:eastAsia="Arial" w:hAnsi="Arial"/>
          <w:sz w:val="21"/>
          <w:szCs w:val="21"/>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21"/>
          <w:szCs w:val="21"/>
          <w:u w:val="single" w:color="auto"/>
          <w:color w:val="auto"/>
        </w:rPr>
        <w:t>Section 12.4</w:t>
      </w:r>
      <w:r>
        <w:rPr>
          <w:rFonts w:ascii="Arial" w:cs="Arial" w:eastAsia="Arial" w:hAnsi="Arial"/>
          <w:sz w:val="21"/>
          <w:szCs w:val="21"/>
          <w:color w:val="auto"/>
        </w:rPr>
        <w:t>, an Opinion of Counsel as to the due authorization, execution, delivery, validity and enforceability of such Additional Notes.</w:t>
      </w:r>
    </w:p>
    <w:p>
      <w:pPr>
        <w:spacing w:after="0" w:line="60"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 xml:space="preserve">The Initial Notes and the Additional Notes shall be considered collectively as a single class for all purposes of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Additional Notes will not be issued with the same CUSIP or ISIN, as applicable, as existing Notes unless such Additional Notes are fungible with the existing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72" w:lineRule="exact"/>
        <w:rPr>
          <w:sz w:val="20"/>
          <w:szCs w:val="20"/>
          <w:color w:val="auto"/>
        </w:rPr>
      </w:pPr>
    </w:p>
    <w:p>
      <w:pPr>
        <w:ind w:right="120" w:firstLine="1305"/>
        <w:spacing w:after="0" w:line="292" w:lineRule="auto"/>
        <w:tabs>
          <w:tab w:leader="none" w:pos="176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Initial Notes were offered and sold by the Issuers pursuant to a purchase agreement, dated June 19, 2019, among the Issuers, the Guarantors and the Initial Purchasers. The Initial Notes and any Additional Notes (if issued as Restricted Notes) (the “</w:t>
      </w:r>
      <w:r>
        <w:rPr>
          <w:rFonts w:ascii="Arial" w:cs="Arial" w:eastAsia="Arial" w:hAnsi="Arial"/>
          <w:sz w:val="19"/>
          <w:szCs w:val="19"/>
          <w:u w:val="single" w:color="auto"/>
          <w:color w:val="auto"/>
        </w:rPr>
        <w:t>Additional Restricted Notes</w:t>
      </w:r>
      <w:r>
        <w:rPr>
          <w:rFonts w:ascii="Arial" w:cs="Arial" w:eastAsia="Arial" w:hAnsi="Arial"/>
          <w:sz w:val="19"/>
          <w:szCs w:val="19"/>
          <w:color w:val="auto"/>
        </w:rPr>
        <w:t>”) will be resold initially only to (A) QIBs in reliance on Rule 144A and (B) Non-U.S. Persons in reliance on Regulation S. Such Initial Notes and Additional Restricted Notes may thereafter be transferred to, among others, QIBs, purchasers in reliance on Regulation S and IAIs in accordance with Rule 501 under the Securities Act, in each case, in accordance with the procedure described herein. Additional Notes offered after the date hereof may be offered and sold by the Issuers from time to time pursuant to one or more purchase agreements in accordance with applicable law.</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Initial Notes and Additional Restricted Notes offered and sold to QIBs in the United States in reliance on Rule 144A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144A Notes</w:t>
      </w:r>
      <w:r>
        <w:rPr>
          <w:rFonts w:ascii="Arial" w:cs="Arial" w:eastAsia="Arial" w:hAnsi="Arial"/>
          <w:sz w:val="19"/>
          <w:szCs w:val="19"/>
          <w:color w:val="auto"/>
        </w:rPr>
        <w:t xml:space="preserve">”)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which is hereby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incorporated by reference and made a part of this Indenture,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144A Global Note</w:t>
      </w:r>
      <w:r>
        <w:rPr>
          <w:rFonts w:ascii="Arial" w:cs="Arial" w:eastAsia="Arial" w:hAnsi="Arial"/>
          <w:sz w:val="19"/>
          <w:szCs w:val="19"/>
          <w:color w:val="auto"/>
        </w:rPr>
        <w:t>”). The Rule 144A Global Note shall be deposited with the Registrar, as custodian for DTC, duly executed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by the Issuers and authenticated by the Trustee as hereinafter provided. The Rule 144A Global Note may be represented by more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than one certificate, if so required by DTC’s rules regarding the maximum principal amount to be represented by a single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certificate. The aggregate principal amount of the Rule 144A Global Note may from time to time be increased or decreased by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adjustments made on the records of the Registrar, as custodian for DTC or its nominee, as hereinafter provided.</w:t>
      </w:r>
    </w:p>
    <w:p>
      <w:pPr>
        <w:spacing w:after="0" w:line="9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Initial Notes and any Additional Restricted Notes offered and sold outside the United States (the “</w:t>
      </w:r>
      <w:r>
        <w:rPr>
          <w:rFonts w:ascii="Arial" w:cs="Arial" w:eastAsia="Arial" w:hAnsi="Arial"/>
          <w:sz w:val="19"/>
          <w:szCs w:val="19"/>
          <w:u w:val="single" w:color="auto"/>
          <w:color w:val="auto"/>
        </w:rPr>
        <w:t>Regulation S Notes</w:t>
      </w:r>
      <w:r>
        <w:rPr>
          <w:rFonts w:ascii="Arial" w:cs="Arial" w:eastAsia="Arial" w:hAnsi="Arial"/>
          <w:sz w:val="19"/>
          <w:szCs w:val="19"/>
          <w:color w:val="auto"/>
        </w:rPr>
        <w:t xml:space="preserve">”) in reliance on Regulation S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Regulation S Global Note</w:t>
      </w:r>
      <w:r>
        <w:rPr>
          <w:rFonts w:ascii="Arial" w:cs="Arial" w:eastAsia="Arial" w:hAnsi="Arial"/>
          <w:sz w:val="19"/>
          <w:szCs w:val="19"/>
          <w:color w:val="auto"/>
        </w:rPr>
        <w:t>”) within a reasonable period after the</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60"/>
          </w:cols>
          <w:pgMar w:left="240" w:top="847" w:right="299" w:bottom="1440" w:gutter="0" w:footer="0" w:header="0"/>
        </w:sectPr>
      </w:pPr>
    </w:p>
    <w:bookmarkStart w:id="112" w:name="page113"/>
    <w:bookmarkEnd w:id="112"/>
    <w:p>
      <w:pPr>
        <w:ind w:right="180"/>
        <w:spacing w:after="0" w:line="261" w:lineRule="auto"/>
        <w:rPr>
          <w:sz w:val="20"/>
          <w:szCs w:val="20"/>
          <w:color w:val="auto"/>
        </w:rPr>
      </w:pPr>
      <w:r>
        <w:rPr>
          <w:rFonts w:ascii="Arial" w:cs="Arial" w:eastAsia="Arial" w:hAnsi="Arial"/>
          <w:sz w:val="21"/>
          <w:szCs w:val="21"/>
          <w:color w:val="auto"/>
        </w:rPr>
        <w:t xml:space="preserve">expiration of the Restricted Period (as defined below) upon delivery of the certification contemplated by </w:t>
      </w:r>
      <w:r>
        <w:rPr>
          <w:rFonts w:ascii="Arial" w:cs="Arial" w:eastAsia="Arial" w:hAnsi="Arial"/>
          <w:sz w:val="21"/>
          <w:szCs w:val="21"/>
          <w:u w:val="single" w:color="auto"/>
          <w:color w:val="auto"/>
        </w:rPr>
        <w:t>Section 2.8</w:t>
      </w:r>
      <w:r>
        <w:rPr>
          <w:rFonts w:ascii="Arial" w:cs="Arial" w:eastAsia="Arial" w:hAnsi="Arial"/>
          <w:sz w:val="21"/>
          <w:szCs w:val="21"/>
          <w:color w:val="auto"/>
        </w:rPr>
        <w:t xml:space="preserve">. Each Regulation S Global Note will be deposited upon issuance with, or on behalf of, the Registrar as custodian for DTC in the manner described in this </w:t>
      </w:r>
      <w:r>
        <w:rPr>
          <w:rFonts w:ascii="Arial" w:cs="Arial" w:eastAsia="Arial" w:hAnsi="Arial"/>
          <w:sz w:val="21"/>
          <w:szCs w:val="21"/>
          <w:u w:val="single" w:color="auto"/>
          <w:color w:val="auto"/>
        </w:rPr>
        <w:t>Article II</w:t>
      </w:r>
      <w:r>
        <w:rPr>
          <w:rFonts w:ascii="Arial" w:cs="Arial" w:eastAsia="Arial" w:hAnsi="Arial"/>
          <w:sz w:val="21"/>
          <w:szCs w:val="21"/>
          <w:color w:val="auto"/>
        </w:rPr>
        <w:t>. Prior to the 40th day after the later of the commencement of the offering of the Initial Notes and the Issue Date (such period through and including such 40th day,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7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Investors may hold their interests in the Regulation S Global Note through organizations other than Euroclear or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 in the depositaries’ names on the books of DTC.</w:t>
      </w:r>
    </w:p>
    <w:p>
      <w:pPr>
        <w:spacing w:after="0" w:line="7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Registrar, as custodian for DTC or its nominee, as hereinafter provided.</w:t>
      </w:r>
    </w:p>
    <w:p>
      <w:pPr>
        <w:spacing w:after="0" w:line="8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Initial Notes and Additional Restricted Notes resold to IAIs (the “</w:t>
      </w:r>
      <w:r>
        <w:rPr>
          <w:rFonts w:ascii="Arial" w:cs="Arial" w:eastAsia="Arial" w:hAnsi="Arial"/>
          <w:sz w:val="21"/>
          <w:szCs w:val="21"/>
          <w:u w:val="single" w:color="auto"/>
          <w:color w:val="auto"/>
        </w:rPr>
        <w:t>Institutional Accredited Investor Notes</w:t>
      </w:r>
      <w:r>
        <w:rPr>
          <w:rFonts w:ascii="Arial" w:cs="Arial" w:eastAsia="Arial" w:hAnsi="Arial"/>
          <w:sz w:val="21"/>
          <w:szCs w:val="21"/>
          <w:color w:val="auto"/>
        </w:rPr>
        <w:t xml:space="preserve">”) in the United States shall be issued in the form of a permanent global Note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including appropriate legends as set forth in </w:t>
      </w:r>
      <w:r>
        <w:rPr>
          <w:rFonts w:ascii="Arial" w:cs="Arial" w:eastAsia="Arial" w:hAnsi="Arial"/>
          <w:sz w:val="21"/>
          <w:szCs w:val="21"/>
          <w:u w:val="single" w:color="auto"/>
          <w:color w:val="auto"/>
        </w:rPr>
        <w:t>Section 2.1(d)</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Institutional Accredited Investor Global Note</w:t>
      </w:r>
      <w:r>
        <w:rPr>
          <w:rFonts w:ascii="Arial" w:cs="Arial" w:eastAsia="Arial" w:hAnsi="Arial"/>
          <w:sz w:val="21"/>
          <w:szCs w:val="21"/>
          <w:color w:val="auto"/>
        </w:rPr>
        <w:t>”) deposited with the Registrar, as custodian for DTC, duly executed by the Issuers and authenticated by the Trustee as hereinafter provided. The Institutional Accredited Investor Global Note may be represented by more than one certificate, if so required by DTC’s rules regarding the maximum principal amount to be represented by a single certificate. The aggregate principal amount of the Institutional Accredited Investor Global Note may from time to time be increased or decreased by adjustments made on the records of the Registrar, as custodian for DTC or its nominee, as hereinafter provided.</w:t>
      </w:r>
    </w:p>
    <w:p>
      <w:pPr>
        <w:spacing w:after="0" w:line="76"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The Rule 144A Global Note, the Regulation S Global Note and the Institutional Accredited Investor Global Note are sometimes collectively herein referred to as the “</w:t>
      </w:r>
      <w:r>
        <w:rPr>
          <w:rFonts w:ascii="Arial" w:cs="Arial" w:eastAsia="Arial" w:hAnsi="Arial"/>
          <w:sz w:val="22"/>
          <w:szCs w:val="22"/>
          <w:u w:val="single" w:color="auto"/>
          <w:color w:val="auto"/>
        </w:rPr>
        <w:t>Global Notes</w:t>
      </w:r>
      <w:r>
        <w:rPr>
          <w:rFonts w:ascii="Arial" w:cs="Arial" w:eastAsia="Arial" w:hAnsi="Arial"/>
          <w:sz w:val="22"/>
          <w:szCs w:val="22"/>
          <w:color w:val="auto"/>
        </w:rPr>
        <w:t>.”</w:t>
      </w:r>
    </w:p>
    <w:p>
      <w:pPr>
        <w:spacing w:after="0" w:line="6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The principal of (and premium, if any) and interest and Additional Interest, if any, on the Notes shall be payable at the office or agency of Paying Agent designated by the Issuers maintained for such purpose (which shall initially be the office of the Trustee maintained for such purpose), or at such other office or agency of the Issuers as may be maintained for such purpose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installment of interest, and Additional Interest, if any, may be paid (i) at the option of the Paying Agent, by check mailed to addresses of the Persons entitled thereto as such addresses shall appear on the Notes Register or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47" w:right="239" w:bottom="1440" w:gutter="0" w:footer="0" w:header="0"/>
        </w:sectPr>
      </w:pPr>
    </w:p>
    <w:bookmarkStart w:id="113" w:name="page114"/>
    <w:bookmarkEnd w:id="113"/>
    <w:p>
      <w:pPr>
        <w:ind w:right="140" w:firstLine="8"/>
        <w:spacing w:after="0" w:line="290" w:lineRule="auto"/>
        <w:tabs>
          <w:tab w:leader="none" w:pos="31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by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discretion).</w:t>
      </w:r>
    </w:p>
    <w:p>
      <w:pPr>
        <w:spacing w:after="0" w:line="49"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The Notes may have notations, legends or endorsements required by law, stock exchange rule or usage, in addition to those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in </w:t>
      </w:r>
      <w:r>
        <w:rPr>
          <w:rFonts w:ascii="Arial" w:cs="Arial" w:eastAsia="Arial" w:hAnsi="Arial"/>
          <w:sz w:val="22"/>
          <w:szCs w:val="22"/>
          <w:u w:val="single" w:color="auto"/>
          <w:color w:val="auto"/>
        </w:rPr>
        <w:t>Section 2.1(d)</w:t>
      </w:r>
      <w:r>
        <w:rPr>
          <w:rFonts w:ascii="Arial" w:cs="Arial" w:eastAsia="Arial" w:hAnsi="Arial"/>
          <w:sz w:val="22"/>
          <w:szCs w:val="22"/>
          <w:color w:val="auto"/>
        </w:rPr>
        <w:t xml:space="preserve">. The Issuers shall approve any notation, endorsement or legend on the Notes. Each Note shall be dated the date of its authentication. The terms of the Notes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are part of the terms of this Indenture and, to the extent applicable, the Issuers, the Guarantors and the Trustee, by their execution and delivery of this Indenture, expressly agree to be bound by such terms.</w:t>
      </w:r>
    </w:p>
    <w:p>
      <w:pPr>
        <w:spacing w:after="0" w:line="84" w:lineRule="exact"/>
        <w:rPr>
          <w:sz w:val="20"/>
          <w:szCs w:val="20"/>
          <w:color w:val="auto"/>
        </w:rPr>
      </w:pPr>
    </w:p>
    <w:p>
      <w:pPr>
        <w:ind w:right="40" w:firstLine="1305"/>
        <w:spacing w:after="0" w:line="263" w:lineRule="auto"/>
        <w:tabs>
          <w:tab w:leader="none" w:pos="175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Denominations</w:t>
      </w:r>
      <w:r>
        <w:rPr>
          <w:rFonts w:ascii="Arial" w:cs="Arial" w:eastAsia="Arial" w:hAnsi="Arial"/>
          <w:sz w:val="22"/>
          <w:szCs w:val="22"/>
          <w:color w:val="auto"/>
        </w:rPr>
        <w:t>. The Notes shall be issuable only in fully registered form in minimum denominations of $2,000 and any integral multiple of $1,000 in excess thereof.</w:t>
      </w:r>
    </w:p>
    <w:p>
      <w:pPr>
        <w:spacing w:after="0" w:line="66" w:lineRule="exact"/>
        <w:rPr>
          <w:rFonts w:ascii="Arial" w:cs="Arial" w:eastAsia="Arial" w:hAnsi="Arial"/>
          <w:sz w:val="22"/>
          <w:szCs w:val="22"/>
          <w:color w:val="auto"/>
        </w:rPr>
      </w:pPr>
    </w:p>
    <w:p>
      <w:pPr>
        <w:ind w:right="260" w:firstLine="1305"/>
        <w:spacing w:after="0" w:line="250" w:lineRule="auto"/>
        <w:tabs>
          <w:tab w:leader="none" w:pos="1765"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Restrictive Legends</w:t>
      </w:r>
      <w:r>
        <w:rPr>
          <w:rFonts w:ascii="Arial" w:cs="Arial" w:eastAsia="Arial" w:hAnsi="Arial"/>
          <w:sz w:val="22"/>
          <w:szCs w:val="22"/>
          <w:color w:val="auto"/>
        </w:rPr>
        <w:t>. Unless and until (i) an Initial Note or an Additional Note issued as a Restricted Note is sold under an effective registration statement or (ii) the Issuers receive an opinion of counsel satisfactory to it to the effect that neither such legend nor the related restrictions on transfer are required in order to maintain compliance with the provisions of the Securities Act:</w:t>
      </w:r>
    </w:p>
    <w:p>
      <w:pPr>
        <w:spacing w:after="0" w:line="80" w:lineRule="exact"/>
        <w:rPr>
          <w:sz w:val="20"/>
          <w:szCs w:val="20"/>
          <w:color w:val="auto"/>
        </w:rPr>
      </w:pPr>
    </w:p>
    <w:p>
      <w:pPr>
        <w:ind w:left="660" w:right="420" w:firstLine="1293"/>
        <w:spacing w:after="0" w:line="263" w:lineRule="auto"/>
        <w:tabs>
          <w:tab w:leader="none" w:pos="242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Rule 144A Global Note, the Regulation S Global Note and the Institutional Accredited Investor Global Note shall bear the following legend on the face thereof:</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SECURITY HAS NOT BEEN REGISTERED UNDER THE SECURITIES ACT OF 1933, AS AMENDED (THE “SECURITIES ACT”). THE HOLDER HEREOF, BY PURCHASING THIS SECURITY, AGREES FOR THE BENEFIT OF THE COMPANY THAT THIS SECURITY MAY NOT BE RESOLD, PLEDGED OR OTHERWISE TRANSFERRED (X) PRIOR TO THE ONE YEAR ANNIVERSARY OF THE ISSUANCE HEREOF (OR ANY PREDECESSOR SECURITY HERETO) OR (Y) BY ANY HOLDER THAT WAS AN AFFILIATE OF THE COMPANY AT ANY TIME DURING THE THREE MONTHS PRECEDING THE DATE OF SUCH TRANSFER, IN EITHER CASE OTHER THAN</w:t>
      </w:r>
    </w:p>
    <w:p>
      <w:pPr>
        <w:spacing w:after="0" w:line="86" w:lineRule="exact"/>
        <w:rPr>
          <w:sz w:val="20"/>
          <w:szCs w:val="20"/>
          <w:color w:val="auto"/>
        </w:rPr>
      </w:pPr>
    </w:p>
    <w:p>
      <w:pPr>
        <w:ind w:left="960" w:hanging="304"/>
        <w:spacing w:after="0"/>
        <w:tabs>
          <w:tab w:leader="none" w:pos="9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THE COMPANY,</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jc w:val="both"/>
        <w:ind w:left="660" w:hanging="4"/>
        <w:spacing w:after="0" w:line="250" w:lineRule="auto"/>
        <w:tabs>
          <w:tab w:leader="none" w:pos="103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SO LONG AS THIS SECURITY IS ELIGIBLE FOR RESALE PURSUANT TO RULE 144A UNDER THE SECURITIES ACT (“RULE 144A”), TO A PERSON WHOM THE SELLER REASONABLY BELIEVES IS A QUALIFIED INSTITUTIONAL BUYER WITHIN THE MEANING OF RULE 144A, PURCHASING FOR ITS OWN ACCOUNT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47" w:right="239" w:bottom="1440" w:gutter="0" w:footer="0" w:header="0"/>
        </w:sectPr>
      </w:pPr>
    </w:p>
    <w:bookmarkStart w:id="114" w:name="page115"/>
    <w:bookmarkEnd w:id="114"/>
    <w:p>
      <w:pPr>
        <w:ind w:left="4" w:right="20"/>
        <w:spacing w:after="0" w:line="263" w:lineRule="auto"/>
        <w:rPr>
          <w:sz w:val="20"/>
          <w:szCs w:val="20"/>
          <w:color w:val="auto"/>
        </w:rPr>
      </w:pPr>
      <w:r>
        <w:rPr>
          <w:rFonts w:ascii="Arial" w:cs="Arial" w:eastAsia="Arial" w:hAnsi="Arial"/>
          <w:sz w:val="22"/>
          <w:szCs w:val="22"/>
          <w:color w:val="auto"/>
        </w:rPr>
        <w:t>OR FOR THE ACCOUNT OF A QUALIFIED INSTITUTIONAL BUYER TO WHOM NOTICE IS GIVEN THAT THE RESALE, PLEDGE OR OTHER TRANSFER IS BEING MADE IN RELIANCE ON</w:t>
      </w:r>
    </w:p>
    <w:p>
      <w:pPr>
        <w:spacing w:after="0" w:line="67"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RULE 144A (AS INDICATED BY THE BOX CHECKED BY THE TRANSFEROR ON THE CERTIFICATE OF TRANSFER ON THE REVERSE OF THIS SECURITY),</w:t>
      </w:r>
    </w:p>
    <w:p>
      <w:pPr>
        <w:spacing w:after="0" w:line="200" w:lineRule="exact"/>
        <w:rPr>
          <w:sz w:val="20"/>
          <w:szCs w:val="20"/>
          <w:color w:val="auto"/>
        </w:rPr>
      </w:pPr>
    </w:p>
    <w:p>
      <w:pPr>
        <w:spacing w:after="0" w:line="231" w:lineRule="exact"/>
        <w:rPr>
          <w:sz w:val="20"/>
          <w:szCs w:val="20"/>
          <w:color w:val="auto"/>
        </w:rPr>
      </w:pPr>
    </w:p>
    <w:p>
      <w:pPr>
        <w:jc w:val="both"/>
        <w:ind w:left="4" w:hanging="4"/>
        <w:spacing w:after="0" w:line="253" w:lineRule="auto"/>
        <w:tabs>
          <w:tab w:leader="none" w:pos="31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AN OFFSHORE TRANSACTION IN ACCORDANCE WITH REGULATION S UNDER THE SECURITIES ACT (AS INDICATED BY THE BOX CHECKED BY THE TRANSFEROR ON THE CERTIFICATE OF TRANSFER ON THE REVERSE OF THIS SECURITY),</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324" w:hanging="324"/>
        <w:spacing w:after="0"/>
        <w:tabs>
          <w:tab w:leader="none" w:pos="32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TO AN INSTITUTION THAT IS AN “ACCREDITED INVESTOR” AS DEFINED IN RULE 501(a)(1), (2), (3) OR</w:t>
      </w:r>
    </w:p>
    <w:p>
      <w:pPr>
        <w:spacing w:after="0" w:line="33" w:lineRule="exact"/>
        <w:rPr>
          <w:rFonts w:ascii="Arial" w:cs="Arial" w:eastAsia="Arial" w:hAnsi="Arial"/>
          <w:sz w:val="21"/>
          <w:szCs w:val="21"/>
          <w:color w:val="auto"/>
        </w:rPr>
      </w:pPr>
    </w:p>
    <w:p>
      <w:pPr>
        <w:jc w:val="both"/>
        <w:ind w:left="4" w:hanging="4"/>
        <w:spacing w:after="0" w:line="244" w:lineRule="auto"/>
        <w:tabs>
          <w:tab w:leader="none" w:pos="35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COMPANY OR THE TRUSTEE IS DELIVERED BY THE TRANSFEREE TO THE COMPANY AND THE TRUSTEE,</w:t>
      </w:r>
    </w:p>
    <w:p>
      <w:pPr>
        <w:spacing w:after="0" w:line="200" w:lineRule="exact"/>
        <w:rPr>
          <w:rFonts w:ascii="Arial" w:cs="Arial" w:eastAsia="Arial" w:hAnsi="Arial"/>
          <w:sz w:val="22"/>
          <w:szCs w:val="22"/>
          <w:color w:val="auto"/>
        </w:rPr>
      </w:pPr>
    </w:p>
    <w:p>
      <w:pPr>
        <w:spacing w:after="0" w:line="251" w:lineRule="exact"/>
        <w:rPr>
          <w:rFonts w:ascii="Arial" w:cs="Arial" w:eastAsia="Arial" w:hAnsi="Arial"/>
          <w:sz w:val="22"/>
          <w:szCs w:val="22"/>
          <w:color w:val="auto"/>
        </w:rPr>
      </w:pPr>
    </w:p>
    <w:p>
      <w:pPr>
        <w:ind w:left="4" w:hanging="4"/>
        <w:spacing w:after="0" w:line="263" w:lineRule="auto"/>
        <w:tabs>
          <w:tab w:leader="none" w:pos="33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PURSUANT TO ANY EXEMPTION FROM REGISTRATION UNDER THE SECURITIES ACT PROVIDED BY RULE 144 (IF APPLICABLE) UNDER THE SECURITIES ACT, OR</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304" w:hanging="304"/>
        <w:spacing w:after="0"/>
        <w:tabs>
          <w:tab w:leader="none" w:pos="30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PURSUANT TO AN EFFECTIVE REGISTRATION STATEMENT UNDER THE</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22"/>
          <w:szCs w:val="22"/>
          <w:color w:val="auto"/>
        </w:rPr>
        <w:t>SECURITIES ACT,</w:t>
      </w:r>
    </w:p>
    <w:p>
      <w:pPr>
        <w:spacing w:after="0" w:line="200" w:lineRule="exact"/>
        <w:rPr>
          <w:sz w:val="20"/>
          <w:szCs w:val="20"/>
          <w:color w:val="auto"/>
        </w:rPr>
      </w:pPr>
    </w:p>
    <w:p>
      <w:pPr>
        <w:spacing w:after="0" w:line="276"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IN EACH CASE, IN ACCORDANCE WITH ANY APPLICABLE SECURITIES LAWS OF ANY STATE OF THE UNITED STATES. AN INSTITUTIONAL ACCREDITED INVESTOR HOLDING THIS SECURITY AGREES THAT IT WILL FURNISH TO THE COMPANY AND THE TRUSTEE SUCH CERTIFICATES, OPINIONS OF COUNSEL AND OTHER INFORMATION AS THEY MAY REASONABLY REQUIRE TO CONFIRM THAT THE TRANSFER BY IT OF THIS SECURITY COMPLIES WITH THE FOREGOING RESTRICTIONS. THE HOLDER HEREOF, BY PURCHASING THIS SECURITY, REPRESENTS AND AGREES FOR THE BENEFIT OF THE COMPANY THAT IT IS (1) A QUALIFIED INSTITUTIONAL BUYER WITHIN THE MEANING OF RULE 144A OR (2) PURCHASING FROM A PERSON NOT PARTICIPATING IN THE INITIAL DISTRIBUTION OF THIS SECURITY (OR ANY PREDECESSOR SECURITY), THAT IT IS AN INSTITUTION THAT IS AN “ACCREDITED INVESTOR” AS DEFINED IN RULE 501(a)(l), (2), (3) OR (7) OF REGULATION D UNDER THE</w:t>
      </w:r>
    </w:p>
    <w:p>
      <w:pPr>
        <w:spacing w:after="0" w:line="33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0764"/>
          </w:cols>
          <w:pgMar w:left="896" w:top="847" w:right="239" w:bottom="1440" w:gutter="0" w:footer="0" w:header="0"/>
        </w:sectPr>
      </w:pPr>
    </w:p>
    <w:bookmarkStart w:id="115" w:name="page116"/>
    <w:bookmarkEnd w:id="115"/>
    <w:p>
      <w:pPr>
        <w:jc w:val="both"/>
        <w:ind w:left="660"/>
        <w:spacing w:after="0" w:line="250" w:lineRule="auto"/>
        <w:rPr>
          <w:sz w:val="20"/>
          <w:szCs w:val="20"/>
          <w:color w:val="auto"/>
        </w:rPr>
      </w:pPr>
      <w:r>
        <w:rPr>
          <w:rFonts w:ascii="Arial" w:cs="Arial" w:eastAsia="Arial" w:hAnsi="Arial"/>
          <w:sz w:val="22"/>
          <w:szCs w:val="22"/>
          <w:color w:val="auto"/>
        </w:rPr>
        <w:t>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Global Note, whether or not an Initial Note, shall also bear the following legend on the face thereof:</w:t>
      </w:r>
    </w:p>
    <w:p>
      <w:pPr>
        <w:spacing w:after="0" w:line="200" w:lineRule="exact"/>
        <w:rPr>
          <w:sz w:val="20"/>
          <w:szCs w:val="20"/>
          <w:color w:val="auto"/>
        </w:rPr>
      </w:pPr>
    </w:p>
    <w:p>
      <w:pPr>
        <w:spacing w:after="0" w:line="27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7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TRANSFERS OF THIS GLOBAL NOTE SHALL BE LIMITED TO TRANSFERS IN WHOLE, BUT NOT IN PART, TO NOMINEES OF CEDE &amp; CO. OR TO A SUCCESSOR THEREOF OR SUCH SUCCESSOR’S NOMINEE AND TRANSFERS OF PORTIONS OF THIS GLOBAL NOTE SHALL BE LIMITED TO TRANSFERS MADE IN ACCORDANCE WITH THE RESTRICTIONS SET FORTH IN SECTIONS 2.1 AND 2.6 OF THE INDENTURE (AS DEFINED HEREIN).</w:t>
      </w:r>
    </w:p>
    <w:p>
      <w:pPr>
        <w:spacing w:after="0" w:line="84" w:lineRule="exact"/>
        <w:rPr>
          <w:sz w:val="20"/>
          <w:szCs w:val="20"/>
          <w:color w:val="auto"/>
        </w:rPr>
      </w:pPr>
    </w:p>
    <w:p>
      <w:pPr>
        <w:ind w:left="1760" w:hanging="455"/>
        <w:spacing w:after="0"/>
        <w:tabs>
          <w:tab w:leader="none" w:pos="1760"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Book-Entry Provisions</w:t>
      </w:r>
      <w:r>
        <w:rPr>
          <w:rFonts w:ascii="Arial" w:cs="Arial" w:eastAsia="Arial" w:hAnsi="Arial"/>
          <w:sz w:val="19"/>
          <w:szCs w:val="19"/>
          <w:color w:val="auto"/>
        </w:rPr>
        <w:t xml:space="preserve">. (i)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shall apply only to Global Notes deposited with the Registrar,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custodian for DTC.</w:t>
      </w:r>
    </w:p>
    <w:p>
      <w:pPr>
        <w:spacing w:after="0" w:line="93" w:lineRule="exact"/>
        <w:rPr>
          <w:rFonts w:ascii="Arial" w:cs="Arial" w:eastAsia="Arial" w:hAnsi="Arial"/>
          <w:sz w:val="19"/>
          <w:szCs w:val="19"/>
          <w:color w:val="auto"/>
        </w:rPr>
      </w:pPr>
    </w:p>
    <w:p>
      <w:pPr>
        <w:ind w:left="660" w:right="20" w:firstLine="1293"/>
        <w:spacing w:after="0" w:line="285" w:lineRule="auto"/>
        <w:tabs>
          <w:tab w:leader="none" w:pos="2425" w:val="left"/>
        </w:tabs>
        <w:numPr>
          <w:ilvl w:val="2"/>
          <w:numId w:val="125"/>
        </w:numPr>
        <w:rPr>
          <w:rFonts w:ascii="Arial" w:cs="Arial" w:eastAsia="Arial" w:hAnsi="Arial"/>
          <w:sz w:val="19"/>
          <w:szCs w:val="19"/>
          <w:color w:val="auto"/>
        </w:rPr>
      </w:pPr>
      <w:r>
        <w:rPr>
          <w:rFonts w:ascii="Arial" w:cs="Arial" w:eastAsia="Arial" w:hAnsi="Arial"/>
          <w:sz w:val="19"/>
          <w:szCs w:val="19"/>
          <w:color w:val="auto"/>
        </w:rPr>
        <w:t xml:space="preserve">Each Global Note initially shall (x) be registered in the name of DTC or the nominee of DTC, (y) be delivered to the Notes Custodian for DTC and (z) bear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Transfers of a Global Note (but not a beneficial interest therein) will be limited to transfers thereof in whole, but not in part, to the DTC, its successors or its respective nominees, except as set forth in </w:t>
      </w:r>
      <w:r>
        <w:rPr>
          <w:rFonts w:ascii="Arial" w:cs="Arial" w:eastAsia="Arial" w:hAnsi="Arial"/>
          <w:sz w:val="19"/>
          <w:szCs w:val="19"/>
          <w:u w:val="single" w:color="auto"/>
          <w:color w:val="auto"/>
        </w:rPr>
        <w:t>Section 2.1(e)(4)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If a beneficial interest in a Global Note is transferred or exchanged for a beneficial interest in another Global Note, the Notes Custodian will (x) record a decrease in the principal amount of the Global Note being transferred or exchanged equal to the principal amount of such transfer or exchange and</w:t>
      </w:r>
    </w:p>
    <w:p>
      <w:pPr>
        <w:ind w:left="660" w:right="20" w:hanging="4"/>
        <w:spacing w:after="0" w:line="260" w:lineRule="auto"/>
        <w:tabs>
          <w:tab w:leader="none" w:pos="966" w:val="left"/>
        </w:tabs>
        <w:numPr>
          <w:ilvl w:val="0"/>
          <w:numId w:val="126"/>
        </w:numPr>
        <w:rPr>
          <w:rFonts w:ascii="Arial" w:cs="Arial" w:eastAsia="Arial" w:hAnsi="Arial"/>
          <w:sz w:val="21"/>
          <w:szCs w:val="21"/>
          <w:color w:val="auto"/>
        </w:rPr>
      </w:pPr>
      <w:r>
        <w:rPr>
          <w:rFonts w:ascii="Arial" w:cs="Arial" w:eastAsia="Arial" w:hAnsi="Arial"/>
          <w:sz w:val="21"/>
          <w:szCs w:val="21"/>
          <w:color w:val="auto"/>
        </w:rPr>
        <w:t>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847" w:right="239" w:bottom="1440" w:gutter="0" w:footer="0" w:header="0"/>
        </w:sectPr>
      </w:pPr>
    </w:p>
    <w:bookmarkStart w:id="116" w:name="page117"/>
    <w:bookmarkEnd w:id="116"/>
    <w:p>
      <w:pPr>
        <w:ind w:left="660" w:right="40"/>
        <w:spacing w:after="0" w:line="263" w:lineRule="auto"/>
        <w:rPr>
          <w:sz w:val="20"/>
          <w:szCs w:val="20"/>
          <w:color w:val="auto"/>
        </w:rPr>
      </w:pPr>
      <w:r>
        <w:rPr>
          <w:rFonts w:ascii="Arial" w:cs="Arial" w:eastAsia="Arial" w:hAnsi="Arial"/>
          <w:sz w:val="22"/>
          <w:szCs w:val="22"/>
          <w:color w:val="auto"/>
        </w:rPr>
        <w:t>restrictions, if any, and other procedures applicable to beneficial interests in such other Global Note for as long as it remains such an interest.</w:t>
      </w:r>
    </w:p>
    <w:p>
      <w:pPr>
        <w:spacing w:after="0" w:line="67" w:lineRule="exact"/>
        <w:rPr>
          <w:sz w:val="20"/>
          <w:szCs w:val="20"/>
          <w:color w:val="auto"/>
        </w:rPr>
      </w:pPr>
    </w:p>
    <w:p>
      <w:pPr>
        <w:ind w:left="660" w:right="40" w:firstLine="1293"/>
        <w:spacing w:after="0" w:line="292" w:lineRule="auto"/>
        <w:tabs>
          <w:tab w:leader="none" w:pos="242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Members of, or participants in, DTC (“</w:t>
      </w:r>
      <w:r>
        <w:rPr>
          <w:rFonts w:ascii="Arial" w:cs="Arial" w:eastAsia="Arial" w:hAnsi="Arial"/>
          <w:sz w:val="19"/>
          <w:szCs w:val="19"/>
          <w:u w:val="single" w:color="auto"/>
          <w:color w:val="auto"/>
        </w:rPr>
        <w:t>Agent Members</w:t>
      </w:r>
      <w:r>
        <w:rPr>
          <w:rFonts w:ascii="Arial" w:cs="Arial" w:eastAsia="Arial" w:hAnsi="Arial"/>
          <w:sz w:val="19"/>
          <w:szCs w:val="19"/>
          <w:color w:val="auto"/>
        </w:rPr>
        <w:t>”) shall have no rights under this Indenture with respect to any Global Note held on their behalf by DTC or by the Notes Custodian as the custodian of DTC or under such Global Note, and DTC may be treated by the Issuers, the Trustee and any agent of the Issuers or the Trustee as the absolute owner of such Global Note for all purposes whatsoever. Notwithstanding the foregoing, nothing herein shall prevent the Issuers, the Trustee or any agent of the Issuers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43" w:lineRule="exact"/>
        <w:rPr>
          <w:rFonts w:ascii="Arial" w:cs="Arial" w:eastAsia="Arial" w:hAnsi="Arial"/>
          <w:sz w:val="19"/>
          <w:szCs w:val="19"/>
          <w:color w:val="auto"/>
        </w:rPr>
      </w:pPr>
    </w:p>
    <w:p>
      <w:pPr>
        <w:ind w:left="660" w:right="80" w:firstLine="1293"/>
        <w:spacing w:after="0" w:line="297" w:lineRule="auto"/>
        <w:tabs>
          <w:tab w:leader="none" w:pos="2425"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In connection with any transfer of a portion of the beneficial interest in a Global Note pursuant to </w:t>
      </w:r>
      <w:r>
        <w:rPr>
          <w:rFonts w:ascii="Arial" w:cs="Arial" w:eastAsia="Arial" w:hAnsi="Arial"/>
          <w:sz w:val="19"/>
          <w:szCs w:val="19"/>
          <w:u w:val="single" w:color="auto"/>
          <w:color w:val="auto"/>
        </w:rPr>
        <w:t>Section 2.1(f)</w:t>
      </w:r>
      <w:r>
        <w:rPr>
          <w:rFonts w:ascii="Arial" w:cs="Arial" w:eastAsia="Arial" w:hAnsi="Arial"/>
          <w:sz w:val="19"/>
          <w:szCs w:val="19"/>
          <w:color w:val="auto"/>
        </w:rPr>
        <w:t xml:space="preserve">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Issuers shall execute, and the Trustee shall authenticate and make available for delivery, one or more Definitive Notes of like tenor and amount.</w:t>
      </w:r>
    </w:p>
    <w:p>
      <w:pPr>
        <w:spacing w:after="0" w:line="39" w:lineRule="exact"/>
        <w:rPr>
          <w:rFonts w:ascii="Arial" w:cs="Arial" w:eastAsia="Arial" w:hAnsi="Arial"/>
          <w:sz w:val="19"/>
          <w:szCs w:val="19"/>
          <w:color w:val="auto"/>
        </w:rPr>
      </w:pPr>
    </w:p>
    <w:p>
      <w:pPr>
        <w:ind w:left="660" w:right="80" w:firstLine="1293"/>
        <w:spacing w:after="0" w:line="248" w:lineRule="auto"/>
        <w:tabs>
          <w:tab w:leader="none" w:pos="2425" w:val="left"/>
        </w:tabs>
        <w:numPr>
          <w:ilvl w:val="1"/>
          <w:numId w:val="127"/>
        </w:numPr>
        <w:rPr>
          <w:rFonts w:ascii="Arial" w:cs="Arial" w:eastAsia="Arial" w:hAnsi="Arial"/>
          <w:sz w:val="22"/>
          <w:szCs w:val="22"/>
          <w:color w:val="auto"/>
        </w:rPr>
      </w:pPr>
      <w:r>
        <w:rPr>
          <w:rFonts w:ascii="Arial" w:cs="Arial" w:eastAsia="Arial" w:hAnsi="Arial"/>
          <w:sz w:val="22"/>
          <w:szCs w:val="22"/>
          <w:color w:val="auto"/>
        </w:rPr>
        <w:t xml:space="preserve">In connection with the transfer of an entire Global Note to beneficial owners pursuant to </w:t>
      </w:r>
      <w:r>
        <w:rPr>
          <w:rFonts w:ascii="Arial" w:cs="Arial" w:eastAsia="Arial" w:hAnsi="Arial"/>
          <w:sz w:val="22"/>
          <w:szCs w:val="22"/>
          <w:u w:val="single" w:color="auto"/>
          <w:color w:val="auto"/>
        </w:rPr>
        <w:t>Section 2.1(f)</w:t>
      </w:r>
      <w:r>
        <w:rPr>
          <w:rFonts w:ascii="Arial" w:cs="Arial" w:eastAsia="Arial" w:hAnsi="Arial"/>
          <w:sz w:val="22"/>
          <w:szCs w:val="22"/>
          <w:color w:val="auto"/>
        </w:rPr>
        <w:t>, such Global Note shall be deemed to be surrendered to the Registrar for cancellation, and the Issuers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84" w:lineRule="exact"/>
        <w:rPr>
          <w:rFonts w:ascii="Arial" w:cs="Arial" w:eastAsia="Arial" w:hAnsi="Arial"/>
          <w:sz w:val="22"/>
          <w:szCs w:val="22"/>
          <w:color w:val="auto"/>
        </w:rPr>
      </w:pPr>
    </w:p>
    <w:p>
      <w:pPr>
        <w:ind w:left="660" w:right="200" w:firstLine="1293"/>
        <w:spacing w:after="0" w:line="253" w:lineRule="auto"/>
        <w:tabs>
          <w:tab w:leader="none" w:pos="2421"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77" w:lineRule="exact"/>
        <w:rPr>
          <w:rFonts w:ascii="Arial" w:cs="Arial" w:eastAsia="Arial" w:hAnsi="Arial"/>
          <w:sz w:val="22"/>
          <w:szCs w:val="22"/>
          <w:color w:val="auto"/>
        </w:rPr>
      </w:pPr>
    </w:p>
    <w:p>
      <w:pPr>
        <w:jc w:val="both"/>
        <w:ind w:left="660" w:firstLine="1293"/>
        <w:spacing w:after="0" w:line="250" w:lineRule="auto"/>
        <w:tabs>
          <w:tab w:leader="none" w:pos="2413"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Holder of a Global Note shall, by acceptance of such Global Note, agree that transfers of beneficial 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80" w:lineRule="exact"/>
        <w:rPr>
          <w:rFonts w:ascii="Arial" w:cs="Arial" w:eastAsia="Arial" w:hAnsi="Arial"/>
          <w:sz w:val="22"/>
          <w:szCs w:val="22"/>
          <w:color w:val="auto"/>
        </w:rPr>
      </w:pPr>
    </w:p>
    <w:p>
      <w:pPr>
        <w:ind w:firstLine="1305"/>
        <w:spacing w:after="0" w:line="297" w:lineRule="auto"/>
        <w:tabs>
          <w:tab w:leader="none" w:pos="1728"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Definitive Notes</w:t>
      </w:r>
      <w:r>
        <w:rPr>
          <w:rFonts w:ascii="Arial" w:cs="Arial" w:eastAsia="Arial" w:hAnsi="Arial"/>
          <w:sz w:val="19"/>
          <w:szCs w:val="19"/>
          <w:color w:val="auto"/>
        </w:rPr>
        <w:t>. Except as provided below, owners of beneficial interests in Global Notes will not be entitled to receive Definitive Notes. Definitive Notes shall be transferred to all beneficial owners in exchange for their beneficial interests in a Global Note if (A) DTC notifies the Issuers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Issuers or (B) an Event of Default has occurred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47" w:right="239" w:bottom="1440" w:gutter="0" w:footer="0" w:header="0"/>
        </w:sectPr>
      </w:pPr>
    </w:p>
    <w:bookmarkStart w:id="117" w:name="page118"/>
    <w:bookmarkEnd w:id="117"/>
    <w:p>
      <w:pPr>
        <w:ind w:right="80"/>
        <w:spacing w:after="0" w:line="290" w:lineRule="auto"/>
        <w:rPr>
          <w:sz w:val="20"/>
          <w:szCs w:val="20"/>
          <w:color w:val="auto"/>
        </w:rPr>
      </w:pPr>
      <w:r>
        <w:rPr>
          <w:rFonts w:ascii="Arial" w:cs="Arial" w:eastAsia="Arial" w:hAnsi="Arial"/>
          <w:sz w:val="19"/>
          <w:szCs w:val="19"/>
          <w:color w:val="auto"/>
        </w:rPr>
        <w:t xml:space="preserve">is continuing. In the event of the occurrence of any of the events specified in clause (A) or (B) of the preceding sentence, the Issuers shall promptly make available to the Trustee or the Authenticating Agent a reasonable supply of Definitive Notes. In addition, any Note transferred to an affiliate (as defined in Rule 405 under the Securities Act) of the Issuers or evidencing a Note that has been acquired by an affiliate in a transaction or series of transactions not involving any public offering must, until one year after the last date on which either the Issuers or any affiliate of the Issuers was an owner of the Note, be in the form of a Definitive Note and bear the legend regarding transfer restrictions in </w:t>
      </w:r>
      <w:r>
        <w:rPr>
          <w:rFonts w:ascii="Arial" w:cs="Arial" w:eastAsia="Arial" w:hAnsi="Arial"/>
          <w:sz w:val="19"/>
          <w:szCs w:val="19"/>
          <w:u w:val="single" w:color="auto"/>
          <w:color w:val="auto"/>
        </w:rPr>
        <w:t>Section 2.1(d)</w:t>
      </w:r>
      <w:r>
        <w:rPr>
          <w:rFonts w:ascii="Arial" w:cs="Arial" w:eastAsia="Arial" w:hAnsi="Arial"/>
          <w:sz w:val="19"/>
          <w:szCs w:val="19"/>
          <w:color w:val="auto"/>
        </w:rPr>
        <w:t>. If required to do so pursuant to any applicable law or regulation, beneficial owners may also obtain Definitive Notes in exchange for their beneficial interests in a Global Note upon written request in accordance with DTC’s and the Registrar’s procedures.</w:t>
      </w:r>
    </w:p>
    <w:p>
      <w:pPr>
        <w:spacing w:after="0" w:line="49" w:lineRule="exact"/>
        <w:rPr>
          <w:sz w:val="20"/>
          <w:szCs w:val="20"/>
          <w:color w:val="auto"/>
        </w:rPr>
      </w:pPr>
    </w:p>
    <w:p>
      <w:pPr>
        <w:ind w:left="660" w:right="40" w:firstLine="1293"/>
        <w:spacing w:after="0" w:line="253" w:lineRule="auto"/>
        <w:tabs>
          <w:tab w:leader="none" w:pos="241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Any Definitive Note delivered in exchange for an interest in a Global Note pursuant to </w:t>
      </w:r>
      <w:r>
        <w:rPr>
          <w:rFonts w:ascii="Arial" w:cs="Arial" w:eastAsia="Arial" w:hAnsi="Arial"/>
          <w:sz w:val="22"/>
          <w:szCs w:val="22"/>
          <w:u w:val="single" w:color="auto"/>
          <w:color w:val="auto"/>
        </w:rPr>
        <w:t>Section 2.1(e)</w:t>
      </w:r>
      <w:r>
        <w:rPr>
          <w:rFonts w:ascii="Arial" w:cs="Arial" w:eastAsia="Arial" w:hAnsi="Arial"/>
          <w:sz w:val="22"/>
          <w:szCs w:val="22"/>
          <w:color w:val="auto"/>
        </w:rPr>
        <w:t xml:space="preserve"> 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Global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77" w:lineRule="exact"/>
        <w:rPr>
          <w:rFonts w:ascii="Arial" w:cs="Arial" w:eastAsia="Arial" w:hAnsi="Arial"/>
          <w:sz w:val="22"/>
          <w:szCs w:val="22"/>
          <w:color w:val="auto"/>
        </w:rPr>
      </w:pPr>
    </w:p>
    <w:p>
      <w:pPr>
        <w:ind w:left="660" w:right="140" w:firstLine="1293"/>
        <w:spacing w:after="0" w:line="247" w:lineRule="auto"/>
        <w:tabs>
          <w:tab w:leader="none" w:pos="242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If a Definitive Note is transferred or exchanged for a beneficial interest in a Global Note, the Registrar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Issuers shall execute, and the Trustee shall authenticate and make available for delivery, to the transferring Holder a new Definitive Note representing the principal amount not so transferred.</w:t>
      </w:r>
    </w:p>
    <w:p>
      <w:pPr>
        <w:spacing w:after="0" w:line="85" w:lineRule="exact"/>
        <w:rPr>
          <w:rFonts w:ascii="Arial" w:cs="Arial" w:eastAsia="Arial" w:hAnsi="Arial"/>
          <w:sz w:val="22"/>
          <w:szCs w:val="22"/>
          <w:color w:val="auto"/>
        </w:rPr>
      </w:pPr>
    </w:p>
    <w:p>
      <w:pPr>
        <w:ind w:left="660" w:firstLine="1293"/>
        <w:spacing w:after="0" w:line="289" w:lineRule="auto"/>
        <w:tabs>
          <w:tab w:leader="none" w:pos="242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another Definitive Note, (x) the Registrar will cancel the Definitive Note being transferred or exchanged, (y) the Issuers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Issuers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49" w:lineRule="exact"/>
        <w:rPr>
          <w:rFonts w:ascii="Arial" w:cs="Arial" w:eastAsia="Arial" w:hAnsi="Arial"/>
          <w:sz w:val="19"/>
          <w:szCs w:val="19"/>
          <w:color w:val="auto"/>
        </w:rPr>
      </w:pPr>
    </w:p>
    <w:p>
      <w:pPr>
        <w:ind w:left="660" w:right="620" w:firstLine="1293"/>
        <w:spacing w:after="0" w:line="253" w:lineRule="auto"/>
        <w:tabs>
          <w:tab w:leader="none" w:pos="242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in no event shall a Definitive Note be delivered upon exchange or transfer of a beneficial interest in the Regulation S Global Note prior to the end of the Restricted Period.</w:t>
      </w:r>
    </w:p>
    <w:p>
      <w:pPr>
        <w:spacing w:after="0" w:line="78" w:lineRule="exact"/>
        <w:rPr>
          <w:sz w:val="20"/>
          <w:szCs w:val="20"/>
          <w:color w:val="auto"/>
        </w:rPr>
      </w:pPr>
    </w:p>
    <w:p>
      <w:pPr>
        <w:ind w:right="680" w:firstLine="648"/>
        <w:spacing w:after="0" w:line="253"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Execution and Authentication</w:t>
      </w:r>
      <w:r>
        <w:rPr>
          <w:rFonts w:ascii="Arial" w:cs="Arial" w:eastAsia="Arial" w:hAnsi="Arial"/>
          <w:sz w:val="22"/>
          <w:szCs w:val="22"/>
          <w:color w:val="auto"/>
        </w:rPr>
        <w:t>. One Officer shall sign the Notes for each of the Issuers by manual or facsimile signature. If the Officers whose signature are on a Note no longer holds such office at the time the Trustee or Authenticating Agent authenticates the Note, the Note shall be valid nevertheless.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47" w:right="239" w:bottom="1440" w:gutter="0" w:footer="0" w:header="0"/>
        </w:sectPr>
      </w:pPr>
    </w:p>
    <w:bookmarkStart w:id="118" w:name="page119"/>
    <w:bookmarkEnd w:id="118"/>
    <w:p>
      <w:pPr>
        <w:ind w:firstLine="648"/>
        <w:spacing w:after="0" w:line="312" w:lineRule="auto"/>
        <w:rPr>
          <w:sz w:val="20"/>
          <w:szCs w:val="20"/>
          <w:color w:val="auto"/>
        </w:rPr>
      </w:pPr>
      <w:r>
        <w:rPr>
          <w:rFonts w:ascii="Arial" w:cs="Arial" w:eastAsia="Arial" w:hAnsi="Arial"/>
          <w:sz w:val="19"/>
          <w:szCs w:val="19"/>
          <w:color w:val="auto"/>
        </w:rPr>
        <w:t>A Note shall not be valid until an authorized officer of the Trustee or the Authenticating Agent manually authenticates the Note. The signature of the Trustee or the Authenticating Agent on a Note shall be conclusive evidence that such Note has been duly and validly authenticated and issued under this Indenture. A Note shall be dated the date of its authentication.</w:t>
      </w:r>
    </w:p>
    <w:p>
      <w:pPr>
        <w:spacing w:after="0" w:line="26"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At any time and from time to time after the execution and delivery of this Indenture, the Authenticating Agent shall authenticate and make available for delivery: (1) Initial Notes for original issue on the Issue Date in an aggregate principal amount of $400,000,000 and (2) subject to the terms of this Indenture, Additional Notes for original issue in an unlimited principal amount, in each case upon a written order of the Issuers signed by one Officer (the “</w:t>
      </w:r>
      <w:r>
        <w:rPr>
          <w:rFonts w:ascii="Arial" w:cs="Arial" w:eastAsia="Arial" w:hAnsi="Arial"/>
          <w:sz w:val="22"/>
          <w:szCs w:val="22"/>
          <w:u w:val="single" w:color="auto"/>
          <w:color w:val="auto"/>
        </w:rPr>
        <w:t>Issuer Order</w:t>
      </w:r>
      <w:r>
        <w:rPr>
          <w:rFonts w:ascii="Arial" w:cs="Arial" w:eastAsia="Arial" w:hAnsi="Arial"/>
          <w:sz w:val="22"/>
          <w:szCs w:val="22"/>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89" w:lineRule="exact"/>
        <w:rPr>
          <w:sz w:val="20"/>
          <w:szCs w:val="20"/>
          <w:color w:val="auto"/>
        </w:rPr>
      </w:pPr>
    </w:p>
    <w:p>
      <w:pPr>
        <w:ind w:right="180" w:firstLine="648"/>
        <w:spacing w:after="0" w:line="247" w:lineRule="auto"/>
        <w:rPr>
          <w:sz w:val="20"/>
          <w:szCs w:val="20"/>
          <w:color w:val="auto"/>
        </w:rPr>
      </w:pPr>
      <w:r>
        <w:rPr>
          <w:rFonts w:ascii="Arial" w:cs="Arial" w:eastAsia="Arial" w:hAnsi="Arial"/>
          <w:sz w:val="22"/>
          <w:szCs w:val="22"/>
          <w:color w:val="auto"/>
        </w:rPr>
        <w:t>The Trustee may appoint an agent (the “</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reasonably acceptable to the Issuers to authenticate the Notes. Any such appointment shall be evidenced by an instrument signed by a Responsible Officer, a copy of which shall be furnished to the Issuers. Unless limited by the terms of such appointment, any such Authenticating Agent may authenticate Notes whenever the Trustee may do so. Each reference in this Indenture to authentication by the Trustee includes authentication by an Authenticating Agent. An Authenticating Agent has the same rights as any Registrar, Paying Agent or agent for service of notices and demands.</w:t>
      </w:r>
    </w:p>
    <w:p>
      <w:pPr>
        <w:spacing w:after="0" w:line="86"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 xml:space="preserve">In case any of the Issuers or any Guarantor,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any of the Issuers or any Guarantor shall have been merged, or the Person which shall have received a conveyance, transfer, lease or other disposition as aforesaid, shall have executed an indenture supplemental hereto with the Trustee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Issuer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5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Registrar and Paying Agent</w:t>
      </w:r>
      <w:r>
        <w:rPr>
          <w:rFonts w:ascii="Arial" w:cs="Arial" w:eastAsia="Arial" w:hAnsi="Arial"/>
          <w:sz w:val="19"/>
          <w:szCs w:val="19"/>
          <w:color w:val="auto"/>
        </w:rPr>
        <w:t>. The Issuers shall maintain an office or agency where Notes may be presented for registration of transfer or for exchange (the “</w:t>
      </w:r>
      <w:r>
        <w:rPr>
          <w:rFonts w:ascii="Arial" w:cs="Arial" w:eastAsia="Arial" w:hAnsi="Arial"/>
          <w:sz w:val="19"/>
          <w:szCs w:val="19"/>
          <w:u w:val="single" w:color="auto"/>
          <w:color w:val="auto"/>
        </w:rPr>
        <w:t>Registrar</w:t>
      </w:r>
      <w:r>
        <w:rPr>
          <w:rFonts w:ascii="Arial" w:cs="Arial" w:eastAsia="Arial" w:hAnsi="Arial"/>
          <w:sz w:val="19"/>
          <w:szCs w:val="19"/>
          <w:color w:val="auto"/>
        </w:rPr>
        <w:t>”) and an office or agency where Notes may be presented for payment. The Registrar shall keep a register of the Notes and of their transfer and exchange (the “</w:t>
      </w:r>
      <w:r>
        <w:rPr>
          <w:rFonts w:ascii="Arial" w:cs="Arial" w:eastAsia="Arial" w:hAnsi="Arial"/>
          <w:sz w:val="19"/>
          <w:szCs w:val="19"/>
          <w:u w:val="single" w:color="auto"/>
          <w:color w:val="auto"/>
        </w:rPr>
        <w:t>Notes Register</w:t>
      </w:r>
      <w:r>
        <w:rPr>
          <w:rFonts w:ascii="Arial" w:cs="Arial" w:eastAsia="Arial" w:hAnsi="Arial"/>
          <w:sz w:val="19"/>
          <w:szCs w:val="19"/>
          <w:color w:val="auto"/>
        </w:rPr>
        <w:t>”). The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00"/>
          </w:cols>
          <w:pgMar w:left="240" w:top="847" w:right="259" w:bottom="1440" w:gutter="0" w:footer="0" w:header="0"/>
        </w:sectPr>
      </w:pPr>
    </w:p>
    <w:bookmarkStart w:id="119" w:name="page120"/>
    <w:bookmarkEnd w:id="119"/>
    <w:p>
      <w:pPr>
        <w:ind w:right="580"/>
        <w:spacing w:after="0" w:line="263" w:lineRule="auto"/>
        <w:rPr>
          <w:sz w:val="20"/>
          <w:szCs w:val="20"/>
          <w:color w:val="auto"/>
        </w:rPr>
      </w:pPr>
      <w:r>
        <w:rPr>
          <w:rFonts w:ascii="Arial" w:cs="Arial" w:eastAsia="Arial" w:hAnsi="Arial"/>
          <w:sz w:val="22"/>
          <w:szCs w:val="22"/>
          <w:color w:val="auto"/>
        </w:rPr>
        <w:t>Issuers may have one or more co-registrars and one or more additional paying agents. The term “Paying Agent” includes any additional paying agent and the term “Registrar” includes any co-registrar.</w:t>
      </w:r>
    </w:p>
    <w:p>
      <w:pPr>
        <w:spacing w:after="0" w:line="67"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Issuers shall enter into an appropriate agency agreement with any Registrar or Paying Agent not a party to this Indenture. The agreement shall implement the provisions of this Indenture that relate to such agent. The Issuers shall notify the Trustee in writing of the name and address of each such agent. The Issuers or any Guarantor may act as Paying Agent, Registrar or Transfer Agent.</w:t>
      </w:r>
    </w:p>
    <w:p>
      <w:pPr>
        <w:spacing w:after="0" w:line="80"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 xml:space="preserve">The Issuers initially appoint the Trustee as Registrar, Paying Agent and Transfer Agent for the Notes. The Issuers may change any agent without prior notice to the Holders, but upon written notice to such agent and to the Trustee;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removal shall become effective until (i) acceptance of any appointment by a successor as evidenced by an appropriate agreement entered into by the Issuers and such successor agent, as the case may be, and delivered to the Trustee and the passage of any waiting or notice periods required by DTC procedures or (ii) written notification to the Trustee that the Trustee shall serve as agent until the appointment of a successor in accordance with clause (i) above. The agent may resign at any time upon written notice to the Issuers and the Trustee.</w:t>
      </w:r>
    </w:p>
    <w:p>
      <w:pPr>
        <w:spacing w:after="0" w:line="7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 xml:space="preserve">. By no later than 12:00 p.m (New York time) on the date on which any principal of, premium, if any, or interest on any Note is due and payable, the Issuers shall deposit with the Paying Agent a sum sufficient in immediately available funds to pay such principal, premium or interest when due or at the option of the Paying Agent, payment of interest and Additional Interest, if any, may be made by check mailed to the Holders of the Notes at their respective addresses set forth in the register of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payments of principal, premium, if any, and interest with respect to the Notes represented by one or more Global Notes registered in the name of DTC or its nominee will be made by wire transfer of immediately available funds to the accounts specified by the Holder or Holders thereof. The Issuers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Issuers or other obligors on the Notes), shall notify the Trustee in writing of any default by the Issuers or any Guarantor in making any such payment and shall during the continuance of any default by the Issuers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Issuers or a Subsidiary of the Issuers acts as Paying Agent, it shall segregate the money held by it as Paying Agent and hold it as a separate trust fund. The Issuers at any time may require a Paying Agent (other than the Trustee) to pay all money held by it to the Trustee and to account for any funds or assets disbursed by such Paying Agent. Upon complying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Paying Agent (if other than the Issuers or a Subsidiary of the Issuers) shall have no further liability for the money delivered to the Trustee. Upon any bankruptcy, reorganization or similar proceeding with respect to the Issuers, the Trustee shall serve as Paying Agent for the Notes.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00"/>
          </w:cols>
          <w:pgMar w:left="240" w:top="847" w:right="259" w:bottom="1440" w:gutter="0" w:footer="0" w:header="0"/>
        </w:sectPr>
      </w:pPr>
    </w:p>
    <w:bookmarkStart w:id="120" w:name="page121"/>
    <w:bookmarkEnd w:id="120"/>
    <w:p>
      <w:pPr>
        <w:ind w:right="40" w:firstLine="648"/>
        <w:spacing w:after="0" w:line="297"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Holder Lists</w:t>
      </w:r>
      <w:r>
        <w:rPr>
          <w:rFonts w:ascii="Arial" w:cs="Arial" w:eastAsia="Arial" w:hAnsi="Arial"/>
          <w:sz w:val="19"/>
          <w:szCs w:val="19"/>
          <w:color w:val="auto"/>
        </w:rPr>
        <w:t>. The Trustee shall preserve in as current a form as is reasonably practicable the most recent list available to it of the names and addresses of Holders. If the Trustee is not the Registrar, the Issuers, on their own behalf and on behalf of each of the Guarantors,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and the Issuers.</w:t>
      </w:r>
    </w:p>
    <w:p>
      <w:pPr>
        <w:spacing w:after="0" w:line="3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112" w:lineRule="exact"/>
        <w:rPr>
          <w:sz w:val="20"/>
          <w:szCs w:val="20"/>
          <w:color w:val="auto"/>
        </w:rPr>
      </w:pPr>
    </w:p>
    <w:p>
      <w:pPr>
        <w:ind w:right="20" w:firstLine="1305"/>
        <w:spacing w:after="0" w:line="289" w:lineRule="auto"/>
        <w:tabs>
          <w:tab w:leader="none" w:pos="174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A Holder may transfer a Note (or a beneficial interest therein) to another Person or exchange a Note (or a beneficial interest therein) for another Note or Notes of any authorized denomination by presenting to the Transfer Agent a written request therefor stating the name of the proposed transferee or requesting such an exchange, accompanied by any certification, opinion or other document required by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Transfer Agent will promptly register any transfer or exchange that meets the requirements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as applicable, and, in the case of a Global Note (or a beneficial interest therein), the applicable rules and procedures of DTC, Euroclear and Clearstream. The Registrar shall refuse to register any requested transfer or exchange that does not comply with this paragraph.</w:t>
      </w:r>
    </w:p>
    <w:p>
      <w:pPr>
        <w:spacing w:after="0" w:line="49" w:lineRule="exact"/>
        <w:rPr>
          <w:rFonts w:ascii="Arial" w:cs="Arial" w:eastAsia="Arial" w:hAnsi="Arial"/>
          <w:sz w:val="19"/>
          <w:szCs w:val="19"/>
          <w:color w:val="auto"/>
        </w:rPr>
      </w:pPr>
    </w:p>
    <w:p>
      <w:pPr>
        <w:ind w:firstLine="1305"/>
        <w:spacing w:after="0" w:line="302" w:lineRule="auto"/>
        <w:tabs>
          <w:tab w:leader="none" w:pos="176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Transfers of Rule 144A Notes and Institutional Accredited Investor Notes</w:t>
      </w:r>
      <w:r>
        <w:rPr>
          <w:rFonts w:ascii="Arial" w:cs="Arial" w:eastAsia="Arial" w:hAnsi="Arial"/>
          <w:sz w:val="19"/>
          <w:szCs w:val="19"/>
          <w:color w:val="auto"/>
        </w:rPr>
        <w:t>. The following provisions shall apply with respect to any proposed registration of transfer of a Rule 144A Note or an Institutional Accredited Investor Note prior to the date that is one year after the later of the date of its original issue and the last date on which the Issuers or any Affiliate of the Issuers was the owner of such Notes (or any predecessor thereto) (the “</w:t>
      </w:r>
      <w:r>
        <w:rPr>
          <w:rFonts w:ascii="Arial" w:cs="Arial" w:eastAsia="Arial" w:hAnsi="Arial"/>
          <w:sz w:val="19"/>
          <w:szCs w:val="19"/>
          <w:u w:val="single" w:color="auto"/>
          <w:color w:val="auto"/>
        </w:rPr>
        <w:t>Resale Restriction Termination Date</w:t>
      </w:r>
      <w:r>
        <w:rPr>
          <w:rFonts w:ascii="Arial" w:cs="Arial" w:eastAsia="Arial" w:hAnsi="Arial"/>
          <w:sz w:val="19"/>
          <w:szCs w:val="19"/>
          <w:color w:val="auto"/>
        </w:rPr>
        <w:t>”):</w:t>
      </w:r>
    </w:p>
    <w:p>
      <w:pPr>
        <w:spacing w:after="0" w:line="34" w:lineRule="exact"/>
        <w:rPr>
          <w:rFonts w:ascii="Arial" w:cs="Arial" w:eastAsia="Arial" w:hAnsi="Arial"/>
          <w:sz w:val="19"/>
          <w:szCs w:val="19"/>
          <w:color w:val="auto"/>
        </w:rPr>
      </w:pPr>
    </w:p>
    <w:p>
      <w:pPr>
        <w:ind w:left="660" w:right="80" w:firstLine="1293"/>
        <w:spacing w:after="0" w:line="258" w:lineRule="auto"/>
        <w:tabs>
          <w:tab w:leader="none" w:pos="2425"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w:t>
      </w:r>
    </w:p>
    <w:p>
      <w:pPr>
        <w:spacing w:after="0" w:line="75" w:lineRule="exact"/>
        <w:rPr>
          <w:rFonts w:ascii="Arial" w:cs="Arial" w:eastAsia="Arial" w:hAnsi="Arial"/>
          <w:sz w:val="21"/>
          <w:szCs w:val="21"/>
          <w:color w:val="auto"/>
        </w:rPr>
      </w:pPr>
    </w:p>
    <w:p>
      <w:pPr>
        <w:ind w:left="660" w:right="820" w:firstLine="1293"/>
        <w:spacing w:after="0" w:line="263" w:lineRule="auto"/>
        <w:tabs>
          <w:tab w:leader="none" w:pos="2425"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 beneficial interest therein to an IAI shall be made upon</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40" w:top="847" w:right="259" w:bottom="1440" w:gutter="0" w:footer="0" w:header="0"/>
        </w:sectPr>
      </w:pPr>
    </w:p>
    <w:bookmarkStart w:id="121" w:name="page122"/>
    <w:bookmarkEnd w:id="121"/>
    <w:p>
      <w:pPr>
        <w:ind w:left="660" w:right="600"/>
        <w:spacing w:after="0" w:line="341" w:lineRule="auto"/>
        <w:rPr>
          <w:sz w:val="20"/>
          <w:szCs w:val="20"/>
          <w:color w:val="auto"/>
        </w:rPr>
      </w:pPr>
      <w:r>
        <w:rPr>
          <w:rFonts w:ascii="Arial" w:cs="Arial" w:eastAsia="Arial" w:hAnsi="Arial"/>
          <w:sz w:val="19"/>
          <w:szCs w:val="19"/>
          <w:color w:val="auto"/>
        </w:rPr>
        <w:t xml:space="preserve">receipt by the Registrar or its agent of a certificate substantially in the form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from the proposed transferee and the delivery of an Opinion of Counsel, certification and/or other information satisfactory to it; and</w:t>
      </w:r>
    </w:p>
    <w:p>
      <w:pPr>
        <w:ind w:left="660" w:right="320" w:firstLine="1293"/>
        <w:spacing w:after="0" w:line="250" w:lineRule="auto"/>
        <w:tabs>
          <w:tab w:leader="none" w:pos="2425"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a registration of transfer of a Rule 144A Note or an Institutional Accredited Investor Note or a beneficial interest therein to a Non-U.S. Person shall be made 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from the proposed transferee and the delivery of an Opinion of Counsel, certification and/or other information satisfactory to it.</w:t>
      </w:r>
    </w:p>
    <w:p>
      <w:pPr>
        <w:spacing w:after="0" w:line="80" w:lineRule="exact"/>
        <w:rPr>
          <w:rFonts w:ascii="Arial" w:cs="Arial" w:eastAsia="Arial" w:hAnsi="Arial"/>
          <w:sz w:val="22"/>
          <w:szCs w:val="22"/>
          <w:color w:val="auto"/>
        </w:rPr>
      </w:pPr>
    </w:p>
    <w:p>
      <w:pPr>
        <w:ind w:right="80" w:firstLine="1305"/>
        <w:spacing w:after="0" w:line="263" w:lineRule="auto"/>
        <w:tabs>
          <w:tab w:leader="none" w:pos="175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Transfers of Regulation S Notes</w:t>
      </w:r>
      <w:r>
        <w:rPr>
          <w:rFonts w:ascii="Arial" w:cs="Arial" w:eastAsia="Arial" w:hAnsi="Arial"/>
          <w:sz w:val="22"/>
          <w:szCs w:val="22"/>
          <w:color w:val="auto"/>
        </w:rPr>
        <w:t>. The following provisions shall apply with respect to any proposed transfer of a Regulation S Note prior to the expiration of the Restricted Period:</w:t>
      </w:r>
    </w:p>
    <w:p>
      <w:pPr>
        <w:spacing w:after="0" w:line="66" w:lineRule="exact"/>
        <w:rPr>
          <w:rFonts w:ascii="Arial" w:cs="Arial" w:eastAsia="Arial" w:hAnsi="Arial"/>
          <w:sz w:val="22"/>
          <w:szCs w:val="22"/>
          <w:color w:val="auto"/>
        </w:rPr>
      </w:pPr>
    </w:p>
    <w:p>
      <w:pPr>
        <w:ind w:left="660" w:right="60" w:firstLine="1293"/>
        <w:spacing w:after="0" w:line="292" w:lineRule="auto"/>
        <w:tabs>
          <w:tab w:leader="none" w:pos="2425" w:val="left"/>
        </w:tabs>
        <w:numPr>
          <w:ilvl w:val="1"/>
          <w:numId w:val="132"/>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Issuers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43" w:lineRule="exact"/>
        <w:rPr>
          <w:rFonts w:ascii="Arial" w:cs="Arial" w:eastAsia="Arial" w:hAnsi="Arial"/>
          <w:sz w:val="19"/>
          <w:szCs w:val="19"/>
          <w:color w:val="auto"/>
        </w:rPr>
      </w:pPr>
    </w:p>
    <w:p>
      <w:pPr>
        <w:ind w:left="660" w:right="20" w:firstLine="1293"/>
        <w:spacing w:after="0" w:line="312" w:lineRule="auto"/>
        <w:tabs>
          <w:tab w:leader="none" w:pos="2425"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a transfer of a Regulation S Note or a beneficial interest therein to an IAI shall be made upon receipt by the Registrar or its agent of a certificate substantially in the form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from the proposed transferee and the delivery of an Opinion of Counsel, certification and/or other information satisfactory to the Issuers; and</w:t>
      </w:r>
    </w:p>
    <w:p>
      <w:pPr>
        <w:spacing w:after="0" w:line="25" w:lineRule="exact"/>
        <w:rPr>
          <w:rFonts w:ascii="Arial" w:cs="Arial" w:eastAsia="Arial" w:hAnsi="Arial"/>
          <w:sz w:val="19"/>
          <w:szCs w:val="19"/>
          <w:color w:val="auto"/>
        </w:rPr>
      </w:pPr>
    </w:p>
    <w:p>
      <w:pPr>
        <w:jc w:val="both"/>
        <w:ind w:left="660" w:firstLine="1293"/>
        <w:spacing w:after="0" w:line="250" w:lineRule="auto"/>
        <w:tabs>
          <w:tab w:leader="none" w:pos="2425"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a transfer of a Regulation S Note or a beneficial interest therein to a Non-U.S. Person shall be made 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hereof from the proposed transferee and receipt by the Registrar or its agent of an Opinion of Counsel, certification and/or other information satisfactory to the Issuers.</w:t>
      </w:r>
    </w:p>
    <w:p>
      <w:pPr>
        <w:spacing w:after="0" w:line="80" w:lineRule="exact"/>
        <w:rPr>
          <w:sz w:val="20"/>
          <w:szCs w:val="20"/>
          <w:color w:val="auto"/>
        </w:rPr>
      </w:pPr>
    </w:p>
    <w:p>
      <w:pPr>
        <w:ind w:right="560" w:firstLine="648"/>
        <w:spacing w:after="0" w:line="341" w:lineRule="auto"/>
        <w:rPr>
          <w:sz w:val="20"/>
          <w:szCs w:val="20"/>
          <w:color w:val="auto"/>
        </w:rPr>
      </w:pPr>
      <w:r>
        <w:rPr>
          <w:rFonts w:ascii="Arial" w:cs="Arial" w:eastAsia="Arial" w:hAnsi="Arial"/>
          <w:sz w:val="19"/>
          <w:szCs w:val="19"/>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or any additional certification.</w:t>
      </w:r>
    </w:p>
    <w:p>
      <w:pPr>
        <w:ind w:firstLine="1305"/>
        <w:spacing w:after="0" w:line="294" w:lineRule="auto"/>
        <w:tabs>
          <w:tab w:leader="none" w:pos="1765"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Restricted Notes Legend</w:t>
      </w:r>
      <w:r>
        <w:rPr>
          <w:rFonts w:ascii="Arial" w:cs="Arial" w:eastAsia="Arial" w:hAnsi="Arial"/>
          <w:sz w:val="19"/>
          <w:szCs w:val="19"/>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or (2) there is delivered to the Registrar an Opinion of Counsel reasonably satisfactory to the Issuers and the Registrar to the effect that neither such legend nor the related restrictions on transfer are required in order to maintain compliance with the provisions of the Securities Act.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00"/>
          </w:cols>
          <w:pgMar w:left="240" w:top="847" w:right="25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Any Additional Notes sold in a registered offering shall not be required to bear the Restricted Notes Legend.</w:t>
      </w:r>
    </w:p>
    <w:p>
      <w:pPr>
        <w:spacing w:after="0" w:line="112" w:lineRule="exact"/>
        <w:rPr>
          <w:sz w:val="20"/>
          <w:szCs w:val="20"/>
          <w:color w:val="auto"/>
        </w:rPr>
      </w:pPr>
    </w:p>
    <w:p>
      <w:pPr>
        <w:ind w:left="1760" w:hanging="455"/>
        <w:spacing w:after="0"/>
        <w:tabs>
          <w:tab w:leader="none" w:pos="17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jc w:val="both"/>
        <w:ind w:firstLine="1305"/>
        <w:spacing w:after="0" w:line="250" w:lineRule="auto"/>
        <w:tabs>
          <w:tab w:leader="none" w:pos="172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Retention of Written Communications</w:t>
      </w:r>
      <w:r>
        <w:rPr>
          <w:rFonts w:ascii="Arial" w:cs="Arial" w:eastAsia="Arial" w:hAnsi="Arial"/>
          <w:sz w:val="22"/>
          <w:szCs w:val="22"/>
          <w:color w:val="auto"/>
        </w:rPr>
        <w:t xml:space="preserve">. The Registrar shall retain copies of all letters, notices and other written communications received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2.6</w:t>
      </w:r>
      <w:r>
        <w:rPr>
          <w:rFonts w:ascii="Arial" w:cs="Arial" w:eastAsia="Arial" w:hAnsi="Arial"/>
          <w:sz w:val="22"/>
          <w:szCs w:val="22"/>
          <w:color w:val="auto"/>
        </w:rPr>
        <w:t>. The Issuers shall have the right to inspect and make copies of all such letters, notices or other written communications at any reasonable time upon the giving of reasonable prior written notice to the Registrar.</w:t>
      </w:r>
    </w:p>
    <w:p>
      <w:pPr>
        <w:spacing w:after="0" w:line="80" w:lineRule="exact"/>
        <w:rPr>
          <w:rFonts w:ascii="Arial" w:cs="Arial" w:eastAsia="Arial" w:hAnsi="Arial"/>
          <w:sz w:val="22"/>
          <w:szCs w:val="22"/>
          <w:color w:val="auto"/>
        </w:rPr>
      </w:pPr>
    </w:p>
    <w:p>
      <w:pPr>
        <w:ind w:right="260" w:firstLine="1305"/>
        <w:spacing w:after="0" w:line="253" w:lineRule="auto"/>
        <w:tabs>
          <w:tab w:leader="none" w:pos="1765"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Obligations with Respect to Transfers and Exchanges of Notes</w:t>
      </w:r>
      <w:r>
        <w:rPr>
          <w:rFonts w:ascii="Arial" w:cs="Arial" w:eastAsia="Arial" w:hAnsi="Arial"/>
          <w:sz w:val="22"/>
          <w:szCs w:val="22"/>
          <w:color w:val="auto"/>
        </w:rPr>
        <w:t xml:space="preserve">. To permit registrations of transfers and exchanges, the Issuers shall, subject to the other terms and conditions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execute and the Trustee shall authenticate Definitive Notes and Global Notes at the Issuers’ and Registrar’s written request.</w:t>
      </w:r>
    </w:p>
    <w:p>
      <w:pPr>
        <w:spacing w:after="0" w:line="7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No service charge shall be made to a Holder for any registration of transfer or exchange, but the Issuers and the Trustee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w:t>
      </w:r>
    </w:p>
    <w:p>
      <w:pPr>
        <w:spacing w:after="0" w:line="8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9"/>
          <w:szCs w:val="19"/>
          <w:color w:val="auto"/>
        </w:rPr>
        <w:t>The Issuers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w:t>
      </w:r>
    </w:p>
    <w:p>
      <w:pPr>
        <w:spacing w:after="0" w:line="35"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Prior to the due presentation for registration of transfer of any Note, the Issuers, the Trustee, the Paying Agent or the Registrar may deem and treat the person in whose name a Note is registered as the owner of such Note for the purpose of receiving payment of principal of, premium, if any, and (subject to paragraph 2 of the form of Notes attached hereto as </w:t>
      </w:r>
      <w:r>
        <w:rPr>
          <w:rFonts w:ascii="Arial" w:cs="Arial" w:eastAsia="Arial" w:hAnsi="Arial"/>
          <w:sz w:val="22"/>
          <w:szCs w:val="22"/>
          <w:u w:val="single" w:color="auto"/>
          <w:color w:val="auto"/>
        </w:rPr>
        <w:t>Exhibits A</w:t>
      </w:r>
      <w:r>
        <w:rPr>
          <w:rFonts w:ascii="Arial" w:cs="Arial" w:eastAsia="Arial" w:hAnsi="Arial"/>
          <w:sz w:val="22"/>
          <w:szCs w:val="22"/>
          <w:color w:val="auto"/>
        </w:rPr>
        <w:t>) interest on such Note and for all other purposes whatsoever, including without limitation the transfer or exchange of such Note, whether or not such Note is overdue, and none of the Issuers, the Trustee, the Paying Agent or the Registrar shall be affected by notice to the contrary.</w:t>
      </w:r>
    </w:p>
    <w:p>
      <w:pPr>
        <w:spacing w:after="0" w:line="8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Any Definitive Note delivered in exchange for an interest in a Global Note pursuant to </w:t>
      </w:r>
      <w:r>
        <w:rPr>
          <w:rFonts w:ascii="Arial" w:cs="Arial" w:eastAsia="Arial" w:hAnsi="Arial"/>
          <w:sz w:val="22"/>
          <w:szCs w:val="22"/>
          <w:u w:val="single" w:color="auto"/>
          <w:color w:val="auto"/>
        </w:rPr>
        <w:t>Section 2.1(f)</w:t>
      </w:r>
      <w:r>
        <w:rPr>
          <w:rFonts w:ascii="Arial" w:cs="Arial" w:eastAsia="Arial" w:hAnsi="Arial"/>
          <w:sz w:val="22"/>
          <w:szCs w:val="22"/>
          <w:color w:val="auto"/>
        </w:rPr>
        <w:t xml:space="preserve"> 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Definitive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78" w:lineRule="exact"/>
        <w:rPr>
          <w:sz w:val="20"/>
          <w:szCs w:val="20"/>
          <w:color w:val="auto"/>
        </w:rPr>
      </w:pPr>
    </w:p>
    <w:p>
      <w:pPr>
        <w:ind w:right="420" w:firstLine="648"/>
        <w:spacing w:after="0" w:line="341" w:lineRule="auto"/>
        <w:rPr>
          <w:sz w:val="20"/>
          <w:szCs w:val="20"/>
          <w:color w:val="auto"/>
        </w:rPr>
      </w:pPr>
      <w:r>
        <w:rPr>
          <w:rFonts w:ascii="Arial" w:cs="Arial" w:eastAsia="Arial" w:hAnsi="Arial"/>
          <w:sz w:val="19"/>
          <w:szCs w:val="19"/>
          <w:color w:val="auto"/>
        </w:rPr>
        <w:t>All Notes issued upon any transfer or exchange pursuant to the terms of this Indenture shall evidence the same debt and shall be entitled to the same benefits under this Indenture as the Notes surrendered upon such transfer or exchange.</w:t>
      </w:r>
    </w:p>
    <w:p>
      <w:pPr>
        <w:ind w:right="300" w:firstLine="1305"/>
        <w:spacing w:after="0" w:line="265" w:lineRule="auto"/>
        <w:tabs>
          <w:tab w:leader="none" w:pos="1765"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No Obligation of the Trustee</w:t>
      </w:r>
      <w:r>
        <w:rPr>
          <w:rFonts w:ascii="Arial" w:cs="Arial" w:eastAsia="Arial" w:hAnsi="Arial"/>
          <w:sz w:val="21"/>
          <w:szCs w:val="21"/>
          <w:color w:val="auto"/>
        </w:rPr>
        <w:t>. (1) Neither the Trustee nor the Registrar shall have any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47" w:right="239" w:bottom="1440" w:gutter="0" w:footer="0" w:header="0"/>
        </w:sectPr>
      </w:pPr>
    </w:p>
    <w:bookmarkStart w:id="123" w:name="page124"/>
    <w:bookmarkEnd w:id="123"/>
    <w:p>
      <w:pPr>
        <w:spacing w:after="0" w:line="294" w:lineRule="auto"/>
        <w:rPr>
          <w:sz w:val="20"/>
          <w:szCs w:val="20"/>
          <w:color w:val="auto"/>
        </w:rPr>
      </w:pPr>
      <w:r>
        <w:rPr>
          <w:rFonts w:ascii="Arial" w:cs="Arial" w:eastAsia="Arial" w:hAnsi="Arial"/>
          <w:sz w:val="19"/>
          <w:szCs w:val="19"/>
          <w:color w:val="auto"/>
        </w:rPr>
        <w:t>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w:t>
      </w:r>
    </w:p>
    <w:p>
      <w:pPr>
        <w:spacing w:after="0" w:line="42"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Registrar nor any of their respective agents shall have any responsibility for any actions taken or not taken by DTC.</w:t>
      </w:r>
    </w:p>
    <w:p>
      <w:pPr>
        <w:spacing w:after="0" w:line="7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Form of Certificate To Be Delivered in Connection with Transfers to IAIs</w:t>
      </w:r>
      <w:r>
        <w:rPr>
          <w:rFonts w:ascii="Arial" w:cs="Arial" w:eastAsia="Arial" w:hAnsi="Arial"/>
          <w:sz w:val="19"/>
          <w:szCs w:val="19"/>
          <w:color w:val="auto"/>
        </w:rPr>
        <w: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w:t>
      </w:r>
    </w:p>
    <w:p>
      <w:pPr>
        <w:spacing w:after="0" w:line="11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Care Rental, LLC and Avis Budget Finance,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is delivered to request a transfer of $[_________] principal amount of the 5.75% Senior Notes due 2027 (the</w:t>
      </w:r>
    </w:p>
    <w:p>
      <w:pPr>
        <w:spacing w:after="0" w:line="56" w:lineRule="exact"/>
        <w:rPr>
          <w:sz w:val="20"/>
          <w:szCs w:val="20"/>
          <w:color w:val="auto"/>
        </w:rPr>
      </w:pPr>
    </w:p>
    <w:p>
      <w:pPr>
        <w:ind w:right="720"/>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of Avis Budget Car Rental, LLC (the “</w:t>
      </w:r>
      <w:r>
        <w:rPr>
          <w:rFonts w:ascii="Arial" w:cs="Arial" w:eastAsia="Arial" w:hAnsi="Arial"/>
          <w:sz w:val="22"/>
          <w:szCs w:val="22"/>
          <w:u w:val="single" w:color="auto"/>
          <w:color w:val="auto"/>
        </w:rPr>
        <w:t>Company</w:t>
      </w:r>
      <w:r>
        <w:rPr>
          <w:rFonts w:ascii="Arial" w:cs="Arial" w:eastAsia="Arial" w:hAnsi="Arial"/>
          <w:sz w:val="22"/>
          <w:szCs w:val="22"/>
          <w:color w:val="auto"/>
        </w:rPr>
        <w:t>”) and Avis Budget Finance, Inc. (together with the Company, the “</w:t>
      </w:r>
      <w:r>
        <w:rPr>
          <w:rFonts w:ascii="Arial" w:cs="Arial" w:eastAsia="Arial" w:hAnsi="Arial"/>
          <w:sz w:val="22"/>
          <w:szCs w:val="22"/>
          <w:u w:val="single" w:color="auto"/>
          <w:color w:val="auto"/>
        </w:rPr>
        <w:t>Issuers</w:t>
      </w:r>
      <w:r>
        <w:rPr>
          <w:rFonts w:ascii="Arial" w:cs="Arial" w:eastAsia="Arial" w:hAnsi="Arial"/>
          <w:sz w:val="22"/>
          <w:szCs w:val="22"/>
          <w:color w:val="auto"/>
        </w:rPr>
        <w:t>”).</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transfer, the Notes would be registered in the name of the new beneficial owner as follows:</w:t>
      </w:r>
    </w:p>
    <w:p>
      <w:pPr>
        <w:spacing w:after="0" w:line="36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47"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-17780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-17780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represents and warrants to you that:</w:t>
      </w:r>
    </w:p>
    <w:p>
      <w:pPr>
        <w:spacing w:after="0" w:line="112" w:lineRule="exact"/>
        <w:rPr>
          <w:sz w:val="20"/>
          <w:szCs w:val="20"/>
          <w:color w:val="auto"/>
        </w:rPr>
      </w:pPr>
    </w:p>
    <w:p>
      <w:pPr>
        <w:ind w:right="120" w:firstLine="656"/>
        <w:spacing w:after="0" w:line="294" w:lineRule="auto"/>
        <w:tabs>
          <w:tab w:leader="none" w:pos="102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We are an institutional “accredited investor” (as defined in Rule 501(a)(1), (2), (3) or (7)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purchasing for our own account or for the account of such an institutional “accredited investor,”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41" w:lineRule="exact"/>
        <w:rPr>
          <w:rFonts w:ascii="Arial" w:cs="Arial" w:eastAsia="Arial" w:hAnsi="Arial"/>
          <w:sz w:val="19"/>
          <w:szCs w:val="19"/>
          <w:color w:val="auto"/>
        </w:rPr>
      </w:pPr>
    </w:p>
    <w:p>
      <w:pPr>
        <w:ind w:firstLine="656"/>
        <w:spacing w:after="0" w:line="284" w:lineRule="auto"/>
        <w:tabs>
          <w:tab w:leader="none" w:pos="102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Resale Restriction Termination Date only (a) to the Issuers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19"/>
          <w:szCs w:val="19"/>
          <w:u w:val="single" w:color="auto"/>
          <w:color w:val="auto"/>
        </w:rPr>
        <w:t>QIB</w:t>
      </w:r>
      <w:r>
        <w:rPr>
          <w:rFonts w:ascii="Arial" w:cs="Arial" w:eastAsia="Arial" w:hAnsi="Arial"/>
          <w:sz w:val="19"/>
          <w:szCs w:val="19"/>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Issuers and the Trustee and Registrar,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Issuers and the Trustee and Registrar reserve the right prior to any offer, sale or other transfer prior to the Resale Restriction Termination Date of the Notes pursuant to clauses (d), (e) or (f) above to require the delivery of an opinion of counsel, certifications and/or other information satisfactory to the Issuers.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847" w:right="239" w:bottom="1440" w:gutter="0" w:footer="0" w:header="0"/>
        </w:sectPr>
      </w:pPr>
    </w:p>
    <w:bookmarkStart w:id="125" w:name="page126"/>
    <w:bookmarkEnd w:id="125"/>
    <w:p>
      <w:pPr>
        <w:ind w:left="1040" w:hanging="384"/>
        <w:spacing w:after="0"/>
        <w:tabs>
          <w:tab w:leader="none" w:pos="10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We [are][are not] an Affiliate of the Issuers.</w:t>
      </w:r>
    </w:p>
    <w:p>
      <w:pPr>
        <w:spacing w:after="0" w:line="111" w:lineRule="exact"/>
        <w:rPr>
          <w:rFonts w:ascii="Arial" w:cs="Arial" w:eastAsia="Arial" w:hAnsi="Arial"/>
          <w:sz w:val="22"/>
          <w:szCs w:val="22"/>
          <w:color w:val="auto"/>
        </w:rPr>
      </w:pPr>
    </w:p>
    <w:p>
      <w:pPr>
        <w:ind w:left="4540"/>
        <w:spacing w:after="0"/>
        <w:rPr>
          <w:rFonts w:ascii="Arial" w:cs="Arial" w:eastAsia="Arial" w:hAnsi="Arial"/>
          <w:sz w:val="22"/>
          <w:szCs w:val="22"/>
          <w:color w:val="auto"/>
        </w:rPr>
      </w:pPr>
      <w:r>
        <w:rPr>
          <w:rFonts w:ascii="Arial" w:cs="Arial" w:eastAsia="Arial" w:hAnsi="Arial"/>
          <w:sz w:val="22"/>
          <w:szCs w:val="22"/>
          <w:color w:val="auto"/>
        </w:rPr>
        <w:t>TRANSFEREE:</w:t>
      </w:r>
    </w:p>
    <w:p>
      <w:pPr>
        <w:spacing w:after="0" w:line="111" w:lineRule="exact"/>
        <w:rPr>
          <w:rFonts w:ascii="Arial" w:cs="Arial" w:eastAsia="Arial" w:hAnsi="Arial"/>
          <w:sz w:val="22"/>
          <w:szCs w:val="22"/>
          <w:color w:val="auto"/>
        </w:rPr>
      </w:pPr>
    </w:p>
    <w:p>
      <w:pPr>
        <w:ind w:left="4540"/>
        <w:spacing w:after="0"/>
        <w:rPr>
          <w:rFonts w:ascii="Arial" w:cs="Arial" w:eastAsia="Arial" w:hAnsi="Arial"/>
          <w:sz w:val="22"/>
          <w:szCs w:val="22"/>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-249555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3239770</wp:posOffset>
            </wp:positionH>
            <wp:positionV relativeFrom="paragraph">
              <wp:posOffset>-17780</wp:posOffset>
            </wp:positionV>
            <wp:extent cx="274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Form of Certificate To Be Delivered in Connection with Transfers Pursuant to Regulation S</w:t>
      </w:r>
      <w:r>
        <w:rPr>
          <w:rFonts w:ascii="Arial" w:cs="Arial" w:eastAsia="Arial" w:hAnsi="Arial"/>
          <w:sz w:val="19"/>
          <w:szCs w:val="19"/>
          <w:color w:val="auto"/>
        </w:rPr>
        <w: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w:t>
      </w:r>
    </w:p>
    <w:p>
      <w:pPr>
        <w:spacing w:after="0" w:line="11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Car Rental, LLC and Avis Budget Finance, Inc. (the “</w:t>
      </w:r>
      <w:r>
        <w:rPr>
          <w:rFonts w:ascii="Arial" w:cs="Arial" w:eastAsia="Arial" w:hAnsi="Arial"/>
          <w:sz w:val="19"/>
          <w:szCs w:val="19"/>
          <w:u w:val="single" w:color="auto"/>
          <w:color w:val="auto"/>
        </w:rPr>
        <w:t>Issuers</w:t>
      </w:r>
      <w:r>
        <w:rPr>
          <w:rFonts w:ascii="Arial" w:cs="Arial" w:eastAsia="Arial" w:hAnsi="Arial"/>
          <w:sz w:val="19"/>
          <w:szCs w:val="19"/>
          <w:color w:val="auto"/>
        </w:rPr>
        <w:t>”)</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5.75% Senior Notes due 2027 (the “Notes”)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with our proposed sale of $[________] aggregate principal amount of the Notes, we confirm that such sale</w:t>
      </w:r>
    </w:p>
    <w:p>
      <w:pPr>
        <w:spacing w:after="0" w:line="56"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has been effected pursuant to and in accordance with Regulation S under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accordingly, we represent that:</w:t>
      </w:r>
    </w:p>
    <w:p>
      <w:pPr>
        <w:spacing w:after="0" w:line="85" w:lineRule="exact"/>
        <w:rPr>
          <w:sz w:val="20"/>
          <w:szCs w:val="20"/>
          <w:color w:val="auto"/>
        </w:rPr>
      </w:pPr>
    </w:p>
    <w:p>
      <w:pPr>
        <w:ind w:left="1120" w:hanging="464"/>
        <w:spacing w:after="0"/>
        <w:tabs>
          <w:tab w:leader="none" w:pos="112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offer of the Notes was not made to a person in the United States;</w:t>
      </w:r>
    </w:p>
    <w:p>
      <w:pPr>
        <w:spacing w:after="0" w:line="111" w:lineRule="exact"/>
        <w:rPr>
          <w:rFonts w:ascii="Arial" w:cs="Arial" w:eastAsia="Arial" w:hAnsi="Arial"/>
          <w:sz w:val="22"/>
          <w:szCs w:val="22"/>
          <w:color w:val="auto"/>
        </w:rPr>
      </w:pPr>
    </w:p>
    <w:p>
      <w:pPr>
        <w:ind w:right="60" w:firstLine="656"/>
        <w:spacing w:after="0" w:line="265" w:lineRule="auto"/>
        <w:tabs>
          <w:tab w:leader="none" w:pos="111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67" w:lineRule="exact"/>
        <w:rPr>
          <w:rFonts w:ascii="Arial" w:cs="Arial" w:eastAsia="Arial" w:hAnsi="Arial"/>
          <w:sz w:val="21"/>
          <w:szCs w:val="21"/>
          <w:color w:val="auto"/>
        </w:rPr>
      </w:pPr>
    </w:p>
    <w:p>
      <w:pPr>
        <w:ind w:right="140" w:firstLine="656"/>
        <w:spacing w:after="0" w:line="263" w:lineRule="auto"/>
        <w:tabs>
          <w:tab w:leader="none" w:pos="110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no directed selling efforts have been made in the United States in contravention of the requirements of Rule 903(a)(2) or Rule 904(a)(2) of Regulation S, as applicable; and</w:t>
      </w:r>
    </w:p>
    <w:p>
      <w:pPr>
        <w:spacing w:after="0" w:line="66" w:lineRule="exact"/>
        <w:rPr>
          <w:rFonts w:ascii="Arial" w:cs="Arial" w:eastAsia="Arial" w:hAnsi="Arial"/>
          <w:sz w:val="22"/>
          <w:szCs w:val="22"/>
          <w:color w:val="auto"/>
        </w:rPr>
      </w:pPr>
    </w:p>
    <w:p>
      <w:pPr>
        <w:ind w:left="1120" w:hanging="464"/>
        <w:spacing w:after="0"/>
        <w:tabs>
          <w:tab w:leader="none" w:pos="112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transaction is not part of a plan or scheme to evade the registration requirements of the Securities Act.</w:t>
      </w:r>
    </w:p>
    <w:p>
      <w:pPr>
        <w:spacing w:after="0" w:line="123" w:lineRule="exact"/>
        <w:rPr>
          <w:sz w:val="20"/>
          <w:szCs w:val="20"/>
          <w:color w:val="auto"/>
        </w:rPr>
      </w:pPr>
    </w:p>
    <w:p>
      <w:pPr>
        <w:ind w:right="1080" w:firstLine="648"/>
        <w:spacing w:after="0" w:line="263" w:lineRule="auto"/>
        <w:rPr>
          <w:sz w:val="20"/>
          <w:szCs w:val="20"/>
          <w:color w:val="auto"/>
        </w:rPr>
      </w:pPr>
      <w:r>
        <w:rPr>
          <w:rFonts w:ascii="Arial" w:cs="Arial" w:eastAsia="Arial" w:hAnsi="Arial"/>
          <w:sz w:val="22"/>
          <w:szCs w:val="22"/>
          <w:color w:val="auto"/>
        </w:rPr>
        <w:t>In addition, if the sale is made during a restricted period and the provisions of Rule 903(b)(2), Rule 903(b)(3) or Rule 904(b)(1) of Regulation S are applicable thereto, we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47" w:right="239" w:bottom="1440" w:gutter="0" w:footer="0" w:header="0"/>
        </w:sectPr>
      </w:pPr>
    </w:p>
    <w:bookmarkStart w:id="126" w:name="page127"/>
    <w:bookmarkEnd w:id="126"/>
    <w:p>
      <w:pPr>
        <w:ind w:right="1040"/>
        <w:spacing w:after="0" w:line="263" w:lineRule="auto"/>
        <w:rPr>
          <w:sz w:val="20"/>
          <w:szCs w:val="20"/>
          <w:color w:val="auto"/>
        </w:rPr>
      </w:pPr>
      <w:r>
        <w:rPr>
          <w:rFonts w:ascii="Arial" w:cs="Arial" w:eastAsia="Arial" w:hAnsi="Arial"/>
          <w:sz w:val="22"/>
          <w:szCs w:val="22"/>
          <w:color w:val="auto"/>
        </w:rPr>
        <w:t>confirm that such sale has been made in accordance with the applicable provisions of Rule 903(b)(2), Rule 903(b)(3) or Rule 904(b)(1), as the case may be.</w:t>
      </w:r>
    </w:p>
    <w:p>
      <w:pPr>
        <w:spacing w:after="0" w:line="67"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We also hereby certify that we [are][are not] an Affiliate of the Issuers and, to our knowledge, the transferee of the Notes [is][is not] an Affiliate of the Issuers.</w:t>
      </w:r>
    </w:p>
    <w:p>
      <w:pPr>
        <w:spacing w:after="0" w:line="67"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The Trustee, Registrar and the Issuers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of Transferor]</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-17780</wp:posOffset>
            </wp:positionV>
            <wp:extent cx="4114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jc w:val="center"/>
        <w:ind w:left="360"/>
        <w:spacing w:after="0"/>
        <w:rPr>
          <w:sz w:val="20"/>
          <w:szCs w:val="20"/>
          <w:color w:val="auto"/>
        </w:rPr>
      </w:pPr>
      <w:r>
        <w:rPr>
          <w:rFonts w:ascii="Arial" w:cs="Arial" w:eastAsia="Arial" w:hAnsi="Arial"/>
          <w:sz w:val="22"/>
          <w:szCs w:val="22"/>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Mutilated, Destroyed, Lost or Stolen Notes</w:t>
      </w:r>
      <w:r>
        <w:rPr>
          <w:rFonts w:ascii="Arial" w:cs="Arial" w:eastAsia="Arial" w:hAnsi="Arial"/>
          <w:sz w:val="19"/>
          <w:szCs w:val="19"/>
          <w:color w:val="auto"/>
        </w:rPr>
        <w:t>. If a mutilated Note is surrendered to the Registrar or if the Holder of a Note claims that the Note has been lost, destroyed or wrongfully taken, the Issuers shall issue and the Trustee shall authenticate a replacement Note if the requirements of Section 8-405 of the Uniform Commercial Code are met, such that the Holder (a) satisfies the Issuers or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Issuers and the Trustee and the Registrar prior to the Note being acquired by a protected purchaser as defined in Section 8-303 of the Uniform Commercial Code (a “</w:t>
      </w:r>
      <w:r>
        <w:rPr>
          <w:rFonts w:ascii="Arial" w:cs="Arial" w:eastAsia="Arial" w:hAnsi="Arial"/>
          <w:sz w:val="19"/>
          <w:szCs w:val="19"/>
          <w:u w:val="single" w:color="auto"/>
          <w:color w:val="auto"/>
        </w:rPr>
        <w:t>protected purchaser</w:t>
      </w:r>
      <w:r>
        <w:rPr>
          <w:rFonts w:ascii="Arial" w:cs="Arial" w:eastAsia="Arial" w:hAnsi="Arial"/>
          <w:sz w:val="19"/>
          <w:szCs w:val="19"/>
          <w:color w:val="auto"/>
        </w:rPr>
        <w:t>”), (c) satisfies any other reasonable requirements of the Trustee. If required by the Trustee or the Issuers, such Holder shall furnish a reasonable indemnity bond sufficient in the reasonable judgment of the Trustee to protect the Issuers, Trustee, a Paying Agent and the Registrar from any loss which any of them may suffer if a Note is replaced.</w:t>
      </w:r>
    </w:p>
    <w:p>
      <w:pPr>
        <w:spacing w:after="0" w:line="5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Issuers in their discretion may, instead of issuing a new Note, pay such Note.</w:t>
      </w:r>
    </w:p>
    <w:p>
      <w:pPr>
        <w:spacing w:after="0" w:line="6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Upon the issuance of any new Note under this </w:t>
      </w:r>
      <w:r>
        <w:rPr>
          <w:rFonts w:ascii="Arial" w:cs="Arial" w:eastAsia="Arial" w:hAnsi="Arial"/>
          <w:sz w:val="22"/>
          <w:szCs w:val="22"/>
          <w:u w:val="single" w:color="auto"/>
          <w:color w:val="auto"/>
        </w:rPr>
        <w:t>Section 2.11</w:t>
      </w:r>
      <w:r>
        <w:rPr>
          <w:rFonts w:ascii="Arial" w:cs="Arial" w:eastAsia="Arial" w:hAnsi="Arial"/>
          <w:sz w:val="22"/>
          <w:szCs w:val="22"/>
          <w:color w:val="auto"/>
        </w:rPr>
        <w:t>, the Issuers may require that such Holder pay a sum sufficient to cover any tax or other governmental charge that may be imposed in relation thereto and any other reasonable expenses (including the fees and expenses of counsel and of the Trustee) in connection therewith.</w:t>
      </w:r>
    </w:p>
    <w:p>
      <w:pPr>
        <w:spacing w:after="0" w:line="78"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 xml:space="preserve">Subject to the proviso in the initial paragraph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every new Note issued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in lieu of any mutilated, destroyed, lost or stolen Note shall</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380"/>
          </w:cols>
          <w:pgMar w:left="240" w:top="847" w:right="279" w:bottom="1440" w:gutter="0" w:footer="0" w:header="0"/>
        </w:sectPr>
      </w:pPr>
    </w:p>
    <w:bookmarkStart w:id="127" w:name="page128"/>
    <w:bookmarkEnd w:id="127"/>
    <w:p>
      <w:pPr>
        <w:jc w:val="both"/>
        <w:ind w:right="100"/>
        <w:spacing w:after="0" w:line="312" w:lineRule="auto"/>
        <w:rPr>
          <w:sz w:val="20"/>
          <w:szCs w:val="20"/>
          <w:color w:val="auto"/>
        </w:rPr>
      </w:pPr>
      <w:r>
        <w:rPr>
          <w:rFonts w:ascii="Arial" w:cs="Arial" w:eastAsia="Arial" w:hAnsi="Arial"/>
          <w:sz w:val="19"/>
          <w:szCs w:val="19"/>
          <w:color w:val="auto"/>
        </w:rPr>
        <w:t>constitute an original additional contractual obligation of the Issuers,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2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are exclusive and shall preclude (to the extent lawful) all other rights and remedies with respect to the replacement or payment of mutilated, destroyed, lost or stolen Notes.</w:t>
      </w:r>
    </w:p>
    <w:p>
      <w:pPr>
        <w:spacing w:after="0" w:line="67"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u w:val="single" w:color="auto"/>
          <w:color w:val="auto"/>
        </w:rPr>
        <w:t>Outstanding Notes</w:t>
      </w:r>
      <w:r>
        <w:rPr>
          <w:rFonts w:ascii="Arial" w:cs="Arial" w:eastAsia="Arial" w:hAnsi="Arial"/>
          <w:sz w:val="21"/>
          <w:szCs w:val="21"/>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and those described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w:t>
      </w:r>
      <w:r>
        <w:rPr>
          <w:rFonts w:ascii="Arial" w:cs="Arial" w:eastAsia="Arial" w:hAnsi="Arial"/>
          <w:sz w:val="21"/>
          <w:szCs w:val="21"/>
          <w:color w:val="auto"/>
        </w:rPr>
        <w:t xml:space="preserve"> as not outstanding. A Note does not cease to be outstanding in the event the Issuers or an Affiliate of the Issuers holds the Note;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for purposes of determining which are outstanding for consent or voting purposes hereunder, the provisions of </w:t>
      </w:r>
      <w:r>
        <w:rPr>
          <w:rFonts w:ascii="Arial" w:cs="Arial" w:eastAsia="Arial" w:hAnsi="Arial"/>
          <w:sz w:val="21"/>
          <w:szCs w:val="21"/>
          <w:u w:val="single" w:color="auto"/>
          <w:color w:val="auto"/>
        </w:rPr>
        <w:t>Section 12.6</w:t>
      </w:r>
      <w:r>
        <w:rPr>
          <w:rFonts w:ascii="Arial" w:cs="Arial" w:eastAsia="Arial" w:hAnsi="Arial"/>
          <w:sz w:val="21"/>
          <w:szCs w:val="21"/>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or the Registrar actually knows to be held by the Issuers or an Affiliate of the Issuers shall not be considered outstanding.</w:t>
      </w:r>
    </w:p>
    <w:p>
      <w:pPr>
        <w:spacing w:after="0" w:line="78"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If a Note is replaced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(other than a mutilated Note surrendered for replacement), it ceases to be outstanding unless the Trustee or the Registrar and the Issuers receive proof satisfactory to them that the replaced Note is held by a protected purchaser. A mutilated Note ceases to be outstanding upon surrender of such Note and replacement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80"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If the Paying Agent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8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Temporary Notes</w:t>
      </w:r>
      <w:r>
        <w:rPr>
          <w:rFonts w:ascii="Arial" w:cs="Arial" w:eastAsia="Arial" w:hAnsi="Arial"/>
          <w:sz w:val="19"/>
          <w:szCs w:val="19"/>
          <w:color w:val="auto"/>
        </w:rPr>
        <w:t>. In the event that Definitive Notes are to be issued under the terms of this Indenture, until such Definitive Notes are ready for delivery, the Issuers may prepare and the Trustee or Authenticating Agent shall authenticate temporary Notes. Temporary Notes shall be substantially in the form, and shall carry all rights, of Definitive Notes but may have variations that the Issuers considers appropriate for temporary Notes. Without unreasonable delay, the Issuers shall prepare and the Trustee or Authenticating Agent shall authenticate Definitive Notes. After the preparation of Definitive Notes, the temporary Notes shall be exchangeable for Definitive Notes upon surrender of the temporary Notes at any office or agency maintained by the Issuers for that purpose and such exchange shall be without charge to the Holder. Upon surrender for cancellation of any one or more temporary Notes, the Issuers shall execute, and the Trustee or Authenticating Agent shall, upon receipt of an Issuer Order, authenticate and make available for delivery in exchange therefor, one or more Definitive Notes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00"/>
          </w:cols>
          <w:pgMar w:left="240" w:top="847" w:right="259" w:bottom="1440" w:gutter="0" w:footer="0" w:header="0"/>
        </w:sectPr>
      </w:pPr>
    </w:p>
    <w:bookmarkStart w:id="128" w:name="page129"/>
    <w:bookmarkEnd w:id="128"/>
    <w:p>
      <w:pPr>
        <w:spacing w:after="0" w:line="263" w:lineRule="auto"/>
        <w:rPr>
          <w:sz w:val="20"/>
          <w:szCs w:val="20"/>
          <w:color w:val="auto"/>
        </w:rPr>
      </w:pPr>
      <w:r>
        <w:rPr>
          <w:rFonts w:ascii="Arial" w:cs="Arial" w:eastAsia="Arial" w:hAnsi="Arial"/>
          <w:sz w:val="22"/>
          <w:szCs w:val="22"/>
          <w:color w:val="auto"/>
        </w:rPr>
        <w:t>representing an equal principal amount of Notes. Until so exchanged, the Holder of temporary Notes shall in all respects be entitled to the same benefits under this Indenture as a Holder of Definitive Notes.</w:t>
      </w:r>
    </w:p>
    <w:p>
      <w:pPr>
        <w:spacing w:after="0" w:line="67"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The Issuers at any time may deliver Notes to the Registrar for cancellation. The Registrar shall automatically cancel all Notes surrendered for registration of transfer, exchange, payment or cancellation and dispose of such Notes in accordance with its internal policies and customary procedures (subject to the record retention requirements of the Exchange Act). If the Issuers or any Guarantor acquires any of the Notes, such acquisition shall not operate as a redemption or satisfaction of the Indebtedness represented by such Notes unless and until the same are surrendered to the Registrar for cancellation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Issuers may not issue new Notes to replace Notes it has paid or delivered to the Registrar for cancellation for any reason other than in connection with a transfer or exchange.</w:t>
      </w:r>
    </w:p>
    <w:p>
      <w:pPr>
        <w:spacing w:after="0" w:line="43" w:lineRule="exact"/>
        <w:rPr>
          <w:sz w:val="20"/>
          <w:szCs w:val="20"/>
          <w:color w:val="auto"/>
        </w:rPr>
      </w:pPr>
    </w:p>
    <w:p>
      <w:pPr>
        <w:ind w:right="160" w:firstLine="648"/>
        <w:spacing w:after="0" w:line="294" w:lineRule="auto"/>
        <w:rPr>
          <w:sz w:val="20"/>
          <w:szCs w:val="20"/>
          <w:color w:val="auto"/>
        </w:rPr>
      </w:pPr>
      <w:r>
        <w:rPr>
          <w:rFonts w:ascii="Arial" w:cs="Arial" w:eastAsia="Arial" w:hAnsi="Arial"/>
          <w:sz w:val="19"/>
          <w:szCs w:val="19"/>
          <w:color w:val="auto"/>
        </w:rPr>
        <w:t>At such time as all beneficial interests in a Global Note have either been exchanged for Definitive Notes, transferred, redeemed, repurchased or canceled, such Global Note shall be returned by DTC to the Registrar for cancellation or retained and canceled by the Registrar.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with respect to such Global Note, by the Registrar, to reflect such reduction.</w:t>
      </w:r>
    </w:p>
    <w:p>
      <w:pPr>
        <w:spacing w:after="0" w:line="42"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Payment of Interest; Defaulted Interest</w:t>
      </w:r>
      <w:r>
        <w:rPr>
          <w:rFonts w:ascii="Arial" w:cs="Arial" w:eastAsia="Arial" w:hAnsi="Arial"/>
          <w:sz w:val="22"/>
          <w:szCs w:val="22"/>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Issuers maintained for such purpose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80" w:lineRule="exact"/>
        <w:rPr>
          <w:sz w:val="20"/>
          <w:szCs w:val="20"/>
          <w:color w:val="auto"/>
        </w:rPr>
      </w:pPr>
    </w:p>
    <w:p>
      <w:pPr>
        <w:ind w:right="80" w:firstLine="648"/>
        <w:spacing w:after="0" w:line="248" w:lineRule="auto"/>
        <w:rPr>
          <w:sz w:val="20"/>
          <w:szCs w:val="20"/>
          <w:color w:val="auto"/>
        </w:rPr>
      </w:pPr>
      <w:r>
        <w:rPr>
          <w:rFonts w:ascii="Arial" w:cs="Arial" w:eastAsia="Arial" w:hAnsi="Arial"/>
          <w:sz w:val="22"/>
          <w:szCs w:val="22"/>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22"/>
          <w:szCs w:val="22"/>
          <w:u w:val="single" w:color="auto"/>
          <w:color w:val="auto"/>
        </w:rPr>
        <w:t>Defaulted Interest</w:t>
      </w:r>
      <w:r>
        <w:rPr>
          <w:rFonts w:ascii="Arial" w:cs="Arial" w:eastAsia="Arial" w:hAnsi="Arial"/>
          <w:sz w:val="22"/>
          <w:szCs w:val="22"/>
          <w:color w:val="auto"/>
        </w:rPr>
        <w:t>”) shall be paid by the Issuers, at its election in each case, as provided in clause (a) or (b) below:</w:t>
      </w:r>
    </w:p>
    <w:p>
      <w:pPr>
        <w:spacing w:after="0" w:line="84" w:lineRule="exact"/>
        <w:rPr>
          <w:sz w:val="20"/>
          <w:szCs w:val="20"/>
          <w:color w:val="auto"/>
        </w:rPr>
      </w:pPr>
    </w:p>
    <w:p>
      <w:pPr>
        <w:ind w:right="80" w:firstLine="1305"/>
        <w:spacing w:after="0" w:line="259" w:lineRule="auto"/>
        <w:tabs>
          <w:tab w:leader="none" w:pos="1749"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Issuers may elect to make payment of any Defaulted Interest to the Persons in whose names the Notes (or their respective predecessor Notes) are registered at the close of business on a Special Record Date (as defined below) for the payment of such Defaulted Interest, which shall be fixed in the following manner. The Issuers shall notify the Trustee in writing of the amount of Defaulted Interest proposed to be paid on each Note and the date (not less than 30 days after such notice) of the proposed payment (the “</w:t>
      </w:r>
      <w:r>
        <w:rPr>
          <w:rFonts w:ascii="Arial" w:cs="Arial" w:eastAsia="Arial" w:hAnsi="Arial"/>
          <w:sz w:val="21"/>
          <w:szCs w:val="21"/>
          <w:u w:val="single" w:color="auto"/>
          <w:color w:val="auto"/>
        </w:rPr>
        <w:t>Special Interest Payment Date</w:t>
      </w:r>
      <w:r>
        <w:rPr>
          <w:rFonts w:ascii="Arial" w:cs="Arial" w:eastAsia="Arial" w:hAnsi="Arial"/>
          <w:sz w:val="21"/>
          <w:szCs w:val="21"/>
          <w:color w:val="auto"/>
        </w:rPr>
        <w:t xml:space="preserve">”), and at the same time the Issuers shall deposit with the Trustee or Paying Agent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21"/>
          <w:szCs w:val="21"/>
          <w:u w:val="single" w:color="auto"/>
          <w:color w:val="auto"/>
        </w:rPr>
        <w:t>Section 2.15(a)</w:t>
      </w:r>
      <w:r>
        <w:rPr>
          <w:rFonts w:ascii="Arial" w:cs="Arial" w:eastAsia="Arial" w:hAnsi="Arial"/>
          <w:sz w:val="21"/>
          <w:szCs w:val="21"/>
          <w:color w:val="auto"/>
        </w:rPr>
        <w:t>. Thereupon the Issuers shall</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380"/>
          </w:cols>
          <w:pgMar w:left="240" w:top="847" w:right="27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fix a record date (the “</w:t>
      </w:r>
      <w:r>
        <w:rPr>
          <w:rFonts w:ascii="Arial" w:cs="Arial" w:eastAsia="Arial" w:hAnsi="Arial"/>
          <w:sz w:val="21"/>
          <w:szCs w:val="21"/>
          <w:u w:val="single" w:color="auto"/>
          <w:color w:val="auto"/>
        </w:rPr>
        <w:t>Special Record Date</w:t>
      </w:r>
      <w:r>
        <w:rPr>
          <w:rFonts w:ascii="Arial" w:cs="Arial" w:eastAsia="Arial" w:hAnsi="Arial"/>
          <w:sz w:val="21"/>
          <w:szCs w:val="21"/>
          <w:color w:val="auto"/>
        </w:rPr>
        <w:t>”) for the payment of such Defaulted Interest, which date shall be not more than</w:t>
      </w:r>
    </w:p>
    <w:p>
      <w:pPr>
        <w:spacing w:after="0" w:line="33"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20 calendar days and not less than 15 calendar days prior to the Special Interest Payment Date and not less than 10 calendar days after the receipt by the Paying Agent of the notice of the proposed payment. The Issuers shall promptly notify the Trustee and the Paying Agent in writing of such Special Record Date, and in the name and at the expense of the Issuers, the Trustee shall cause notice of the proposed payment of such Defaulted Interest and the Special Record Date and Special Interest Payment Date therefor to be given in the manner provided for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48" w:lineRule="exact"/>
        <w:rPr>
          <w:sz w:val="20"/>
          <w:szCs w:val="20"/>
          <w:color w:val="auto"/>
        </w:rPr>
      </w:pPr>
    </w:p>
    <w:p>
      <w:pPr>
        <w:ind w:right="60" w:firstLine="1305"/>
        <w:spacing w:after="0" w:line="302" w:lineRule="auto"/>
        <w:tabs>
          <w:tab w:leader="none" w:pos="176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Issuers may make payment of any Defaulted Interest in any other lawful manner not inconsistent with the requirements of any securities exchange on which the Notes may be listed, and upon such notice as may be required by such exchange, if, after written notice given by the Issuers to the Trustee and the Paying Agent of the proposed payment pursuant to this </w:t>
      </w:r>
      <w:r>
        <w:rPr>
          <w:rFonts w:ascii="Arial" w:cs="Arial" w:eastAsia="Arial" w:hAnsi="Arial"/>
          <w:sz w:val="19"/>
          <w:szCs w:val="19"/>
          <w:u w:val="single" w:color="auto"/>
          <w:color w:val="auto"/>
        </w:rPr>
        <w:t>Section 2.15(b)</w:t>
      </w:r>
      <w:r>
        <w:rPr>
          <w:rFonts w:ascii="Arial" w:cs="Arial" w:eastAsia="Arial" w:hAnsi="Arial"/>
          <w:sz w:val="19"/>
          <w:szCs w:val="19"/>
          <w:color w:val="auto"/>
        </w:rPr>
        <w:t>, such manner of payment shall be deemed practicable by the Paying Agent.</w:t>
      </w:r>
    </w:p>
    <w:p>
      <w:pPr>
        <w:spacing w:after="0" w:line="35"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 xml:space="preserve">Subject to the foregoing provisions of this </w:t>
      </w:r>
      <w:r>
        <w:rPr>
          <w:rFonts w:ascii="Arial" w:cs="Arial" w:eastAsia="Arial" w:hAnsi="Arial"/>
          <w:sz w:val="22"/>
          <w:szCs w:val="22"/>
          <w:u w:val="single" w:color="auto"/>
          <w:color w:val="auto"/>
        </w:rPr>
        <w:t>Section 2.15</w:t>
      </w:r>
      <w:r>
        <w:rPr>
          <w:rFonts w:ascii="Arial" w:cs="Arial" w:eastAsia="Arial" w:hAnsi="Arial"/>
          <w:sz w:val="22"/>
          <w:szCs w:val="22"/>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78"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CUSIP and ISIN Numbers</w:t>
      </w:r>
      <w:r>
        <w:rPr>
          <w:rFonts w:ascii="Arial" w:cs="Arial" w:eastAsia="Arial" w:hAnsi="Arial"/>
          <w:sz w:val="22"/>
          <w:szCs w:val="22"/>
          <w:color w:val="auto"/>
        </w:rPr>
        <w:t xml:space="preserve">. The Issuers in issuing the Notes may use “CUSIP” and “ISIN” numbers and, if so, the Trustee shall use “CUSIP” and “ISIN” numbers in notices of redemption or purchase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Issuers shall promptly notify the Trustee and Registrar in writing of any change in the CUSIP and ISIN numbers.</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COVENANTS</w:t>
      </w:r>
    </w:p>
    <w:p>
      <w:pPr>
        <w:spacing w:after="0" w:line="118"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Payment of Notes</w:t>
      </w:r>
      <w:r>
        <w:rPr>
          <w:rFonts w:ascii="Arial" w:cs="Arial" w:eastAsia="Arial" w:hAnsi="Arial"/>
          <w:sz w:val="19"/>
          <w:szCs w:val="19"/>
          <w:color w:val="auto"/>
        </w:rPr>
        <w:t>. The Issuers shall promptly pay principal of, premium, if any, and interest on the Notes at the office or agency of the Issuers maintained for such purpose or, at the option of the Paying Agent, payment of interest may be made by check mailed to the Holders of the Notes at their respective addresses set forth in the Notes Register provided that all payments of principal, premium, if any, and interest with respect to Notes represented by one or more Global Notes registered in the name of or held by DTC or its nominee shall be made by wire transfer of immediately available funds to the accounts specified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00"/>
          </w:cols>
          <w:pgMar w:left="240" w:top="847" w:right="259" w:bottom="1440" w:gutter="0" w:footer="0" w:header="0"/>
        </w:sectPr>
      </w:pPr>
    </w:p>
    <w:bookmarkStart w:id="130" w:name="page131"/>
    <w:bookmarkEnd w:id="130"/>
    <w:p>
      <w:pPr>
        <w:ind w:right="460"/>
        <w:spacing w:after="0" w:line="263" w:lineRule="auto"/>
        <w:rPr>
          <w:sz w:val="20"/>
          <w:szCs w:val="20"/>
          <w:color w:val="auto"/>
        </w:rPr>
      </w:pPr>
      <w:r>
        <w:rPr>
          <w:rFonts w:ascii="Arial" w:cs="Arial" w:eastAsia="Arial" w:hAnsi="Arial"/>
          <w:sz w:val="22"/>
          <w:szCs w:val="22"/>
          <w:color w:val="auto"/>
        </w:rPr>
        <w:t>by the Holders thereof. Until otherwise designated by the Issuers, the Issuers’ office or agency will be the office of the Trustee maintained for such purpose.</w:t>
      </w:r>
    </w:p>
    <w:p>
      <w:pPr>
        <w:spacing w:after="0" w:line="6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pacing w:after="0" w:line="112" w:lineRule="exact"/>
        <w:rPr>
          <w:sz w:val="20"/>
          <w:szCs w:val="20"/>
          <w:color w:val="auto"/>
        </w:rPr>
      </w:pPr>
    </w:p>
    <w:p>
      <w:pPr>
        <w:ind w:left="1760" w:hanging="455"/>
        <w:spacing w:after="0"/>
        <w:tabs>
          <w:tab w:leader="none" w:pos="17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Company shall not, and shall not permit any of its Restricted Subsidiaries, directly or indirectly, to:</w:t>
      </w:r>
    </w:p>
    <w:p>
      <w:pPr>
        <w:spacing w:after="0" w:line="123" w:lineRule="exact"/>
        <w:rPr>
          <w:rFonts w:ascii="Arial" w:cs="Arial" w:eastAsia="Arial" w:hAnsi="Arial"/>
          <w:sz w:val="21"/>
          <w:szCs w:val="21"/>
          <w:color w:val="auto"/>
        </w:rPr>
      </w:pPr>
    </w:p>
    <w:p>
      <w:pPr>
        <w:jc w:val="both"/>
        <w:ind w:left="660" w:right="820" w:firstLine="1293"/>
        <w:spacing w:after="0" w:line="253" w:lineRule="auto"/>
        <w:tabs>
          <w:tab w:leader="none" w:pos="242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declare or pay any dividend or make any distribution on or in respect of the Company’s or any Restricted Subsidiary’s Capital Stock (including any such payment in connection with any merger or consolidation involving the Company or any of its Restricted Subsidiaries) except:</w:t>
      </w:r>
    </w:p>
    <w:p>
      <w:pPr>
        <w:spacing w:after="0" w:line="77" w:lineRule="exact"/>
        <w:rPr>
          <w:rFonts w:ascii="Arial" w:cs="Arial" w:eastAsia="Arial" w:hAnsi="Arial"/>
          <w:sz w:val="22"/>
          <w:szCs w:val="22"/>
          <w:color w:val="auto"/>
        </w:rPr>
      </w:pPr>
    </w:p>
    <w:p>
      <w:pPr>
        <w:ind w:left="660" w:right="340" w:firstLine="1941"/>
        <w:spacing w:after="0" w:line="271" w:lineRule="auto"/>
        <w:tabs>
          <w:tab w:leader="none" w:pos="3121" w:val="left"/>
        </w:tabs>
        <w:numPr>
          <w:ilvl w:val="2"/>
          <w:numId w:val="141"/>
        </w:numPr>
        <w:rPr>
          <w:rFonts w:ascii="Arial" w:cs="Arial" w:eastAsia="Arial" w:hAnsi="Arial"/>
          <w:sz w:val="21"/>
          <w:szCs w:val="21"/>
          <w:color w:val="auto"/>
        </w:rPr>
      </w:pPr>
      <w:r>
        <w:rPr>
          <w:rFonts w:ascii="Arial" w:cs="Arial" w:eastAsia="Arial" w:hAnsi="Arial"/>
          <w:sz w:val="21"/>
          <w:szCs w:val="21"/>
          <w:color w:val="auto"/>
        </w:rPr>
        <w:t>dividends or distributions payable in Capital Stock of the Company (other than Disqualified Stock) or in options, warrants or other rights to purchase such Capital Stock (other than Disqualified Stock) of the Company, other than Indebtedness convertible into or exchangeable for Capital Stock; and</w:t>
      </w:r>
    </w:p>
    <w:p>
      <w:pPr>
        <w:spacing w:after="0" w:line="59" w:lineRule="exact"/>
        <w:rPr>
          <w:rFonts w:ascii="Arial" w:cs="Arial" w:eastAsia="Arial" w:hAnsi="Arial"/>
          <w:sz w:val="21"/>
          <w:szCs w:val="21"/>
          <w:color w:val="auto"/>
        </w:rPr>
      </w:pPr>
    </w:p>
    <w:p>
      <w:pPr>
        <w:ind w:left="660" w:right="180" w:firstLine="1941"/>
        <w:spacing w:after="0" w:line="253" w:lineRule="auto"/>
        <w:tabs>
          <w:tab w:leader="none" w:pos="3109" w:val="left"/>
        </w:tabs>
        <w:numPr>
          <w:ilvl w:val="2"/>
          <w:numId w:val="141"/>
        </w:numPr>
        <w:rPr>
          <w:rFonts w:ascii="Arial" w:cs="Arial" w:eastAsia="Arial" w:hAnsi="Arial"/>
          <w:sz w:val="22"/>
          <w:szCs w:val="22"/>
          <w:color w:val="auto"/>
        </w:rPr>
      </w:pPr>
      <w:r>
        <w:rPr>
          <w:rFonts w:ascii="Arial" w:cs="Arial" w:eastAsia="Arial" w:hAnsi="Arial"/>
          <w:sz w:val="22"/>
          <w:szCs w:val="22"/>
          <w:color w:val="auto"/>
        </w:rPr>
        <w:t xml:space="preserve">dividends or distributions payable to the Company or a Restricted Subsidiary (and, in the case of any such Restricted Subsidiary making such dividend or distribution, to holders of its Capital Stock other than the Company or another Restricted Subsidiary on no more than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77" w:lineRule="exact"/>
        <w:rPr>
          <w:rFonts w:ascii="Arial" w:cs="Arial" w:eastAsia="Arial" w:hAnsi="Arial"/>
          <w:sz w:val="22"/>
          <w:szCs w:val="22"/>
          <w:color w:val="auto"/>
        </w:rPr>
      </w:pPr>
    </w:p>
    <w:p>
      <w:pPr>
        <w:ind w:left="660" w:right="520" w:firstLine="1293"/>
        <w:spacing w:after="0" w:line="263" w:lineRule="auto"/>
        <w:tabs>
          <w:tab w:leader="none" w:pos="2425"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purchase, redeem, retire or otherwise acquire for value any Capital Stock of the Company held by Persons other than the Company or a Restricted Subsidiary of the Company;</w:t>
      </w:r>
    </w:p>
    <w:p>
      <w:pPr>
        <w:spacing w:after="0" w:line="66" w:lineRule="exact"/>
        <w:rPr>
          <w:rFonts w:ascii="Arial" w:cs="Arial" w:eastAsia="Arial" w:hAnsi="Arial"/>
          <w:sz w:val="22"/>
          <w:szCs w:val="22"/>
          <w:color w:val="auto"/>
        </w:rPr>
      </w:pPr>
    </w:p>
    <w:p>
      <w:pPr>
        <w:ind w:left="660" w:right="80" w:firstLine="1293"/>
        <w:spacing w:after="0" w:line="261" w:lineRule="auto"/>
        <w:tabs>
          <w:tab w:leader="none" w:pos="2425" w:val="left"/>
        </w:tabs>
        <w:numPr>
          <w:ilvl w:val="1"/>
          <w:numId w:val="141"/>
        </w:numPr>
        <w:rPr>
          <w:rFonts w:ascii="Arial" w:cs="Arial" w:eastAsia="Arial" w:hAnsi="Arial"/>
          <w:sz w:val="21"/>
          <w:szCs w:val="21"/>
          <w:color w:val="auto"/>
        </w:rPr>
      </w:pPr>
      <w:r>
        <w:rPr>
          <w:rFonts w:ascii="Arial" w:cs="Arial" w:eastAsia="Arial" w:hAnsi="Arial"/>
          <w:sz w:val="21"/>
          <w:szCs w:val="21"/>
          <w:color w:val="auto"/>
        </w:rPr>
        <w:t>purchase, repurchase, redeem, defease or otherwise acquire or retire for value, prior to scheduled maturity, scheduled repayment or 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(b) any Indebtedness of the Company or a Restricted Subsidiary to the Company or a Restricted Subsidiary); or</w:t>
      </w:r>
    </w:p>
    <w:p>
      <w:pPr>
        <w:spacing w:after="0" w:line="71" w:lineRule="exact"/>
        <w:rPr>
          <w:rFonts w:ascii="Arial" w:cs="Arial" w:eastAsia="Arial" w:hAnsi="Arial"/>
          <w:sz w:val="21"/>
          <w:szCs w:val="21"/>
          <w:color w:val="auto"/>
        </w:rPr>
      </w:pPr>
    </w:p>
    <w:p>
      <w:pPr>
        <w:ind w:left="2420" w:hanging="467"/>
        <w:spacing w:after="0"/>
        <w:tabs>
          <w:tab w:leader="none" w:pos="242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112"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(any such dividend, distribution, purchase, redemption, repurchase, defeasance, other acquisition, retirement or Restricted Investment referred to in clauses (1) through (4) above (other than any exceptions thereto) are referred to herein as a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if at the time the Company or such Restricted Subsidiary makes such Restricted Payment:</w:t>
      </w:r>
    </w:p>
    <w:p>
      <w:pPr>
        <w:spacing w:after="0" w:line="26" w:lineRule="exact"/>
        <w:rPr>
          <w:sz w:val="20"/>
          <w:szCs w:val="20"/>
          <w:color w:val="auto"/>
        </w:rPr>
      </w:pPr>
    </w:p>
    <w:p>
      <w:pPr>
        <w:ind w:left="660" w:right="60" w:firstLine="645"/>
        <w:spacing w:after="0" w:line="263" w:lineRule="auto"/>
        <w:tabs>
          <w:tab w:leader="none" w:pos="17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other than in the case of a Restricted Investment, an Event of Default shall have occurred and be continuing (or would result immediately thereafter therefrom);</w:t>
      </w:r>
    </w:p>
    <w:p>
      <w:pPr>
        <w:spacing w:after="0" w:line="66" w:lineRule="exact"/>
        <w:rPr>
          <w:rFonts w:ascii="Arial" w:cs="Arial" w:eastAsia="Arial" w:hAnsi="Arial"/>
          <w:sz w:val="22"/>
          <w:szCs w:val="22"/>
          <w:color w:val="auto"/>
        </w:rPr>
      </w:pPr>
    </w:p>
    <w:p>
      <w:pPr>
        <w:ind w:left="660" w:firstLine="645"/>
        <w:spacing w:after="0" w:line="263" w:lineRule="auto"/>
        <w:tabs>
          <w:tab w:leader="none" w:pos="178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Fixed Charge Coverage Ratio for the Company and its Restricted Subsidiaries is less than 2.00 to 1.00 after giving effect, on a pro forma basis, to such Restricted Payment; or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847" w:right="259" w:bottom="1440" w:gutter="0" w:footer="0" w:header="0"/>
        </w:sectPr>
      </w:pPr>
    </w:p>
    <w:bookmarkStart w:id="131" w:name="page132"/>
    <w:bookmarkEnd w:id="131"/>
    <w:p>
      <w:pPr>
        <w:ind w:left="-540" w:right="220" w:firstLine="645"/>
        <w:spacing w:after="0" w:line="312" w:lineRule="auto"/>
        <w:tabs>
          <w:tab w:leader="none" w:pos="649"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the aggregate amount of such Restricted Payment and all other Restricted Payments made subsequent to the Issue Date (and not returned or rescinded) (including Permitted Payments permitted below by </w:t>
      </w:r>
      <w:r>
        <w:rPr>
          <w:rFonts w:ascii="Arial" w:cs="Arial" w:eastAsia="Arial" w:hAnsi="Arial"/>
          <w:sz w:val="19"/>
          <w:szCs w:val="19"/>
          <w:u w:val="single" w:color="auto"/>
          <w:color w:val="auto"/>
        </w:rPr>
        <w:t>Section 3.3(b)(1)</w:t>
      </w:r>
      <w:r>
        <w:rPr>
          <w:rFonts w:ascii="Arial" w:cs="Arial" w:eastAsia="Arial" w:hAnsi="Arial"/>
          <w:sz w:val="19"/>
          <w:szCs w:val="19"/>
          <w:color w:val="auto"/>
        </w:rPr>
        <w:t xml:space="preserve">, but excluding all other Restricted Payments permitted by </w:t>
      </w:r>
      <w:r>
        <w:rPr>
          <w:rFonts w:ascii="Arial" w:cs="Arial" w:eastAsia="Arial" w:hAnsi="Arial"/>
          <w:sz w:val="19"/>
          <w:szCs w:val="19"/>
          <w:u w:val="single" w:color="auto"/>
          <w:color w:val="auto"/>
        </w:rPr>
        <w:t>Section 3.3(b)</w:t>
      </w:r>
      <w:r>
        <w:rPr>
          <w:rFonts w:ascii="Arial" w:cs="Arial" w:eastAsia="Arial" w:hAnsi="Arial"/>
          <w:sz w:val="19"/>
          <w:szCs w:val="19"/>
          <w:color w:val="auto"/>
        </w:rPr>
        <w:t>) would exceed the sum of (without duplication):</w:t>
      </w:r>
    </w:p>
    <w:p>
      <w:pPr>
        <w:spacing w:after="0" w:line="25" w:lineRule="exact"/>
        <w:rPr>
          <w:rFonts w:ascii="Arial" w:cs="Arial" w:eastAsia="Arial" w:hAnsi="Arial"/>
          <w:sz w:val="19"/>
          <w:szCs w:val="19"/>
          <w:color w:val="auto"/>
        </w:rPr>
      </w:pPr>
    </w:p>
    <w:p>
      <w:pPr>
        <w:ind w:left="1260" w:hanging="507"/>
        <w:spacing w:after="0"/>
        <w:tabs>
          <w:tab w:leader="none" w:pos="126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$900.0 million;</w:t>
      </w:r>
    </w:p>
    <w:p>
      <w:pPr>
        <w:spacing w:after="0" w:line="111" w:lineRule="exact"/>
        <w:rPr>
          <w:rFonts w:ascii="Arial" w:cs="Arial" w:eastAsia="Arial" w:hAnsi="Arial"/>
          <w:sz w:val="22"/>
          <w:szCs w:val="22"/>
          <w:color w:val="auto"/>
        </w:rPr>
      </w:pPr>
    </w:p>
    <w:p>
      <w:pPr>
        <w:ind w:left="100" w:right="80" w:firstLine="653"/>
        <w:spacing w:after="0" w:line="250" w:lineRule="auto"/>
        <w:tabs>
          <w:tab w:leader="none" w:pos="125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50% of the Consolidated Net Income for the period (treated as one accounting period) from January 1, 2015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80" w:lineRule="exact"/>
        <w:rPr>
          <w:rFonts w:ascii="Arial" w:cs="Arial" w:eastAsia="Arial" w:hAnsi="Arial"/>
          <w:sz w:val="22"/>
          <w:szCs w:val="22"/>
          <w:color w:val="auto"/>
        </w:rPr>
      </w:pPr>
    </w:p>
    <w:p>
      <w:pPr>
        <w:ind w:left="100" w:right="40" w:firstLine="653"/>
        <w:spacing w:after="0" w:line="258" w:lineRule="auto"/>
        <w:tabs>
          <w:tab w:leader="none" w:pos="1252" w:val="left"/>
        </w:tabs>
        <w:numPr>
          <w:ilvl w:val="1"/>
          <w:numId w:val="143"/>
        </w:numPr>
        <w:rPr>
          <w:rFonts w:ascii="Arial" w:cs="Arial" w:eastAsia="Arial" w:hAnsi="Arial"/>
          <w:sz w:val="21"/>
          <w:szCs w:val="21"/>
          <w:color w:val="auto"/>
        </w:rPr>
      </w:pPr>
      <w:r>
        <w:rPr>
          <w:rFonts w:ascii="Arial" w:cs="Arial" w:eastAsia="Arial" w:hAnsi="Arial"/>
          <w:sz w:val="21"/>
          <w:szCs w:val="21"/>
          <w:color w:val="auto"/>
        </w:rPr>
        <w:t xml:space="preserve">100% of the aggregate Net Cash Proceeds, and the fair market value of property or assets or marketable securities, received by the Company from the issue or sale of its Capital Stock (other than Disqualified Stock or Designated Preferred Stock) subsequent to March 11, 2015 or otherwise 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from such proceeds in reliance on </w:t>
      </w:r>
      <w:r>
        <w:rPr>
          <w:rFonts w:ascii="Arial" w:cs="Arial" w:eastAsia="Arial" w:hAnsi="Arial"/>
          <w:sz w:val="21"/>
          <w:szCs w:val="21"/>
          <w:u w:val="single" w:color="auto"/>
          <w:color w:val="auto"/>
        </w:rPr>
        <w:t>Section 3.3(b)(6)</w:t>
      </w:r>
      <w:r>
        <w:rPr>
          <w:rFonts w:ascii="Arial" w:cs="Arial" w:eastAsia="Arial" w:hAnsi="Arial"/>
          <w:sz w:val="21"/>
          <w:szCs w:val="21"/>
          <w:color w:val="auto"/>
        </w:rPr>
        <w:t xml:space="preserve"> and (z) Excluded Contributions);</w:t>
      </w:r>
    </w:p>
    <w:p>
      <w:pPr>
        <w:spacing w:after="0" w:line="78" w:lineRule="exact"/>
        <w:rPr>
          <w:rFonts w:ascii="Arial" w:cs="Arial" w:eastAsia="Arial" w:hAnsi="Arial"/>
          <w:sz w:val="21"/>
          <w:szCs w:val="21"/>
          <w:color w:val="auto"/>
        </w:rPr>
      </w:pPr>
    </w:p>
    <w:p>
      <w:pPr>
        <w:ind w:left="100" w:firstLine="653"/>
        <w:spacing w:after="0" w:line="289" w:lineRule="auto"/>
        <w:tabs>
          <w:tab w:leader="none" w:pos="126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for the benefit of their employees to the extent funded by the Company or any Restricted Subsidiary) by the Company or any Restricted Subsidiary subsequent to March 11, 2015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49" w:lineRule="exact"/>
        <w:rPr>
          <w:rFonts w:ascii="Arial" w:cs="Arial" w:eastAsia="Arial" w:hAnsi="Arial"/>
          <w:sz w:val="19"/>
          <w:szCs w:val="19"/>
          <w:color w:val="auto"/>
        </w:rPr>
      </w:pPr>
    </w:p>
    <w:p>
      <w:pPr>
        <w:ind w:left="100" w:right="280" w:firstLine="653"/>
        <w:spacing w:after="0" w:line="265" w:lineRule="auto"/>
        <w:tabs>
          <w:tab w:leader="none" w:pos="124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100% of the aggregate amount received in cash and the fair market value of marketable securities or other property received by means of: (i) the sale or other disposition (other than to the Company or a Restricted Subsidiary) of Restricted Investments made by the Company or its Restricted Subsidiaries and repurchases and redemptions of such Restricted Investments from the Company</w:t>
      </w:r>
    </w:p>
    <w:p>
      <w:pPr>
        <w:spacing w:after="0" w:line="32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180"/>
          </w:cols>
          <w:pgMar w:left="1440" w:top="847" w:right="279" w:bottom="1440" w:gutter="0" w:footer="0" w:header="0"/>
        </w:sectPr>
      </w:pPr>
    </w:p>
    <w:bookmarkStart w:id="132" w:name="page133"/>
    <w:bookmarkEnd w:id="132"/>
    <w:p>
      <w:pPr>
        <w:ind w:left="1300" w:right="80"/>
        <w:spacing w:after="0" w:line="294" w:lineRule="auto"/>
        <w:rPr>
          <w:sz w:val="20"/>
          <w:szCs w:val="20"/>
          <w:color w:val="auto"/>
        </w:rPr>
      </w:pPr>
      <w:r>
        <w:rPr>
          <w:rFonts w:ascii="Arial" w:cs="Arial" w:eastAsia="Arial" w:hAnsi="Arial"/>
          <w:sz w:val="19"/>
          <w:szCs w:val="19"/>
          <w:color w:val="auto"/>
        </w:rPr>
        <w:t>or its Restricted Subsidiaries and repayments of loans or advances, and releases of guarantees, which constitute Restricted Investments by the Company or its Restricted Subsidiaries, in each case after March 11, 2015; or (ii) the sale (other than to the Company or a Restricted Subsidiary) of the stock of an Unrestricted Subsidiary or a distribution from an Unrestricted Subsidiary (other than to the extent of the amount of the Investment that constituted a Permitted Investment, which will instead increase the amount available under the applicable clause of the definition of “Permitted Investments”) or a dividend from an Unrestricted Subsidiary after March 11, 2015; and</w:t>
      </w:r>
    </w:p>
    <w:p>
      <w:pPr>
        <w:spacing w:after="0" w:line="42" w:lineRule="exact"/>
        <w:rPr>
          <w:sz w:val="20"/>
          <w:szCs w:val="20"/>
          <w:color w:val="auto"/>
        </w:rPr>
      </w:pPr>
    </w:p>
    <w:p>
      <w:pPr>
        <w:ind w:left="1300" w:firstLine="653"/>
        <w:spacing w:after="0" w:line="289" w:lineRule="auto"/>
        <w:tabs>
          <w:tab w:leader="none" w:pos="2428" w:val="left"/>
        </w:tabs>
        <w:numPr>
          <w:ilvl w:val="1"/>
          <w:numId w:val="144"/>
        </w:numPr>
        <w:rPr>
          <w:rFonts w:ascii="Arial" w:cs="Arial" w:eastAsia="Arial" w:hAnsi="Arial"/>
          <w:sz w:val="19"/>
          <w:szCs w:val="19"/>
          <w:color w:val="auto"/>
        </w:rPr>
      </w:pPr>
      <w:r>
        <w:rPr>
          <w:rFonts w:ascii="Arial" w:cs="Arial" w:eastAsia="Arial" w:hAnsi="Arial"/>
          <w:sz w:val="19"/>
          <w:szCs w:val="19"/>
          <w:color w:val="auto"/>
        </w:rPr>
        <w:t>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March 11, 2015, the fair market value of the Investment in such Unrestricted Subsidiary (or the assets transferred), as determined in good faith by the Company, at the time of the redesignation of such Unrestricted Subsidiary as a Restricted Subsidiary or at the time of such merger or consolidation or transfer of assets (after taking into consideration any Indebtedness associated with the Unrestricted Subsidiary so designated or merged or consolidated or Indebtedness associated with the assets so transferred), other than to the extent of the amount of the Investment that constituted a Permitted Investment.</w:t>
      </w:r>
    </w:p>
    <w:p>
      <w:pPr>
        <w:spacing w:after="0" w:line="49" w:lineRule="exact"/>
        <w:rPr>
          <w:rFonts w:ascii="Arial" w:cs="Arial" w:eastAsia="Arial" w:hAnsi="Arial"/>
          <w:sz w:val="19"/>
          <w:szCs w:val="19"/>
          <w:color w:val="auto"/>
        </w:rPr>
      </w:pPr>
    </w:p>
    <w:p>
      <w:pPr>
        <w:ind w:left="1760" w:hanging="455"/>
        <w:spacing w:after="0"/>
        <w:tabs>
          <w:tab w:leader="none" w:pos="176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The foregoing provisions of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will not prohibit any of the following (collectively, “</w:t>
      </w:r>
      <w:r>
        <w:rPr>
          <w:rFonts w:ascii="Arial" w:cs="Arial" w:eastAsia="Arial" w:hAnsi="Arial"/>
          <w:sz w:val="21"/>
          <w:szCs w:val="21"/>
          <w:i w:val="1"/>
          <w:iCs w:val="1"/>
          <w:color w:val="auto"/>
        </w:rPr>
        <w:t>Permitted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w:t>
      </w:r>
      <w:r>
        <w:rPr>
          <w:rFonts w:ascii="Arial" w:cs="Arial" w:eastAsia="Arial" w:hAnsi="Arial"/>
          <w:sz w:val="22"/>
          <w:szCs w:val="22"/>
          <w:color w:val="auto"/>
        </w:rPr>
        <w:t>”):</w:t>
      </w:r>
    </w:p>
    <w:p>
      <w:pPr>
        <w:spacing w:after="0" w:line="94" w:lineRule="exact"/>
        <w:rPr>
          <w:sz w:val="20"/>
          <w:szCs w:val="20"/>
          <w:color w:val="auto"/>
        </w:rPr>
      </w:pPr>
    </w:p>
    <w:p>
      <w:pPr>
        <w:ind w:left="660" w:firstLine="1293"/>
        <w:spacing w:after="0" w:line="250" w:lineRule="auto"/>
        <w:tabs>
          <w:tab w:leader="none" w:pos="242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payment of any dividend or distribution within 60 days after the date of declaration thereof, if at the date of declaration such payment would have complied with the provisions of this Indenture or the redemption, repurchase or retirement of Indebtedness if, at the date of any redemption notice, such payment would have complied with the provisions of this Indenture;</w:t>
      </w:r>
    </w:p>
    <w:p>
      <w:pPr>
        <w:spacing w:after="0" w:line="80" w:lineRule="exact"/>
        <w:rPr>
          <w:rFonts w:ascii="Arial" w:cs="Arial" w:eastAsia="Arial" w:hAnsi="Arial"/>
          <w:sz w:val="22"/>
          <w:szCs w:val="22"/>
          <w:color w:val="auto"/>
        </w:rPr>
      </w:pPr>
    </w:p>
    <w:p>
      <w:pPr>
        <w:ind w:left="660" w:firstLine="1293"/>
        <w:spacing w:after="0" w:line="290" w:lineRule="auto"/>
        <w:tabs>
          <w:tab w:leader="none" w:pos="242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Capital Stock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Preferred Stock)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xml:space="preserve">”) or a substantially concurrent contribution to the equity (other than through the issuance of Disqualified Stock or Designated Preferred Stock or through an Excluded Contribution)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so applied, the Net Cash Proceeds, or fair market value of property or assets or of marketable securities, from such sale of Capital Stock or such contribution will be excluded from </w:t>
      </w:r>
      <w:r>
        <w:rPr>
          <w:rFonts w:ascii="Arial" w:cs="Arial" w:eastAsia="Arial" w:hAnsi="Arial"/>
          <w:sz w:val="19"/>
          <w:szCs w:val="19"/>
          <w:u w:val="single" w:color="auto"/>
          <w:color w:val="auto"/>
        </w:rPr>
        <w:t>Section 3.3(a)(iii)</w:t>
      </w:r>
      <w:r>
        <w:rPr>
          <w:rFonts w:ascii="Arial" w:cs="Arial" w:eastAsia="Arial" w:hAnsi="Arial"/>
          <w:sz w:val="19"/>
          <w:szCs w:val="19"/>
          <w:color w:val="auto"/>
        </w:rPr>
        <w:t>;</w:t>
      </w:r>
    </w:p>
    <w:p>
      <w:pPr>
        <w:spacing w:after="0" w:line="48" w:lineRule="exact"/>
        <w:rPr>
          <w:rFonts w:ascii="Arial" w:cs="Arial" w:eastAsia="Arial" w:hAnsi="Arial"/>
          <w:sz w:val="19"/>
          <w:szCs w:val="19"/>
          <w:color w:val="auto"/>
        </w:rPr>
      </w:pPr>
    </w:p>
    <w:p>
      <w:pPr>
        <w:ind w:left="660" w:right="260" w:firstLine="1293"/>
        <w:spacing w:after="0" w:line="263" w:lineRule="auto"/>
        <w:tabs>
          <w:tab w:leader="none" w:pos="242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purchase, repurchase, redemption, defeasance or other acquisition or retirement of Subordinated Indebtedness made by exchange for, or out of</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360"/>
          </w:cols>
          <w:pgMar w:left="240" w:top="847" w:right="299" w:bottom="1440" w:gutter="0" w:footer="0" w:header="0"/>
        </w:sectPr>
      </w:pPr>
    </w:p>
    <w:bookmarkStart w:id="133" w:name="page134"/>
    <w:bookmarkEnd w:id="133"/>
    <w:p>
      <w:pPr>
        <w:spacing w:after="0"/>
        <w:rPr>
          <w:sz w:val="20"/>
          <w:szCs w:val="20"/>
          <w:color w:val="auto"/>
        </w:rPr>
      </w:pPr>
      <w:r>
        <w:rPr>
          <w:rFonts w:ascii="Arial" w:cs="Arial" w:eastAsia="Arial" w:hAnsi="Arial"/>
          <w:sz w:val="21"/>
          <w:szCs w:val="21"/>
          <w:color w:val="auto"/>
        </w:rPr>
        <w:t>the proceeds of the substantially concurrent sale of, Indebtedness of the Company or any Restricted Subsidiary;</w:t>
      </w:r>
    </w:p>
    <w:p>
      <w:pPr>
        <w:spacing w:after="0" w:line="123" w:lineRule="exact"/>
        <w:rPr>
          <w:sz w:val="20"/>
          <w:szCs w:val="20"/>
          <w:color w:val="auto"/>
        </w:rPr>
      </w:pPr>
    </w:p>
    <w:p>
      <w:pPr>
        <w:jc w:val="both"/>
        <w:ind w:right="80" w:firstLine="1293"/>
        <w:spacing w:after="0" w:line="271" w:lineRule="auto"/>
        <w:tabs>
          <w:tab w:leader="none" w:pos="176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any purchase, repurchase, redemption, defeasance or other acquisition or retirement of Preferred Stock of the Company or a Restricted Subsidiary made by exchange for or out of the proceeds of the substantially concurrent sale of Preferred Stock of the Company or a Restricted Subsidiary, as the case may be;</w:t>
      </w:r>
    </w:p>
    <w:p>
      <w:pPr>
        <w:spacing w:after="0" w:line="59" w:lineRule="exact"/>
        <w:rPr>
          <w:rFonts w:ascii="Arial" w:cs="Arial" w:eastAsia="Arial" w:hAnsi="Arial"/>
          <w:sz w:val="21"/>
          <w:szCs w:val="21"/>
          <w:color w:val="auto"/>
        </w:rPr>
      </w:pPr>
    </w:p>
    <w:p>
      <w:pPr>
        <w:ind w:right="300" w:firstLine="1293"/>
        <w:spacing w:after="0" w:line="263" w:lineRule="auto"/>
        <w:tabs>
          <w:tab w:leader="none" w:pos="176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any purchase, repurchase, redemption, defeasance or other acquisition or retirement of Subordinated Indebtedness or Disqualified Stock or Preferred Stock of a Restricted Subsidiary:</w:t>
      </w:r>
    </w:p>
    <w:p>
      <w:pPr>
        <w:spacing w:after="0" w:line="66" w:lineRule="exact"/>
        <w:rPr>
          <w:rFonts w:ascii="Arial" w:cs="Arial" w:eastAsia="Arial" w:hAnsi="Arial"/>
          <w:sz w:val="22"/>
          <w:szCs w:val="22"/>
          <w:color w:val="auto"/>
        </w:rPr>
      </w:pPr>
    </w:p>
    <w:p>
      <w:pPr>
        <w:ind w:left="2460" w:hanging="519"/>
        <w:spacing w:after="0"/>
        <w:tabs>
          <w:tab w:leader="none" w:pos="246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from Net Available Cash to the extent permitted under </w:t>
      </w:r>
      <w:r>
        <w:rPr>
          <w:rFonts w:ascii="Arial" w:cs="Arial" w:eastAsia="Arial" w:hAnsi="Arial"/>
          <w:sz w:val="22"/>
          <w:szCs w:val="22"/>
          <w:u w:val="single" w:color="auto"/>
          <w:color w:val="auto"/>
        </w:rPr>
        <w:t>Section 3.5</w:t>
      </w:r>
      <w:r>
        <w:rPr>
          <w:rFonts w:ascii="Arial" w:cs="Arial" w:eastAsia="Arial" w:hAnsi="Arial"/>
          <w:sz w:val="22"/>
          <w:szCs w:val="22"/>
          <w:color w:val="auto"/>
        </w:rPr>
        <w:t>; or</w:t>
      </w:r>
    </w:p>
    <w:p>
      <w:pPr>
        <w:spacing w:after="0" w:line="111" w:lineRule="exact"/>
        <w:rPr>
          <w:rFonts w:ascii="Arial" w:cs="Arial" w:eastAsia="Arial" w:hAnsi="Arial"/>
          <w:sz w:val="22"/>
          <w:szCs w:val="22"/>
          <w:color w:val="auto"/>
        </w:rPr>
      </w:pPr>
    </w:p>
    <w:p>
      <w:pPr>
        <w:jc w:val="both"/>
        <w:ind w:firstLine="1941"/>
        <w:spacing w:after="0" w:line="302" w:lineRule="auto"/>
        <w:tabs>
          <w:tab w:leader="none" w:pos="244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following the occurrence of a Change of Control (or other similar event described therein as a “change of control”), but only if the Company shall have first complied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34" w:lineRule="exact"/>
        <w:rPr>
          <w:rFonts w:ascii="Arial" w:cs="Arial" w:eastAsia="Arial" w:hAnsi="Arial"/>
          <w:sz w:val="19"/>
          <w:szCs w:val="19"/>
          <w:color w:val="auto"/>
        </w:rPr>
      </w:pPr>
    </w:p>
    <w:p>
      <w:pPr>
        <w:ind w:right="20" w:firstLine="1941"/>
        <w:spacing w:after="0" w:line="250" w:lineRule="auto"/>
        <w:tabs>
          <w:tab w:leader="none" w:pos="244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consisting of Acquired Indebtedness (other than Indebtedness Incurred (A) to provide all or any 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80" w:lineRule="exact"/>
        <w:rPr>
          <w:rFonts w:ascii="Arial" w:cs="Arial" w:eastAsia="Arial" w:hAnsi="Arial"/>
          <w:sz w:val="22"/>
          <w:szCs w:val="22"/>
          <w:color w:val="auto"/>
        </w:rPr>
      </w:pPr>
    </w:p>
    <w:p>
      <w:pPr>
        <w:ind w:right="40" w:firstLine="1293"/>
        <w:spacing w:after="0" w:line="258" w:lineRule="auto"/>
        <w:tabs>
          <w:tab w:leader="none" w:pos="1765"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a Restricted Payment to pay for the repurchase, redemption or other acquisition or retirement for value of Capital Stock (other than Disqualified Stock) or equity appreciation rights of the Company or of any Parent Entity or Restricted Subsidiary held by any future, present or former employee, director or consultant of the Company, any of its Subsidiaries or of any Parent Entity (or permitted transferees, assigns, estates, trusts or heirs of such employee, director or consultant) either pursuant to any management equity plan or stock option plan or any other management or employee benefit plan or agreement or upon the termination of such employee, director or consultant’s employment or directorship;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aggregate Restricted Payments made under this clause (6) do not exceed $10.0 million in any fiscal year (with unused amounts in any fiscal year being carried over to succeeding fiscal years subject to a maximum of $25.0 million in any fiscal year);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amount in any fiscal year may be increased by an amount not to exceed:</w:t>
      </w:r>
    </w:p>
    <w:p>
      <w:pPr>
        <w:spacing w:after="0" w:line="78" w:lineRule="exact"/>
        <w:rPr>
          <w:rFonts w:ascii="Arial" w:cs="Arial" w:eastAsia="Arial" w:hAnsi="Arial"/>
          <w:sz w:val="21"/>
          <w:szCs w:val="21"/>
          <w:color w:val="auto"/>
        </w:rPr>
      </w:pPr>
    </w:p>
    <w:p>
      <w:pPr>
        <w:ind w:right="80" w:firstLine="1941"/>
        <w:spacing w:after="0" w:line="248" w:lineRule="auto"/>
        <w:tabs>
          <w:tab w:leader="none" w:pos="2461"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cash proceeds from the sale of Capital Stock (other than Disqualified Stock or Designated Preferred Stock or Excluded Contributions) or equity appreciation rights or the exercise of options or warrants or other rights to purchase or acquire Capital Stock of the Company and, to the extent contributed to the capital of the Company (other than through the issuance of Disqualified Stock or Designated Preferred Stock or an Excluded Contribution), Capital Stock or equity appreciation rights or the</w:t>
      </w:r>
    </w:p>
    <w:p>
      <w:pPr>
        <w:spacing w:after="0" w:line="34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740"/>
          </w:cols>
          <w:pgMar w:left="900" w:top="847" w:right="259" w:bottom="1440" w:gutter="0" w:footer="0" w:header="0"/>
        </w:sectPr>
      </w:pPr>
    </w:p>
    <w:bookmarkStart w:id="134" w:name="page135"/>
    <w:bookmarkEnd w:id="134"/>
    <w:p>
      <w:pPr>
        <w:ind w:left="660"/>
        <w:spacing w:after="0" w:line="250" w:lineRule="auto"/>
        <w:rPr>
          <w:sz w:val="20"/>
          <w:szCs w:val="20"/>
          <w:color w:val="auto"/>
        </w:rPr>
      </w:pPr>
      <w:r>
        <w:rPr>
          <w:rFonts w:ascii="Arial" w:cs="Arial" w:eastAsia="Arial" w:hAnsi="Arial"/>
          <w:sz w:val="22"/>
          <w:szCs w:val="22"/>
          <w:color w:val="auto"/>
        </w:rPr>
        <w:t xml:space="preserve">exercise of options or warrants or other rights to purchase or acquire Capital Stock of any Parent Entity, in each case to employees, directors or consultants of the Company, any of its Subsidiaries or any Parent Entity that occurred after the Issue Date, to the extent the cash proceeds from the sale of such Capital Stock have not otherwise been applied to the payment of Restricted Payments by virtue of </w:t>
      </w:r>
      <w:r>
        <w:rPr>
          <w:rFonts w:ascii="Arial" w:cs="Arial" w:eastAsia="Arial" w:hAnsi="Arial"/>
          <w:sz w:val="22"/>
          <w:szCs w:val="22"/>
          <w:u w:val="single" w:color="auto"/>
          <w:color w:val="auto"/>
        </w:rPr>
        <w:t>Section 3.3(a)(iii)</w:t>
      </w:r>
      <w:r>
        <w:rPr>
          <w:rFonts w:ascii="Arial" w:cs="Arial" w:eastAsia="Arial" w:hAnsi="Arial"/>
          <w:sz w:val="22"/>
          <w:szCs w:val="22"/>
          <w:color w:val="auto"/>
        </w:rPr>
        <w:t>; plus</w:t>
      </w:r>
    </w:p>
    <w:p>
      <w:pPr>
        <w:spacing w:after="0" w:line="80" w:lineRule="exact"/>
        <w:rPr>
          <w:sz w:val="20"/>
          <w:szCs w:val="20"/>
          <w:color w:val="auto"/>
        </w:rPr>
      </w:pPr>
    </w:p>
    <w:p>
      <w:pPr>
        <w:ind w:left="660" w:right="900" w:firstLine="1941"/>
        <w:spacing w:after="0" w:line="263" w:lineRule="auto"/>
        <w:tabs>
          <w:tab w:leader="none" w:pos="310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cash proceeds of key man life insurance policies received by the Company and its Restricted Subsidiaries after the Issue Date; less</w:t>
      </w:r>
    </w:p>
    <w:p>
      <w:pPr>
        <w:spacing w:after="0" w:line="66" w:lineRule="exact"/>
        <w:rPr>
          <w:rFonts w:ascii="Arial" w:cs="Arial" w:eastAsia="Arial" w:hAnsi="Arial"/>
          <w:sz w:val="22"/>
          <w:szCs w:val="22"/>
          <w:color w:val="auto"/>
        </w:rPr>
      </w:pPr>
    </w:p>
    <w:p>
      <w:pPr>
        <w:ind w:left="3100" w:hanging="499"/>
        <w:spacing w:after="0"/>
        <w:tabs>
          <w:tab w:leader="none" w:pos="310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amount of any Restricted Payments made in previous calendar years pursuant to clauses (A)</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(B) of this clause (6);</w:t>
      </w:r>
    </w:p>
    <w:p>
      <w:pPr>
        <w:spacing w:after="0" w:line="94"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cancellation of Indebtedness owing to the Company or any Restricted Subsidiary from any future, present or former members of management, directors, employees or consultants of the Company, or any Parent Entity or Restricted Subsidiaries in connection with a repurchase of Capital Stock of the Company or any Parent Entity will not be deemed to constitute a Restricted Payment for purposes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any other provision of this Indenture;</w:t>
      </w:r>
    </w:p>
    <w:p>
      <w:pPr>
        <w:spacing w:after="0" w:line="68"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the declaration and payment of dividends on Disqualified Stock or Preferred Stock of a Restricted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w:t>
      </w:r>
    </w:p>
    <w:p>
      <w:pPr>
        <w:spacing w:after="0" w:line="94" w:lineRule="exact"/>
        <w:rPr>
          <w:sz w:val="20"/>
          <w:szCs w:val="20"/>
          <w:color w:val="auto"/>
        </w:rPr>
      </w:pPr>
    </w:p>
    <w:p>
      <w:pPr>
        <w:ind w:left="660" w:right="60" w:firstLine="1293"/>
        <w:spacing w:after="0" w:line="290" w:lineRule="auto"/>
        <w:tabs>
          <w:tab w:leader="none" w:pos="242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payments made or expected to be made by the Company or any Restricted Subsidiary in respect of withholding or similar taxes payable in connection with the exercise or vesting of Capital Stock or any other equity award by any future, present or former employee, director, officer, manager, contractor, consultant or advisor of the Company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lieu of the issuance of fractional shares of such Capital Stock or in respect of withholding or similar taxes payable upon exercise or vesting thereof;</w:t>
      </w:r>
    </w:p>
    <w:p>
      <w:pPr>
        <w:spacing w:after="0" w:line="48" w:lineRule="exact"/>
        <w:rPr>
          <w:rFonts w:ascii="Arial" w:cs="Arial" w:eastAsia="Arial" w:hAnsi="Arial"/>
          <w:sz w:val="19"/>
          <w:szCs w:val="19"/>
          <w:color w:val="auto"/>
        </w:rPr>
      </w:pPr>
    </w:p>
    <w:p>
      <w:pPr>
        <w:ind w:left="660" w:right="200" w:firstLine="1293"/>
        <w:spacing w:after="0" w:line="263" w:lineRule="auto"/>
        <w:tabs>
          <w:tab w:leader="none" w:pos="242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dividends, loans, advances or distributions to any Parent Entity or other payments by the Company or any Restricted Subsidiary in amounts equal to (without duplication):</w:t>
      </w:r>
    </w:p>
    <w:p>
      <w:pPr>
        <w:spacing w:after="0" w:line="66" w:lineRule="exact"/>
        <w:rPr>
          <w:rFonts w:ascii="Arial" w:cs="Arial" w:eastAsia="Arial" w:hAnsi="Arial"/>
          <w:sz w:val="22"/>
          <w:szCs w:val="22"/>
          <w:color w:val="auto"/>
        </w:rPr>
      </w:pPr>
    </w:p>
    <w:p>
      <w:pPr>
        <w:ind w:left="660" w:right="580" w:firstLine="1941"/>
        <w:spacing w:after="0" w:line="263" w:lineRule="auto"/>
        <w:tabs>
          <w:tab w:leader="none" w:pos="3121" w:val="left"/>
        </w:tabs>
        <w:numPr>
          <w:ilvl w:val="1"/>
          <w:numId w:val="149"/>
        </w:numPr>
        <w:rPr>
          <w:rFonts w:ascii="Arial" w:cs="Arial" w:eastAsia="Arial" w:hAnsi="Arial"/>
          <w:sz w:val="22"/>
          <w:szCs w:val="22"/>
          <w:color w:val="auto"/>
        </w:rPr>
      </w:pPr>
      <w:r>
        <w:rPr>
          <w:rFonts w:ascii="Arial" w:cs="Arial" w:eastAsia="Arial" w:hAnsi="Arial"/>
          <w:sz w:val="22"/>
          <w:szCs w:val="22"/>
          <w:color w:val="auto"/>
        </w:rPr>
        <w:t>the amounts required for any Parent Entity to make payments pursuant to any tax sharing agreement or to pay any Parent Entity Expenses or any Related Taxes; or</w:t>
      </w:r>
    </w:p>
    <w:p>
      <w:pPr>
        <w:spacing w:after="0" w:line="66" w:lineRule="exact"/>
        <w:rPr>
          <w:rFonts w:ascii="Arial" w:cs="Arial" w:eastAsia="Arial" w:hAnsi="Arial"/>
          <w:sz w:val="22"/>
          <w:szCs w:val="22"/>
          <w:color w:val="auto"/>
        </w:rPr>
      </w:pPr>
    </w:p>
    <w:p>
      <w:pPr>
        <w:ind w:left="660" w:right="200" w:firstLine="1941"/>
        <w:spacing w:after="0" w:line="263" w:lineRule="auto"/>
        <w:tabs>
          <w:tab w:leader="none" w:pos="310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amounts constituting or to be used for purposes of making payments to the extent specified in clauses (6) and (24) of the definition of “Permitted Investments”;</w:t>
      </w:r>
    </w:p>
    <w:p>
      <w:pPr>
        <w:spacing w:after="0" w:line="66" w:lineRule="exact"/>
        <w:rPr>
          <w:rFonts w:ascii="Arial" w:cs="Arial" w:eastAsia="Arial" w:hAnsi="Arial"/>
          <w:sz w:val="22"/>
          <w:szCs w:val="22"/>
          <w:color w:val="auto"/>
        </w:rPr>
      </w:pPr>
    </w:p>
    <w:p>
      <w:pPr>
        <w:ind w:left="660" w:firstLine="1293"/>
        <w:spacing w:after="0" w:line="271" w:lineRule="auto"/>
        <w:tabs>
          <w:tab w:leader="none" w:pos="253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payment by the Company of, or loans, advances, dividends or distributions by the Company to any Parent Entity to pay, dividends on or purchase or repurchase the common stock or equity of such Parent Entity an amount not to exceed in any fiscal year the greater of $100.0 million and 0.75% of Total Assets;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00"/>
          </w:cols>
          <w:pgMar w:left="240" w:top="847" w:right="259" w:bottom="1440" w:gutter="0" w:footer="0" w:header="0"/>
        </w:sectPr>
      </w:pPr>
    </w:p>
    <w:bookmarkStart w:id="135" w:name="page136"/>
    <w:bookmarkEnd w:id="135"/>
    <w:p>
      <w:pPr>
        <w:ind w:left="-540" w:right="60" w:firstLine="1293"/>
        <w:spacing w:after="0" w:line="297" w:lineRule="auto"/>
        <w:tabs>
          <w:tab w:leader="none" w:pos="132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payments by the Company, or loans, advances, dividends or distributions to any Parent Entity to make payments, to holders of Capital Stock of the Company or any Parent Entity in lieu of the issuance of fractional shares of such Capital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payment, loan, advance, dividend or distribution shall not be for the purpose of evading any limitation of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or otherwise to facilitate any dividend or other return of capital to the holders of such Capital Stock (as determined in good faith by the Board of Directors);</w:t>
      </w:r>
    </w:p>
    <w:p>
      <w:pPr>
        <w:spacing w:after="0" w:line="39" w:lineRule="exact"/>
        <w:rPr>
          <w:rFonts w:ascii="Arial" w:cs="Arial" w:eastAsia="Arial" w:hAnsi="Arial"/>
          <w:sz w:val="19"/>
          <w:szCs w:val="19"/>
          <w:color w:val="auto"/>
        </w:rPr>
      </w:pPr>
    </w:p>
    <w:p>
      <w:pPr>
        <w:ind w:left="1320" w:hanging="567"/>
        <w:spacing w:after="0"/>
        <w:tabs>
          <w:tab w:leader="none" w:pos="13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Restricted Payments that are made with Excluded Contributions;</w:t>
      </w:r>
    </w:p>
    <w:p>
      <w:pPr>
        <w:spacing w:after="0" w:line="111" w:lineRule="exact"/>
        <w:rPr>
          <w:rFonts w:ascii="Arial" w:cs="Arial" w:eastAsia="Arial" w:hAnsi="Arial"/>
          <w:sz w:val="22"/>
          <w:szCs w:val="22"/>
          <w:color w:val="auto"/>
        </w:rPr>
      </w:pPr>
    </w:p>
    <w:p>
      <w:pPr>
        <w:ind w:left="-540" w:firstLine="1293"/>
        <w:spacing w:after="0" w:line="258" w:lineRule="auto"/>
        <w:tabs>
          <w:tab w:leader="none" w:pos="1333"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(i) the declaration and payment of dividends on Designated Preferred Stock of the Company issued after the Issue Date; and (ii) the declaration and payment of dividends on Refunding Capital Stock that is Preferred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clause (i), the amount of all dividends declared or paid pursuant to this clause shall not exceed the Net Cash Proceeds received by the Company or the aggregate amount contributed in cash to the equity (other than through the issuance of Disqualified Stock or an Excluded Contribution of the Company), from the issuance or sale of such Designated Preferred Stock; </w:t>
      </w:r>
      <w:r>
        <w:rPr>
          <w:rFonts w:ascii="Arial" w:cs="Arial" w:eastAsia="Arial" w:hAnsi="Arial"/>
          <w:sz w:val="21"/>
          <w:szCs w:val="21"/>
          <w:u w:val="single" w:color="auto"/>
          <w:color w:val="auto"/>
        </w:rPr>
        <w:t>provided further</w:t>
      </w:r>
      <w:r>
        <w:rPr>
          <w:rFonts w:ascii="Arial" w:cs="Arial" w:eastAsia="Arial" w:hAnsi="Arial"/>
          <w:sz w:val="21"/>
          <w:szCs w:val="21"/>
          <w:color w:val="auto"/>
        </w:rPr>
        <w:t>, in the case of clauses (i) and (ii), that for the most recently ended four fiscal quarters for which internal financial statements are available immediately preceding the date of issuance of such Designated Preferred Stock or declaration of such dividends on such Refunding Capital Stock, after giving effect to such payment on a pro forma basis the Fixed Charge Coverage Ratio for the Company and its Restricted Subsidiaries is at least 2.00 to 1.00;</w:t>
      </w:r>
    </w:p>
    <w:p>
      <w:pPr>
        <w:spacing w:after="0" w:line="78" w:lineRule="exact"/>
        <w:rPr>
          <w:rFonts w:ascii="Arial" w:cs="Arial" w:eastAsia="Arial" w:hAnsi="Arial"/>
          <w:sz w:val="21"/>
          <w:szCs w:val="21"/>
          <w:color w:val="auto"/>
        </w:rPr>
      </w:pPr>
    </w:p>
    <w:p>
      <w:pPr>
        <w:ind w:left="-540" w:firstLine="1293"/>
        <w:spacing w:after="0" w:line="297" w:lineRule="auto"/>
        <w:tabs>
          <w:tab w:leader="none" w:pos="133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the Company or a Restricted Subsidiary by an Unrestricted Subsidiary (or a Restricted Subsidiary that owns one or more Unrestricted Subsidiaries and no other material assets), in each case, other than Unrestricted Subsidiaries the primary assets of which are cash and Cash Equivalents;</w:t>
      </w:r>
    </w:p>
    <w:p>
      <w:pPr>
        <w:spacing w:after="0" w:line="39" w:lineRule="exact"/>
        <w:rPr>
          <w:rFonts w:ascii="Arial" w:cs="Arial" w:eastAsia="Arial" w:hAnsi="Arial"/>
          <w:sz w:val="19"/>
          <w:szCs w:val="19"/>
          <w:color w:val="auto"/>
        </w:rPr>
      </w:pPr>
    </w:p>
    <w:p>
      <w:pPr>
        <w:ind w:left="-540" w:right="40" w:firstLine="1293"/>
        <w:spacing w:after="0" w:line="253" w:lineRule="auto"/>
        <w:tabs>
          <w:tab w:leader="none" w:pos="133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distributions or payments of Special Purpose Financing Fees, sales contributions and other transfers of receivables and purchases of receivables pursuant to a securitization repurchase obligation, in each case in connection with a Special Purpose Financing;</w:t>
      </w:r>
    </w:p>
    <w:p>
      <w:pPr>
        <w:spacing w:after="0" w:line="77" w:lineRule="exact"/>
        <w:rPr>
          <w:rFonts w:ascii="Arial" w:cs="Arial" w:eastAsia="Arial" w:hAnsi="Arial"/>
          <w:sz w:val="22"/>
          <w:szCs w:val="22"/>
          <w:color w:val="auto"/>
        </w:rPr>
      </w:pPr>
    </w:p>
    <w:p>
      <w:pPr>
        <w:ind w:left="-540" w:right="120" w:firstLine="1293"/>
        <w:spacing w:after="0" w:line="250" w:lineRule="auto"/>
        <w:tabs>
          <w:tab w:leader="none" w:pos="133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Restricted Payment made in connection with the Transactions and any costs and expenses (including all legal, accounting and other professional fees and expenses) related thereto or used to fund amounts owed to Affiliates in connection with the Transactions (including dividends to any Parent Entity of the Company to permit payment by such Parent Entity of such amounts);</w:t>
      </w:r>
    </w:p>
    <w:p>
      <w:pPr>
        <w:spacing w:after="0" w:line="80" w:lineRule="exact"/>
        <w:rPr>
          <w:rFonts w:ascii="Arial" w:cs="Arial" w:eastAsia="Arial" w:hAnsi="Arial"/>
          <w:sz w:val="22"/>
          <w:szCs w:val="22"/>
          <w:color w:val="auto"/>
        </w:rPr>
      </w:pPr>
    </w:p>
    <w:p>
      <w:pPr>
        <w:ind w:left="-540" w:right="160" w:firstLine="1293"/>
        <w:spacing w:after="0" w:line="271" w:lineRule="auto"/>
        <w:tabs>
          <w:tab w:leader="none" w:pos="1333"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 Restricted Payments (including loans or advances) in an aggregate amount outstanding at the time made not to exceed the greater of $400.0 million and 2.25% of Total Assets at such time, and (ii) so long as no Default or Event of Default has occurred and is continuing (or would result therefrom) any Restricted</w:t>
      </w:r>
    </w:p>
    <w:p>
      <w:pPr>
        <w:spacing w:after="0" w:line="3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0220"/>
          </w:cols>
          <w:pgMar w:left="1440" w:top="847" w:right="239" w:bottom="1440" w:gutter="0" w:footer="0" w:header="0"/>
        </w:sectPr>
      </w:pPr>
    </w:p>
    <w:bookmarkStart w:id="136" w:name="page137"/>
    <w:bookmarkEnd w:id="136"/>
    <w:p>
      <w:pPr>
        <w:ind w:left="660" w:right="200"/>
        <w:spacing w:after="0" w:line="263" w:lineRule="auto"/>
        <w:rPr>
          <w:sz w:val="20"/>
          <w:szCs w:val="20"/>
          <w:color w:val="auto"/>
        </w:rPr>
      </w:pPr>
      <w:r>
        <w:rPr>
          <w:rFonts w:ascii="Arial" w:cs="Arial" w:eastAsia="Arial" w:hAnsi="Arial"/>
          <w:sz w:val="22"/>
          <w:szCs w:val="22"/>
          <w:color w:val="auto"/>
        </w:rPr>
        <w:t>Payments, so long as, after giving pro forma effect to the payment of any such Restricted Payment, the Consolidated Total Leverage Ratio shall be no greater than 4.25 to 1.00;</w:t>
      </w:r>
    </w:p>
    <w:p>
      <w:pPr>
        <w:spacing w:after="0" w:line="67" w:lineRule="exact"/>
        <w:rPr>
          <w:sz w:val="20"/>
          <w:szCs w:val="20"/>
          <w:color w:val="auto"/>
        </w:rPr>
      </w:pPr>
    </w:p>
    <w:p>
      <w:pPr>
        <w:ind w:left="660" w:right="80" w:firstLine="1293"/>
        <w:spacing w:after="0" w:line="253" w:lineRule="auto"/>
        <w:tabs>
          <w:tab w:leader="none" w:pos="253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 xml:space="preserve">mandatory redemptions of Disqualified Stock issued as a Restricted Payment or as consideration for a Permitted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redemptions are no greater than the amount that constituted a Restricted Payment or Permitted Investment; and</w:t>
      </w:r>
    </w:p>
    <w:p>
      <w:pPr>
        <w:spacing w:after="0" w:line="77" w:lineRule="exact"/>
        <w:rPr>
          <w:rFonts w:ascii="Arial" w:cs="Arial" w:eastAsia="Arial" w:hAnsi="Arial"/>
          <w:sz w:val="22"/>
          <w:szCs w:val="22"/>
          <w:color w:val="auto"/>
        </w:rPr>
      </w:pPr>
    </w:p>
    <w:p>
      <w:pPr>
        <w:ind w:left="660" w:right="60" w:firstLine="1293"/>
        <w:spacing w:after="0" w:line="263" w:lineRule="auto"/>
        <w:tabs>
          <w:tab w:leader="none" w:pos="253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distributions by a Special Purpose Entity to its partners pursuant to a financing arrangement solely out of the cash flows of such Special Purpose Entity.</w:t>
      </w:r>
    </w:p>
    <w:p>
      <w:pPr>
        <w:spacing w:after="0" w:line="67" w:lineRule="exact"/>
        <w:rPr>
          <w:sz w:val="20"/>
          <w:szCs w:val="20"/>
          <w:color w:val="auto"/>
        </w:rPr>
      </w:pPr>
    </w:p>
    <w:p>
      <w:pPr>
        <w:ind w:right="280" w:firstLine="648"/>
        <w:spacing w:after="0" w:line="294"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in the event that a Restricted Payment or Investment (or portion thereof) meets the criteria of more than one of the categories of Permitted Payments described in the clauses above, or is permitted pursuant to this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and/or one or more of the clauses contained in the definition of “Permitted Investment,” the Company will be entitled to divide or classify (or later divide, classify or reclassify in whole or in part in its sole discretion) such Restricted Payment or Investment (or portion thereof) in any manner that complies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 including as an Investment pursuant to one or more of the clauses contained in the definition of “Permitted Investment.”</w:t>
      </w:r>
    </w:p>
    <w:p>
      <w:pPr>
        <w:spacing w:after="0" w:line="42"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84"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In connection with any commitment, definitive agreement or similar event relating to an Investment, the Company or applicable Restricted Subsidiary may designate such Investment as having occurred on the date of the commitment, definitive agreement or similar event relating thereto (such date, the “</w:t>
      </w:r>
      <w:r>
        <w:rPr>
          <w:rFonts w:ascii="Arial" w:cs="Arial" w:eastAsia="Arial" w:hAnsi="Arial"/>
          <w:sz w:val="19"/>
          <w:szCs w:val="19"/>
          <w:i w:val="1"/>
          <w:iCs w:val="1"/>
          <w:color w:val="auto"/>
        </w:rPr>
        <w:t>Election Date</w:t>
      </w:r>
      <w:r>
        <w:rPr>
          <w:rFonts w:ascii="Arial" w:cs="Arial" w:eastAsia="Arial" w:hAnsi="Arial"/>
          <w:sz w:val="19"/>
          <w:szCs w:val="19"/>
          <w:color w:val="auto"/>
        </w:rPr>
        <w:t>”)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the Indenture, and any related subsequent actual making of such Investment will be deemed for all purposes under the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spacing w:after="0" w:line="47"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Unrestricted Subsidiaries may use value transferred from the Company and its Restricted Subsidiaries in a Permitted Investment to purchase or otherwise acquire Indebtedness or Capital Stock of the Company, any Parent Entity or any of the Company’s Restricted Subsidiaries, and to transfer value to the holders of the Capital Stock or any Parent Entity and to Affiliates thereof,</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847" w:right="239" w:bottom="1440" w:gutter="0" w:footer="0" w:header="0"/>
        </w:sectPr>
      </w:pPr>
    </w:p>
    <w:bookmarkStart w:id="137" w:name="page138"/>
    <w:bookmarkEnd w:id="137"/>
    <w:p>
      <w:pPr>
        <w:ind w:right="220"/>
        <w:spacing w:after="0" w:line="263" w:lineRule="auto"/>
        <w:rPr>
          <w:sz w:val="20"/>
          <w:szCs w:val="20"/>
          <w:color w:val="auto"/>
        </w:rPr>
      </w:pPr>
      <w:r>
        <w:rPr>
          <w:rFonts w:ascii="Arial" w:cs="Arial" w:eastAsia="Arial" w:hAnsi="Arial"/>
          <w:sz w:val="22"/>
          <w:szCs w:val="22"/>
          <w:color w:val="auto"/>
        </w:rPr>
        <w:t>and such purchase, acquisition, or transfer will not be deemed to be a “direct or indirect” action by the Company or its Restricted Subsidiaries.</w:t>
      </w:r>
    </w:p>
    <w:p>
      <w:pPr>
        <w:spacing w:after="0" w:line="67" w:lineRule="exact"/>
        <w:rPr>
          <w:sz w:val="20"/>
          <w:szCs w:val="20"/>
          <w:color w:val="auto"/>
        </w:rPr>
      </w:pPr>
    </w:p>
    <w:p>
      <w:pPr>
        <w:ind w:right="160" w:firstLine="648"/>
        <w:spacing w:after="0" w:line="287" w:lineRule="auto"/>
        <w:rPr>
          <w:sz w:val="20"/>
          <w:szCs w:val="20"/>
          <w:color w:val="auto"/>
        </w:rPr>
      </w:pPr>
      <w:r>
        <w:rPr>
          <w:rFonts w:ascii="Arial" w:cs="Arial" w:eastAsia="Arial" w:hAnsi="Arial"/>
          <w:sz w:val="21"/>
          <w:szCs w:val="21"/>
          <w:color w:val="auto"/>
        </w:rPr>
        <w:t xml:space="preserve">For the avoidance of doubt,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shall not restrict the making of any “AHYDO catch-up payment” with respect to, and required by the terms of, any Indebtedness of the Company or any of its Restricted Subsidiaries.</w:t>
      </w:r>
    </w:p>
    <w:p>
      <w:pPr>
        <w:spacing w:after="0" w:line="4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Limitation on Sales of Assets and Subsidiary Stock</w:t>
      </w:r>
      <w:r>
        <w:rPr>
          <w:rFonts w:ascii="Arial" w:cs="Arial" w:eastAsia="Arial" w:hAnsi="Arial"/>
          <w:sz w:val="19"/>
          <w:szCs w:val="19"/>
          <w:color w:val="auto"/>
        </w:rPr>
        <w:t>.</w:t>
      </w:r>
    </w:p>
    <w:p>
      <w:pPr>
        <w:spacing w:after="0" w:line="11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Company shall not, and shall not permit any of its Restricted Subsidiaries to, make any Asset Disposition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94" w:lineRule="exact"/>
        <w:rPr>
          <w:sz w:val="20"/>
          <w:szCs w:val="20"/>
          <w:color w:val="auto"/>
        </w:rPr>
      </w:pPr>
    </w:p>
    <w:p>
      <w:pPr>
        <w:ind w:left="660" w:firstLine="1293"/>
        <w:spacing w:after="0" w:line="297" w:lineRule="auto"/>
        <w:tabs>
          <w:tab w:leader="none" w:pos="2425"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39" w:lineRule="exact"/>
        <w:rPr>
          <w:rFonts w:ascii="Arial" w:cs="Arial" w:eastAsia="Arial" w:hAnsi="Arial"/>
          <w:sz w:val="19"/>
          <w:szCs w:val="19"/>
          <w:color w:val="auto"/>
        </w:rPr>
      </w:pPr>
    </w:p>
    <w:p>
      <w:pPr>
        <w:ind w:left="660" w:right="180" w:firstLine="1293"/>
        <w:spacing w:after="0" w:line="261" w:lineRule="auto"/>
        <w:tabs>
          <w:tab w:leader="none" w:pos="242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in any such Asset Disposition, or series of related Asset Dispositions (except to the extent the Asset Disposition is a Permitted Asset Swap) with a purchase price in excess of $50.0 million, other than in a sale of the Budget Truck Division for fair market value, at least 75% of the consideration from such Asset Disposition (including by way of relief from, or by any other Person assuming responsibility for, any liabilities, contingent or otherwise), together with all other Asset Dispositions since the Issue Date (on a cumulative basis), received by the Company or such Restricted Subsidiary, as the case may be, is in the form of cash or Cash Equivalents; and</w:t>
      </w:r>
    </w:p>
    <w:p>
      <w:pPr>
        <w:spacing w:after="0" w:line="71" w:lineRule="exact"/>
        <w:rPr>
          <w:rFonts w:ascii="Arial" w:cs="Arial" w:eastAsia="Arial" w:hAnsi="Arial"/>
          <w:sz w:val="21"/>
          <w:szCs w:val="21"/>
          <w:color w:val="auto"/>
        </w:rPr>
      </w:pPr>
    </w:p>
    <w:p>
      <w:pPr>
        <w:ind w:left="2420" w:hanging="467"/>
        <w:spacing w:after="0"/>
        <w:tabs>
          <w:tab w:leader="none" w:pos="242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 amount equal to 100% of the Net Available Cash from such Asset Disposition is applied:</w:t>
      </w:r>
    </w:p>
    <w:p>
      <w:pPr>
        <w:spacing w:after="0" w:line="111" w:lineRule="exact"/>
        <w:rPr>
          <w:rFonts w:ascii="Arial" w:cs="Arial" w:eastAsia="Arial" w:hAnsi="Arial"/>
          <w:sz w:val="22"/>
          <w:szCs w:val="22"/>
          <w:color w:val="auto"/>
        </w:rPr>
      </w:pPr>
    </w:p>
    <w:p>
      <w:pPr>
        <w:ind w:left="660" w:right="60" w:firstLine="1941"/>
        <w:spacing w:after="0" w:line="288" w:lineRule="auto"/>
        <w:tabs>
          <w:tab w:leader="none" w:pos="3121"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to the extent the Company or any Restricted Subsidiary, as the case may be, elects (or is required by the terms of any Indebtedness), (i) to prepay, repay or purchase any Indebtedness of a Non-Guarantor, any Indebtedness that is secured by a Lien (in each case, other than Indebtedness owed to the Company or any Restricted Subsidiary) or Indebtedness under the Credit Agreement (or any Refinancing Indebtedness in respect thereof) within 450 days from the later of (A) the date of such Asset Disposition and (B)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prepayment, repayment or purchase of Indebtedness pursuant to this clause (i), the Company or Restricted Subsidiary shall retire such Indebtedness and shall cause the related commitment (if any) to be reduced in an amount equal to the principal amount so prepaid, repaid or purchased or (ii) to prepay, repay or purchase Pari Passu Indebtedness at a price of no more than 100% of the principal amount of such Pari Passu Indebtedness plus accrued and unpaid interest, if any, to, but not including, the date of such prepayment, repayment or purchase;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380"/>
          </w:cols>
          <w:pgMar w:left="240" w:top="847" w:right="279" w:bottom="1440" w:gutter="0" w:footer="0" w:header="0"/>
        </w:sectPr>
      </w:pPr>
    </w:p>
    <w:bookmarkStart w:id="138" w:name="page139"/>
    <w:bookmarkEnd w:id="138"/>
    <w:p>
      <w:pPr>
        <w:ind w:left="660" w:right="80"/>
        <w:spacing w:after="0" w:line="261" w:lineRule="auto"/>
        <w:rPr>
          <w:sz w:val="20"/>
          <w:szCs w:val="20"/>
          <w:color w:val="auto"/>
        </w:rPr>
      </w:pPr>
      <w:r>
        <w:rPr>
          <w:rFonts w:ascii="Arial" w:cs="Arial" w:eastAsia="Arial" w:hAnsi="Arial"/>
          <w:sz w:val="21"/>
          <w:szCs w:val="21"/>
          <w:color w:val="auto"/>
        </w:rPr>
        <w:t xml:space="preserve">Company or a Restricted Subsidiary redeems, repays or repurchases Pari Passu Indebtedness pursuant to this clause (ii), the Company shall equally and ratably reduce Obligations under the Notes as provided under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and/or</w:t>
      </w:r>
    </w:p>
    <w:p>
      <w:pPr>
        <w:spacing w:after="0" w:line="72" w:lineRule="exact"/>
        <w:rPr>
          <w:sz w:val="20"/>
          <w:szCs w:val="20"/>
          <w:color w:val="auto"/>
        </w:rPr>
      </w:pPr>
    </w:p>
    <w:p>
      <w:pPr>
        <w:ind w:left="660" w:right="60" w:firstLine="1941"/>
        <w:spacing w:after="0" w:line="288" w:lineRule="auto"/>
        <w:tabs>
          <w:tab w:leader="none" w:pos="3109"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to the extent the Company or any Restricted Subsidiary elects, to invest in or commit to invest in Additional Assets (including by means of an investment in Additional Assets by a Restricted Subsidiary equal to the amount of Net Available Cash received by the Company or another Restricted Subsidiary) within 450 days from the later of</w:t>
      </w:r>
    </w:p>
    <w:p>
      <w:pPr>
        <w:spacing w:after="0" w:line="1" w:lineRule="exact"/>
        <w:rPr>
          <w:rFonts w:ascii="Arial" w:cs="Arial" w:eastAsia="Arial" w:hAnsi="Arial"/>
          <w:sz w:val="19"/>
          <w:szCs w:val="19"/>
          <w:color w:val="auto"/>
        </w:rPr>
      </w:pPr>
    </w:p>
    <w:p>
      <w:pPr>
        <w:jc w:val="both"/>
        <w:ind w:left="660" w:right="260" w:hanging="4"/>
        <w:spacing w:after="0" w:line="244" w:lineRule="auto"/>
        <w:tabs>
          <w:tab w:leader="none" w:pos="91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the date of such Asset Disposition and (ii) the receipt of such Net Available Cash;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binding agreement shall be treated as a permitted application of Net Available Cash from the date of such commitment with the good faith expectation that an amount equal to Net Available Cash will be applied to satisfy such commitment within 180 days of such commitment;</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(1) pending the final application of the amount of any such Net Available Cash in accordance with clause (A) or (B)</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w:t>
      </w:r>
      <w:r>
        <w:rPr>
          <w:rFonts w:ascii="Arial" w:cs="Arial" w:eastAsia="Arial" w:hAnsi="Arial"/>
          <w:sz w:val="21"/>
          <w:szCs w:val="21"/>
          <w:u w:val="single" w:color="auto"/>
          <w:color w:val="auto"/>
        </w:rPr>
        <w:t>Section 3.5(a)(3)</w:t>
      </w:r>
      <w:r>
        <w:rPr>
          <w:rFonts w:ascii="Arial" w:cs="Arial" w:eastAsia="Arial" w:hAnsi="Arial"/>
          <w:sz w:val="21"/>
          <w:szCs w:val="21"/>
          <w:color w:val="auto"/>
        </w:rPr>
        <w:t>, the Company and its Restricted Subsidiaries may temporarily reduce Indebtedness or otherwise use such Net Available Cash in any manner not prohibited by this Indenture; and (2) the Company (or any Restricted Subsidiary, as the case may be) may elect to invest in Additional Assets prior to receiving the Net Available Cash attributable to any given Asset Disposition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w:t>
      </w:r>
      <w:r>
        <w:rPr>
          <w:rFonts w:ascii="Arial" w:cs="Arial" w:eastAsia="Arial" w:hAnsi="Arial"/>
          <w:sz w:val="21"/>
          <w:szCs w:val="21"/>
          <w:u w:val="single" w:color="auto"/>
          <w:color w:val="auto"/>
        </w:rPr>
        <w:t>Section 3.5(a)(3)(B)</w:t>
      </w:r>
      <w:r>
        <w:rPr>
          <w:rFonts w:ascii="Arial" w:cs="Arial" w:eastAsia="Arial" w:hAnsi="Arial"/>
          <w:sz w:val="21"/>
          <w:szCs w:val="21"/>
          <w:color w:val="auto"/>
        </w:rPr>
        <w:t xml:space="preserve"> with respect to such Asset Disposition.</w:t>
      </w:r>
    </w:p>
    <w:p>
      <w:pPr>
        <w:spacing w:after="0" w:line="76" w:lineRule="exact"/>
        <w:rPr>
          <w:sz w:val="20"/>
          <w:szCs w:val="20"/>
          <w:color w:val="auto"/>
        </w:rPr>
      </w:pPr>
    </w:p>
    <w:p>
      <w:pPr>
        <w:ind w:firstLine="1305"/>
        <w:spacing w:after="0" w:line="286" w:lineRule="auto"/>
        <w:tabs>
          <w:tab w:leader="none" w:pos="176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amount of any Net Available Cash from Asset Dispositions that is not applied or invested or committed to be applied or invested as provided in the preceding paragraph will be deemed to constitute “</w:t>
      </w:r>
      <w:r>
        <w:rPr>
          <w:rFonts w:ascii="Arial" w:cs="Arial" w:eastAsia="Arial" w:hAnsi="Arial"/>
          <w:sz w:val="19"/>
          <w:szCs w:val="19"/>
          <w:u w:val="single" w:color="auto"/>
          <w:color w:val="auto"/>
        </w:rPr>
        <w:t>Excess Proceeds</w:t>
      </w:r>
      <w:r>
        <w:rPr>
          <w:rFonts w:ascii="Arial" w:cs="Arial" w:eastAsia="Arial" w:hAnsi="Arial"/>
          <w:sz w:val="19"/>
          <w:szCs w:val="19"/>
          <w:color w:val="auto"/>
        </w:rPr>
        <w:t>” under this Indenture. On the 451st day after the later of an Asset Disposition or the receipt of such Net Available Cash, if the aggregate amount of Excess Proceeds under this Indenture exceeds (i) $100.0 million, in the case of a single transaction or a series of related transactions, or (ii) $200.0 million aggregate amount in any fiscal year, the Company shall within 10 Business Days be required to make an offer (“</w:t>
      </w:r>
      <w:r>
        <w:rPr>
          <w:rFonts w:ascii="Arial" w:cs="Arial" w:eastAsia="Arial" w:hAnsi="Arial"/>
          <w:sz w:val="19"/>
          <w:szCs w:val="19"/>
          <w:u w:val="single" w:color="auto"/>
          <w:color w:val="auto"/>
        </w:rPr>
        <w:t>Asset Disposition Offer</w:t>
      </w:r>
      <w:r>
        <w:rPr>
          <w:rFonts w:ascii="Arial" w:cs="Arial" w:eastAsia="Arial" w:hAnsi="Arial"/>
          <w:sz w:val="19"/>
          <w:szCs w:val="19"/>
          <w:color w:val="auto"/>
        </w:rPr>
        <w:t>”) to all Holders of Notes issued under this Indenture and, to the extent the Company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100% of the principal amount of the Notes and Pari Passu Indebtedness, in each case, plus accrued and unpaid interest, if any, to, but not including, the date of purchase, in accordance with the procedures set forth in this Indenture or the agreements governing the Pari Passu Indebtedness, as applicable, and, with respect to the Notes, in minimum denominations of $2,000 and in integral multiples of $1,000 in excess thereof. The Company shall deliver notice of such Asset Disposition Offer electronically or by first-class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847" w:right="239" w:bottom="1440" w:gutter="0" w:footer="0" w:header="0"/>
        </w:sectPr>
      </w:pPr>
    </w:p>
    <w:bookmarkStart w:id="139" w:name="page140"/>
    <w:bookmarkEnd w:id="139"/>
    <w:p>
      <w:pPr>
        <w:spacing w:after="0" w:line="292" w:lineRule="auto"/>
        <w:rPr>
          <w:sz w:val="20"/>
          <w:szCs w:val="20"/>
          <w:color w:val="auto"/>
        </w:rPr>
      </w:pPr>
      <w:r>
        <w:rPr>
          <w:rFonts w:ascii="Arial" w:cs="Arial" w:eastAsia="Arial" w:hAnsi="Arial"/>
          <w:sz w:val="19"/>
          <w:szCs w:val="19"/>
          <w:color w:val="auto"/>
        </w:rPr>
        <w:t>mail, with a copy to the Trustee, to each Holder of Notes at the address of such Holder appearing in the Notes Register or otherwise in accordance with the procedures of DTC, describing the transaction or transactions that constitute the Asset Disposition and offering to repurchase the Notes for the specified purchase price on the date specified in the notice, which date will be no earlier than 30 days and no later than 60 days from the date such notice is delivered, pursuant to the procedures required by this Indenture and described in such notice. The Company may satisfy the foregoing obligations with respect to any Net Available Cash from an Asset Disposition by making an Asset Disposition Offer with respect to all Net Available Cash prior to the expiration of the relevant 450 days (or such longer period provided above) or with respect to any unapplied Excess Proceeds.</w:t>
      </w:r>
    </w:p>
    <w:p>
      <w:pPr>
        <w:spacing w:after="0" w:line="43" w:lineRule="exact"/>
        <w:rPr>
          <w:sz w:val="20"/>
          <w:szCs w:val="20"/>
          <w:color w:val="auto"/>
        </w:rPr>
      </w:pPr>
    </w:p>
    <w:p>
      <w:pPr>
        <w:ind w:firstLine="1305"/>
        <w:spacing w:after="0" w:line="288" w:lineRule="auto"/>
        <w:tabs>
          <w:tab w:leader="none" w:pos="174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the extent that the aggregate amount of Notes and Pari Passu Indebtedness so validly tendered and not properly withdrawn pursuant to an Asset Disposition Offer is less than the Excess Proceeds, the Company may use any remaining Excess Proceeds for any purpose not prohibited by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provided that no Notes or other Pari Passu Indebtedness will be selected and purchased in an unauthorized denomination. Upon completion of any Asset Disposition Offer, the amount of Excess Proceeds shall be reset at zero. Additionally, the Company may, at its option, make an Asset Disposition Offer using proceeds from any Asset Disposition at any time after the consummation of such Asset Disposition. Upon consummation or expiration of any Asset Disposition Offer, any remaining Net Available Cash shall not be deemed Excess Proceeds and the Company may use such Net Available Cash for any purpose not prohibited by this Indenture.</w:t>
      </w:r>
    </w:p>
    <w:p>
      <w:pPr>
        <w:spacing w:after="0" w:line="46" w:lineRule="exact"/>
        <w:rPr>
          <w:rFonts w:ascii="Arial" w:cs="Arial" w:eastAsia="Arial" w:hAnsi="Arial"/>
          <w:sz w:val="19"/>
          <w:szCs w:val="19"/>
          <w:color w:val="auto"/>
        </w:rPr>
      </w:pPr>
    </w:p>
    <w:p>
      <w:pPr>
        <w:ind w:right="400" w:firstLine="1305"/>
        <w:spacing w:after="0" w:line="312" w:lineRule="auto"/>
        <w:tabs>
          <w:tab w:leader="none" w:pos="176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To the extent that any portion of Net Available Cash payable in respect of the Notes is denominated in a currency other than U.S. dollars, the amount thereof payable in respect of the Notes shall not exceed the net amount of funds in U.S. dollars that is actually received by the Company upon converting such portion into U.S. dollars.</w:t>
      </w:r>
    </w:p>
    <w:p>
      <w:pPr>
        <w:spacing w:after="0" w:line="25" w:lineRule="exact"/>
        <w:rPr>
          <w:rFonts w:ascii="Arial" w:cs="Arial" w:eastAsia="Arial" w:hAnsi="Arial"/>
          <w:sz w:val="19"/>
          <w:szCs w:val="19"/>
          <w:color w:val="auto"/>
        </w:rPr>
      </w:pPr>
    </w:p>
    <w:p>
      <w:pPr>
        <w:ind w:right="60" w:firstLine="1305"/>
        <w:spacing w:after="0" w:line="258" w:lineRule="auto"/>
        <w:tabs>
          <w:tab w:leader="none" w:pos="1752"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provisions of </w:t>
      </w:r>
      <w:r>
        <w:rPr>
          <w:rFonts w:ascii="Arial" w:cs="Arial" w:eastAsia="Arial" w:hAnsi="Arial"/>
          <w:sz w:val="21"/>
          <w:szCs w:val="21"/>
          <w:u w:val="single" w:color="auto"/>
          <w:color w:val="auto"/>
        </w:rPr>
        <w:t>Section 3.5</w:t>
      </w:r>
      <w:r>
        <w:rPr>
          <w:rFonts w:ascii="Arial" w:cs="Arial" w:eastAsia="Arial" w:hAnsi="Arial"/>
          <w:sz w:val="21"/>
          <w:szCs w:val="21"/>
          <w:color w:val="auto"/>
        </w:rPr>
        <w:t>, (i) to the extent that any of or all the Net Available Cash of any Asset Disposition by a Foreign Subsidiary (a “</w:t>
      </w:r>
      <w:r>
        <w:rPr>
          <w:rFonts w:ascii="Arial" w:cs="Arial" w:eastAsia="Arial" w:hAnsi="Arial"/>
          <w:sz w:val="21"/>
          <w:szCs w:val="21"/>
          <w:i w:val="1"/>
          <w:iCs w:val="1"/>
          <w:color w:val="auto"/>
        </w:rPr>
        <w:t>Foreign Disposition</w:t>
      </w:r>
      <w:r>
        <w:rPr>
          <w:rFonts w:ascii="Arial" w:cs="Arial" w:eastAsia="Arial" w:hAnsi="Arial"/>
          <w:sz w:val="21"/>
          <w:szCs w:val="21"/>
          <w:color w:val="auto"/>
        </w:rPr>
        <w:t>”) is (x) prohibited or delayed by applicable local law, (y) restricted by applicable organizational documents or any agreement or (z) subject to other onerous organizational or administrative impediments from being repatriated to the United States, the portion of such Net Available Cash so affected will not be required to be applied in compliance with this covenant, and such amounts may be retained by the applicable Foreign Subsidiary so long, but only so long, as the applicable local law, documents or agreements will not permit repatriation to the United States (the Company hereby agreeing to use reasonable efforts (as determined in the Company’s reasonable business judgment) to otherwise cause the applicable Foreign Subsidiary to within 180 days following the date on which the respective payment would otherwise have been required, promptly take all commercially reasonable actions with respect to the applicable local law, applicable organizational impediments or other impediment to permit such repatriation), and if within 180 days following the date on which the respective payment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00"/>
          </w:cols>
          <w:pgMar w:left="240" w:top="847" w:right="259" w:bottom="1440" w:gutter="0" w:footer="0" w:header="0"/>
        </w:sectPr>
      </w:pPr>
    </w:p>
    <w:bookmarkStart w:id="140" w:name="page141"/>
    <w:bookmarkEnd w:id="140"/>
    <w:p>
      <w:pPr>
        <w:ind w:right="20"/>
        <w:spacing w:after="0" w:line="288" w:lineRule="auto"/>
        <w:rPr>
          <w:sz w:val="20"/>
          <w:szCs w:val="20"/>
          <w:color w:val="auto"/>
        </w:rPr>
      </w:pPr>
      <w:r>
        <w:rPr>
          <w:rFonts w:ascii="Arial" w:cs="Arial" w:eastAsia="Arial" w:hAnsi="Arial"/>
          <w:sz w:val="19"/>
          <w:szCs w:val="19"/>
          <w:color w:val="auto"/>
        </w:rPr>
        <w:t>would otherwise have been required, such repatriation of any of such affected Net Available Cash is permitted under the applicable local law, applicable organizational impediment or other impediment, such repatriation will be promptly effected and the amount of such repatriated Net Available Cash will be promptly (and in any event not later than five (5) Business Days after such repatriation could be made) applied (net of additional Taxes payable or reserved against as a result thereof) (whether or not repatriation actually occurs) in compliance with this covenant and (ii) to the extent that the Company has determined in good faith that repatriation of any of or all the Net Available Cash of any Foreign Disposition would have an adverse Tax consequence (which for the avoidance of doubt, includes, but is not limited to, any prepayment whereby doing so the Company, any Restricted Subsidiary, or any of their respective affiliates and/or equity owners would incur a tax liability, including a tax dividend, deemed dividend pursuant to Code Section 956 or a withholding tax), the Net Available Cash so affected may be retained by the applicable Foreign Subsidiary. The non-application of any prepayment amounts as a consequence of the foregoing provisions will not, for the avoidance of doubt, constitute a Default or an Event of Default.</w:t>
      </w:r>
    </w:p>
    <w:p>
      <w:pPr>
        <w:spacing w:after="0" w:line="47" w:lineRule="exact"/>
        <w:rPr>
          <w:sz w:val="20"/>
          <w:szCs w:val="20"/>
          <w:color w:val="auto"/>
        </w:rPr>
      </w:pPr>
    </w:p>
    <w:p>
      <w:pPr>
        <w:ind w:left="1740" w:hanging="435"/>
        <w:spacing w:after="0"/>
        <w:tabs>
          <w:tab w:leader="none" w:pos="17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For the purposes of </w:t>
      </w:r>
      <w:r>
        <w:rPr>
          <w:rFonts w:ascii="Arial" w:cs="Arial" w:eastAsia="Arial" w:hAnsi="Arial"/>
          <w:sz w:val="22"/>
          <w:szCs w:val="22"/>
          <w:u w:val="single" w:color="auto"/>
          <w:color w:val="auto"/>
        </w:rPr>
        <w:t>Section 3.5(a)(2)</w:t>
      </w:r>
      <w:r>
        <w:rPr>
          <w:rFonts w:ascii="Arial" w:cs="Arial" w:eastAsia="Arial" w:hAnsi="Arial"/>
          <w:sz w:val="22"/>
          <w:szCs w:val="22"/>
          <w:color w:val="auto"/>
        </w:rPr>
        <w:t>, the following will be deemed to be cash:</w:t>
      </w:r>
    </w:p>
    <w:p>
      <w:pPr>
        <w:spacing w:after="0" w:line="111" w:lineRule="exact"/>
        <w:rPr>
          <w:rFonts w:ascii="Arial" w:cs="Arial" w:eastAsia="Arial" w:hAnsi="Arial"/>
          <w:sz w:val="22"/>
          <w:szCs w:val="22"/>
          <w:color w:val="auto"/>
        </w:rPr>
      </w:pPr>
    </w:p>
    <w:p>
      <w:pPr>
        <w:ind w:left="660" w:right="40" w:firstLine="1293"/>
        <w:spacing w:after="0" w:line="250" w:lineRule="auto"/>
        <w:tabs>
          <w:tab w:leader="none" w:pos="242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the assumption by the transferee of Indebtedness or other liabilities contingent or otherwise of the Company or a Restricted Subsidiary (other than Subordinated Indebtedness of the Company or a Subsidiary Guarantor) and the release of the Company or such Restricted Subsidiary from all liability on such Indebtedness or other liability in connection with such Asset Disposition;</w:t>
      </w:r>
    </w:p>
    <w:p>
      <w:pPr>
        <w:spacing w:after="0" w:line="80" w:lineRule="exact"/>
        <w:rPr>
          <w:rFonts w:ascii="Arial" w:cs="Arial" w:eastAsia="Arial" w:hAnsi="Arial"/>
          <w:sz w:val="22"/>
          <w:szCs w:val="22"/>
          <w:color w:val="auto"/>
        </w:rPr>
      </w:pPr>
    </w:p>
    <w:p>
      <w:pPr>
        <w:ind w:left="660" w:right="520" w:firstLine="1293"/>
        <w:spacing w:after="0" w:line="253" w:lineRule="auto"/>
        <w:tabs>
          <w:tab w:leader="none" w:pos="242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securities, notes or other obligations received by the Company or any Restricted Subsidiary of the Company from the transferee that are converted by the Company or such Restricted Subsidiary into cash or Cash Equivalents within 180 days following the closing of such Asset Disposition;</w:t>
      </w:r>
    </w:p>
    <w:p>
      <w:pPr>
        <w:spacing w:after="0" w:line="77" w:lineRule="exact"/>
        <w:rPr>
          <w:rFonts w:ascii="Arial" w:cs="Arial" w:eastAsia="Arial" w:hAnsi="Arial"/>
          <w:sz w:val="22"/>
          <w:szCs w:val="22"/>
          <w:color w:val="auto"/>
        </w:rPr>
      </w:pPr>
    </w:p>
    <w:p>
      <w:pPr>
        <w:ind w:left="660" w:right="120" w:firstLine="1293"/>
        <w:spacing w:after="0" w:line="253" w:lineRule="auto"/>
        <w:tabs>
          <w:tab w:leader="none" w:pos="242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Indebtedness of any Restricted Subsidiary that is no longer a Restricted Subsidiary as a result of such Asset Disposition, to the extent that the Company and each other Restricted Subsidiary are released from any Guarantee of payment of such Indebtedness in connection with such Asset Disposition;</w:t>
      </w:r>
    </w:p>
    <w:p>
      <w:pPr>
        <w:spacing w:after="0" w:line="77" w:lineRule="exact"/>
        <w:rPr>
          <w:rFonts w:ascii="Arial" w:cs="Arial" w:eastAsia="Arial" w:hAnsi="Arial"/>
          <w:sz w:val="22"/>
          <w:szCs w:val="22"/>
          <w:color w:val="auto"/>
        </w:rPr>
      </w:pPr>
    </w:p>
    <w:p>
      <w:pPr>
        <w:ind w:left="660" w:right="280" w:firstLine="1293"/>
        <w:spacing w:after="0" w:line="263" w:lineRule="auto"/>
        <w:tabs>
          <w:tab w:leader="none" w:pos="2425"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consideration consisting of Indebtedness of the Company or any Restricted Subsidiary received after the Issue Date from Persons who are not the Company or any Restricted Subsidiary; and</w:t>
      </w:r>
    </w:p>
    <w:p>
      <w:pPr>
        <w:spacing w:after="0" w:line="66" w:lineRule="exact"/>
        <w:rPr>
          <w:rFonts w:ascii="Arial" w:cs="Arial" w:eastAsia="Arial" w:hAnsi="Arial"/>
          <w:sz w:val="22"/>
          <w:szCs w:val="22"/>
          <w:color w:val="auto"/>
        </w:rPr>
      </w:pPr>
    </w:p>
    <w:p>
      <w:pPr>
        <w:jc w:val="both"/>
        <w:ind w:left="660" w:firstLine="1293"/>
        <w:spacing w:after="0" w:line="263" w:lineRule="auto"/>
        <w:tabs>
          <w:tab w:leader="none" w:pos="2425" w:val="left"/>
        </w:tabs>
        <w:numPr>
          <w:ilvl w:val="1"/>
          <w:numId w:val="157"/>
        </w:numPr>
        <w:rPr>
          <w:rFonts w:ascii="Arial" w:cs="Arial" w:eastAsia="Arial" w:hAnsi="Arial"/>
          <w:sz w:val="21"/>
          <w:szCs w:val="21"/>
          <w:color w:val="auto"/>
        </w:rPr>
      </w:pPr>
      <w:r>
        <w:rPr>
          <w:rFonts w:ascii="Arial" w:cs="Arial" w:eastAsia="Arial" w:hAnsi="Arial"/>
          <w:sz w:val="21"/>
          <w:szCs w:val="21"/>
          <w:color w:val="auto"/>
        </w:rPr>
        <w:t xml:space="preserve">any Designated Non-Cash Consideration received by the Company or any Restricted Subsidiary in such Asset Dispositions having an aggregate fair market value, taken together with all other Designated Non-Cash Consideration received pursuant to this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that is at that time outstanding, not to exceed the greater of $300.0 million and 1.75% of Total Assets (with the fair market value of each item of Designated Non-Cash Consideration being measured at the time received and without giving effect to subsequent changes in value).</w:t>
      </w:r>
    </w:p>
    <w:p>
      <w:pPr>
        <w:spacing w:after="0" w:line="67" w:lineRule="exact"/>
        <w:rPr>
          <w:rFonts w:ascii="Arial" w:cs="Arial" w:eastAsia="Arial" w:hAnsi="Arial"/>
          <w:sz w:val="21"/>
          <w:szCs w:val="21"/>
          <w:color w:val="auto"/>
        </w:rPr>
      </w:pPr>
    </w:p>
    <w:p>
      <w:pPr>
        <w:ind w:right="120" w:firstLine="1305"/>
        <w:spacing w:after="0" w:line="263" w:lineRule="auto"/>
        <w:tabs>
          <w:tab w:leader="none" w:pos="176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Company shall comply, to the extent applicable, with the requirements of Rule 14e-1 under the Exchange Act and any other securities laws, rules and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00"/>
          </w:cols>
          <w:pgMar w:left="240" w:top="847" w:right="259" w:bottom="1440" w:gutter="0" w:footer="0" w:header="0"/>
        </w:sectPr>
      </w:pPr>
    </w:p>
    <w:bookmarkStart w:id="141" w:name="page142"/>
    <w:bookmarkEnd w:id="141"/>
    <w:p>
      <w:pPr>
        <w:jc w:val="both"/>
        <w:ind w:right="140"/>
        <w:spacing w:after="0" w:line="250" w:lineRule="auto"/>
        <w:rPr>
          <w:sz w:val="20"/>
          <w:szCs w:val="20"/>
          <w:color w:val="auto"/>
        </w:rPr>
      </w:pPr>
      <w:r>
        <w:rPr>
          <w:rFonts w:ascii="Arial" w:cs="Arial" w:eastAsia="Arial" w:hAnsi="Arial"/>
          <w:sz w:val="22"/>
          <w:szCs w:val="22"/>
          <w:color w:val="auto"/>
        </w:rPr>
        <w:t>regulations thereunder to the extent such laws or regulations are applicable in connection with the repurchase of Notes pursuant to this covenant. To the extent that the provisions of any securities laws or regulations conflict with the provisions of this Indenture, the Company shall comply with the applicable securities laws, rules and regulations and shall not be deemed to have breached its obligations described in this Indenture by virtue thereof.</w:t>
      </w:r>
    </w:p>
    <w:p>
      <w:pPr>
        <w:spacing w:after="0" w:line="80"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The provisions of this Indenture relative to the Company’s obligation to make an offer to repurchase the Notes as a result of an Asset Disposition may be waived or modified with the written consent of the Holders of a majority in principal amount of the then outstanding Notes.</w:t>
      </w:r>
    </w:p>
    <w:p>
      <w:pPr>
        <w:spacing w:after="0" w:line="7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Limitation on Liens</w:t>
      </w:r>
      <w:r>
        <w:rPr>
          <w:rFonts w:ascii="Arial" w:cs="Arial" w:eastAsia="Arial" w:hAnsi="Arial"/>
          <w:sz w:val="19"/>
          <w:szCs w:val="19"/>
          <w:color w:val="auto"/>
        </w:rPr>
        <w:t>. The Company shall not, and shall not permit any Subsidiary Guarantor to, directly or indirectly, create, Incur or permit to exist any Lien (except Permitted Liens) (each, an “</w:t>
      </w:r>
      <w:r>
        <w:rPr>
          <w:rFonts w:ascii="Arial" w:cs="Arial" w:eastAsia="Arial" w:hAnsi="Arial"/>
          <w:sz w:val="19"/>
          <w:szCs w:val="19"/>
          <w:u w:val="single" w:color="auto"/>
          <w:color w:val="auto"/>
        </w:rPr>
        <w:t>Initial Lien</w:t>
      </w:r>
      <w:r>
        <w:rPr>
          <w:rFonts w:ascii="Arial" w:cs="Arial" w:eastAsia="Arial" w:hAnsi="Arial"/>
          <w:sz w:val="19"/>
          <w:szCs w:val="19"/>
          <w:color w:val="auto"/>
        </w:rPr>
        <w:t>”) that secures obligations under any Indebtedness or any related guarantee, on any asset or property of the Company or any Subsidiary Guarantor, unless:</w:t>
      </w:r>
    </w:p>
    <w:p>
      <w:pPr>
        <w:spacing w:after="0" w:line="26" w:lineRule="exact"/>
        <w:rPr>
          <w:sz w:val="20"/>
          <w:szCs w:val="20"/>
          <w:color w:val="auto"/>
        </w:rPr>
      </w:pPr>
    </w:p>
    <w:p>
      <w:pPr>
        <w:ind w:left="660" w:right="120" w:firstLine="1293"/>
        <w:spacing w:after="0" w:line="287" w:lineRule="auto"/>
        <w:tabs>
          <w:tab w:leader="none" w:pos="2425"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in the case of Liens securing Subordinated Indebtedness, the Notes and related Guarantees are secured by a Lien on such property, assets or proceeds that is senior in priority to such Liens; or</w:t>
      </w:r>
    </w:p>
    <w:p>
      <w:pPr>
        <w:spacing w:after="0" w:line="43" w:lineRule="exact"/>
        <w:rPr>
          <w:rFonts w:ascii="Arial" w:cs="Arial" w:eastAsia="Arial" w:hAnsi="Arial"/>
          <w:sz w:val="21"/>
          <w:szCs w:val="21"/>
          <w:color w:val="auto"/>
        </w:rPr>
      </w:pPr>
    </w:p>
    <w:p>
      <w:pPr>
        <w:ind w:left="2420" w:hanging="467"/>
        <w:spacing w:after="0"/>
        <w:tabs>
          <w:tab w:leader="none" w:pos="24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 all other cases, the Notes or the Subsidiary Guarantees are equally and ratably secured.</w:t>
      </w:r>
    </w:p>
    <w:p>
      <w:pPr>
        <w:spacing w:after="0" w:line="112"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Any Lien created for the benefit of the Holders of the Notes pursuant to the preceding sentence shall provide by its terms that such Lien shall be automatically and unconditionally released and discharged upon (i) the release and discharge of the Initial Lien or (ii) any sale, exchange or transfer (other than a transfer constituting a transfer of all or substantially all of the assets of the Company that is governed by the covenant described under “Merger and Consolidation”) to any Person other than the Company or a Subsidiary Guarantor of the property or assets secured by such Initial Lien, or of all of the Capital Stock held by the Company or any Subsidiary Guarantor in, or all or substantially all the assets of, any Subsidiary Guarantor creating such Initial Lien.</w:t>
      </w:r>
    </w:p>
    <w:p>
      <w:pPr>
        <w:spacing w:after="0" w:line="42"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2"/>
          <w:szCs w:val="22"/>
          <w:u w:val="single" w:color="auto"/>
          <w:color w:val="auto"/>
        </w:rPr>
        <w:t>Increased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Limitation on Subsidiary Guarantees</w:t>
      </w:r>
      <w:r>
        <w:rPr>
          <w:rFonts w:ascii="Arial" w:cs="Arial" w:eastAsia="Arial" w:hAnsi="Arial"/>
          <w:sz w:val="19"/>
          <w:szCs w:val="19"/>
          <w:color w:val="auto"/>
        </w:rPr>
        <w:t>.</w:t>
      </w:r>
    </w:p>
    <w:p>
      <w:pPr>
        <w:spacing w:after="0" w:line="112" w:lineRule="exact"/>
        <w:rPr>
          <w:sz w:val="20"/>
          <w:szCs w:val="20"/>
          <w:color w:val="auto"/>
        </w:rPr>
      </w:pPr>
    </w:p>
    <w:p>
      <w:pPr>
        <w:jc w:val="both"/>
        <w:ind w:right="40" w:firstLine="1305"/>
        <w:spacing w:after="0" w:line="312" w:lineRule="auto"/>
        <w:tabs>
          <w:tab w:leader="none" w:pos="1749"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Company shall not permit any of its Wholly Owned Domestic Subsidiaries that are Restricted Subsidiaries (and non-Wholly Owned Domestic Subsidiaries if such non-Wholly Owned Domestic Subsidiaries guarantee, or are a co-issuer of, other capital markets debt securities of the Company or any Restricted Subsidiary or guarantee all or a portion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00"/>
          </w:cols>
          <w:pgMar w:left="240" w:top="847" w:right="259" w:bottom="1440" w:gutter="0" w:footer="0" w:header="0"/>
        </w:sectPr>
      </w:pPr>
    </w:p>
    <w:bookmarkStart w:id="142" w:name="page143"/>
    <w:bookmarkEnd w:id="142"/>
    <w:p>
      <w:pPr>
        <w:ind w:right="120"/>
        <w:spacing w:after="0" w:line="341" w:lineRule="auto"/>
        <w:rPr>
          <w:sz w:val="20"/>
          <w:szCs w:val="20"/>
          <w:color w:val="auto"/>
        </w:rPr>
      </w:pPr>
      <w:r>
        <w:rPr>
          <w:rFonts w:ascii="Arial" w:cs="Arial" w:eastAsia="Arial" w:hAnsi="Arial"/>
          <w:sz w:val="19"/>
          <w:szCs w:val="19"/>
          <w:color w:val="auto"/>
        </w:rPr>
        <w:t>of, or are a co-borrower under, the Credit Agreement), other than a Subsidiary Guarantor, to Guarantee the payment of, assume, or in any other manner become liable with respect to any Indebtedness under the Credit Agreement, in each case, unless:</w:t>
      </w:r>
    </w:p>
    <w:p>
      <w:pPr>
        <w:ind w:left="660" w:right="640" w:firstLine="1293"/>
        <w:spacing w:after="0" w:line="263" w:lineRule="auto"/>
        <w:tabs>
          <w:tab w:leader="none" w:pos="242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such Restricted Subsidiary within 60 days executes and delivers a supplemental indenture to this Indenture providing for a senior Guarantee by such Restricted Subsidiary; and</w:t>
      </w:r>
    </w:p>
    <w:p>
      <w:pPr>
        <w:spacing w:after="0" w:line="66" w:lineRule="exact"/>
        <w:rPr>
          <w:rFonts w:ascii="Arial" w:cs="Arial" w:eastAsia="Arial" w:hAnsi="Arial"/>
          <w:sz w:val="22"/>
          <w:szCs w:val="22"/>
          <w:color w:val="auto"/>
        </w:rPr>
      </w:pPr>
    </w:p>
    <w:p>
      <w:pPr>
        <w:jc w:val="both"/>
        <w:ind w:left="660" w:right="160" w:firstLine="1293"/>
        <w:spacing w:after="0" w:line="250" w:lineRule="auto"/>
        <w:tabs>
          <w:tab w:leader="none" w:pos="242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such Restricted Subsidiary waives and will not in any manner whatsoever claim or take the benefit or advantage of, any rights of reimbursement, indemnity or subrogation or any other rights against the Company or any other Restricted Subsidiary as a result of any payment by such Restricted Subsidiary under its Subsidiary Guarantee until payment in full of Obligations under this Indenture;</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this</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3.7</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be applicable (i) to any guarantee of any Restricted Subsidiary that existed at the time such</w:t>
      </w:r>
      <w:r>
        <w:rPr>
          <w:rFonts w:ascii="Arial" w:cs="Arial" w:eastAsia="Arial" w:hAnsi="Arial"/>
          <w:sz w:val="22"/>
          <w:szCs w:val="22"/>
          <w:i w:val="1"/>
          <w:iCs w:val="1"/>
          <w:color w:val="auto"/>
        </w:rPr>
        <w:t xml:space="preserve"> </w:t>
      </w:r>
      <w:r>
        <w:rPr>
          <w:rFonts w:ascii="Arial" w:cs="Arial" w:eastAsia="Arial" w:hAnsi="Arial"/>
          <w:sz w:val="22"/>
          <w:szCs w:val="22"/>
          <w:color w:val="auto"/>
        </w:rPr>
        <w:t>Person became a Restricted Subsidiary and was not incurred in connection with, or in contemplation of, such Person becoming a Restricted Subsidiary, or (ii) in the event that the Guarantee of the Company’s obligations under the Notes or this Indenture by such Subsidiary would not be permitted under applicable law.</w:t>
      </w:r>
    </w:p>
    <w:p>
      <w:pPr>
        <w:spacing w:after="0" w:line="80" w:lineRule="exact"/>
        <w:rPr>
          <w:sz w:val="20"/>
          <w:szCs w:val="20"/>
          <w:color w:val="auto"/>
        </w:rPr>
      </w:pPr>
    </w:p>
    <w:p>
      <w:pPr>
        <w:jc w:val="both"/>
        <w:ind w:right="260" w:firstLine="1305"/>
        <w:spacing w:after="0" w:line="253" w:lineRule="auto"/>
        <w:tabs>
          <w:tab w:leader="none" w:pos="176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The Company may elect, in its sole discretion, to cause any Subsidiary that is not otherwise required to be a Subsidiary Guarantor to become a Subsidiary Guarantor, in which case, such Subsidiary shall not be required to comply with the 60-day period described in </w:t>
      </w:r>
      <w:r>
        <w:rPr>
          <w:rFonts w:ascii="Arial" w:cs="Arial" w:eastAsia="Arial" w:hAnsi="Arial"/>
          <w:sz w:val="22"/>
          <w:szCs w:val="22"/>
          <w:u w:val="single" w:color="auto"/>
          <w:color w:val="auto"/>
        </w:rPr>
        <w:t>Section 3.7(a)</w:t>
      </w:r>
      <w:r>
        <w:rPr>
          <w:rFonts w:ascii="Arial" w:cs="Arial" w:eastAsia="Arial" w:hAnsi="Arial"/>
          <w:sz w:val="22"/>
          <w:szCs w:val="22"/>
          <w:color w:val="auto"/>
        </w:rPr>
        <w:t>.</w:t>
      </w:r>
    </w:p>
    <w:p>
      <w:pPr>
        <w:spacing w:after="0" w:line="77" w:lineRule="exact"/>
        <w:rPr>
          <w:rFonts w:ascii="Arial" w:cs="Arial" w:eastAsia="Arial" w:hAnsi="Arial"/>
          <w:sz w:val="22"/>
          <w:szCs w:val="22"/>
          <w:color w:val="auto"/>
        </w:rPr>
      </w:pPr>
    </w:p>
    <w:p>
      <w:pPr>
        <w:ind w:firstLine="1305"/>
        <w:spacing w:after="0" w:line="246" w:lineRule="auto"/>
        <w:tabs>
          <w:tab w:leader="none" w:pos="1752"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If any Subsidiary Guarantor becomes an Immaterial Subsidiary, the Company shall have the right, by execution and delivery of a supplemental indenture to the Trustee, to cause such Immaterial Subsidiary to cease to be a Subsidiary Guarantor, subject to the requirement described in the first paragraph above that such Subsidiary shall be required to become a Subsidiary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such Immaterial Subsidiary shall not be permitted to Subsidiary Guarantee the Credit Agreement, unless it again becomes a Subsidiary Guarantor.</w:t>
      </w:r>
    </w:p>
    <w:p>
      <w:pPr>
        <w:spacing w:after="0" w:line="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112" w:lineRule="exact"/>
        <w:rPr>
          <w:sz w:val="20"/>
          <w:szCs w:val="20"/>
          <w:color w:val="auto"/>
        </w:rPr>
      </w:pPr>
    </w:p>
    <w:p>
      <w:pPr>
        <w:ind w:right="40" w:firstLine="1305"/>
        <w:spacing w:after="0" w:line="259" w:lineRule="auto"/>
        <w:tabs>
          <w:tab w:leader="none" w:pos="175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If a Change of Control Repurchase Event occurs, unless the Company has previously or concurrently delivered a redemption notice with respect to all the outstanding Notes as described in </w:t>
      </w:r>
      <w:r>
        <w:rPr>
          <w:rFonts w:ascii="Arial" w:cs="Arial" w:eastAsia="Arial" w:hAnsi="Arial"/>
          <w:sz w:val="21"/>
          <w:szCs w:val="21"/>
          <w:u w:val="single" w:color="auto"/>
          <w:color w:val="auto"/>
        </w:rPr>
        <w:t>Section 5.7</w:t>
      </w:r>
      <w:r>
        <w:rPr>
          <w:rFonts w:ascii="Arial" w:cs="Arial" w:eastAsia="Arial" w:hAnsi="Arial"/>
          <w:sz w:val="21"/>
          <w:szCs w:val="21"/>
          <w:color w:val="auto"/>
        </w:rPr>
        <w:t>, the Company shall make an offer to purchase all of the Notes pursuant to the offer described below (a “</w:t>
      </w:r>
      <w:r>
        <w:rPr>
          <w:rFonts w:ascii="Arial" w:cs="Arial" w:eastAsia="Arial" w:hAnsi="Arial"/>
          <w:sz w:val="21"/>
          <w:szCs w:val="21"/>
          <w:u w:val="single" w:color="auto"/>
          <w:color w:val="auto"/>
        </w:rPr>
        <w:t>Change of Control Offer</w:t>
      </w:r>
      <w:r>
        <w:rPr>
          <w:rFonts w:ascii="Arial" w:cs="Arial" w:eastAsia="Arial" w:hAnsi="Arial"/>
          <w:sz w:val="21"/>
          <w:szCs w:val="21"/>
          <w:color w:val="auto"/>
        </w:rPr>
        <w:t>”) at a price in cash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(the “</w:t>
      </w:r>
      <w:r>
        <w:rPr>
          <w:rFonts w:ascii="Arial" w:cs="Arial" w:eastAsia="Arial" w:hAnsi="Arial"/>
          <w:sz w:val="21"/>
          <w:szCs w:val="21"/>
          <w:u w:val="single" w:color="auto"/>
          <w:color w:val="auto"/>
        </w:rPr>
        <w:t>Change of Control Payment</w:t>
      </w:r>
      <w:r>
        <w:rPr>
          <w:rFonts w:ascii="Arial" w:cs="Arial" w:eastAsia="Arial" w:hAnsi="Arial"/>
          <w:sz w:val="21"/>
          <w:szCs w:val="21"/>
          <w:color w:val="auto"/>
        </w:rPr>
        <w:t>”). Within 30 days following any Change of Control Repurchase Event, the Company will deliver notice of such Change of Control Offer electronically or by first-class mail, with a copy to the Trustee, to each Holder of Notes at the address of such Holder appearing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00"/>
          </w:cols>
          <w:pgMar w:left="240" w:top="847" w:right="259" w:bottom="1440" w:gutter="0" w:footer="0" w:header="0"/>
        </w:sectPr>
      </w:pPr>
    </w:p>
    <w:bookmarkStart w:id="143" w:name="page144"/>
    <w:bookmarkEnd w:id="143"/>
    <w:p>
      <w:pPr>
        <w:ind w:right="60"/>
        <w:spacing w:after="0" w:line="261" w:lineRule="auto"/>
        <w:rPr>
          <w:sz w:val="20"/>
          <w:szCs w:val="20"/>
          <w:color w:val="auto"/>
        </w:rPr>
      </w:pPr>
      <w:r>
        <w:rPr>
          <w:rFonts w:ascii="Arial" w:cs="Arial" w:eastAsia="Arial" w:hAnsi="Arial"/>
          <w:sz w:val="21"/>
          <w:szCs w:val="21"/>
          <w:color w:val="auto"/>
        </w:rPr>
        <w:t>in the Notes Register or otherwise in accordance with the procedures of DTC, with the following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will comply, to the extent applicable, with the requirements of Rule 14e-1 under the Exchange Act and any other securities laws, rules and regulations thereunder to the extent such laws, rules or regulations are applicable in connection with the repurchase of Notes pursuant to a Change of Control Offer, and to the extent that the provisions of any securities laws, rules or regulations conflict with the provisions of this </w:t>
      </w: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the Company shall comply with such laws and regulations and shall not be deemed to have breached its obligations under this </w:t>
      </w:r>
      <w:r>
        <w:rPr>
          <w:rFonts w:ascii="Arial" w:cs="Arial" w:eastAsia="Arial" w:hAnsi="Arial"/>
          <w:sz w:val="21"/>
          <w:szCs w:val="21"/>
          <w:u w:val="single" w:color="auto"/>
          <w:color w:val="auto"/>
        </w:rPr>
        <w:t>Section 3.9</w:t>
      </w:r>
      <w:r>
        <w:rPr>
          <w:rFonts w:ascii="Arial" w:cs="Arial" w:eastAsia="Arial" w:hAnsi="Arial"/>
          <w:sz w:val="21"/>
          <w:szCs w:val="21"/>
          <w:color w:val="auto"/>
        </w:rPr>
        <w:t>):</w:t>
      </w:r>
    </w:p>
    <w:p>
      <w:pPr>
        <w:spacing w:after="0" w:line="72" w:lineRule="exact"/>
        <w:rPr>
          <w:sz w:val="20"/>
          <w:szCs w:val="20"/>
          <w:color w:val="auto"/>
        </w:rPr>
      </w:pPr>
    </w:p>
    <w:p>
      <w:pPr>
        <w:ind w:left="660" w:right="220" w:firstLine="1293"/>
        <w:spacing w:after="0" w:line="253" w:lineRule="auto"/>
        <w:tabs>
          <w:tab w:leader="none" w:pos="242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that a Change of Control Offer is being made pursuant to this </w:t>
      </w:r>
      <w:r>
        <w:rPr>
          <w:rFonts w:ascii="Arial" w:cs="Arial" w:eastAsia="Arial" w:hAnsi="Arial"/>
          <w:sz w:val="22"/>
          <w:szCs w:val="22"/>
          <w:u w:val="single" w:color="auto"/>
          <w:color w:val="auto"/>
        </w:rPr>
        <w:t>Section 3.9</w:t>
      </w:r>
      <w:r>
        <w:rPr>
          <w:rFonts w:ascii="Arial" w:cs="Arial" w:eastAsia="Arial" w:hAnsi="Arial"/>
          <w:sz w:val="22"/>
          <w:szCs w:val="22"/>
          <w:color w:val="auto"/>
        </w:rPr>
        <w:t>, and that all Notes properly tendered and not validly withdrawn pursuant to such Change of Control Offer will be accepted for payment by the Company;</w:t>
      </w:r>
    </w:p>
    <w:p>
      <w:pPr>
        <w:spacing w:after="0" w:line="77" w:lineRule="exact"/>
        <w:rPr>
          <w:rFonts w:ascii="Arial" w:cs="Arial" w:eastAsia="Arial" w:hAnsi="Arial"/>
          <w:sz w:val="22"/>
          <w:szCs w:val="22"/>
          <w:color w:val="auto"/>
        </w:rPr>
      </w:pPr>
    </w:p>
    <w:p>
      <w:pPr>
        <w:ind w:left="660" w:right="240" w:firstLine="1293"/>
        <w:spacing w:after="0" w:line="263" w:lineRule="auto"/>
        <w:tabs>
          <w:tab w:leader="none" w:pos="242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purchase price and the purchase date, which will be no earlier than 30 days nor later than 60 days from the date such notice is delivered (the “</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that any Note not properly tendered or validly withdrawn will remain outstanding and continue to</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accrue interest;</w:t>
      </w:r>
    </w:p>
    <w:p>
      <w:pPr>
        <w:spacing w:after="0" w:line="93" w:lineRule="exact"/>
        <w:rPr>
          <w:rFonts w:ascii="Arial" w:cs="Arial" w:eastAsia="Arial" w:hAnsi="Arial"/>
          <w:sz w:val="21"/>
          <w:szCs w:val="21"/>
          <w:color w:val="auto"/>
        </w:rPr>
      </w:pPr>
    </w:p>
    <w:p>
      <w:pPr>
        <w:jc w:val="both"/>
        <w:ind w:left="660" w:right="40" w:firstLine="1293"/>
        <w:spacing w:after="0" w:line="341" w:lineRule="auto"/>
        <w:tabs>
          <w:tab w:leader="none" w:pos="242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that unless the Company defaults in the payment of the Change of Control Payment, all Notes accepted for payment pursuant to the Change of Control Offer will cease to accrue interest, on the Change of Control Payment Date;</w:t>
      </w:r>
    </w:p>
    <w:p>
      <w:pPr>
        <w:ind w:left="660" w:right="40" w:firstLine="1293"/>
        <w:spacing w:after="0" w:line="265" w:lineRule="auto"/>
        <w:tabs>
          <w:tab w:leader="none" w:pos="2425"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67" w:lineRule="exact"/>
        <w:rPr>
          <w:rFonts w:ascii="Arial" w:cs="Arial" w:eastAsia="Arial" w:hAnsi="Arial"/>
          <w:sz w:val="21"/>
          <w:szCs w:val="21"/>
          <w:color w:val="auto"/>
        </w:rPr>
      </w:pPr>
    </w:p>
    <w:p>
      <w:pPr>
        <w:ind w:left="660" w:firstLine="1293"/>
        <w:spacing w:after="0" w:line="263" w:lineRule="auto"/>
        <w:tabs>
          <w:tab w:leader="none" w:pos="2425"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that Holders will be entitled to withdraw their tendered Notes and their election to require the Company to purchase such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Paying Agent receives, not later than the close of business on the second Business Day prior to the expiration date of the Change of Control Offer,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67" w:lineRule="exact"/>
        <w:rPr>
          <w:rFonts w:ascii="Arial" w:cs="Arial" w:eastAsia="Arial" w:hAnsi="Arial"/>
          <w:sz w:val="21"/>
          <w:szCs w:val="21"/>
          <w:color w:val="auto"/>
        </w:rPr>
      </w:pPr>
    </w:p>
    <w:p>
      <w:pPr>
        <w:ind w:left="660" w:right="260" w:firstLine="1293"/>
        <w:spacing w:after="0" w:line="312" w:lineRule="auto"/>
        <w:tabs>
          <w:tab w:leader="none" w:pos="242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of $2,000;</w:t>
      </w:r>
    </w:p>
    <w:p>
      <w:pPr>
        <w:spacing w:after="0" w:line="25" w:lineRule="exact"/>
        <w:rPr>
          <w:rFonts w:ascii="Arial" w:cs="Arial" w:eastAsia="Arial" w:hAnsi="Arial"/>
          <w:sz w:val="19"/>
          <w:szCs w:val="19"/>
          <w:color w:val="auto"/>
        </w:rPr>
      </w:pPr>
    </w:p>
    <w:p>
      <w:pPr>
        <w:ind w:left="660" w:right="340" w:firstLine="1293"/>
        <w:spacing w:after="0" w:line="263" w:lineRule="auto"/>
        <w:tabs>
          <w:tab w:leader="none" w:pos="242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such notice is delivered prior to the occurrence of a Change of Control, stating that the Change of Control Offer is conditional on the occurrence of such Change of Control;</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describing the transaction or transactions that constitute the Change of Control Repurchase Event; 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380"/>
          </w:cols>
          <w:pgMar w:left="240" w:top="847" w:right="279" w:bottom="1440" w:gutter="0" w:footer="0" w:header="0"/>
        </w:sectPr>
      </w:pPr>
    </w:p>
    <w:bookmarkStart w:id="144" w:name="page145"/>
    <w:bookmarkEnd w:id="144"/>
    <w:p>
      <w:pPr>
        <w:ind w:left="1960"/>
        <w:spacing w:after="0"/>
        <w:tabs>
          <w:tab w:leader="none" w:pos="250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9"/>
          <w:szCs w:val="19"/>
          <w:color w:val="auto"/>
        </w:rPr>
        <w:t xml:space="preserve">the other instructions, as determined by the Company, consistent with this </w:t>
      </w:r>
      <w:r>
        <w:rPr>
          <w:rFonts w:ascii="Arial" w:cs="Arial" w:eastAsia="Arial" w:hAnsi="Arial"/>
          <w:sz w:val="19"/>
          <w:szCs w:val="19"/>
          <w:u w:val="single" w:color="auto"/>
          <w:color w:val="auto"/>
        </w:rPr>
        <w:t>Section 3.9</w:t>
      </w:r>
      <w:r>
        <w:rPr>
          <w:rFonts w:ascii="Arial" w:cs="Arial" w:eastAsia="Arial" w:hAnsi="Arial"/>
          <w:sz w:val="19"/>
          <w:szCs w:val="19"/>
          <w:color w:val="auto"/>
        </w:rPr>
        <w:t>, that a Holder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must follow.</w:t>
      </w:r>
    </w:p>
    <w:p>
      <w:pPr>
        <w:spacing w:after="0" w:line="9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 xml:space="preserve">The Paying Agent will promptly mail to each Holder so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new Note will be in a minimum principal amount of $2,000 or an integral multiple of $1,000 in excess thereof. The Company will publicly announce the results of the Change of Control Offer on or as soon as practicable after the Change of Control Payment Date.</w:t>
      </w:r>
    </w:p>
    <w:p>
      <w:pPr>
        <w:spacing w:after="0" w:line="39"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If the Change of Control Payment Date is on or after an interest record date and on or before the related interest payment date, any accrued and unpaid interest and Additional Interest, if any, will be paid on the relevant interest payment date to the Person in whose name a Note is registered at the close of business on such record date.</w:t>
      </w:r>
    </w:p>
    <w:p>
      <w:pPr>
        <w:spacing w:after="0" w:line="60" w:lineRule="exact"/>
        <w:rPr>
          <w:sz w:val="20"/>
          <w:szCs w:val="20"/>
          <w:color w:val="auto"/>
        </w:rPr>
      </w:pPr>
    </w:p>
    <w:p>
      <w:pPr>
        <w:ind w:left="1780" w:hanging="475"/>
        <w:spacing w:after="0"/>
        <w:tabs>
          <w:tab w:leader="none" w:pos="17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On the Change of Control Payment Date, the Company will, to the extent permitted by law:</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accept for payment all Notes issued by it or portions thereof properly tendered pursuant to the Change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Control Offer;</w:t>
      </w:r>
    </w:p>
    <w:p>
      <w:pPr>
        <w:spacing w:after="0" w:line="93" w:lineRule="exact"/>
        <w:rPr>
          <w:rFonts w:ascii="Arial" w:cs="Arial" w:eastAsia="Arial" w:hAnsi="Arial"/>
          <w:sz w:val="19"/>
          <w:szCs w:val="19"/>
          <w:color w:val="auto"/>
        </w:rPr>
      </w:pPr>
    </w:p>
    <w:p>
      <w:pPr>
        <w:ind w:left="660" w:right="100" w:firstLine="1293"/>
        <w:spacing w:after="0" w:line="263" w:lineRule="auto"/>
        <w:tabs>
          <w:tab w:leader="none" w:pos="242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aggregate Change of Control Payment in respect of all Notes or portions thereof so tendered; and</w:t>
      </w:r>
    </w:p>
    <w:p>
      <w:pPr>
        <w:spacing w:after="0" w:line="66" w:lineRule="exact"/>
        <w:rPr>
          <w:rFonts w:ascii="Arial" w:cs="Arial" w:eastAsia="Arial" w:hAnsi="Arial"/>
          <w:sz w:val="22"/>
          <w:szCs w:val="22"/>
          <w:color w:val="auto"/>
        </w:rPr>
      </w:pPr>
    </w:p>
    <w:p>
      <w:pPr>
        <w:ind w:left="660" w:right="20" w:firstLine="1293"/>
        <w:spacing w:after="0" w:line="253" w:lineRule="auto"/>
        <w:tabs>
          <w:tab w:leader="none" w:pos="242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deliver, or cause to be delivered, to the Registrar for cancellation the Notes so accepted together with an Officer’s Certificate to the Trustee stating that such Notes or portions thereof have been tendered to and purchased by the Company.</w:t>
      </w:r>
    </w:p>
    <w:p>
      <w:pPr>
        <w:spacing w:after="0" w:line="77" w:lineRule="exact"/>
        <w:rPr>
          <w:rFonts w:ascii="Arial" w:cs="Arial" w:eastAsia="Arial" w:hAnsi="Arial"/>
          <w:sz w:val="22"/>
          <w:szCs w:val="22"/>
          <w:color w:val="auto"/>
        </w:rPr>
      </w:pPr>
    </w:p>
    <w:p>
      <w:pPr>
        <w:ind w:right="240" w:firstLine="1305"/>
        <w:spacing w:after="0" w:line="289" w:lineRule="auto"/>
        <w:tabs>
          <w:tab w:leader="none" w:pos="1749"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The Company will not be required to make a Change of Control Offer following a Change of Control Repurchase Event if (1)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 or (2) a notice of redemption of all outstanding Notes has been given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unless and until there is a default in the payment of the redemption price on the applicable redemption date or the redemption is not consummated due to the failure of a condition precedent contained in the applicable redemption notice to be satisfied.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49" w:lineRule="exact"/>
        <w:rPr>
          <w:rFonts w:ascii="Arial" w:cs="Arial" w:eastAsia="Arial" w:hAnsi="Arial"/>
          <w:sz w:val="19"/>
          <w:szCs w:val="19"/>
          <w:color w:val="auto"/>
        </w:rPr>
      </w:pPr>
    </w:p>
    <w:p>
      <w:pPr>
        <w:ind w:firstLine="1305"/>
        <w:spacing w:after="0" w:line="247" w:lineRule="auto"/>
        <w:tabs>
          <w:tab w:leader="none" w:pos="176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 xml:space="preserve">In the event that Holders of not less than 90% of the aggregate principal amount of the outstanding Notes accept a Change of Control Offer and the Company purchases all of the Notes held by such Holders, the Company will have the right, upon not less than 30 nor more than 60 days’ prior notice, given not more than 30 days following the purchase pursuant to the Change of Control Offer described in this </w:t>
      </w:r>
      <w:r>
        <w:rPr>
          <w:rFonts w:ascii="Arial" w:cs="Arial" w:eastAsia="Arial" w:hAnsi="Arial"/>
          <w:sz w:val="22"/>
          <w:szCs w:val="22"/>
          <w:u w:val="single" w:color="auto"/>
          <w:color w:val="auto"/>
        </w:rPr>
        <w:t>Section 3.9</w:t>
      </w:r>
      <w:r>
        <w:rPr>
          <w:rFonts w:ascii="Arial" w:cs="Arial" w:eastAsia="Arial" w:hAnsi="Arial"/>
          <w:sz w:val="22"/>
          <w:szCs w:val="22"/>
          <w:color w:val="auto"/>
        </w:rPr>
        <w:t>, to redeem all of the Notes that remain outstanding following such purchase at a redemption price equal to the Change of Control Payment plus, to the extent not included in the Change of Control Payment, accrued and unpaid</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847" w:right="239" w:bottom="1440" w:gutter="0" w:footer="0" w:header="0"/>
        </w:sectPr>
      </w:pPr>
    </w:p>
    <w:bookmarkStart w:id="145" w:name="page146"/>
    <w:bookmarkEnd w:id="145"/>
    <w:p>
      <w:pPr>
        <w:ind w:right="120"/>
        <w:spacing w:after="0" w:line="341" w:lineRule="auto"/>
        <w:rPr>
          <w:sz w:val="20"/>
          <w:szCs w:val="20"/>
          <w:color w:val="auto"/>
        </w:rPr>
      </w:pPr>
      <w:r>
        <w:rPr>
          <w:rFonts w:ascii="Arial" w:cs="Arial" w:eastAsia="Arial" w:hAnsi="Arial"/>
          <w:sz w:val="19"/>
          <w:szCs w:val="19"/>
          <w:color w:val="auto"/>
        </w:rPr>
        <w:t>interest on the notes that remain outstanding, to, but not including, the date of redemption (subject to the right of holders of record on the relevant record date to receive interest due on an interest payment date that is on or prior to the redemption date).</w:t>
      </w:r>
    </w:p>
    <w:p>
      <w:pPr>
        <w:ind w:right="160" w:firstLine="1305"/>
        <w:spacing w:after="0" w:line="253" w:lineRule="auto"/>
        <w:tabs>
          <w:tab w:leader="none" w:pos="174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While the Notes are in global form and the Company makes an offer to purchase all of the Notes pursuant to the Change of Control Offer, a Holder may exercise its option to elect for the purchase of the Notes through the facilities of DTC, subject to its rules and regulations.</w:t>
      </w:r>
    </w:p>
    <w:p>
      <w:pPr>
        <w:spacing w:after="0" w:line="7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112" w:lineRule="exact"/>
        <w:rPr>
          <w:sz w:val="20"/>
          <w:szCs w:val="20"/>
          <w:color w:val="auto"/>
        </w:rPr>
      </w:pPr>
    </w:p>
    <w:p>
      <w:pPr>
        <w:ind w:right="140" w:firstLine="1305"/>
        <w:spacing w:after="0" w:line="250" w:lineRule="auto"/>
        <w:tabs>
          <w:tab w:leader="none" w:pos="174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Whether or not the Company is subject to the reporting requirements of Section 13 or 15(d) of the Exchange Act or otherwise required to report on an annual and quarterly basis on forms provided for such annual and quarterly reporting pursuant to rules and regulations promulgated by the SEC, from and after the Issue Date, the Company will furnish to the Trustee, within 15 days after the time periods specified below:</w:t>
      </w:r>
    </w:p>
    <w:p>
      <w:pPr>
        <w:spacing w:after="0" w:line="80" w:lineRule="exact"/>
        <w:rPr>
          <w:rFonts w:ascii="Arial" w:cs="Arial" w:eastAsia="Arial" w:hAnsi="Arial"/>
          <w:sz w:val="22"/>
          <w:szCs w:val="22"/>
          <w:color w:val="auto"/>
        </w:rPr>
      </w:pPr>
    </w:p>
    <w:p>
      <w:pPr>
        <w:ind w:left="660" w:right="240" w:firstLine="1293"/>
        <w:spacing w:after="0" w:line="265" w:lineRule="auto"/>
        <w:tabs>
          <w:tab w:leader="none" w:pos="2425" w:val="left"/>
        </w:tabs>
        <w:numPr>
          <w:ilvl w:val="1"/>
          <w:numId w:val="166"/>
        </w:numPr>
        <w:rPr>
          <w:rFonts w:ascii="Arial" w:cs="Arial" w:eastAsia="Arial" w:hAnsi="Arial"/>
          <w:sz w:val="21"/>
          <w:szCs w:val="21"/>
          <w:color w:val="auto"/>
        </w:rPr>
      </w:pPr>
      <w:r>
        <w:rPr>
          <w:rFonts w:ascii="Arial" w:cs="Arial" w:eastAsia="Arial" w:hAnsi="Arial"/>
          <w:sz w:val="21"/>
          <w:szCs w:val="21"/>
          <w:color w:val="auto"/>
        </w:rPr>
        <w:t>within 90 days after the end of each fiscal year, all financial information that would be required to be 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67" w:lineRule="exact"/>
        <w:rPr>
          <w:rFonts w:ascii="Arial" w:cs="Arial" w:eastAsia="Arial" w:hAnsi="Arial"/>
          <w:sz w:val="21"/>
          <w:szCs w:val="21"/>
          <w:color w:val="auto"/>
        </w:rPr>
      </w:pPr>
    </w:p>
    <w:p>
      <w:pPr>
        <w:jc w:val="both"/>
        <w:ind w:left="660" w:right="400" w:firstLine="1293"/>
        <w:spacing w:after="0" w:line="253" w:lineRule="auto"/>
        <w:tabs>
          <w:tab w:leader="none" w:pos="2425"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within 45 days after the end of each of the first three fiscal quarters of each fiscal year, all financial information that would be required to be contained in a quarterly report on Form 10-Q, or any successor or comparable form, filed with the SEC; and</w:t>
      </w:r>
    </w:p>
    <w:p>
      <w:pPr>
        <w:spacing w:after="0" w:line="77" w:lineRule="exact"/>
        <w:rPr>
          <w:rFonts w:ascii="Arial" w:cs="Arial" w:eastAsia="Arial" w:hAnsi="Arial"/>
          <w:sz w:val="22"/>
          <w:szCs w:val="22"/>
          <w:color w:val="auto"/>
        </w:rPr>
      </w:pPr>
    </w:p>
    <w:p>
      <w:pPr>
        <w:ind w:left="660" w:firstLine="1293"/>
        <w:spacing w:after="0" w:line="290" w:lineRule="auto"/>
        <w:tabs>
          <w:tab w:leader="none" w:pos="242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promptly after the occurrence of any of the following events, all current reports that would be required to be filed with the SEC on Form 8-K or any successor or comparable form (if the Company had been a reporting company under Section 15(d)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obligate the Company to (i) make available any information otherwise required to be included on a Form 8¬K regarding the occurrence of any such events if the Company determines in its good faith judgment that such event that would otherwise be required to be disclosed is not material to the Holders of the Notes or the business, assets, operations, financial positions or prospects of the Company and its Restricted Subsidiaries taken as a whole or (ii) make available copies of any agreements, financial statements or other items that would be required to be filed as exhibits to a current report on Form 8-K:</w:t>
      </w:r>
    </w:p>
    <w:p>
      <w:pPr>
        <w:spacing w:after="0" w:line="48" w:lineRule="exact"/>
        <w:rPr>
          <w:rFonts w:ascii="Arial" w:cs="Arial" w:eastAsia="Arial" w:hAnsi="Arial"/>
          <w:sz w:val="19"/>
          <w:szCs w:val="19"/>
          <w:color w:val="auto"/>
        </w:rPr>
      </w:pPr>
    </w:p>
    <w:p>
      <w:pPr>
        <w:ind w:left="3120" w:hanging="519"/>
        <w:spacing w:after="0"/>
        <w:tabs>
          <w:tab w:leader="none" w:pos="312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the entry into or termination of material agreements;</w:t>
      </w:r>
    </w:p>
    <w:p>
      <w:pPr>
        <w:spacing w:after="0" w:line="111" w:lineRule="exact"/>
        <w:rPr>
          <w:rFonts w:ascii="Arial" w:cs="Arial" w:eastAsia="Arial" w:hAnsi="Arial"/>
          <w:sz w:val="22"/>
          <w:szCs w:val="22"/>
          <w:color w:val="auto"/>
        </w:rPr>
      </w:pPr>
    </w:p>
    <w:p>
      <w:pPr>
        <w:ind w:left="3100" w:hanging="499"/>
        <w:spacing w:after="0"/>
        <w:tabs>
          <w:tab w:leader="none" w:pos="310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significant acquisitions or dispositions;</w:t>
      </w:r>
    </w:p>
    <w:p>
      <w:pPr>
        <w:spacing w:after="0" w:line="111" w:lineRule="exact"/>
        <w:rPr>
          <w:rFonts w:ascii="Arial" w:cs="Arial" w:eastAsia="Arial" w:hAnsi="Arial"/>
          <w:sz w:val="22"/>
          <w:szCs w:val="22"/>
          <w:color w:val="auto"/>
        </w:rPr>
      </w:pPr>
    </w:p>
    <w:p>
      <w:pPr>
        <w:ind w:left="3100" w:hanging="499"/>
        <w:spacing w:after="0"/>
        <w:tabs>
          <w:tab w:leader="none" w:pos="310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the sale of equity securities;</w:t>
      </w:r>
    </w:p>
    <w:p>
      <w:pPr>
        <w:spacing w:after="0" w:line="111" w:lineRule="exact"/>
        <w:rPr>
          <w:rFonts w:ascii="Arial" w:cs="Arial" w:eastAsia="Arial" w:hAnsi="Arial"/>
          <w:sz w:val="22"/>
          <w:szCs w:val="22"/>
          <w:color w:val="auto"/>
        </w:rPr>
      </w:pPr>
    </w:p>
    <w:p>
      <w:pPr>
        <w:ind w:left="3120" w:hanging="519"/>
        <w:spacing w:after="0"/>
        <w:tabs>
          <w:tab w:leader="none" w:pos="312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bankruptcy;</w:t>
      </w:r>
    </w:p>
    <w:p>
      <w:pPr>
        <w:spacing w:after="0" w:line="111" w:lineRule="exact"/>
        <w:rPr>
          <w:rFonts w:ascii="Arial" w:cs="Arial" w:eastAsia="Arial" w:hAnsi="Arial"/>
          <w:sz w:val="22"/>
          <w:szCs w:val="22"/>
          <w:color w:val="auto"/>
        </w:rPr>
      </w:pPr>
    </w:p>
    <w:p>
      <w:pPr>
        <w:ind w:left="3100" w:hanging="499"/>
        <w:spacing w:after="0"/>
        <w:tabs>
          <w:tab w:leader="none" w:pos="310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the incurrence of a direct material financial obligation;</w:t>
      </w:r>
    </w:p>
    <w:p>
      <w:pPr>
        <w:spacing w:after="0" w:line="111" w:lineRule="exact"/>
        <w:rPr>
          <w:rFonts w:ascii="Arial" w:cs="Arial" w:eastAsia="Arial" w:hAnsi="Arial"/>
          <w:sz w:val="22"/>
          <w:szCs w:val="22"/>
          <w:color w:val="auto"/>
        </w:rPr>
      </w:pPr>
    </w:p>
    <w:p>
      <w:pPr>
        <w:ind w:left="3080" w:hanging="479"/>
        <w:spacing w:after="0"/>
        <w:tabs>
          <w:tab w:leader="none" w:pos="3080" w:val="left"/>
        </w:tabs>
        <w:numPr>
          <w:ilvl w:val="2"/>
          <w:numId w:val="166"/>
        </w:numPr>
        <w:rPr>
          <w:rFonts w:ascii="Arial" w:cs="Arial" w:eastAsia="Arial" w:hAnsi="Arial"/>
          <w:sz w:val="22"/>
          <w:szCs w:val="22"/>
          <w:color w:val="auto"/>
        </w:rPr>
      </w:pPr>
      <w:r>
        <w:rPr>
          <w:rFonts w:ascii="Arial" w:cs="Arial" w:eastAsia="Arial" w:hAnsi="Arial"/>
          <w:sz w:val="22"/>
          <w:szCs w:val="22"/>
          <w:color w:val="auto"/>
        </w:rPr>
        <w:t>cross-default under direct material financial obligations;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380"/>
          </w:cols>
          <w:pgMar w:left="240" w:top="847" w:right="279" w:bottom="1440" w:gutter="0" w:footer="0" w:header="0"/>
        </w:sectPr>
      </w:pPr>
    </w:p>
    <w:bookmarkStart w:id="146" w:name="page147"/>
    <w:bookmarkEnd w:id="146"/>
    <w:p>
      <w:pPr>
        <w:ind w:left="3120" w:hanging="519"/>
        <w:spacing w:after="0"/>
        <w:tabs>
          <w:tab w:leader="none" w:pos="31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change in the Company’s certifying independent auditor;</w:t>
      </w:r>
    </w:p>
    <w:p>
      <w:pPr>
        <w:spacing w:after="0" w:line="111" w:lineRule="exact"/>
        <w:rPr>
          <w:rFonts w:ascii="Arial" w:cs="Arial" w:eastAsia="Arial" w:hAnsi="Arial"/>
          <w:sz w:val="22"/>
          <w:szCs w:val="22"/>
          <w:color w:val="auto"/>
        </w:rPr>
      </w:pPr>
    </w:p>
    <w:p>
      <w:pPr>
        <w:ind w:left="3120" w:hanging="519"/>
        <w:spacing w:after="0"/>
        <w:tabs>
          <w:tab w:leader="none" w:pos="31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appointment or departure of directors or executive officers;</w:t>
      </w:r>
    </w:p>
    <w:p>
      <w:pPr>
        <w:spacing w:after="0" w:line="111" w:lineRule="exact"/>
        <w:rPr>
          <w:rFonts w:ascii="Arial" w:cs="Arial" w:eastAsia="Arial" w:hAnsi="Arial"/>
          <w:sz w:val="22"/>
          <w:szCs w:val="22"/>
          <w:color w:val="auto"/>
        </w:rPr>
      </w:pPr>
    </w:p>
    <w:p>
      <w:pPr>
        <w:ind w:left="3040" w:hanging="439"/>
        <w:spacing w:after="0"/>
        <w:tabs>
          <w:tab w:leader="none" w:pos="3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non-reliance on previously issued financial statements; and</w:t>
      </w:r>
    </w:p>
    <w:p>
      <w:pPr>
        <w:spacing w:after="0" w:line="111" w:lineRule="exact"/>
        <w:rPr>
          <w:rFonts w:ascii="Arial" w:cs="Arial" w:eastAsia="Arial" w:hAnsi="Arial"/>
          <w:sz w:val="22"/>
          <w:szCs w:val="22"/>
          <w:color w:val="auto"/>
        </w:rPr>
      </w:pPr>
    </w:p>
    <w:p>
      <w:pPr>
        <w:ind w:left="3040" w:hanging="439"/>
        <w:spacing w:after="0"/>
        <w:tabs>
          <w:tab w:leader="none" w:pos="30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change of control transactions,</w:t>
      </w:r>
    </w:p>
    <w:p>
      <w:pPr>
        <w:spacing w:after="0" w:line="112"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(i) comply with Regulation G under the Exchange Act or Item 10(e) of Regulation S-K with respect to any “non-GAAP” financial information contained therein, (ii) provide any information that is not otherwise similar to information currently included in the Offering Memorandum or (iii) provide the type of information contemplated by Rule 3-10 of Regulation S-X with respect to separate financial statements for Guarantors or the Co-Issuer or any financial statements for unconsolidated subsidiaries or 50% or less owned persons contemplated by Rule 3-09 of Regulation S-X or any schedules required by Regulation S-X, or in each cash any successor provisions.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cure shall not otherwise affect the rights of the Holders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if Holders of at least 30% in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w:t>
      </w:r>
    </w:p>
    <w:p>
      <w:pPr>
        <w:spacing w:after="0" w:line="16" w:lineRule="exact"/>
        <w:rPr>
          <w:sz w:val="20"/>
          <w:szCs w:val="20"/>
          <w:color w:val="auto"/>
        </w:rPr>
      </w:pPr>
    </w:p>
    <w:p>
      <w:pPr>
        <w:ind w:left="320" w:hanging="312"/>
        <w:spacing w:after="0"/>
        <w:tabs>
          <w:tab w:leader="none" w:pos="3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under the Securities Act.</w:t>
      </w:r>
    </w:p>
    <w:p>
      <w:pPr>
        <w:spacing w:after="0" w:line="93" w:lineRule="exact"/>
        <w:rPr>
          <w:rFonts w:ascii="Arial" w:cs="Arial" w:eastAsia="Arial" w:hAnsi="Arial"/>
          <w:sz w:val="22"/>
          <w:szCs w:val="22"/>
          <w:color w:val="auto"/>
        </w:rPr>
      </w:pPr>
    </w:p>
    <w:p>
      <w:pPr>
        <w:ind w:right="260" w:firstLine="1305"/>
        <w:spacing w:after="0" w:line="248" w:lineRule="auto"/>
        <w:tabs>
          <w:tab w:leader="none" w:pos="176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 xml:space="preserve">Delivery of the information, documents and reports described in </w:t>
      </w:r>
      <w:r>
        <w:rPr>
          <w:rFonts w:ascii="Arial" w:cs="Arial" w:eastAsia="Arial" w:hAnsi="Arial"/>
          <w:sz w:val="22"/>
          <w:szCs w:val="22"/>
          <w:u w:val="single" w:color="auto"/>
          <w:color w:val="auto"/>
        </w:rPr>
        <w:t>Section 3.10(a)</w:t>
      </w:r>
      <w:r>
        <w:rPr>
          <w:rFonts w:ascii="Arial" w:cs="Arial" w:eastAsia="Arial" w:hAnsi="Arial"/>
          <w:sz w:val="22"/>
          <w:szCs w:val="22"/>
          <w:color w:val="auto"/>
        </w:rPr>
        <w:t xml:space="preserve"> to the Trustee is for informational purposes only, and the Trustee’s receipt of the foregoing shall not constitute constructive notice of any information contained therein, or determinable from information contained therein, including compliance by the Company and its Restricted Subsidiaries with any of the covenants hereunder (as to which the Trustee is entitled to conclusively rely on an Officer’s Certificate).</w:t>
      </w:r>
    </w:p>
    <w:p>
      <w:pPr>
        <w:spacing w:after="0" w:line="84" w:lineRule="exact"/>
        <w:rPr>
          <w:sz w:val="20"/>
          <w:szCs w:val="20"/>
          <w:color w:val="auto"/>
        </w:rPr>
      </w:pPr>
    </w:p>
    <w:p>
      <w:pPr>
        <w:jc w:val="both"/>
        <w:ind w:right="400" w:firstLine="648"/>
        <w:spacing w:after="0" w:line="302" w:lineRule="auto"/>
        <w:rPr>
          <w:sz w:val="20"/>
          <w:szCs w:val="20"/>
          <w:color w:val="auto"/>
        </w:rPr>
      </w:pPr>
      <w:r>
        <w:rPr>
          <w:rFonts w:ascii="Arial" w:cs="Arial" w:eastAsia="Arial" w:hAnsi="Arial"/>
          <w:sz w:val="19"/>
          <w:szCs w:val="19"/>
          <w:color w:val="auto"/>
        </w:rPr>
        <w:t xml:space="preserve">Substantially concurrently with the furnishing or making such information available to the Trustee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3.10(a)</w:t>
      </w:r>
      <w:r>
        <w:rPr>
          <w:rFonts w:ascii="Arial" w:cs="Arial" w:eastAsia="Arial" w:hAnsi="Arial"/>
          <w:sz w:val="19"/>
          <w:szCs w:val="19"/>
          <w:color w:val="auto"/>
        </w:rPr>
        <w:t>, the Company shall also post copies of such information required by the immediately preceding paragraph on a website provided that the Trustee shall have no responsibility whatsoever to determine whether such filing has occurred (which may be nonpublic and may be maintained by the Company or a third party) to which access will be given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00"/>
          </w:cols>
          <w:pgMar w:left="240" w:top="847" w:right="259" w:bottom="1440" w:gutter="0" w:footer="0" w:header="0"/>
        </w:sectPr>
      </w:pPr>
    </w:p>
    <w:bookmarkStart w:id="147" w:name="page148"/>
    <w:bookmarkEnd w:id="147"/>
    <w:p>
      <w:pPr>
        <w:ind w:right="120"/>
        <w:spacing w:after="0" w:line="250" w:lineRule="auto"/>
        <w:rPr>
          <w:sz w:val="20"/>
          <w:szCs w:val="20"/>
          <w:color w:val="auto"/>
        </w:rPr>
      </w:pPr>
      <w:r>
        <w:rPr>
          <w:rFonts w:ascii="Arial" w:cs="Arial" w:eastAsia="Arial" w:hAnsi="Arial"/>
          <w:sz w:val="22"/>
          <w:szCs w:val="22"/>
          <w:color w:val="auto"/>
        </w:rPr>
        <w:t>to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market-making financial institutions that are reasonably satisfactory to the Company.</w:t>
      </w:r>
    </w:p>
    <w:p>
      <w:pPr>
        <w:spacing w:after="0" w:line="80" w:lineRule="exact"/>
        <w:rPr>
          <w:sz w:val="20"/>
          <w:szCs w:val="20"/>
          <w:color w:val="auto"/>
        </w:rPr>
      </w:pPr>
    </w:p>
    <w:p>
      <w:pPr>
        <w:ind w:right="60" w:firstLine="1305"/>
        <w:spacing w:after="0" w:line="288" w:lineRule="auto"/>
        <w:tabs>
          <w:tab w:leader="none" w:pos="175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Notwithstanding any other provision of this Indenture, the sole remedy for an Event of Default relating to the failure to comply with the reporting obligations described under this covenant, will for the 365 days after the occurrence of such an Event of Default consist exclusively, to the extent permitted by applicable law, of the right to receive additional interest on the principal amount of the Notes at a rate equal to 0.50% per annum (such interest, “</w:t>
      </w:r>
      <w:r>
        <w:rPr>
          <w:rFonts w:ascii="Arial" w:cs="Arial" w:eastAsia="Arial" w:hAnsi="Arial"/>
          <w:sz w:val="19"/>
          <w:szCs w:val="19"/>
          <w:u w:val="single" w:color="auto"/>
          <w:color w:val="auto"/>
        </w:rPr>
        <w:t>Additional Interest</w:t>
      </w:r>
      <w:r>
        <w:rPr>
          <w:rFonts w:ascii="Arial" w:cs="Arial" w:eastAsia="Arial" w:hAnsi="Arial"/>
          <w:sz w:val="19"/>
          <w:szCs w:val="19"/>
          <w:color w:val="auto"/>
        </w:rPr>
        <w:t xml:space="preserve">”). This Additional Interest will be payable in the same manner and subject to the same terms as other interest payable under this Indenture. This Additional Interest will accrue on all outstanding Notes from and including the date on which an Event of Default relating to a failure to comply with the reporting obligations described above under this covenant first occurs to, but excluding, the 365th day thereafter (or such earlier date on which the Event of Default relating to such reporting obligations is cured or waived). If the Event of Default resulting from such failure to comply with the reporting obligations is continuing on such 365th day, such Additional Interest will cease to accrue and the Notes will be subject to the other remedies provided under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52" w:lineRule="exact"/>
        <w:rPr>
          <w:rFonts w:ascii="Arial" w:cs="Arial" w:eastAsia="Arial" w:hAnsi="Arial"/>
          <w:sz w:val="19"/>
          <w:szCs w:val="19"/>
          <w:color w:val="auto"/>
        </w:rPr>
      </w:pPr>
    </w:p>
    <w:p>
      <w:pPr>
        <w:ind w:firstLine="1305"/>
        <w:spacing w:after="0" w:line="290" w:lineRule="auto"/>
        <w:tabs>
          <w:tab w:leader="none" w:pos="176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to the contrary, if the Company or any Parent Entity of the Company has furnished the Holders of Notes or filed with the SEC the reports described in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respect to the Company or any Parent Entity, the Company shall be deemed to be in compliance with the provisions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financial information so furnished or filed relates to any Parent Entity, the same is accompanied by consolidating information, that explains in reasonable detail the differences between the information relating to such Parent Entity or Parent Entities, on the one hand, and the information relating to the Company and its Restricted Subsidiaries on a standalone basis, on the other hand. For the avoidance of doubt, the consolidating information referred to in the proviso in the preceding sentence need not be audited;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Trustee shall have no responsibility whatsoever to determine whether such filing has occurred.</w:t>
      </w:r>
    </w:p>
    <w:p>
      <w:pPr>
        <w:spacing w:after="0" w:line="49"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Maintenance of Office or Agency</w:t>
      </w:r>
      <w:r>
        <w:rPr>
          <w:rFonts w:ascii="Arial" w:cs="Arial" w:eastAsia="Arial" w:hAnsi="Arial"/>
          <w:sz w:val="21"/>
          <w:szCs w:val="21"/>
          <w:color w:val="auto"/>
        </w:rPr>
        <w:t>. The Issuers will maintain an office or agency where the Notes may be presented or surrendered for payment and where, if applicable, the Notes may be surrendered for registration of transfer or exchange. The corporate trust office of the Trustee, located at Deutsche Bank Trust Company Americas, 60 Wall Street, 24th Floor, MS NYC 60-2407, New York, New York, 10005, shall be such office or agency of the Issuers, unless the Issuers shall designate and maintain some other office or agency for one or more of such purposes. The Issuers will give prompt written notice to the Trustee of any change in the location of any such office or agency. If at any time the Issuers shall fail to maintain any such required office or agency or shall fail to furnish the Trustee with the address thereof, such presentations and surrenders may be made or served at the corporate trust office of the Trustee, and the Issuers hereby appoint the Trustee as its agent to receive all such presentations and surrenders.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847" w:right="239" w:bottom="1440" w:gutter="0" w:footer="0" w:header="0"/>
        </w:sectPr>
      </w:pPr>
    </w:p>
    <w:bookmarkStart w:id="148" w:name="page149"/>
    <w:bookmarkEnd w:id="148"/>
    <w:p>
      <w:pPr>
        <w:ind w:right="20" w:firstLine="648"/>
        <w:spacing w:after="0" w:line="312" w:lineRule="auto"/>
        <w:rPr>
          <w:sz w:val="20"/>
          <w:szCs w:val="20"/>
          <w:color w:val="auto"/>
        </w:rPr>
      </w:pPr>
      <w:r>
        <w:rPr>
          <w:rFonts w:ascii="Arial" w:cs="Arial" w:eastAsia="Arial" w:hAnsi="Arial"/>
          <w:sz w:val="19"/>
          <w:szCs w:val="19"/>
          <w:color w:val="auto"/>
        </w:rPr>
        <w:t>The Issuers may also from time to time designate one or more other offices or agencies where the Notes may be presented or surrendered for any or all such purposes and may from time to time rescind any such designation. The Issuers will give prompt written notice to the Trustee of any such designation or rescission and any change in the location of any such other office or agency.</w:t>
      </w:r>
    </w:p>
    <w:p>
      <w:pPr>
        <w:spacing w:after="0" w:line="2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The Issuers shall deliver to the Trustee, within 120 days after the end of each fiscal year of the Company ending after January 1, 2019, an Officer’s Certificate to the effect that to the best knowledge of the signer thereof none of the Issuers is in default in the performance and observance of any of the terms, provisions and conditions of this Indenture (without regard to any period of grace or requirement of notice provided hereunder) and, if any of the Issuers shall be in default, specifying all such defaults and the nature and status thereof of which such signer may have knowledge. The individual signing any certificate given by any Person pursuant to this </w:t>
      </w: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shall be the principal executive, financial or accounting Officer of such Person.</w:t>
      </w:r>
    </w:p>
    <w:p>
      <w:pPr>
        <w:spacing w:after="0" w:line="8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Statement by Officers as to Default</w:t>
      </w:r>
      <w:r>
        <w:rPr>
          <w:rFonts w:ascii="Arial" w:cs="Arial" w:eastAsia="Arial" w:hAnsi="Arial"/>
          <w:sz w:val="22"/>
          <w:szCs w:val="22"/>
          <w:color w:val="auto"/>
        </w:rPr>
        <w:t xml:space="preserve">. The Company shall deliver to the Trustee, within 30 days after the Company becomes aware of the occurrence of any Event of Default under </w:t>
      </w:r>
      <w:r>
        <w:rPr>
          <w:rFonts w:ascii="Arial" w:cs="Arial" w:eastAsia="Arial" w:hAnsi="Arial"/>
          <w:sz w:val="22"/>
          <w:szCs w:val="22"/>
          <w:u w:val="single" w:color="auto"/>
          <w:color w:val="auto"/>
        </w:rPr>
        <w:t>Sections 6.1(4)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6.1(5)</w:t>
      </w:r>
      <w:r>
        <w:rPr>
          <w:rFonts w:ascii="Arial" w:cs="Arial" w:eastAsia="Arial" w:hAnsi="Arial"/>
          <w:sz w:val="22"/>
          <w:szCs w:val="22"/>
          <w:color w:val="auto"/>
        </w:rPr>
        <w:t xml:space="preserve"> and any event that with the giving of notice or a lapse of time would become an Event of Default under </w:t>
      </w:r>
      <w:r>
        <w:rPr>
          <w:rFonts w:ascii="Arial" w:cs="Arial" w:eastAsia="Arial" w:hAnsi="Arial"/>
          <w:sz w:val="22"/>
          <w:szCs w:val="22"/>
          <w:u w:val="single" w:color="auto"/>
          <w:color w:val="auto"/>
        </w:rPr>
        <w:t>Sections 6.1(3)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6.1(6)</w:t>
      </w:r>
      <w:r>
        <w:rPr>
          <w:rFonts w:ascii="Arial" w:cs="Arial" w:eastAsia="Arial" w:hAnsi="Arial"/>
          <w:sz w:val="22"/>
          <w:szCs w:val="22"/>
          <w:color w:val="auto"/>
        </w:rPr>
        <w:t>, an Officer’s Certificate setting forth the details of such Event of Default or Default, its status and the actions which the Company is taking or proposes to take with respect thereto.</w:t>
      </w:r>
    </w:p>
    <w:p>
      <w:pPr>
        <w:spacing w:after="0" w:line="84"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the covenant described in </w:t>
      </w:r>
      <w:r>
        <w:rPr>
          <w:rFonts w:ascii="Arial" w:cs="Arial" w:eastAsia="Arial" w:hAnsi="Arial"/>
          <w:sz w:val="19"/>
          <w:szCs w:val="19"/>
          <w:u w:val="single" w:color="auto"/>
          <w:color w:val="auto"/>
        </w:rPr>
        <w:t>Section</w:t>
      </w:r>
    </w:p>
    <w:p>
      <w:pPr>
        <w:spacing w:after="0" w:line="4" w:lineRule="exact"/>
        <w:rPr>
          <w:sz w:val="20"/>
          <w:szCs w:val="20"/>
          <w:color w:val="auto"/>
        </w:rPr>
      </w:pPr>
    </w:p>
    <w:p>
      <w:pPr>
        <w:ind w:right="160"/>
        <w:spacing w:after="0" w:line="295" w:lineRule="auto"/>
        <w:rPr>
          <w:sz w:val="20"/>
          <w:szCs w:val="20"/>
          <w:color w:val="auto"/>
        </w:rPr>
      </w:pPr>
      <w:r>
        <w:rPr>
          <w:rFonts w:ascii="Arial" w:cs="Arial" w:eastAsia="Arial" w:hAnsi="Arial"/>
          <w:sz w:val="19"/>
          <w:szCs w:val="19"/>
          <w:u w:val="single" w:color="auto"/>
          <w:color w:val="auto"/>
        </w:rPr>
        <w:t>3.3</w:t>
      </w:r>
      <w:r>
        <w:rPr>
          <w:rFonts w:ascii="Arial" w:cs="Arial" w:eastAsia="Arial" w:hAnsi="Arial"/>
          <w:sz w:val="19"/>
          <w:szCs w:val="19"/>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 Default or the Subsidiary will be a Special Purpose Subsidiary.</w:t>
      </w:r>
    </w:p>
    <w:p>
      <w:pPr>
        <w:spacing w:after="0" w:line="4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Arial" w:cs="Arial" w:eastAsia="Arial" w:hAnsi="Arial"/>
          <w:sz w:val="22"/>
          <w:szCs w:val="22"/>
          <w:u w:val="single" w:color="auto"/>
          <w:color w:val="auto"/>
        </w:rPr>
        <w:t>Section 3.3</w:t>
      </w:r>
      <w:r>
        <w:rPr>
          <w:rFonts w:ascii="Arial" w:cs="Arial" w:eastAsia="Arial" w:hAnsi="Arial"/>
          <w:sz w:val="22"/>
          <w:szCs w:val="22"/>
          <w:color w:val="auto"/>
        </w:rPr>
        <w:t>. If, at any time, any Unrestricted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847" w:right="239" w:bottom="1440" w:gutter="0" w:footer="0" w:header="0"/>
        </w:sectPr>
      </w:pPr>
    </w:p>
    <w:bookmarkStart w:id="149" w:name="page150"/>
    <w:bookmarkEnd w:id="149"/>
    <w:p>
      <w:pPr>
        <w:ind w:right="100"/>
        <w:spacing w:after="0" w:line="253" w:lineRule="auto"/>
        <w:rPr>
          <w:sz w:val="20"/>
          <w:szCs w:val="20"/>
          <w:color w:val="auto"/>
        </w:rPr>
      </w:pPr>
      <w:r>
        <w:rPr>
          <w:rFonts w:ascii="Arial" w:cs="Arial" w:eastAsia="Arial" w:hAnsi="Arial"/>
          <w:sz w:val="22"/>
          <w:szCs w:val="22"/>
          <w:color w:val="auto"/>
        </w:rPr>
        <w:t>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w:t>
      </w:r>
    </w:p>
    <w:p>
      <w:pPr>
        <w:spacing w:after="0" w:line="78"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The Company may at any time designate any Unrestricted Subsidiary to be a Restricted Subsidiary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will be deemed to be an incurrence of Indebtedness by a Restricted Subsidiary of the Company of any outstanding Indebtedness of such Unrestricted Subsidiary, and such designation will only be permitted if no Default or Event of Default would be in existence following such designation or if the Subsidiary will be a Special Purpose Subsidiary. Any such designation by the Company shall be evidenced to the Trustee by an Officer’s Certificate certifying that such designation complies with the preceding conditions.</w:t>
      </w:r>
    </w:p>
    <w:p>
      <w:pPr>
        <w:spacing w:after="0" w:line="8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Suspension of Certain Covenants</w:t>
      </w:r>
      <w:r>
        <w:rPr>
          <w:rFonts w:ascii="Arial" w:cs="Arial" w:eastAsia="Arial" w:hAnsi="Arial"/>
          <w:sz w:val="19"/>
          <w:szCs w:val="19"/>
          <w:color w:val="auto"/>
        </w:rPr>
        <w:t>.</w:t>
      </w:r>
    </w:p>
    <w:p>
      <w:pPr>
        <w:spacing w:after="0" w:line="112" w:lineRule="exact"/>
        <w:rPr>
          <w:sz w:val="20"/>
          <w:szCs w:val="20"/>
          <w:color w:val="auto"/>
        </w:rPr>
      </w:pPr>
    </w:p>
    <w:p>
      <w:pPr>
        <w:ind w:right="260" w:firstLine="1305"/>
        <w:spacing w:after="0" w:line="250" w:lineRule="auto"/>
        <w:tabs>
          <w:tab w:leader="none" w:pos="175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If, on any date following the Issue date, (i) the Notes have achieved Investment Grade Status; and (ii) no Default or Event of Default has occurred and is continuing under this Indenture, then, beginning on that day and continuing until the Reversion Date (as defined below), the Company and the Restricted Subsidiaries shall not be subject to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Suspended Covenant</w:t>
      </w: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right="20" w:firstLine="1305"/>
        <w:spacing w:after="0" w:line="257" w:lineRule="auto"/>
        <w:tabs>
          <w:tab w:leader="none" w:pos="1765"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If at any time the Notes cease to have such Investment Grade Status and while the Notes do not have Investment Grade Status the Company issues new capital markets debt securities with Subsidiary Guarantees, then the Suspended Covenant will thereafter be reinstated as if such covenant had never been suspended (the “</w:t>
      </w:r>
      <w:r>
        <w:rPr>
          <w:rFonts w:ascii="Arial" w:cs="Arial" w:eastAsia="Arial" w:hAnsi="Arial"/>
          <w:sz w:val="21"/>
          <w:szCs w:val="21"/>
          <w:u w:val="single" w:color="auto"/>
          <w:color w:val="auto"/>
        </w:rPr>
        <w:t>Reversion Date</w:t>
      </w:r>
      <w:r>
        <w:rPr>
          <w:rFonts w:ascii="Arial" w:cs="Arial" w:eastAsia="Arial" w:hAnsi="Arial"/>
          <w:sz w:val="21"/>
          <w:szCs w:val="21"/>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 shall no longer be in effect for such time that the Notes maintain an Investment Grade Status);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Default, Event of Default or breach of any kind shall be deemed to exist under this Indenture, the Notes or the Guarantees with respect to the Suspended Covenant based on, and none of the Company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Suspended Covenant remained in effect during such period. The period of time between the date of suspension of the covenant and the Reversion Date is referred to as the “</w:t>
      </w:r>
      <w:r>
        <w:rPr>
          <w:rFonts w:ascii="Arial" w:cs="Arial" w:eastAsia="Arial" w:hAnsi="Arial"/>
          <w:sz w:val="21"/>
          <w:szCs w:val="21"/>
          <w:u w:val="single" w:color="auto"/>
          <w:color w:val="auto"/>
        </w:rPr>
        <w:t>Suspension Period</w:t>
      </w:r>
      <w:r>
        <w:rPr>
          <w:rFonts w:ascii="Arial" w:cs="Arial" w:eastAsia="Arial" w:hAnsi="Arial"/>
          <w:sz w:val="21"/>
          <w:szCs w:val="21"/>
          <w:color w:val="auto"/>
        </w:rPr>
        <w:t>.”</w:t>
      </w:r>
    </w:p>
    <w:p>
      <w:pPr>
        <w:spacing w:after="0" w:line="82"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On the Reversion Date, all Liens Incurred during the Suspension Period will be classified to have been Incurred pursuant to the definition of “Permitted Liens” (to the extent such Liens would be permitted to be Incurred thereunder as of the Reversion Date and after giving effect to Liens Incurred prior to the Suspension Period and outstanding on the Reversion Date). To the extent such Liens would not be so permitted to be Incurred pursuant to the definition of “Permitted Liens,” such Liens will be deemed to have been outstanding on the Issue Date, so that they are classified as permitted under clause (11) of the definition of “Permitted Liens.” During the Suspension Period, any future obligation to grant further Guarantees shall be suspended. All such further obligation to grant Guarantees shall be reinstated upon the Reversion Date.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00"/>
          </w:cols>
          <w:pgMar w:left="240" w:top="847" w:right="259" w:bottom="1440" w:gutter="0" w:footer="0" w:header="0"/>
        </w:sectPr>
      </w:pPr>
    </w:p>
    <w:bookmarkStart w:id="150" w:name="page151"/>
    <w:bookmarkEnd w:id="150"/>
    <w:p>
      <w:pPr>
        <w:ind w:right="60" w:firstLine="648"/>
        <w:spacing w:after="0" w:line="248" w:lineRule="auto"/>
        <w:rPr>
          <w:sz w:val="20"/>
          <w:szCs w:val="20"/>
          <w:color w:val="auto"/>
        </w:rPr>
      </w:pPr>
      <w:r>
        <w:rPr>
          <w:rFonts w:ascii="Arial" w:cs="Arial" w:eastAsia="Arial" w:hAnsi="Arial"/>
          <w:sz w:val="22"/>
          <w:szCs w:val="22"/>
          <w:color w:val="auto"/>
        </w:rPr>
        <w:t>The Company shall give the Trustee written notice of the commencement of any Suspension Period promptly, and in any event not later than five Business Days after the commencement thereof. In the absence of such notice, the Company shall give the Trustee written notice of the termination of any Suspension Period not later than five Business Days after the occurrence thereof. After any such notice of the termination of any Suspension Period, the Trustee shall assume the Suspended Covenants apply and are in full force and effect.</w:t>
      </w:r>
    </w:p>
    <w:p>
      <w:pPr>
        <w:spacing w:after="0" w:line="84" w:lineRule="exact"/>
        <w:rPr>
          <w:sz w:val="20"/>
          <w:szCs w:val="20"/>
          <w:color w:val="auto"/>
        </w:rPr>
      </w:pPr>
    </w:p>
    <w:p>
      <w:pPr>
        <w:ind w:right="40" w:firstLine="1305"/>
        <w:spacing w:after="0" w:line="253" w:lineRule="auto"/>
        <w:tabs>
          <w:tab w:leader="none" w:pos="174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Trustee shall have no duty to monitor the ratings of the Notes, shall not be deemed to have any knowledge of the ratings of the Notes and shall have no duty to notify Holders if the Notes achieve Investment Grade Status or of the occurrence of a Reversion Date.</w:t>
      </w:r>
    </w:p>
    <w:p>
      <w:pPr>
        <w:spacing w:after="0" w:line="7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Termination of Certain Covenants</w:t>
      </w:r>
      <w:r>
        <w:rPr>
          <w:rFonts w:ascii="Arial" w:cs="Arial" w:eastAsia="Arial" w:hAnsi="Arial"/>
          <w:sz w:val="19"/>
          <w:szCs w:val="19"/>
          <w:color w:val="auto"/>
        </w:rPr>
        <w:t>.</w:t>
      </w:r>
    </w:p>
    <w:p>
      <w:pPr>
        <w:spacing w:after="0" w:line="112" w:lineRule="exact"/>
        <w:rPr>
          <w:sz w:val="20"/>
          <w:szCs w:val="20"/>
          <w:color w:val="auto"/>
        </w:rPr>
      </w:pPr>
    </w:p>
    <w:p>
      <w:pPr>
        <w:ind w:right="80" w:firstLine="1305"/>
        <w:spacing w:after="0" w:line="250" w:lineRule="auto"/>
        <w:tabs>
          <w:tab w:leader="none" w:pos="175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If, on any date following the Issue Date, the Notes have achieved Investment Grade Status; and (ii) no Default or Event of Default has occurred and is continuing under this Indenture, then, beginning on that day, the Company and its Restricted Subsidiaries will permanently no longer be subject to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and clause (3) of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Terminated Covenants</w:t>
      </w:r>
      <w:r>
        <w:rPr>
          <w:rFonts w:ascii="Arial" w:cs="Arial" w:eastAsia="Arial" w:hAnsi="Arial"/>
          <w:sz w:val="22"/>
          <w:szCs w:val="22"/>
          <w:color w:val="auto"/>
        </w:rPr>
        <w:t>”).</w:t>
      </w:r>
    </w:p>
    <w:p>
      <w:pPr>
        <w:spacing w:after="0" w:line="8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Following the achievement of Investment Grade Status, notwithstanding that the Notes may cease to have such Investment Grade Status or a Default or Event of Default may occur, the Terminated Covenants will be inapplicable to the parties to this Indenture and have no further force and effect.</w:t>
      </w:r>
    </w:p>
    <w:p>
      <w:pPr>
        <w:spacing w:after="0" w:line="78" w:lineRule="exact"/>
        <w:rPr>
          <w:sz w:val="20"/>
          <w:szCs w:val="20"/>
          <w:color w:val="auto"/>
        </w:rPr>
      </w:pPr>
    </w:p>
    <w:p>
      <w:pPr>
        <w:jc w:val="both"/>
        <w:ind w:right="40" w:firstLine="1305"/>
        <w:spacing w:after="0" w:line="312" w:lineRule="auto"/>
        <w:tabs>
          <w:tab w:leader="none" w:pos="176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 of the ratings of the Notes and shall have no duty to notify Holders if the Notes achieve Investment Grade Status, and shall assume the Terminated Covenants are in effect until it is notified in writing that the Notes have achieved Investment Grade Status.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4" w:lineRule="exact"/>
        <w:rPr>
          <w:sz w:val="20"/>
          <w:szCs w:val="20"/>
          <w:color w:val="auto"/>
        </w:rPr>
      </w:pPr>
    </w:p>
    <w:p>
      <w:pPr>
        <w:ind w:left="660" w:right="3260" w:firstLine="2659"/>
        <w:spacing w:after="0" w:line="348" w:lineRule="auto"/>
        <w:rPr>
          <w:sz w:val="20"/>
          <w:szCs w:val="20"/>
          <w:color w:val="auto"/>
        </w:rPr>
      </w:pPr>
      <w:r>
        <w:rPr>
          <w:rFonts w:ascii="Arial" w:cs="Arial" w:eastAsia="Arial" w:hAnsi="Arial"/>
          <w:sz w:val="22"/>
          <w:szCs w:val="22"/>
          <w:b w:val="1"/>
          <w:bCs w:val="1"/>
          <w:u w:val="single" w:color="auto"/>
          <w:color w:val="auto"/>
        </w:rPr>
        <w:t xml:space="preserve">SUCCESSOR COMPANY; SUCCESSOR PERSON </w:t>
      </w: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Merger and Consolidation</w:t>
      </w:r>
      <w:r>
        <w:rPr>
          <w:rFonts w:ascii="Arial" w:cs="Arial" w:eastAsia="Arial" w:hAnsi="Arial"/>
          <w:sz w:val="22"/>
          <w:szCs w:val="22"/>
          <w:color w:val="auto"/>
        </w:rPr>
        <w:t>.</w:t>
      </w:r>
    </w:p>
    <w:p>
      <w:pPr>
        <w:spacing w:after="0" w:line="2" w:lineRule="exact"/>
        <w:rPr>
          <w:sz w:val="20"/>
          <w:szCs w:val="20"/>
          <w:color w:val="auto"/>
        </w:rPr>
      </w:pPr>
    </w:p>
    <w:p>
      <w:pPr>
        <w:ind w:firstLine="1305"/>
        <w:spacing w:after="0" w:line="263" w:lineRule="auto"/>
        <w:tabs>
          <w:tab w:leader="none" w:pos="174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Company will not consolidate with or merge with or into or convey, transfer or lease all or substantially all its assets to, any Person, unless:</w:t>
      </w:r>
    </w:p>
    <w:p>
      <w:pPr>
        <w:spacing w:after="0" w:line="66" w:lineRule="exact"/>
        <w:rPr>
          <w:rFonts w:ascii="Arial" w:cs="Arial" w:eastAsia="Arial" w:hAnsi="Arial"/>
          <w:sz w:val="22"/>
          <w:szCs w:val="22"/>
          <w:color w:val="auto"/>
        </w:rPr>
      </w:pPr>
    </w:p>
    <w:p>
      <w:pPr>
        <w:ind w:left="660" w:firstLine="1293"/>
        <w:spacing w:after="0" w:line="263" w:lineRule="auto"/>
        <w:tabs>
          <w:tab w:leader="none" w:pos="2425" w:val="left"/>
        </w:tabs>
        <w:numPr>
          <w:ilvl w:val="1"/>
          <w:numId w:val="174"/>
        </w:numPr>
        <w:rPr>
          <w:rFonts w:ascii="Arial" w:cs="Arial" w:eastAsia="Arial" w:hAnsi="Arial"/>
          <w:sz w:val="21"/>
          <w:szCs w:val="21"/>
          <w:color w:val="auto"/>
        </w:rPr>
      </w:pPr>
      <w:r>
        <w:rPr>
          <w:rFonts w:ascii="Arial" w:cs="Arial" w:eastAsia="Arial" w:hAnsi="Arial"/>
          <w:sz w:val="21"/>
          <w:szCs w:val="21"/>
          <w:color w:val="auto"/>
        </w:rPr>
        <w:t>the resulting, surviving or transferee Person (the “</w:t>
      </w:r>
      <w:r>
        <w:rPr>
          <w:rFonts w:ascii="Arial" w:cs="Arial" w:eastAsia="Arial" w:hAnsi="Arial"/>
          <w:sz w:val="21"/>
          <w:szCs w:val="21"/>
          <w:u w:val="single" w:color="auto"/>
          <w:color w:val="auto"/>
        </w:rPr>
        <w:t>Successor Company</w:t>
      </w:r>
      <w:r>
        <w:rPr>
          <w:rFonts w:ascii="Arial" w:cs="Arial" w:eastAsia="Arial" w:hAnsi="Arial"/>
          <w:sz w:val="21"/>
          <w:szCs w:val="21"/>
          <w:color w:val="auto"/>
        </w:rPr>
        <w:t>”) will be a Person organized and existing under the laws of the United States of America, any State of the United States or the District of Columbia and the Successor Company (if not the Company) will expressly assume, via a supplemental indenture, all the obligations of the Company under the Notes and this Indenture and if such Successor Company is not a corporation, a co-obligor of the Notes is a corporation organized or existing under such laws;</w:t>
      </w:r>
    </w:p>
    <w:p>
      <w:pPr>
        <w:spacing w:after="0" w:line="67" w:lineRule="exact"/>
        <w:rPr>
          <w:rFonts w:ascii="Arial" w:cs="Arial" w:eastAsia="Arial" w:hAnsi="Arial"/>
          <w:sz w:val="21"/>
          <w:szCs w:val="21"/>
          <w:color w:val="auto"/>
        </w:rPr>
      </w:pPr>
    </w:p>
    <w:p>
      <w:pPr>
        <w:ind w:left="660" w:right="60" w:firstLine="1293"/>
        <w:spacing w:after="0" w:line="253" w:lineRule="auto"/>
        <w:tabs>
          <w:tab w:leader="none" w:pos="2425" w:val="left"/>
        </w:tabs>
        <w:numPr>
          <w:ilvl w:val="1"/>
          <w:numId w:val="174"/>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(and treating any Indebtedness that becomes an obligation of the applicable Successor Company or any Subsidiary of the applicable Successor Company as a result of such transaction as having</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380"/>
          </w:cols>
          <w:pgMar w:left="240" w:top="847" w:right="279" w:bottom="1440" w:gutter="0" w:footer="0" w:header="0"/>
        </w:sectPr>
      </w:pPr>
    </w:p>
    <w:bookmarkStart w:id="151" w:name="page152"/>
    <w:bookmarkEnd w:id="151"/>
    <w:p>
      <w:pPr>
        <w:ind w:left="640"/>
        <w:spacing w:after="0" w:line="263" w:lineRule="auto"/>
        <w:rPr>
          <w:sz w:val="20"/>
          <w:szCs w:val="20"/>
          <w:color w:val="auto"/>
        </w:rPr>
      </w:pPr>
      <w:r>
        <w:rPr>
          <w:rFonts w:ascii="Arial" w:cs="Arial" w:eastAsia="Arial" w:hAnsi="Arial"/>
          <w:sz w:val="22"/>
          <w:szCs w:val="22"/>
          <w:color w:val="auto"/>
        </w:rPr>
        <w:t>been Incurred by the applicable Successor Company or such Subsidiary at the time of such transaction), no Default or Event of Default shall have occurred and be continuing;</w:t>
      </w:r>
    </w:p>
    <w:p>
      <w:pPr>
        <w:spacing w:after="0" w:line="67" w:lineRule="exact"/>
        <w:rPr>
          <w:sz w:val="20"/>
          <w:szCs w:val="20"/>
          <w:color w:val="auto"/>
        </w:rPr>
      </w:pPr>
    </w:p>
    <w:p>
      <w:pPr>
        <w:ind w:left="640" w:right="80" w:firstLine="1293"/>
        <w:spacing w:after="0" w:line="250" w:lineRule="auto"/>
        <w:tabs>
          <w:tab w:leader="none" w:pos="240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either (a) the Fixed Charge Coverage Ratio of the Company (or, if applicable, the Successor Company thereto) is at least 2.00 to 1.00 or (b) the Fixed Charge Coverage Ratio of the Company (or, if applicable, the Successor Company thereto) would not be lower than it was immediately prior to giving effect to such transaction;</w:t>
      </w:r>
    </w:p>
    <w:p>
      <w:pPr>
        <w:spacing w:after="0" w:line="80" w:lineRule="exact"/>
        <w:rPr>
          <w:rFonts w:ascii="Arial" w:cs="Arial" w:eastAsia="Arial" w:hAnsi="Arial"/>
          <w:sz w:val="22"/>
          <w:szCs w:val="22"/>
          <w:color w:val="auto"/>
        </w:rPr>
      </w:pPr>
    </w:p>
    <w:p>
      <w:pPr>
        <w:ind w:left="640" w:right="260" w:firstLine="1293"/>
        <w:spacing w:after="0" w:line="248" w:lineRule="auto"/>
        <w:tabs>
          <w:tab w:leader="none" w:pos="2405"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each applicable Subsidiary Guarantor (other than (a) any Subsidiary Guarantor that will be released from its obligations under its Subsidiary Guarantee in connection with such transaction and (b) any party to any such consolidation or merger) shall have delivered a supplemental indenture or other document or instrument, confirming its Subsidiary Guarantee (other than any Subsidiary Guarantee that will be discharged or terminated in connection with such transaction); and</w:t>
      </w:r>
    </w:p>
    <w:p>
      <w:pPr>
        <w:spacing w:after="0" w:line="84" w:lineRule="exact"/>
        <w:rPr>
          <w:rFonts w:ascii="Arial" w:cs="Arial" w:eastAsia="Arial" w:hAnsi="Arial"/>
          <w:sz w:val="22"/>
          <w:szCs w:val="22"/>
          <w:color w:val="auto"/>
        </w:rPr>
      </w:pPr>
    </w:p>
    <w:p>
      <w:pPr>
        <w:ind w:left="640" w:right="20" w:firstLine="1293"/>
        <w:spacing w:after="0" w:line="294" w:lineRule="auto"/>
        <w:tabs>
          <w:tab w:leader="none" w:pos="2405" w:val="left"/>
        </w:tabs>
        <w:numPr>
          <w:ilvl w:val="1"/>
          <w:numId w:val="175"/>
        </w:numPr>
        <w:rPr>
          <w:rFonts w:ascii="Arial" w:cs="Arial" w:eastAsia="Arial" w:hAnsi="Arial"/>
          <w:sz w:val="19"/>
          <w:szCs w:val="19"/>
          <w:color w:val="auto"/>
        </w:rPr>
      </w:pPr>
      <w:r>
        <w:rPr>
          <w:rFonts w:ascii="Arial" w:cs="Arial" w:eastAsia="Arial" w:hAnsi="Arial"/>
          <w:sz w:val="19"/>
          <w:szCs w:val="19"/>
          <w:color w:val="auto"/>
        </w:rPr>
        <w:t xml:space="preserve">the Company shall have delivered to the Trustee an Officer’s Certificate and an Opinion of Counsel, each stating that such consolidation, merger or transfer and such supplemental indenture (if any) comply with this Indenture and an Opinion of Counsel stating that such supplemental indenture (if any) have been duly authorized, executed and delivered and are a legal, valid and binding agreement enforceable against the applicable Successor Company (in each case, in form satisfactory to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giving an Opinion of Counsel, counsel may rely on an Officer’s Certificate as to any matters of fact, including as to satisfaction of clauses (2) and (3) above.</w:t>
      </w:r>
    </w:p>
    <w:p>
      <w:pPr>
        <w:spacing w:after="0" w:line="41" w:lineRule="exact"/>
        <w:rPr>
          <w:rFonts w:ascii="Arial" w:cs="Arial" w:eastAsia="Arial" w:hAnsi="Arial"/>
          <w:sz w:val="19"/>
          <w:szCs w:val="19"/>
          <w:color w:val="auto"/>
        </w:rPr>
      </w:pPr>
    </w:p>
    <w:p>
      <w:pPr>
        <w:jc w:val="both"/>
        <w:ind w:left="-20" w:right="20" w:firstLine="1305"/>
        <w:spacing w:after="0" w:line="302" w:lineRule="auto"/>
        <w:tabs>
          <w:tab w:leader="none" w:pos="174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4.1</w:t>
      </w:r>
      <w:r>
        <w:rPr>
          <w:rFonts w:ascii="Arial" w:cs="Arial" w:eastAsia="Arial" w:hAnsi="Arial"/>
          <w:sz w:val="19"/>
          <w:szCs w:val="19"/>
          <w:color w:val="auto"/>
        </w:rPr>
        <w:t>, the sale, lease, conveyance, assignment, transfer, or other disposition of all or substantially all of the properties and assets of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34" w:lineRule="exact"/>
        <w:rPr>
          <w:rFonts w:ascii="Arial" w:cs="Arial" w:eastAsia="Arial" w:hAnsi="Arial"/>
          <w:sz w:val="19"/>
          <w:szCs w:val="19"/>
          <w:color w:val="auto"/>
        </w:rPr>
      </w:pPr>
    </w:p>
    <w:p>
      <w:pPr>
        <w:ind w:left="-20" w:firstLine="1305"/>
        <w:spacing w:after="0" w:line="253" w:lineRule="auto"/>
        <w:tabs>
          <w:tab w:leader="none" w:pos="172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Successor Company will succeed to, and be substituted for, and may exercise every right and power of, the Company under the Notes or the Indenture but in the case of a lease of all or substantially all its assets, the predecessor company will not be released from its obligations under the Notes or the Indenture.</w:t>
      </w:r>
    </w:p>
    <w:p>
      <w:pPr>
        <w:spacing w:after="0" w:line="77" w:lineRule="exact"/>
        <w:rPr>
          <w:rFonts w:ascii="Arial" w:cs="Arial" w:eastAsia="Arial" w:hAnsi="Arial"/>
          <w:sz w:val="22"/>
          <w:szCs w:val="22"/>
          <w:color w:val="auto"/>
        </w:rPr>
      </w:pPr>
    </w:p>
    <w:p>
      <w:pPr>
        <w:ind w:left="-20" w:firstLine="1305"/>
        <w:spacing w:after="0" w:line="292" w:lineRule="auto"/>
        <w:tabs>
          <w:tab w:leader="none" w:pos="174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Notwithstanding the preceding clauses (a)(2), (a)(3) and (a)(5) (which do not apply to transactions referred to in this sentence), (a) any Restricted Subsidiary of the Company may consolidate or otherwise combine with or merge into or transfer all or part of its properties and assets to the Company; and (b) any Restricted Subsidiary may consolidate or otherwise combine with or merge into or transfer all or part of its properties and assets to any other Restricted Subsidiary. Notwithstanding the preceding clauses (2) and (3) (which do not apply to the transactions referred to in this sentence), the Company may consolidate or otherwise combine with or merge into an Affiliate incorporated or organized for the purpose of changing the legal domicile of the Company, reincorporating the Company in another jurisdiction, or changing the legal form of the Company.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380"/>
          </w:cols>
          <w:pgMar w:left="260" w:top="847" w:right="259" w:bottom="1440" w:gutter="0" w:footer="0" w:header="0"/>
        </w:sectPr>
      </w:pPr>
    </w:p>
    <w:bookmarkStart w:id="152" w:name="page153"/>
    <w:bookmarkEnd w:id="152"/>
    <w:p>
      <w:pPr>
        <w:ind w:firstLine="1305"/>
        <w:spacing w:after="0" w:line="263" w:lineRule="auto"/>
        <w:tabs>
          <w:tab w:leader="none" w:pos="174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The foregoing provisions (other than the requirements of clause (a)(2) of this </w:t>
      </w:r>
      <w:r>
        <w:rPr>
          <w:rFonts w:ascii="Arial" w:cs="Arial" w:eastAsia="Arial" w:hAnsi="Arial"/>
          <w:sz w:val="22"/>
          <w:szCs w:val="22"/>
          <w:u w:val="single" w:color="auto"/>
          <w:color w:val="auto"/>
        </w:rPr>
        <w:t>Section 4.1</w:t>
      </w:r>
      <w:r>
        <w:rPr>
          <w:rFonts w:ascii="Arial" w:cs="Arial" w:eastAsia="Arial" w:hAnsi="Arial"/>
          <w:sz w:val="22"/>
          <w:szCs w:val="22"/>
          <w:color w:val="auto"/>
        </w:rPr>
        <w:t>) shall not apply to the creation of a new Subsidiary as a Restricted Subsidiary of the Company.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118"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Notices to Trustee</w:t>
      </w:r>
      <w:r>
        <w:rPr>
          <w:rFonts w:ascii="Arial" w:cs="Arial" w:eastAsia="Arial" w:hAnsi="Arial"/>
          <w:sz w:val="22"/>
          <w:szCs w:val="22"/>
          <w:color w:val="auto"/>
        </w:rPr>
        <w:t xml:space="preserve">. If the Company elects to redeem Notes pursuant to the optional redemption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hereof, it must furnish to the Trustee and the Paying Agent, at least 10 days but not more than 60 days before a redemption date, an Officer’s Certificate setting forth:</w:t>
      </w:r>
    </w:p>
    <w:p>
      <w:pPr>
        <w:spacing w:after="0" w:line="78" w:lineRule="exact"/>
        <w:rPr>
          <w:sz w:val="20"/>
          <w:szCs w:val="20"/>
          <w:color w:val="auto"/>
        </w:rPr>
      </w:pPr>
    </w:p>
    <w:p>
      <w:pPr>
        <w:ind w:left="2420" w:hanging="467"/>
        <w:spacing w:after="0"/>
        <w:tabs>
          <w:tab w:leader="none" w:pos="24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112"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Selection of Notes To Be Redeemed or Purchased</w:t>
      </w:r>
      <w:r>
        <w:rPr>
          <w:rFonts w:ascii="Arial" w:cs="Arial" w:eastAsia="Arial" w:hAnsi="Arial"/>
          <w:sz w:val="21"/>
          <w:szCs w:val="21"/>
          <w:color w:val="auto"/>
        </w:rPr>
        <w:t xml:space="preserve">. If less than all of the Notes are to be redeemed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or purchased in an Asset Disposition Offer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or a redemption pursuant to </w:t>
      </w:r>
      <w:r>
        <w:rPr>
          <w:rFonts w:ascii="Arial" w:cs="Arial" w:eastAsia="Arial" w:hAnsi="Arial"/>
          <w:sz w:val="21"/>
          <w:szCs w:val="21"/>
          <w:u w:val="single" w:color="auto"/>
          <w:color w:val="auto"/>
        </w:rPr>
        <w:t>Section 5.8</w:t>
      </w:r>
      <w:r>
        <w:rPr>
          <w:rFonts w:ascii="Arial" w:cs="Arial" w:eastAsia="Arial" w:hAnsi="Arial"/>
          <w:sz w:val="21"/>
          <w:szCs w:val="21"/>
          <w:color w:val="auto"/>
        </w:rPr>
        <w:t>, the Registrar will select Notes for redemption or purchase (a) if the Notes are in global form in accordance with the applicable procedures of DTC, and an appropriate notation shall be made on such Notes to decrease the principal amount thereof to equal the unredeemed portion thereof (b) if the Notes are in definitive form, on a pro rata basis (subject to adjustments to maintain the authorized Notes denomination requirements) except:</w:t>
      </w:r>
    </w:p>
    <w:p>
      <w:pPr>
        <w:spacing w:after="0" w:line="72" w:lineRule="exact"/>
        <w:rPr>
          <w:sz w:val="20"/>
          <w:szCs w:val="20"/>
          <w:color w:val="auto"/>
        </w:rPr>
      </w:pPr>
    </w:p>
    <w:p>
      <w:pPr>
        <w:ind w:left="660" w:right="160" w:firstLine="1293"/>
        <w:spacing w:after="0" w:line="263" w:lineRule="auto"/>
        <w:tabs>
          <w:tab w:leader="none" w:pos="242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if otherwise required by law.</w:t>
      </w:r>
    </w:p>
    <w:p>
      <w:pPr>
        <w:spacing w:after="0" w:line="11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No Notes in an unauthorized denomination of $2,000 in aggregate principal amount or less shall be redeemed in part. In the event of partial redemption, the particular Notes to be redeemed or purchased will be selected, unless otherwise provided herein, not less than 10 nor more than 60 days prior to the redemption or purchase date by the Trustee from the outstanding Notes not previously called for redemption or purchase.</w:t>
      </w:r>
    </w:p>
    <w:p>
      <w:pPr>
        <w:spacing w:after="0" w:line="8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Trustee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$2,000 or whole multiples of $1,000;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380"/>
          </w:cols>
          <w:pgMar w:left="240" w:top="847" w:right="279" w:bottom="1440" w:gutter="0" w:footer="0" w:header="0"/>
        </w:sectPr>
      </w:pPr>
    </w:p>
    <w:bookmarkStart w:id="153" w:name="page154"/>
    <w:bookmarkEnd w:id="153"/>
    <w:p>
      <w:pPr>
        <w:ind w:right="100" w:firstLine="648"/>
        <w:spacing w:after="0" w:line="250"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Notice of Redemption</w:t>
      </w:r>
      <w:r>
        <w:rPr>
          <w:rFonts w:ascii="Arial" w:cs="Arial" w:eastAsia="Arial" w:hAnsi="Arial"/>
          <w:sz w:val="22"/>
          <w:szCs w:val="22"/>
          <w:color w:val="auto"/>
        </w:rPr>
        <w:t>. At least 10 days but not more than 60 days before a redemption date, the Company will send or cause to be sent, by electronic delivery or by first class mail postage prepaid, a notice of redemption to each Holder whose Notes are to be redeemed at the address of such Holder appearing in the Notes Register or otherwise in accordance with the procedures of DTC.</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will identify the Notes (including the CUSIP or ISIN number) to be redeemed and will state:</w:t>
      </w:r>
    </w:p>
    <w:p>
      <w:pPr>
        <w:spacing w:after="0" w:line="112" w:lineRule="exact"/>
        <w:rPr>
          <w:sz w:val="20"/>
          <w:szCs w:val="20"/>
          <w:color w:val="auto"/>
        </w:rPr>
      </w:pPr>
    </w:p>
    <w:p>
      <w:pPr>
        <w:ind w:left="2420" w:hanging="467"/>
        <w:spacing w:after="0"/>
        <w:tabs>
          <w:tab w:leader="none" w:pos="24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111" w:lineRule="exact"/>
        <w:rPr>
          <w:rFonts w:ascii="Arial" w:cs="Arial" w:eastAsia="Arial" w:hAnsi="Arial"/>
          <w:sz w:val="22"/>
          <w:szCs w:val="22"/>
          <w:color w:val="auto"/>
        </w:rPr>
      </w:pPr>
    </w:p>
    <w:p>
      <w:pPr>
        <w:ind w:left="660" w:right="100" w:firstLine="1293"/>
        <w:spacing w:after="0" w:line="253" w:lineRule="auto"/>
        <w:tabs>
          <w:tab w:leader="none" w:pos="24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77" w:lineRule="exact"/>
        <w:rPr>
          <w:rFonts w:ascii="Arial" w:cs="Arial" w:eastAsia="Arial" w:hAnsi="Arial"/>
          <w:sz w:val="22"/>
          <w:szCs w:val="22"/>
          <w:color w:val="auto"/>
        </w:rPr>
      </w:pPr>
    </w:p>
    <w:p>
      <w:pPr>
        <w:ind w:left="2420" w:hanging="467"/>
        <w:spacing w:after="0"/>
        <w:tabs>
          <w:tab w:leader="none" w:pos="242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that Notes called for redemption must be surrendered to the Paying Agent to collect the redemption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price;</w:t>
      </w:r>
    </w:p>
    <w:p>
      <w:pPr>
        <w:spacing w:after="0" w:line="93" w:lineRule="exact"/>
        <w:rPr>
          <w:rFonts w:ascii="Arial" w:cs="Arial" w:eastAsia="Arial" w:hAnsi="Arial"/>
          <w:sz w:val="19"/>
          <w:szCs w:val="19"/>
          <w:color w:val="auto"/>
        </w:rPr>
      </w:pPr>
    </w:p>
    <w:p>
      <w:pPr>
        <w:ind w:left="660" w:firstLine="1293"/>
        <w:spacing w:after="0" w:line="263" w:lineRule="auto"/>
        <w:tabs>
          <w:tab w:leader="none" w:pos="24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that, unless the Company defaults in making such redemption payment, interest and Additional Interest, if any, on Notes called for redemption ceases to accrue on and after the redemption date;</w:t>
      </w:r>
    </w:p>
    <w:p>
      <w:pPr>
        <w:spacing w:after="0" w:line="66" w:lineRule="exact"/>
        <w:rPr>
          <w:rFonts w:ascii="Arial" w:cs="Arial" w:eastAsia="Arial" w:hAnsi="Arial"/>
          <w:sz w:val="22"/>
          <w:szCs w:val="22"/>
          <w:color w:val="auto"/>
        </w:rPr>
      </w:pPr>
    </w:p>
    <w:p>
      <w:pPr>
        <w:ind w:left="660" w:right="540" w:firstLine="1293"/>
        <w:spacing w:after="0" w:line="263" w:lineRule="auto"/>
        <w:tabs>
          <w:tab w:leader="none" w:pos="24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66" w:lineRule="exact"/>
        <w:rPr>
          <w:rFonts w:ascii="Arial" w:cs="Arial" w:eastAsia="Arial" w:hAnsi="Arial"/>
          <w:sz w:val="22"/>
          <w:szCs w:val="22"/>
          <w:color w:val="auto"/>
        </w:rPr>
      </w:pPr>
    </w:p>
    <w:p>
      <w:pPr>
        <w:ind w:left="660" w:right="220" w:firstLine="1293"/>
        <w:spacing w:after="0" w:line="263" w:lineRule="auto"/>
        <w:tabs>
          <w:tab w:leader="none" w:pos="24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67"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 xml:space="preserve">At Company’s request, the Trustee will give the notice of redemption in the Company’s name and at its expense;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has delivered to the Trustee, at least 13 days prior to the redemption date (or such shorter period as the Trustee may agree), an Officer’s Certificate requesting that the Trustee give such notice and setting forth the information to be stated in such notice as provided in the preceding paragraph.</w:t>
      </w:r>
    </w:p>
    <w:p>
      <w:pPr>
        <w:spacing w:after="0" w:line="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 xml:space="preserve">. Except as provided for herein, once notice of redemption is sent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Notes called for redemption become irrevocably due and payable on the redemption date at the redemption price. Notice of any redemption of the Notes in connection with a corporate transaction (including an Equity Offering, an incurrence of Indebtedness or a Change of Control) may, at the Company’s discretion, be given prior to the completion thereof and any redemption or notice of redemption may, at the Company’s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Company’s discretion, the redemption date may be delayed until such time (including more than 60 days after the notice of redemption was mailed or delivered, including by electronic transmission) as any or all such conditions shall be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00"/>
          </w:cols>
          <w:pgMar w:left="240" w:top="848" w:right="259" w:bottom="1440" w:gutter="0" w:footer="0" w:header="0"/>
        </w:sectPr>
      </w:pPr>
    </w:p>
    <w:bookmarkStart w:id="154" w:name="page155"/>
    <w:bookmarkEnd w:id="154"/>
    <w:p>
      <w:pPr>
        <w:ind w:right="120"/>
        <w:spacing w:after="0" w:line="250" w:lineRule="auto"/>
        <w:rPr>
          <w:sz w:val="20"/>
          <w:szCs w:val="20"/>
          <w:color w:val="auto"/>
        </w:rPr>
      </w:pPr>
      <w:r>
        <w:rPr>
          <w:rFonts w:ascii="Arial" w:cs="Arial" w:eastAsia="Arial" w:hAnsi="Arial"/>
          <w:sz w:val="22"/>
          <w:szCs w:val="22"/>
          <w:color w:val="auto"/>
        </w:rPr>
        <w:t>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8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5.5 </w:t>
      </w:r>
      <w:r>
        <w:rPr>
          <w:rFonts w:ascii="Arial" w:cs="Arial" w:eastAsia="Arial" w:hAnsi="Arial"/>
          <w:sz w:val="21"/>
          <w:szCs w:val="21"/>
          <w:u w:val="single" w:color="auto"/>
          <w:color w:val="auto"/>
        </w:rPr>
        <w:t>Deposit of Redemption or Purchase Price</w:t>
      </w:r>
      <w:r>
        <w:rPr>
          <w:rFonts w:ascii="Arial" w:cs="Arial" w:eastAsia="Arial" w:hAnsi="Arial"/>
          <w:sz w:val="21"/>
          <w:szCs w:val="21"/>
          <w:color w:val="auto"/>
        </w:rPr>
        <w:t>. Prior to 12:00 p.m. New York Time on the redemption or purchase date, the Company will deposit with the Trustee or with the Paying Agent money sufficient to pay the redemption or purchase price of, and accrued interest and Additional Interest,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Interest, if any, on, all Notes to be redeemed or purchased.</w:t>
      </w:r>
    </w:p>
    <w:p>
      <w:pPr>
        <w:spacing w:after="0" w:line="72" w:lineRule="exact"/>
        <w:rPr>
          <w:sz w:val="20"/>
          <w:szCs w:val="20"/>
          <w:color w:val="auto"/>
        </w:rPr>
      </w:pPr>
    </w:p>
    <w:p>
      <w:pPr>
        <w:ind w:right="40" w:firstLine="648"/>
        <w:spacing w:after="0" w:line="289" w:lineRule="auto"/>
        <w:rPr>
          <w:sz w:val="20"/>
          <w:szCs w:val="20"/>
          <w:color w:val="auto"/>
        </w:rPr>
      </w:pPr>
      <w:r>
        <w:rPr>
          <w:rFonts w:ascii="Arial" w:cs="Arial" w:eastAsia="Arial" w:hAnsi="Arial"/>
          <w:sz w:val="19"/>
          <w:szCs w:val="19"/>
          <w:color w:val="auto"/>
        </w:rPr>
        <w:t xml:space="preserve">If the Company complies with the provisions of the preceding paragraph, on and after the redemption or purchase date, interest and Additional Interest, if any,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the Company delivers global notes to the Trustee for cancellation on a date that is after the record date and on or before the next interest payment date, then interest shall be paid in accordance with the procedures of DTC.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hereof.</w:t>
      </w:r>
    </w:p>
    <w:p>
      <w:pPr>
        <w:spacing w:after="0" w:line="306"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Notes Redeemed or Purchased in Part</w:t>
      </w:r>
      <w:r>
        <w:rPr>
          <w:rFonts w:ascii="Arial" w:cs="Arial" w:eastAsia="Arial" w:hAnsi="Arial"/>
          <w:sz w:val="22"/>
          <w:szCs w:val="22"/>
          <w:color w:val="auto"/>
        </w:rPr>
        <w:t xml:space="preserve">. Upon surrender of a Note that is redeemed or purchased in part, in the case of Definitive Notes the Company will issue and, upon receipt of an Issuer Order, the Trustee will authenticate for the Holder at the expense of the Company a new Note equal in principal amount to the unredeemed or unpurchased portion of the Note surrendered; </w:t>
      </w:r>
      <w:r>
        <w:rPr>
          <w:rFonts w:ascii="Arial" w:cs="Arial" w:eastAsia="Arial" w:hAnsi="Arial"/>
          <w:sz w:val="22"/>
          <w:szCs w:val="22"/>
          <w:u w:val="single" w:color="auto"/>
          <w:color w:val="auto"/>
        </w:rPr>
        <w:t>provided</w:t>
      </w:r>
      <w:r>
        <w:rPr>
          <w:rFonts w:ascii="Arial" w:cs="Arial" w:eastAsia="Arial" w:hAnsi="Arial"/>
          <w:sz w:val="22"/>
          <w:szCs w:val="22"/>
          <w:color w:val="auto"/>
        </w:rPr>
        <w:t>, that each such new Note will be in a minimum principal amount of $2,000 or integral multiple of $1,000 in excess thereof.</w:t>
      </w:r>
    </w:p>
    <w:p>
      <w:pPr>
        <w:spacing w:after="0" w:line="8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112" w:lineRule="exact"/>
        <w:rPr>
          <w:sz w:val="20"/>
          <w:szCs w:val="20"/>
          <w:color w:val="auto"/>
        </w:rPr>
      </w:pPr>
    </w:p>
    <w:p>
      <w:pPr>
        <w:ind w:right="20" w:firstLine="1305"/>
        <w:spacing w:after="0" w:line="260" w:lineRule="auto"/>
        <w:tabs>
          <w:tab w:leader="none" w:pos="1741"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At any time prior to July 15, 2022, the Company may redeem the Notes in whole or in part, at its option, upon not less than 10 nor more than 60 days’ prior notice by electronic delivery or first class mail, postage prepaid, with a copy to the Trustee, to each Holder of Notes to the address of such Holder appearing in the Notes Register, at a redemption price (expressed as percentages of principal amount of the Notes to be redeemed) equal to 100.000% of the principal amount of Notes redeemed plus the relevant Applicable Premium as of, and accrued and unpaid interest and Additional Interest, if any, to but excluding the date of redemption (the “</w:t>
      </w:r>
      <w:r>
        <w:rPr>
          <w:rFonts w:ascii="Arial" w:cs="Arial" w:eastAsia="Arial" w:hAnsi="Arial"/>
          <w:sz w:val="21"/>
          <w:szCs w:val="21"/>
          <w:u w:val="single" w:color="auto"/>
          <w:color w:val="auto"/>
        </w:rPr>
        <w:t>Redemption Date</w:t>
      </w:r>
      <w:r>
        <w:rPr>
          <w:rFonts w:ascii="Arial" w:cs="Arial" w:eastAsia="Arial" w:hAnsi="Arial"/>
          <w:sz w:val="21"/>
          <w:szCs w:val="21"/>
          <w:color w:val="auto"/>
        </w:rPr>
        <w:t>”), subject to the rights of holders of the Notes on the relevant record date to receive interest due on the relevant interest payment date.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00"/>
          </w:cols>
          <w:pgMar w:left="240" w:top="847" w:right="259" w:bottom="1440" w:gutter="0" w:footer="0" w:header="0"/>
        </w:sectPr>
      </w:pPr>
    </w:p>
    <w:bookmarkStart w:id="155" w:name="page156"/>
    <w:bookmarkEnd w:id="155"/>
    <w:p>
      <w:pPr>
        <w:ind w:left="-40" w:firstLine="1305"/>
        <w:spacing w:after="0" w:line="287" w:lineRule="auto"/>
        <w:tabs>
          <w:tab w:leader="none" w:pos="171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prior to July 15, 2022, the Company may, at its option, upon not less than 10 nor more than 60 days’ prior notice by electronic delivery or first class mail, postage prepaid, with a copy to the Trustee, to each Holder of Notes to the address of such Holder appearing in the Notes Register, redeem up to 40% of the original aggregate principal amount of Notes (including Additional Notes) issued under this Indenture at a redemption price (expressed as percentages of principal amount of the Notes to be redeemed) equal to 105.750% of the aggregate principal amount thereof, plus accrued and unpaid interest to but excluding the applicable Redemption Date, subject to the right of Holders of record of the Notes on the relevant record date to receive interest due on the relevant interest payment date, with the Net Cash Proceeds received by the Company of one or more Equity Offerings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less than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such redemption occurs not later than 180 days after the date of closing of the related Equity Offering. The Trustee shall select the Notes to be purchased in the manner described under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5.6</w:t>
      </w:r>
      <w:r>
        <w:rPr>
          <w:rFonts w:ascii="Arial" w:cs="Arial" w:eastAsia="Arial" w:hAnsi="Arial"/>
          <w:sz w:val="19"/>
          <w:szCs w:val="19"/>
          <w:color w:val="auto"/>
        </w:rPr>
        <w:t>.</w:t>
      </w:r>
    </w:p>
    <w:p>
      <w:pPr>
        <w:spacing w:after="0" w:line="308" w:lineRule="exact"/>
        <w:rPr>
          <w:rFonts w:ascii="Arial" w:cs="Arial" w:eastAsia="Arial" w:hAnsi="Arial"/>
          <w:sz w:val="19"/>
          <w:szCs w:val="19"/>
          <w:color w:val="auto"/>
        </w:rPr>
      </w:pPr>
    </w:p>
    <w:p>
      <w:pPr>
        <w:ind w:left="-40" w:right="220" w:firstLine="1305"/>
        <w:spacing w:after="0" w:line="263" w:lineRule="auto"/>
        <w:tabs>
          <w:tab w:leader="none" w:pos="171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Except pursuant to clauses (a) and (b) of this </w:t>
      </w:r>
      <w:r>
        <w:rPr>
          <w:rFonts w:ascii="Arial" w:cs="Arial" w:eastAsia="Arial" w:hAnsi="Arial"/>
          <w:sz w:val="22"/>
          <w:szCs w:val="22"/>
          <w:u w:val="single" w:color="auto"/>
          <w:color w:val="auto"/>
        </w:rPr>
        <w:t>Section 5.7</w:t>
      </w:r>
      <w:r>
        <w:rPr>
          <w:rFonts w:ascii="Arial" w:cs="Arial" w:eastAsia="Arial" w:hAnsi="Arial"/>
          <w:sz w:val="22"/>
          <w:szCs w:val="22"/>
          <w:color w:val="auto"/>
        </w:rPr>
        <w:t>, the Notes will not be redeemable at the Company’s option prior to July 15, 2022.</w:t>
      </w:r>
    </w:p>
    <w:p>
      <w:pPr>
        <w:spacing w:after="0" w:line="66" w:lineRule="exact"/>
        <w:rPr>
          <w:rFonts w:ascii="Arial" w:cs="Arial" w:eastAsia="Arial" w:hAnsi="Arial"/>
          <w:sz w:val="22"/>
          <w:szCs w:val="22"/>
          <w:color w:val="auto"/>
        </w:rPr>
      </w:pPr>
    </w:p>
    <w:p>
      <w:pPr>
        <w:ind w:left="-40" w:firstLine="1305"/>
        <w:spacing w:after="0" w:line="292" w:lineRule="auto"/>
        <w:tabs>
          <w:tab w:leader="none" w:pos="1713"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At any time and from time to time on or after July 15, 2022, the Company may redeem the Notes, in whole or in part, upon not less than 10 nor more than 60 days’ prior notice by electronic delivery or first class mail, postage prepaid, with a copy to the Trustee to each Holder of Notes to the address of such Holder appearing in the Notes Register at the redemption prices (expressed as percentages of principal amount of the Notes to be redeemed) set forth in the table below, plus accrued and unpaid interest and Additional Interest, if any, to but excluding the applicable Redemption Date, subject to the right of Holders of record of the Notes on the relevant record date to receive interest due on the relevant interest payment date, if redeemed during the twelve-month period beginning on July 15 of each of the years indicated in the table below:</w:t>
      </w:r>
    </w:p>
    <w:p>
      <w:pPr>
        <w:spacing w:after="0" w:line="192" w:lineRule="exact"/>
        <w:rPr>
          <w:sz w:val="20"/>
          <w:szCs w:val="20"/>
          <w:color w:val="auto"/>
        </w:rPr>
      </w:pPr>
    </w:p>
    <w:tbl>
      <w:tblPr>
        <w:tblLayout w:type="fixed"/>
        <w:tblInd w:w="860" w:type="dxa"/>
        <w:tblCellMar>
          <w:top w:w="0" w:type="dxa"/>
          <w:left w:w="0" w:type="dxa"/>
          <w:bottom w:w="0" w:type="dxa"/>
          <w:right w:w="0" w:type="dxa"/>
        </w:tblCellMar>
      </w:tblPr>
      <w:tr>
        <w:trPr>
          <w:trHeight w:val="28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Period</w:t>
            </w:r>
          </w:p>
        </w:tc>
        <w:tc>
          <w:tcPr>
            <w:tcW w:w="520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Percentage</w:t>
            </w:r>
          </w:p>
        </w:tc>
      </w:tr>
      <w:tr>
        <w:trPr>
          <w:trHeight w:val="280"/>
        </w:trPr>
        <w:tc>
          <w:tcPr>
            <w:tcW w:w="3000" w:type="dxa"/>
            <w:vAlign w:val="bottom"/>
          </w:tcPr>
          <w:p>
            <w:pPr>
              <w:ind w:left="20"/>
              <w:spacing w:after="0"/>
              <w:rPr>
                <w:sz w:val="20"/>
                <w:szCs w:val="20"/>
                <w:color w:val="auto"/>
              </w:rPr>
            </w:pPr>
            <w:r>
              <w:rPr>
                <w:rFonts w:ascii="Arial" w:cs="Arial" w:eastAsia="Arial" w:hAnsi="Arial"/>
                <w:sz w:val="22"/>
                <w:szCs w:val="22"/>
                <w:color w:val="auto"/>
              </w:rPr>
              <w:t>2022</w:t>
            </w:r>
          </w:p>
        </w:tc>
        <w:tc>
          <w:tcPr>
            <w:tcW w:w="5200" w:type="dxa"/>
            <w:vAlign w:val="bottom"/>
          </w:tcPr>
          <w:p>
            <w:pPr>
              <w:ind w:left="1300"/>
              <w:spacing w:after="0"/>
              <w:rPr>
                <w:sz w:val="20"/>
                <w:szCs w:val="20"/>
                <w:color w:val="auto"/>
              </w:rPr>
            </w:pPr>
            <w:r>
              <w:rPr>
                <w:rFonts w:ascii="Arial" w:cs="Arial" w:eastAsia="Arial" w:hAnsi="Arial"/>
                <w:sz w:val="22"/>
                <w:szCs w:val="22"/>
                <w:color w:val="auto"/>
              </w:rPr>
              <w:t>102.875%</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2023</w:t>
            </w:r>
          </w:p>
        </w:tc>
        <w:tc>
          <w:tcPr>
            <w:tcW w:w="5200" w:type="dxa"/>
            <w:vAlign w:val="bottom"/>
          </w:tcPr>
          <w:p>
            <w:pPr>
              <w:ind w:left="1300"/>
              <w:spacing w:after="0"/>
              <w:rPr>
                <w:sz w:val="20"/>
                <w:szCs w:val="20"/>
                <w:color w:val="auto"/>
              </w:rPr>
            </w:pPr>
            <w:r>
              <w:rPr>
                <w:rFonts w:ascii="Arial" w:cs="Arial" w:eastAsia="Arial" w:hAnsi="Arial"/>
                <w:sz w:val="22"/>
                <w:szCs w:val="22"/>
                <w:color w:val="auto"/>
              </w:rPr>
              <w:t>101.438%</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2024 and thereafter</w:t>
            </w:r>
          </w:p>
        </w:tc>
        <w:tc>
          <w:tcPr>
            <w:tcW w:w="5200" w:type="dxa"/>
            <w:vAlign w:val="bottom"/>
          </w:tcPr>
          <w:p>
            <w:pPr>
              <w:ind w:left="130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82" w:lineRule="exact"/>
        <w:rPr>
          <w:sz w:val="20"/>
          <w:szCs w:val="20"/>
          <w:color w:val="auto"/>
        </w:rPr>
      </w:pPr>
    </w:p>
    <w:p>
      <w:pPr>
        <w:ind w:left="-40" w:right="40" w:firstLine="1305"/>
        <w:spacing w:after="0" w:line="263" w:lineRule="auto"/>
        <w:tabs>
          <w:tab w:leader="none" w:pos="171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Unless the Company defaults in the payment of the redemption price, interest will cease to accrue on the Notes or portions thereof called for redemption on the applicable Redemption Date.</w:t>
      </w:r>
    </w:p>
    <w:p>
      <w:pPr>
        <w:spacing w:after="0" w:line="66" w:lineRule="exact"/>
        <w:rPr>
          <w:rFonts w:ascii="Arial" w:cs="Arial" w:eastAsia="Arial" w:hAnsi="Arial"/>
          <w:sz w:val="22"/>
          <w:szCs w:val="22"/>
          <w:color w:val="auto"/>
        </w:rPr>
      </w:pPr>
    </w:p>
    <w:p>
      <w:pPr>
        <w:ind w:left="-40" w:right="80" w:firstLine="1305"/>
        <w:spacing w:after="0" w:line="312" w:lineRule="auto"/>
        <w:tabs>
          <w:tab w:leader="none" w:pos="168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Notwithstanding the foregoing, in connection with any tender offer for the Notes, including a Change of Control Offer or Asset Disposition Offer, if Holders of not less than 90% in aggregate principal amount of the outstanding Notes validly tender and do not withdraw such Notes in such tender offer and the Company, or any third party making a such tender offer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360"/>
          </w:cols>
          <w:pgMar w:left="280" w:top="847" w:right="259" w:bottom="1440" w:gutter="0" w:footer="0" w:header="0"/>
        </w:sectPr>
      </w:pPr>
    </w:p>
    <w:bookmarkStart w:id="156" w:name="page157"/>
    <w:bookmarkEnd w:id="156"/>
    <w:p>
      <w:pPr>
        <w:ind w:right="60"/>
        <w:spacing w:after="0" w:line="263" w:lineRule="auto"/>
        <w:rPr>
          <w:sz w:val="20"/>
          <w:szCs w:val="20"/>
          <w:color w:val="auto"/>
        </w:rPr>
      </w:pPr>
      <w:r>
        <w:rPr>
          <w:rFonts w:ascii="Arial" w:cs="Arial" w:eastAsia="Arial" w:hAnsi="Arial"/>
          <w:sz w:val="21"/>
          <w:szCs w:val="21"/>
          <w:color w:val="auto"/>
        </w:rPr>
        <w:t>in lieu of the Company, purchases all of the Notes validly tendered and not withdrawn by such Holders, the Company or such third party will have the right upon not less than 10 nor more than 60 days’ prior notice, given not more than 30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Redemption Date.</w:t>
      </w:r>
    </w:p>
    <w:p>
      <w:pPr>
        <w:spacing w:after="0" w:line="6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 xml:space="preserve">Any redemption pursuant to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be made pursuant to the provisions of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5.6</w:t>
      </w:r>
      <w:r>
        <w:rPr>
          <w:rFonts w:ascii="Arial" w:cs="Arial" w:eastAsia="Arial" w:hAnsi="Arial"/>
          <w:sz w:val="22"/>
          <w:szCs w:val="22"/>
          <w:color w:val="auto"/>
        </w:rPr>
        <w:t>.</w:t>
      </w:r>
    </w:p>
    <w:p>
      <w:pPr>
        <w:spacing w:after="0" w:line="9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Mandatory Redemption</w:t>
      </w:r>
      <w:r>
        <w:rPr>
          <w:rFonts w:ascii="Arial" w:cs="Arial" w:eastAsia="Arial" w:hAnsi="Arial"/>
          <w:sz w:val="22"/>
          <w:szCs w:val="22"/>
          <w:color w:val="auto"/>
        </w:rPr>
        <w:t xml:space="preserve">. The Company is not required to make mandatory redemption or sinking fund payments with respect to the Notes;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 however</w:t>
      </w:r>
      <w:r>
        <w:rPr>
          <w:rFonts w:ascii="Arial" w:cs="Arial" w:eastAsia="Arial" w:hAnsi="Arial"/>
          <w:sz w:val="22"/>
          <w:szCs w:val="22"/>
          <w:color w:val="auto"/>
        </w:rPr>
        <w:t xml:space="preserve">, that under certain circumstances, the Company may be required to offer to purchase Notes under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 The Company may at any time and from time to time purchase Notes in the open market or otherwise.</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VI</w:t>
      </w:r>
    </w:p>
    <w:p>
      <w:pPr>
        <w:spacing w:after="0" w:line="274" w:lineRule="exact"/>
        <w:rPr>
          <w:sz w:val="20"/>
          <w:szCs w:val="20"/>
          <w:color w:val="auto"/>
        </w:rPr>
      </w:pPr>
    </w:p>
    <w:p>
      <w:pPr>
        <w:ind w:left="4300"/>
        <w:spacing w:after="0"/>
        <w:rPr>
          <w:sz w:val="20"/>
          <w:szCs w:val="20"/>
          <w:color w:val="auto"/>
        </w:rPr>
      </w:pPr>
      <w:r>
        <w:rPr>
          <w:rFonts w:ascii="Arial" w:cs="Arial" w:eastAsia="Arial" w:hAnsi="Arial"/>
          <w:sz w:val="22"/>
          <w:szCs w:val="22"/>
          <w:b w:val="1"/>
          <w:bCs w:val="1"/>
          <w:u w:val="single" w:color="auto"/>
          <w:color w:val="auto"/>
        </w:rPr>
        <w:t>DEFAULTS AND REMEDIES</w:t>
      </w:r>
    </w:p>
    <w:p>
      <w:pPr>
        <w:spacing w:after="0" w:line="11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112" w:lineRule="exact"/>
        <w:rPr>
          <w:sz w:val="20"/>
          <w:szCs w:val="20"/>
          <w:color w:val="auto"/>
        </w:rPr>
      </w:pPr>
    </w:p>
    <w:p>
      <w:pPr>
        <w:ind w:left="2420" w:hanging="467"/>
        <w:spacing w:after="0"/>
        <w:tabs>
          <w:tab w:leader="none" w:pos="242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default in any payment of interest on any Note when due and payable, continued for 30 days;</w:t>
      </w:r>
    </w:p>
    <w:p>
      <w:pPr>
        <w:spacing w:after="0" w:line="123" w:lineRule="exact"/>
        <w:rPr>
          <w:rFonts w:ascii="Arial" w:cs="Arial" w:eastAsia="Arial" w:hAnsi="Arial"/>
          <w:sz w:val="21"/>
          <w:szCs w:val="21"/>
          <w:color w:val="auto"/>
        </w:rPr>
      </w:pPr>
    </w:p>
    <w:p>
      <w:pPr>
        <w:ind w:left="660" w:right="420" w:firstLine="1293"/>
        <w:spacing w:after="0" w:line="253" w:lineRule="auto"/>
        <w:tabs>
          <w:tab w:leader="none" w:pos="242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77" w:lineRule="exact"/>
        <w:rPr>
          <w:rFonts w:ascii="Arial" w:cs="Arial" w:eastAsia="Arial" w:hAnsi="Arial"/>
          <w:sz w:val="22"/>
          <w:szCs w:val="22"/>
          <w:color w:val="auto"/>
        </w:rPr>
      </w:pPr>
    </w:p>
    <w:p>
      <w:pPr>
        <w:ind w:left="660" w:right="120" w:firstLine="1293"/>
        <w:spacing w:after="0" w:line="341" w:lineRule="auto"/>
        <w:tabs>
          <w:tab w:leader="none" w:pos="242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failure to comply for 60 days after written notice by the Trustee on behalf of the Holders or by the Holders of 30% in principal amount of the outstanding Notes with any agreement or obligation contained in this Indenture;</w:t>
      </w:r>
    </w:p>
    <w:p>
      <w:pPr>
        <w:ind w:left="660" w:right="20" w:firstLine="1293"/>
        <w:spacing w:after="0" w:line="248" w:lineRule="auto"/>
        <w:tabs>
          <w:tab w:leader="none" w:pos="242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hereof, which default:</w:t>
      </w:r>
    </w:p>
    <w:p>
      <w:pPr>
        <w:spacing w:after="0" w:line="84" w:lineRule="exact"/>
        <w:rPr>
          <w:rFonts w:ascii="Arial" w:cs="Arial" w:eastAsia="Arial" w:hAnsi="Arial"/>
          <w:sz w:val="22"/>
          <w:szCs w:val="22"/>
          <w:color w:val="auto"/>
        </w:rPr>
      </w:pPr>
    </w:p>
    <w:p>
      <w:pPr>
        <w:ind w:left="660" w:right="360" w:firstLine="1941"/>
        <w:spacing w:after="0" w:line="287" w:lineRule="auto"/>
        <w:tabs>
          <w:tab w:leader="none" w:pos="3121" w:val="left"/>
        </w:tabs>
        <w:numPr>
          <w:ilvl w:val="1"/>
          <w:numId w:val="184"/>
        </w:numPr>
        <w:rPr>
          <w:rFonts w:ascii="Arial" w:cs="Arial" w:eastAsia="Arial" w:hAnsi="Arial"/>
          <w:sz w:val="21"/>
          <w:szCs w:val="21"/>
          <w:color w:val="auto"/>
        </w:rPr>
      </w:pPr>
      <w:r>
        <w:rPr>
          <w:rFonts w:ascii="Arial" w:cs="Arial" w:eastAsia="Arial" w:hAnsi="Arial"/>
          <w:sz w:val="21"/>
          <w:szCs w:val="21"/>
          <w:color w:val="auto"/>
        </w:rPr>
        <w:t>is caused by a failure to pay principal of such Indebtedness, at its stated final maturity (after giving effect to any applicable grace periods) provided in such Indebtedness (“</w:t>
      </w:r>
      <w:r>
        <w:rPr>
          <w:rFonts w:ascii="Arial" w:cs="Arial" w:eastAsia="Arial" w:hAnsi="Arial"/>
          <w:sz w:val="21"/>
          <w:szCs w:val="21"/>
          <w:u w:val="single" w:color="auto"/>
          <w:color w:val="auto"/>
        </w:rPr>
        <w:t>payment default</w:t>
      </w:r>
      <w:r>
        <w:rPr>
          <w:rFonts w:ascii="Arial" w:cs="Arial" w:eastAsia="Arial" w:hAnsi="Arial"/>
          <w:sz w:val="21"/>
          <w:szCs w:val="21"/>
          <w:color w:val="auto"/>
        </w:rPr>
        <w:t>”); or</w:t>
      </w:r>
    </w:p>
    <w:p>
      <w:pPr>
        <w:spacing w:after="0" w:line="43" w:lineRule="exact"/>
        <w:rPr>
          <w:rFonts w:ascii="Arial" w:cs="Arial" w:eastAsia="Arial" w:hAnsi="Arial"/>
          <w:sz w:val="21"/>
          <w:szCs w:val="21"/>
          <w:color w:val="auto"/>
        </w:rPr>
      </w:pPr>
    </w:p>
    <w:p>
      <w:pPr>
        <w:ind w:left="3100" w:hanging="499"/>
        <w:spacing w:after="0"/>
        <w:tabs>
          <w:tab w:leader="none" w:pos="310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results in the acceleration of such Indebtedness prior to its stated final maturity (the “</w:t>
      </w:r>
      <w:r>
        <w:rPr>
          <w:rFonts w:ascii="Arial" w:cs="Arial" w:eastAsia="Arial" w:hAnsi="Arial"/>
          <w:sz w:val="19"/>
          <w:szCs w:val="19"/>
          <w:u w:val="single" w:color="auto"/>
          <w:color w:val="auto"/>
        </w:rPr>
        <w:t>cross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acceleration provision</w:t>
      </w:r>
      <w:r>
        <w:rPr>
          <w:rFonts w:ascii="Arial" w:cs="Arial" w:eastAsia="Arial" w:hAnsi="Arial"/>
          <w:sz w:val="22"/>
          <w:szCs w:val="22"/>
          <w:color w:val="auto"/>
        </w:rPr>
        <w:t>”);</w:t>
      </w:r>
    </w:p>
    <w:p>
      <w:pPr>
        <w:spacing w:after="0" w:line="94"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 xml:space="preserve">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Arial" w:cs="Arial" w:eastAsia="Arial" w:hAnsi="Arial"/>
          <w:sz w:val="22"/>
          <w:szCs w:val="22"/>
          <w:u w:val="single" w:color="auto"/>
          <w:color w:val="auto"/>
        </w:rPr>
        <w:t>provided</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847" w:right="239" w:bottom="1440" w:gutter="0" w:footer="0" w:header="0"/>
        </w:sectPr>
      </w:pPr>
    </w:p>
    <w:bookmarkStart w:id="157" w:name="page158"/>
    <w:bookmarkEnd w:id="157"/>
    <w:p>
      <w:pPr>
        <w:ind w:right="580"/>
        <w:spacing w:after="0" w:line="263" w:lineRule="auto"/>
        <w:rPr>
          <w:sz w:val="20"/>
          <w:szCs w:val="20"/>
          <w:color w:val="auto"/>
        </w:rPr>
      </w:pPr>
      <w:r>
        <w:rPr>
          <w:rFonts w:ascii="Arial" w:cs="Arial" w:eastAsia="Arial" w:hAnsi="Arial"/>
          <w:sz w:val="22"/>
          <w:szCs w:val="22"/>
          <w:color w:val="auto"/>
        </w:rPr>
        <w:t>that no Default or Event of Default shall be deemed to occur with respect to any such accelerated Indebtedness that is paid or otherwise acquired or retired within 30 days after such acceleration;</w:t>
      </w:r>
    </w:p>
    <w:p>
      <w:pPr>
        <w:spacing w:after="0" w:line="67" w:lineRule="exact"/>
        <w:rPr>
          <w:sz w:val="20"/>
          <w:szCs w:val="20"/>
          <w:color w:val="auto"/>
        </w:rPr>
      </w:pPr>
    </w:p>
    <w:p>
      <w:pPr>
        <w:ind w:left="660" w:right="20" w:firstLine="1293"/>
        <w:spacing w:after="0" w:line="292" w:lineRule="auto"/>
        <w:tabs>
          <w:tab w:leader="none" w:pos="242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failure by the Company or any Significant Subsidiary (or group of Restricted Subsidiaries that together (as of the latest audited consolidated financial statements for the Company and its Restricted Subsidiaries) would constitute a Significant Subsidiary), to pay final judgments aggregating in excess of $100.0 million other than to the extent any judgments are covered by indemnities provided by, or insurance policies issued by, reputable and creditworthy companies, which final judgments remain unpaid, undischarged and unstayed for a period of more than 90 days after such judgment becomes final, and in the event such judgment is covered by insurance, an enforcement proceeding has been commenced by any creditor upon such judgment or decree which is not promptly stayed (the “</w:t>
      </w:r>
      <w:r>
        <w:rPr>
          <w:rFonts w:ascii="Arial" w:cs="Arial" w:eastAsia="Arial" w:hAnsi="Arial"/>
          <w:sz w:val="19"/>
          <w:szCs w:val="19"/>
          <w:u w:val="single" w:color="auto"/>
          <w:color w:val="auto"/>
        </w:rPr>
        <w:t>judgment default provision</w:t>
      </w:r>
      <w:r>
        <w:rPr>
          <w:rFonts w:ascii="Arial" w:cs="Arial" w:eastAsia="Arial" w:hAnsi="Arial"/>
          <w:sz w:val="19"/>
          <w:szCs w:val="19"/>
          <w:color w:val="auto"/>
        </w:rPr>
        <w:t>”);</w:t>
      </w:r>
    </w:p>
    <w:p>
      <w:pPr>
        <w:spacing w:after="0" w:line="43" w:lineRule="exact"/>
        <w:rPr>
          <w:rFonts w:ascii="Arial" w:cs="Arial" w:eastAsia="Arial" w:hAnsi="Arial"/>
          <w:sz w:val="19"/>
          <w:szCs w:val="19"/>
          <w:color w:val="auto"/>
        </w:rPr>
      </w:pPr>
    </w:p>
    <w:p>
      <w:pPr>
        <w:ind w:left="660" w:firstLine="1293"/>
        <w:spacing w:after="0" w:line="292" w:lineRule="auto"/>
        <w:tabs>
          <w:tab w:leader="none" w:pos="2425"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any Subsidiary Guarantee of the Notes by a Subsidiary Guarantor that is a Significant Subsidiary ceases to be in full force and effect, other than (1) in accordance with the terms of this Indenture, (2) a Subsidiary Guarantor that is a Significant Subsidiary denies or disaffirms its obligations under its Subsidiary Guarantee of the Notes, other than in accordance with the terms of this Indenture or upon release of such Subsidiary Guarantee in accordance with this Indenture or (3) in connection with the bankruptcy of a Subsidiary Guarantor that is a Significant Subsidiary, so long as the aggregate assets of such Subsidiary Guarantor and any other Subsidiary Guarantor whose Subsidiary Guarantee ceased or ceases to be in full force as a result of a bankruptcy are less than $100.0 million;</w:t>
      </w:r>
    </w:p>
    <w:p>
      <w:pPr>
        <w:spacing w:after="0" w:line="43" w:lineRule="exact"/>
        <w:rPr>
          <w:rFonts w:ascii="Arial" w:cs="Arial" w:eastAsia="Arial" w:hAnsi="Arial"/>
          <w:sz w:val="19"/>
          <w:szCs w:val="19"/>
          <w:color w:val="auto"/>
        </w:rPr>
      </w:pPr>
    </w:p>
    <w:p>
      <w:pPr>
        <w:ind w:left="660" w:right="100" w:firstLine="1293"/>
        <w:spacing w:after="0" w:line="253" w:lineRule="auto"/>
        <w:tabs>
          <w:tab w:leader="none" w:pos="242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Company or any Significant Subsidiary or any group of Restricted Subsidiaries that, taken together as of the latest audited consolidated financial statements for the Company, would constitute a Significant Subsidiary pursuant to or within the meaning of any Bankruptcy Law:</w:t>
      </w:r>
    </w:p>
    <w:p>
      <w:pPr>
        <w:spacing w:after="0" w:line="77" w:lineRule="exact"/>
        <w:rPr>
          <w:rFonts w:ascii="Arial" w:cs="Arial" w:eastAsia="Arial" w:hAnsi="Arial"/>
          <w:sz w:val="22"/>
          <w:szCs w:val="22"/>
          <w:color w:val="auto"/>
        </w:rPr>
      </w:pPr>
    </w:p>
    <w:p>
      <w:pPr>
        <w:ind w:left="3120" w:hanging="519"/>
        <w:spacing w:after="0"/>
        <w:tabs>
          <w:tab w:leader="none" w:pos="31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111" w:lineRule="exact"/>
        <w:rPr>
          <w:rFonts w:ascii="Arial" w:cs="Arial" w:eastAsia="Arial" w:hAnsi="Arial"/>
          <w:sz w:val="22"/>
          <w:szCs w:val="22"/>
          <w:color w:val="auto"/>
        </w:rPr>
      </w:pPr>
    </w:p>
    <w:p>
      <w:pPr>
        <w:ind w:left="3100" w:hanging="499"/>
        <w:spacing w:after="0"/>
        <w:tabs>
          <w:tab w:leader="none" w:pos="310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 case or proceeding;</w:t>
      </w:r>
    </w:p>
    <w:p>
      <w:pPr>
        <w:spacing w:after="0" w:line="123" w:lineRule="exact"/>
        <w:rPr>
          <w:rFonts w:ascii="Arial" w:cs="Arial" w:eastAsia="Arial" w:hAnsi="Arial"/>
          <w:sz w:val="21"/>
          <w:szCs w:val="21"/>
          <w:color w:val="auto"/>
        </w:rPr>
      </w:pPr>
    </w:p>
    <w:p>
      <w:pPr>
        <w:ind w:left="3100" w:hanging="499"/>
        <w:spacing w:after="0"/>
        <w:tabs>
          <w:tab w:leader="none" w:pos="310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substantially all of its property;</w:t>
      </w:r>
    </w:p>
    <w:p>
      <w:pPr>
        <w:spacing w:after="0" w:line="111" w:lineRule="exact"/>
        <w:rPr>
          <w:rFonts w:ascii="Arial" w:cs="Arial" w:eastAsia="Arial" w:hAnsi="Arial"/>
          <w:sz w:val="22"/>
          <w:szCs w:val="22"/>
          <w:color w:val="auto"/>
        </w:rPr>
      </w:pPr>
    </w:p>
    <w:p>
      <w:pPr>
        <w:ind w:left="3120" w:hanging="519"/>
        <w:spacing w:after="0"/>
        <w:tabs>
          <w:tab w:leader="none" w:pos="31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111" w:lineRule="exact"/>
        <w:rPr>
          <w:rFonts w:ascii="Arial" w:cs="Arial" w:eastAsia="Arial" w:hAnsi="Arial"/>
          <w:sz w:val="22"/>
          <w:szCs w:val="22"/>
          <w:color w:val="auto"/>
        </w:rPr>
      </w:pPr>
    </w:p>
    <w:p>
      <w:pPr>
        <w:ind w:left="3100" w:hanging="499"/>
        <w:spacing w:after="0"/>
        <w:tabs>
          <w:tab w:leader="none" w:pos="310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it; or</w:t>
      </w:r>
    </w:p>
    <w:p>
      <w:pPr>
        <w:spacing w:after="0" w:line="93" w:lineRule="exact"/>
        <w:rPr>
          <w:rFonts w:ascii="Arial" w:cs="Arial" w:eastAsia="Arial" w:hAnsi="Arial"/>
          <w:sz w:val="19"/>
          <w:szCs w:val="19"/>
          <w:color w:val="auto"/>
        </w:rPr>
      </w:pPr>
    </w:p>
    <w:p>
      <w:pPr>
        <w:ind w:left="3080" w:hanging="479"/>
        <w:spacing w:after="0"/>
        <w:tabs>
          <w:tab w:leader="none" w:pos="308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takes any comparable action under any foreign laws relating to insolvency; and</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111" w:lineRule="exact"/>
        <w:rPr>
          <w:rFonts w:ascii="Arial" w:cs="Arial" w:eastAsia="Arial" w:hAnsi="Arial"/>
          <w:sz w:val="22"/>
          <w:szCs w:val="22"/>
          <w:color w:val="auto"/>
        </w:rPr>
      </w:pPr>
    </w:p>
    <w:p>
      <w:pPr>
        <w:ind w:left="660" w:right="900" w:firstLine="1941"/>
        <w:spacing w:after="0" w:line="263" w:lineRule="auto"/>
        <w:tabs>
          <w:tab w:leader="none" w:pos="3121" w:val="left"/>
        </w:tabs>
        <w:numPr>
          <w:ilvl w:val="1"/>
          <w:numId w:val="185"/>
        </w:numPr>
        <w:rPr>
          <w:rFonts w:ascii="Arial" w:cs="Arial" w:eastAsia="Arial" w:hAnsi="Arial"/>
          <w:sz w:val="22"/>
          <w:szCs w:val="22"/>
          <w:color w:val="auto"/>
        </w:rPr>
      </w:pPr>
      <w:r>
        <w:rPr>
          <w:rFonts w:ascii="Arial" w:cs="Arial" w:eastAsia="Arial" w:hAnsi="Arial"/>
          <w:sz w:val="22"/>
          <w:szCs w:val="22"/>
          <w:color w:val="auto"/>
        </w:rPr>
        <w:t>is for relief against the Company or Significant Subsidiary or any group of Restricted Subsidiaries that, taken together as of the latest audited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00"/>
          </w:cols>
          <w:pgMar w:left="240" w:top="847" w:right="259" w:bottom="1440" w:gutter="0" w:footer="0" w:header="0"/>
        </w:sectPr>
      </w:pPr>
    </w:p>
    <w:bookmarkStart w:id="158" w:name="page159"/>
    <w:bookmarkEnd w:id="158"/>
    <w:p>
      <w:pPr>
        <w:jc w:val="center"/>
        <w:ind w:right="20"/>
        <w:spacing w:after="0"/>
        <w:rPr>
          <w:sz w:val="20"/>
          <w:szCs w:val="20"/>
          <w:color w:val="auto"/>
        </w:rPr>
      </w:pPr>
      <w:r>
        <w:rPr>
          <w:rFonts w:ascii="Arial" w:cs="Arial" w:eastAsia="Arial" w:hAnsi="Arial"/>
          <w:sz w:val="22"/>
          <w:szCs w:val="22"/>
          <w:color w:val="auto"/>
        </w:rPr>
        <w:t>consolidated financial statements for the Company, would constitute a Significant Subsidiary, in an involuntary case;</w:t>
      </w:r>
    </w:p>
    <w:p>
      <w:pPr>
        <w:spacing w:after="0" w:line="112" w:lineRule="exact"/>
        <w:rPr>
          <w:sz w:val="20"/>
          <w:szCs w:val="20"/>
          <w:color w:val="auto"/>
        </w:rPr>
      </w:pPr>
    </w:p>
    <w:p>
      <w:pPr>
        <w:ind w:left="660" w:right="40" w:firstLine="1941"/>
        <w:spacing w:after="0" w:line="253" w:lineRule="auto"/>
        <w:tabs>
          <w:tab w:leader="none" w:pos="3109"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appoints a Custodian of the Company, any Significant Subsidiary or any group of Restricted Subsidiaries that, taken together as of the latest audited consolidated financial statements for the Company, would constitute a Significant Subsidiary, for substantially all of its property;</w:t>
      </w:r>
    </w:p>
    <w:p>
      <w:pPr>
        <w:spacing w:after="0" w:line="77" w:lineRule="exact"/>
        <w:rPr>
          <w:rFonts w:ascii="Arial" w:cs="Arial" w:eastAsia="Arial" w:hAnsi="Arial"/>
          <w:sz w:val="22"/>
          <w:szCs w:val="22"/>
          <w:color w:val="auto"/>
        </w:rPr>
      </w:pPr>
    </w:p>
    <w:p>
      <w:pPr>
        <w:ind w:left="660" w:right="200" w:firstLine="1941"/>
        <w:spacing w:after="0" w:line="253" w:lineRule="auto"/>
        <w:tabs>
          <w:tab w:leader="none" w:pos="3109" w:val="left"/>
        </w:tabs>
        <w:numPr>
          <w:ilvl w:val="0"/>
          <w:numId w:val="186"/>
        </w:numPr>
        <w:rPr>
          <w:rFonts w:ascii="Arial" w:cs="Arial" w:eastAsia="Arial" w:hAnsi="Arial"/>
          <w:sz w:val="22"/>
          <w:szCs w:val="22"/>
          <w:color w:val="auto"/>
        </w:rPr>
      </w:pPr>
      <w:r>
        <w:rPr>
          <w:rFonts w:ascii="Arial" w:cs="Arial" w:eastAsia="Arial" w:hAnsi="Arial"/>
          <w:sz w:val="22"/>
          <w:szCs w:val="22"/>
          <w:color w:val="auto"/>
        </w:rPr>
        <w:t>orders the winding up or liquidation of the Company, any Significant Subsidiary or any group of Restricted Subsidiaries that, taken together as of the latest audited consolidated financial statements for the Company, would constitute a Significant Subsidiary; or</w:t>
      </w:r>
    </w:p>
    <w:p>
      <w:pPr>
        <w:spacing w:after="0" w:line="77" w:lineRule="exact"/>
        <w:rPr>
          <w:rFonts w:ascii="Arial" w:cs="Arial" w:eastAsia="Arial" w:hAnsi="Arial"/>
          <w:sz w:val="22"/>
          <w:szCs w:val="22"/>
          <w:color w:val="auto"/>
        </w:rPr>
      </w:pPr>
    </w:p>
    <w:p>
      <w:pPr>
        <w:ind w:left="660" w:right="540" w:firstLine="1941"/>
        <w:spacing w:after="0" w:line="263" w:lineRule="auto"/>
        <w:tabs>
          <w:tab w:leader="none" w:pos="312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similar relief is granted under any foreign laws and the order, decree or relief remains unstayed and in effect for 60 consecutive days.</w:t>
      </w:r>
    </w:p>
    <w:p>
      <w:pPr>
        <w:spacing w:after="0" w:line="67"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However, a default under clauses (3), (4) or (5) of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will not constitute an Event of Default until the Trustee or the Holders of 30% in principal amount of the outstanding Notes notify the Company of the default and, with respect to clauses (3) and (5) the Company does not cure such default within the time specified in clauses (3) or (5), as applicable, of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after receipt of such notice; </w:t>
      </w:r>
      <w:r>
        <w:rPr>
          <w:rFonts w:ascii="Arial" w:cs="Arial" w:eastAsia="Arial" w:hAnsi="Arial"/>
          <w:sz w:val="21"/>
          <w:szCs w:val="21"/>
          <w:u w:val="single" w:color="auto"/>
          <w:color w:val="auto"/>
        </w:rPr>
        <w:t>provided</w:t>
      </w:r>
      <w:r>
        <w:rPr>
          <w:rFonts w:ascii="Arial" w:cs="Arial" w:eastAsia="Arial" w:hAnsi="Arial"/>
          <w:sz w:val="21"/>
          <w:szCs w:val="21"/>
          <w:color w:val="auto"/>
        </w:rPr>
        <w:t>, that a notice of Default may not be given with respect to any action taken, and reported publicly or to Holders, more than two years prior to such notice of Default.</w:t>
      </w:r>
    </w:p>
    <w:p>
      <w:pPr>
        <w:spacing w:after="0" w:line="6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Any notice of Default, notice of acceleration or instruction to the Trustee to provide a notice of Default, notice of acceleration or take any other action (a “</w:t>
      </w:r>
      <w:r>
        <w:rPr>
          <w:rFonts w:ascii="Arial" w:cs="Arial" w:eastAsia="Arial" w:hAnsi="Arial"/>
          <w:sz w:val="19"/>
          <w:szCs w:val="19"/>
          <w:u w:val="single" w:color="auto"/>
          <w:color w:val="auto"/>
        </w:rPr>
        <w:t>Noteholder Direction</w:t>
      </w:r>
      <w:r>
        <w:rPr>
          <w:rFonts w:ascii="Arial" w:cs="Arial" w:eastAsia="Arial" w:hAnsi="Arial"/>
          <w:sz w:val="19"/>
          <w:szCs w:val="19"/>
          <w:color w:val="auto"/>
        </w:rPr>
        <w:t>”) provided by any one or more Holders (each a “</w:t>
      </w:r>
      <w:r>
        <w:rPr>
          <w:rFonts w:ascii="Arial" w:cs="Arial" w:eastAsia="Arial" w:hAnsi="Arial"/>
          <w:sz w:val="19"/>
          <w:szCs w:val="19"/>
          <w:u w:val="single" w:color="auto"/>
          <w:color w:val="auto"/>
        </w:rPr>
        <w:t>Directing Holder</w:t>
      </w:r>
      <w:r>
        <w:rPr>
          <w:rFonts w:ascii="Arial" w:cs="Arial" w:eastAsia="Arial" w:hAnsi="Arial"/>
          <w:sz w:val="19"/>
          <w:szCs w:val="19"/>
          <w:color w:val="auto"/>
        </w:rPr>
        <w:t>”) must be accompanied by a written representation from each such Holder to the Company and the Trustee that such Holder is not (or, in the case such Holder is DTC or its nominee, that such Holder is being instructed solely by beneficial owners that are not) Net Short (a “</w:t>
      </w:r>
      <w:r>
        <w:rPr>
          <w:rFonts w:ascii="Arial" w:cs="Arial" w:eastAsia="Arial" w:hAnsi="Arial"/>
          <w:sz w:val="19"/>
          <w:szCs w:val="19"/>
          <w:u w:val="single" w:color="auto"/>
          <w:color w:val="auto"/>
        </w:rPr>
        <w:t>Position Representation</w:t>
      </w:r>
      <w:r>
        <w:rPr>
          <w:rFonts w:ascii="Arial" w:cs="Arial" w:eastAsia="Arial" w:hAnsi="Arial"/>
          <w:sz w:val="19"/>
          <w:szCs w:val="19"/>
          <w:color w:val="auto"/>
        </w:rPr>
        <w:t>”), which representation, in the case of a Noteholder Direction relating to a notice of Default (a “</w:t>
      </w:r>
      <w:r>
        <w:rPr>
          <w:rFonts w:ascii="Arial" w:cs="Arial" w:eastAsia="Arial" w:hAnsi="Arial"/>
          <w:sz w:val="19"/>
          <w:szCs w:val="19"/>
          <w:u w:val="single" w:color="auto"/>
          <w:color w:val="auto"/>
        </w:rPr>
        <w:t>Default Direction</w:t>
      </w:r>
      <w:r>
        <w:rPr>
          <w:rFonts w:ascii="Arial" w:cs="Arial" w:eastAsia="Arial" w:hAnsi="Arial"/>
          <w:sz w:val="19"/>
          <w:szCs w:val="19"/>
          <w:color w:val="auto"/>
        </w:rPr>
        <w:t>”) shall be deemed repeated at all times until the resulting Event of Default is cured or otherwise ceases to exist or the Notes are accelerated. In addition, each Directing Holder must, at the time of providing a Noteholder Direction, covenant to provide the Company with such other information as the Company may reasonably request from time to time in order to verify the accuracy of such Noteholder’s Position Representation within five Business Days of request therefor (a “</w:t>
      </w:r>
      <w:r>
        <w:rPr>
          <w:rFonts w:ascii="Arial" w:cs="Arial" w:eastAsia="Arial" w:hAnsi="Arial"/>
          <w:sz w:val="19"/>
          <w:szCs w:val="19"/>
          <w:u w:val="single" w:color="auto"/>
          <w:color w:val="auto"/>
        </w:rPr>
        <w:t>Verification Covenant</w:t>
      </w:r>
      <w:r>
        <w:rPr>
          <w:rFonts w:ascii="Arial" w:cs="Arial" w:eastAsia="Arial" w:hAnsi="Arial"/>
          <w:sz w:val="19"/>
          <w:szCs w:val="19"/>
          <w:color w:val="auto"/>
        </w:rPr>
        <w:t>”). In any case in which the Holder is DTC or its nominee, any Position Representation or Verification Covenant required hereunder shall be provided by the beneficial owner of the Notes in lieu of DTC or its nominee.</w:t>
      </w:r>
    </w:p>
    <w:p>
      <w:pPr>
        <w:spacing w:after="0" w:line="47"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evidence that the Company has filed papers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Event of Default shall be automatically stayed pending a final and non-appealable determination of a court of competent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848" w:right="239" w:bottom="1440" w:gutter="0" w:footer="0" w:header="0"/>
        </w:sectPr>
      </w:pPr>
    </w:p>
    <w:bookmarkStart w:id="159" w:name="page160"/>
    <w:bookmarkEnd w:id="159"/>
    <w:p>
      <w:pPr>
        <w:ind w:right="40"/>
        <w:spacing w:after="0" w:line="259" w:lineRule="auto"/>
        <w:rPr>
          <w:sz w:val="20"/>
          <w:szCs w:val="20"/>
          <w:color w:val="auto"/>
        </w:rPr>
      </w:pPr>
      <w:r>
        <w:rPr>
          <w:rFonts w:ascii="Arial" w:cs="Arial" w:eastAsia="Arial" w:hAnsi="Arial"/>
          <w:sz w:val="21"/>
          <w:szCs w:val="21"/>
          <w:color w:val="auto"/>
        </w:rPr>
        <w:t xml:space="preserve">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any Event of Default that resulted from the applicable Noteholder Direction shall be automatically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w:t>
      </w:r>
      <w:r>
        <w:rPr>
          <w:rFonts w:ascii="Arial" w:cs="Arial" w:eastAsia="Arial" w:hAnsi="Arial"/>
          <w:sz w:val="21"/>
          <w:szCs w:val="21"/>
          <w:i w:val="1"/>
          <w:iCs w:val="1"/>
          <w:color w:val="auto"/>
        </w:rPr>
        <w:t>ab initio</w:t>
      </w:r>
      <w:r>
        <w:rPr>
          <w:rFonts w:ascii="Arial" w:cs="Arial" w:eastAsia="Arial" w:hAnsi="Arial"/>
          <w:sz w:val="21"/>
          <w:szCs w:val="21"/>
          <w:color w:val="auto"/>
        </w:rPr>
        <w:t>, with the effect that such Event of Default shall be deemed never to have occurred and the Trustee shall be deemed to have not received the Noteholder Direction or any notice of such Event of Default.</w:t>
      </w:r>
    </w:p>
    <w:p>
      <w:pPr>
        <w:spacing w:after="0" w:line="7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Acceleration</w:t>
      </w:r>
      <w:r>
        <w:rPr>
          <w:rFonts w:ascii="Arial" w:cs="Arial" w:eastAsia="Arial" w:hAnsi="Arial"/>
          <w:sz w:val="21"/>
          <w:szCs w:val="21"/>
          <w:color w:val="auto"/>
        </w:rPr>
        <w:t xml:space="preserve">. If an Event of Default (other than an Event of Default described in clause (7) or (8) of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with respect to the Company) occurs and is continuing, the Trustee by notice to the Company or the Holders of at least 30% in principal amount of the outstanding Notes by written notice to the Company and the Trustee, may declare the principal of, premium, if any, and accrued and unpaid interest on all the Notes to be due and payable. Upon such a declaration, such principal, premium and accrued and unpaid interest will be due and payable immediately.</w:t>
      </w:r>
    </w:p>
    <w:p>
      <w:pPr>
        <w:spacing w:after="0" w:line="68"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In the event of a declaration of acceleration of the Notes because an Event of Default specified in clause (4) of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has occurred and is continuing, the declaration of acceleration of the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in each case, within 30 days after the declaration of acceleration with respect thereto and if:</w:t>
      </w:r>
    </w:p>
    <w:p>
      <w:pPr>
        <w:spacing w:after="0" w:line="68" w:lineRule="exact"/>
        <w:rPr>
          <w:sz w:val="20"/>
          <w:szCs w:val="20"/>
          <w:color w:val="auto"/>
        </w:rPr>
      </w:pPr>
    </w:p>
    <w:p>
      <w:pPr>
        <w:ind w:left="660" w:right="420" w:firstLine="1293"/>
        <w:spacing w:after="0" w:line="263" w:lineRule="auto"/>
        <w:tabs>
          <w:tab w:leader="none" w:pos="242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annulment of the acceleration of the Notes would not conflict with any judgment or decree of a court of competent jurisdiction;</w:t>
      </w:r>
    </w:p>
    <w:p>
      <w:pPr>
        <w:spacing w:after="0" w:line="66" w:lineRule="exact"/>
        <w:rPr>
          <w:rFonts w:ascii="Arial" w:cs="Arial" w:eastAsia="Arial" w:hAnsi="Arial"/>
          <w:sz w:val="22"/>
          <w:szCs w:val="22"/>
          <w:color w:val="auto"/>
        </w:rPr>
      </w:pPr>
    </w:p>
    <w:p>
      <w:pPr>
        <w:jc w:val="both"/>
        <w:ind w:left="660" w:right="80" w:firstLine="1293"/>
        <w:spacing w:after="0" w:line="312" w:lineRule="auto"/>
        <w:tabs>
          <w:tab w:leader="none" w:pos="242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all existing Events of Default, except nonpayment of principal, premium or interest on the Notes that became due solely because of the acceleration of the Notes, have been cured or waived; provided, that any time period to cure any actual or alleged Default or Event of Default may be extended or stayed by a court of competent jurisdiction ; and</w:t>
      </w:r>
    </w:p>
    <w:p>
      <w:pPr>
        <w:spacing w:after="0" w:line="25" w:lineRule="exact"/>
        <w:rPr>
          <w:rFonts w:ascii="Arial" w:cs="Arial" w:eastAsia="Arial" w:hAnsi="Arial"/>
          <w:sz w:val="19"/>
          <w:szCs w:val="19"/>
          <w:color w:val="auto"/>
        </w:rPr>
      </w:pPr>
    </w:p>
    <w:p>
      <w:pPr>
        <w:ind w:left="660" w:right="60" w:firstLine="1293"/>
        <w:spacing w:after="0" w:line="253" w:lineRule="auto"/>
        <w:tabs>
          <w:tab w:leader="none" w:pos="242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there has been paid or deposited with the Trustee a sum sufficient to pay all amounts due to the Trustee and reimburse the Trustee for any and all expenses, disbursements and fees incurred by the Trustee, its agents and its counsel, in such capacity, in connection with such acceleration.</w:t>
      </w:r>
    </w:p>
    <w:p>
      <w:pPr>
        <w:spacing w:after="0" w:line="78"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If an Event of Default described in clause (7) or (8) above with respect to the Company occurs and is continuing, the principal of, premium, if any, and accrued and unpaid interest on all the Notes will become and be immediately due and payable without any declaration or other act on the part of the Trustee or any Holders.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380"/>
          </w:cols>
          <w:pgMar w:left="240" w:top="847" w:right="279" w:bottom="1440" w:gutter="0" w:footer="0" w:header="0"/>
        </w:sectPr>
      </w:pPr>
    </w:p>
    <w:bookmarkStart w:id="160" w:name="page161"/>
    <w:bookmarkEnd w:id="160"/>
    <w:p>
      <w:pPr>
        <w:ind w:right="20" w:firstLine="648"/>
        <w:spacing w:after="0" w:line="271"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Other Remedies</w:t>
      </w:r>
      <w:r>
        <w:rPr>
          <w:rFonts w:ascii="Arial" w:cs="Arial" w:eastAsia="Arial" w:hAnsi="Arial"/>
          <w:sz w:val="21"/>
          <w:szCs w:val="21"/>
          <w:color w:val="auto"/>
        </w:rPr>
        <w:t>. If an Event of Default occurs and is continuing, the Trustee may pursue any available contractual remedy under this Indenture by proceeding at law or in equity to collect the payment of principal of, or premium, if any, or interest on the Notes or to enforce the performance of any provision of the Notes or this Indenture.</w:t>
      </w:r>
    </w:p>
    <w:p>
      <w:pPr>
        <w:spacing w:after="0" w:line="60"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8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Notwithstanding any other provision of this Indenture, (i) if a Default for a failure to report or failure to deliver a required certificate in connection with another default (the “</w:t>
      </w:r>
      <w:r>
        <w:rPr>
          <w:rFonts w:ascii="Arial" w:cs="Arial" w:eastAsia="Arial" w:hAnsi="Arial"/>
          <w:sz w:val="19"/>
          <w:szCs w:val="19"/>
          <w:u w:val="single" w:color="auto"/>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the covenant entitled “Reports”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43"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Waiver of Past Defaults</w:t>
      </w:r>
      <w:r>
        <w:rPr>
          <w:rFonts w:ascii="Arial" w:cs="Arial" w:eastAsia="Arial" w:hAnsi="Arial"/>
          <w:sz w:val="21"/>
          <w:szCs w:val="21"/>
          <w:color w:val="auto"/>
        </w:rPr>
        <w:t>. The Holders of a majority in principal amount of the then outstanding Notes under this Indenture may (a) waive all past or existing Defaults or Events of Default and their consequences under this Indenture (except with respect to nonpayment of principal, premium or interest) and (b) rescind any such acceleration with respect to such Notes and its consequences if (1) rescission would not conflict with any judgment or decree of a court of competent jurisdiction and (2) there has been paid to or deposited with the Trustee a sum sufficient to pay all amounts due to the Trustee under this Indenture and to reimburse the Trustee for any and all fees, expenses and disbursements incurred by the Trustee, its agents and its counsel, in such capacity, in connection with such acceleration.</w:t>
      </w:r>
    </w:p>
    <w:p>
      <w:pPr>
        <w:spacing w:after="0" w:line="73"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Control by Majority</w:t>
      </w:r>
      <w:r>
        <w:rPr>
          <w:rFonts w:ascii="Arial" w:cs="Arial" w:eastAsia="Arial" w:hAnsi="Arial"/>
          <w:sz w:val="19"/>
          <w:szCs w:val="19"/>
          <w:color w:val="auto"/>
        </w:rPr>
        <w:t xml:space="preserve">. The Holders of a majority in principal amount of the outstanding Notes may direct the time, method and place of conducting any proceeding for any remedy available to the Trustee pursuant to this Indenture or of exercising any trust or power conferred on the Trustee pursuant to this Indenture. If an Event of Default has occurred and is continuing, the Trustee shall be required in the exercise of its powers to use the degree of care that a prudent person would use in the conduct of his own affairs. However, the Trustee may refuse to follow any direction that conflicts with law or this Indenture or the Notes or, subject to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that the Trustee determines is unduly prejudicial to the rights of other Holders or would involve the Trustee in personal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may take any other action deemed proper by the Trustee that is not inconsistent with such direction. Prior to taking any such action hereunder, the Trustee shall be entitled to indemnification satisfactory to it against all losses and expenses that may be caused by taking or not taking such action.</w:t>
      </w:r>
    </w:p>
    <w:p>
      <w:pPr>
        <w:spacing w:after="0" w:line="50"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7.2</w:t>
      </w:r>
      <w:r>
        <w:rPr>
          <w:rFonts w:ascii="Arial" w:cs="Arial" w:eastAsia="Arial" w:hAnsi="Arial"/>
          <w:sz w:val="19"/>
          <w:szCs w:val="19"/>
          <w:color w:val="auto"/>
        </w:rPr>
        <w:t>, no Holder may pursue any remedy with respect to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Notes unless: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848" w:right="239" w:bottom="1440" w:gutter="0" w:footer="0" w:header="0"/>
        </w:sectPr>
      </w:pPr>
    </w:p>
    <w:bookmarkStart w:id="161" w:name="page162"/>
    <w:bookmarkEnd w:id="161"/>
    <w:p>
      <w:pPr>
        <w:ind w:left="2420" w:hanging="467"/>
        <w:spacing w:after="0"/>
        <w:tabs>
          <w:tab w:leader="none" w:pos="24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such Holder has previously given the Trustee written notice that an Event of Default is continuing;</w:t>
      </w:r>
    </w:p>
    <w:p>
      <w:pPr>
        <w:spacing w:after="0" w:line="146" w:lineRule="exact"/>
        <w:rPr>
          <w:rFonts w:ascii="Arial" w:cs="Arial" w:eastAsia="Arial" w:hAnsi="Arial"/>
          <w:sz w:val="19"/>
          <w:szCs w:val="19"/>
          <w:color w:val="auto"/>
        </w:rPr>
      </w:pPr>
    </w:p>
    <w:p>
      <w:pPr>
        <w:ind w:left="660" w:right="480" w:firstLine="1293"/>
        <w:spacing w:after="0" w:line="263" w:lineRule="auto"/>
        <w:tabs>
          <w:tab w:leader="none" w:pos="242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Holders of at least 30% in principal amount of the outstanding Notes have requested in writing the Trustee to pursue the remedy;</w:t>
      </w:r>
    </w:p>
    <w:p>
      <w:pPr>
        <w:spacing w:after="0" w:line="66" w:lineRule="exact"/>
        <w:rPr>
          <w:rFonts w:ascii="Arial" w:cs="Arial" w:eastAsia="Arial" w:hAnsi="Arial"/>
          <w:sz w:val="22"/>
          <w:szCs w:val="22"/>
          <w:color w:val="auto"/>
        </w:rPr>
      </w:pPr>
    </w:p>
    <w:p>
      <w:pPr>
        <w:ind w:left="660" w:right="620" w:firstLine="1293"/>
        <w:spacing w:after="0" w:line="263" w:lineRule="auto"/>
        <w:tabs>
          <w:tab w:leader="none" w:pos="242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such Holders have offered in writing the Trustee security or indemnity satisfactory to the Trustee against any loss, liability or expense;</w:t>
      </w:r>
    </w:p>
    <w:p>
      <w:pPr>
        <w:spacing w:after="0" w:line="66" w:lineRule="exact"/>
        <w:rPr>
          <w:rFonts w:ascii="Arial" w:cs="Arial" w:eastAsia="Arial" w:hAnsi="Arial"/>
          <w:sz w:val="22"/>
          <w:szCs w:val="22"/>
          <w:color w:val="auto"/>
        </w:rPr>
      </w:pPr>
    </w:p>
    <w:p>
      <w:pPr>
        <w:ind w:left="660" w:right="320" w:firstLine="1293"/>
        <w:spacing w:after="0" w:line="263" w:lineRule="auto"/>
        <w:tabs>
          <w:tab w:leader="none" w:pos="242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written request and the offer of security or indemnity; and</w:t>
      </w:r>
    </w:p>
    <w:p>
      <w:pPr>
        <w:spacing w:after="0" w:line="66" w:lineRule="exact"/>
        <w:rPr>
          <w:rFonts w:ascii="Arial" w:cs="Arial" w:eastAsia="Arial" w:hAnsi="Arial"/>
          <w:sz w:val="22"/>
          <w:szCs w:val="22"/>
          <w:color w:val="auto"/>
        </w:rPr>
      </w:pPr>
    </w:p>
    <w:p>
      <w:pPr>
        <w:ind w:left="660" w:right="420" w:firstLine="1293"/>
        <w:spacing w:after="0" w:line="341" w:lineRule="auto"/>
        <w:tabs>
          <w:tab w:leader="none" w:pos="242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Notes have not given the Trustee a written direction that, in the opinion of the Trustee, is inconsistent with such request within such 60-day period.</w:t>
      </w:r>
    </w:p>
    <w:p>
      <w:pPr>
        <w:ind w:left="660"/>
        <w:spacing w:after="0"/>
        <w:tabs>
          <w:tab w:leader="none" w:pos="208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Collection Suit by Trustee</w:t>
      </w:r>
      <w:r>
        <w:rPr>
          <w:rFonts w:ascii="Arial" w:cs="Arial" w:eastAsia="Arial" w:hAnsi="Arial"/>
          <w:sz w:val="22"/>
          <w:szCs w:val="22"/>
          <w:color w:val="auto"/>
        </w:rPr>
        <w:t xml:space="preserve">. If an Event of Default specified in clauses (1) or (2)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occurs and is continuing, the Trustee may recover judgment in its own name and as trustee of an express trust against the Company for the whole amount then due and owing (together with interest and Additional Interest, if any, on any unpaid interest to the extent lawful) and the amounts provided for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8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respective agents and its respective counsel, and any other amounts due the Trustee under </w:t>
      </w:r>
      <w:r>
        <w:rPr>
          <w:rFonts w:ascii="Arial" w:cs="Arial" w:eastAsia="Arial" w:hAnsi="Arial"/>
          <w:sz w:val="19"/>
          <w:szCs w:val="19"/>
          <w:u w:val="single" w:color="auto"/>
          <w:color w:val="auto"/>
        </w:rPr>
        <w:t>Section 7.7</w:t>
      </w:r>
      <w:r>
        <w:rPr>
          <w:rFonts w:ascii="Arial" w:cs="Arial" w:eastAsia="Arial" w:hAnsi="Arial"/>
          <w:sz w:val="19"/>
          <w:szCs w:val="19"/>
          <w:color w:val="auto"/>
        </w:rPr>
        <w:t>.</w:t>
      </w:r>
    </w:p>
    <w:p>
      <w:pPr>
        <w:spacing w:after="0" w:line="5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9"/>
          <w:szCs w:val="19"/>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2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Priorities</w:t>
      </w:r>
      <w:r>
        <w:rPr>
          <w:rFonts w:ascii="Arial" w:cs="Arial" w:eastAsia="Arial" w:hAnsi="Arial"/>
          <w:sz w:val="19"/>
          <w:szCs w:val="19"/>
          <w:color w:val="auto"/>
        </w:rPr>
        <w:t>.</w:t>
      </w:r>
    </w:p>
    <w:p>
      <w:pPr>
        <w:spacing w:after="0" w:line="112" w:lineRule="exact"/>
        <w:rPr>
          <w:sz w:val="20"/>
          <w:szCs w:val="20"/>
          <w:color w:val="auto"/>
        </w:rPr>
      </w:pPr>
    </w:p>
    <w:p>
      <w:pPr>
        <w:ind w:right="80" w:firstLine="1305"/>
        <w:spacing w:after="0" w:line="263" w:lineRule="auto"/>
        <w:tabs>
          <w:tab w:leader="none" w:pos="1752"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If the Trustee collects any money or property pursuant to this Article VI, it shall pay out the money or property in the following order:</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FIRST: to the Trustee for amounts due to them under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847" w:right="239" w:bottom="1440" w:gutter="0" w:footer="0" w:header="0"/>
        </w:sectPr>
      </w:pPr>
    </w:p>
    <w:bookmarkStart w:id="162" w:name="page163"/>
    <w:bookmarkEnd w:id="162"/>
    <w:p>
      <w:pPr>
        <w:ind w:right="160" w:firstLine="648"/>
        <w:spacing w:after="0" w:line="253" w:lineRule="auto"/>
        <w:rPr>
          <w:sz w:val="20"/>
          <w:szCs w:val="20"/>
          <w:color w:val="auto"/>
        </w:rPr>
      </w:pPr>
      <w:r>
        <w:rPr>
          <w:rFonts w:ascii="Arial" w:cs="Arial" w:eastAsia="Arial" w:hAnsi="Arial"/>
          <w:sz w:val="22"/>
          <w:szCs w:val="22"/>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THIRD: to the Company, or to the extent the Trustee collects any amount for any Guarantor, to such Guarantor.</w:t>
      </w:r>
    </w:p>
    <w:p>
      <w:pPr>
        <w:spacing w:after="0" w:line="123" w:lineRule="exact"/>
        <w:rPr>
          <w:sz w:val="20"/>
          <w:szCs w:val="20"/>
          <w:color w:val="auto"/>
        </w:rPr>
      </w:pPr>
    </w:p>
    <w:p>
      <w:pPr>
        <w:ind w:right="100" w:firstLine="1305"/>
        <w:spacing w:after="0" w:line="253" w:lineRule="auto"/>
        <w:tabs>
          <w:tab w:leader="none" w:pos="1761"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Trustee may fix a record date and payment date for any payment to Holders pursuant to this </w:t>
      </w:r>
      <w:r>
        <w:rPr>
          <w:rFonts w:ascii="Arial" w:cs="Arial" w:eastAsia="Arial" w:hAnsi="Arial"/>
          <w:sz w:val="22"/>
          <w:szCs w:val="22"/>
          <w:u w:val="single" w:color="auto"/>
          <w:color w:val="auto"/>
        </w:rPr>
        <w:t>Section 6.10</w:t>
      </w:r>
      <w:r>
        <w:rPr>
          <w:rFonts w:ascii="Arial" w:cs="Arial" w:eastAsia="Arial" w:hAnsi="Arial"/>
          <w:sz w:val="22"/>
          <w:szCs w:val="22"/>
          <w:color w:val="auto"/>
        </w:rPr>
        <w:t>. At least 15 days before such record date, the Company shall send or cause to be sent to each Holder and the Trustee a notice that states the record date, the payment date and amount to be paid.</w:t>
      </w:r>
    </w:p>
    <w:p>
      <w:pPr>
        <w:spacing w:after="0" w:line="78"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does not apply to a suit by the Trustee, a suit by the Company or a suit by Holders of more than 10% in outstanding principal amount of the Notes.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TRUSTEE</w:t>
      </w:r>
    </w:p>
    <w:p>
      <w:pPr>
        <w:spacing w:after="0" w:line="11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112" w:lineRule="exact"/>
        <w:rPr>
          <w:sz w:val="20"/>
          <w:szCs w:val="20"/>
          <w:color w:val="auto"/>
        </w:rPr>
      </w:pPr>
    </w:p>
    <w:p>
      <w:pPr>
        <w:ind w:firstLine="1305"/>
        <w:spacing w:after="0" w:line="253" w:lineRule="auto"/>
        <w:tabs>
          <w:tab w:leader="none" w:pos="175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77" w:lineRule="exact"/>
        <w:rPr>
          <w:rFonts w:ascii="Arial" w:cs="Arial" w:eastAsia="Arial" w:hAnsi="Arial"/>
          <w:sz w:val="22"/>
          <w:szCs w:val="22"/>
          <w:color w:val="auto"/>
        </w:rPr>
      </w:pPr>
    </w:p>
    <w:p>
      <w:pPr>
        <w:ind w:left="1780" w:hanging="475"/>
        <w:spacing w:after="0"/>
        <w:tabs>
          <w:tab w:leader="none" w:pos="17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111" w:lineRule="exact"/>
        <w:rPr>
          <w:rFonts w:ascii="Arial" w:cs="Arial" w:eastAsia="Arial" w:hAnsi="Arial"/>
          <w:sz w:val="22"/>
          <w:szCs w:val="22"/>
          <w:color w:val="auto"/>
        </w:rPr>
      </w:pPr>
    </w:p>
    <w:p>
      <w:pPr>
        <w:ind w:left="660" w:right="240" w:firstLine="1293"/>
        <w:spacing w:after="0" w:line="341" w:lineRule="auto"/>
        <w:tabs>
          <w:tab w:leader="none" w:pos="2425" w:val="left"/>
        </w:tabs>
        <w:numPr>
          <w:ilvl w:val="1"/>
          <w:numId w:val="191"/>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ind w:left="660" w:firstLine="1293"/>
        <w:spacing w:after="0" w:line="246" w:lineRule="auto"/>
        <w:tabs>
          <w:tab w:leader="none" w:pos="2425" w:val="left"/>
        </w:tabs>
        <w:numPr>
          <w:ilvl w:val="1"/>
          <w:numId w:val="191"/>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380"/>
          </w:cols>
          <w:pgMar w:left="240" w:top="847" w:right="279" w:bottom="1440" w:gutter="0" w:footer="0" w:header="0"/>
        </w:sectPr>
      </w:pPr>
    </w:p>
    <w:bookmarkStart w:id="163" w:name="page164"/>
    <w:bookmarkEnd w:id="163"/>
    <w:p>
      <w:pPr>
        <w:ind w:right="240" w:firstLine="1305"/>
        <w:spacing w:after="0" w:line="263" w:lineRule="auto"/>
        <w:tabs>
          <w:tab w:leader="none" w:pos="174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grossly negligent action, its own grossly negligent failure to act or its own willful misconduct, except that:</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 xml:space="preserve">this paragraph does not limit the effect of paragraph (b)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660" w:right="280" w:firstLine="1293"/>
        <w:spacing w:after="0" w:line="287" w:lineRule="auto"/>
        <w:tabs>
          <w:tab w:leader="none" w:pos="2425" w:val="left"/>
        </w:tabs>
        <w:numPr>
          <w:ilvl w:val="1"/>
          <w:numId w:val="192"/>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grossly negligent in ascertaining the pertinent facts;</w:t>
      </w:r>
    </w:p>
    <w:p>
      <w:pPr>
        <w:spacing w:after="0" w:line="43" w:lineRule="exact"/>
        <w:rPr>
          <w:rFonts w:ascii="Arial" w:cs="Arial" w:eastAsia="Arial" w:hAnsi="Arial"/>
          <w:sz w:val="21"/>
          <w:szCs w:val="21"/>
          <w:color w:val="auto"/>
        </w:rPr>
      </w:pPr>
    </w:p>
    <w:p>
      <w:pPr>
        <w:ind w:left="660" w:right="680" w:firstLine="1293"/>
        <w:spacing w:after="0" w:line="263" w:lineRule="auto"/>
        <w:tabs>
          <w:tab w:leader="none" w:pos="2425" w:val="left"/>
        </w:tabs>
        <w:numPr>
          <w:ilvl w:val="1"/>
          <w:numId w:val="192"/>
        </w:numPr>
        <w:rPr>
          <w:rFonts w:ascii="Arial" w:cs="Arial" w:eastAsia="Arial" w:hAnsi="Arial"/>
          <w:sz w:val="22"/>
          <w:szCs w:val="22"/>
          <w:color w:val="auto"/>
        </w:rPr>
      </w:pPr>
      <w:r>
        <w:rPr>
          <w:rFonts w:ascii="Arial" w:cs="Arial" w:eastAsia="Arial" w:hAnsi="Arial"/>
          <w:sz w:val="22"/>
          <w:szCs w:val="22"/>
          <w:color w:val="auto"/>
        </w:rPr>
        <w:t xml:space="preserve">the Trustee shall not be liable with respect to any action it takes or omits to take in good faith in accordance with a direction received by it pursuant to </w:t>
      </w:r>
      <w:r>
        <w:rPr>
          <w:rFonts w:ascii="Arial" w:cs="Arial" w:eastAsia="Arial" w:hAnsi="Arial"/>
          <w:sz w:val="22"/>
          <w:szCs w:val="22"/>
          <w:u w:val="single" w:color="auto"/>
          <w:color w:val="auto"/>
        </w:rPr>
        <w:t>Section 6.5</w:t>
      </w:r>
      <w:r>
        <w:rPr>
          <w:rFonts w:ascii="Arial" w:cs="Arial" w:eastAsia="Arial" w:hAnsi="Arial"/>
          <w:sz w:val="22"/>
          <w:szCs w:val="22"/>
          <w:color w:val="auto"/>
        </w:rPr>
        <w:t>; and</w:t>
      </w:r>
    </w:p>
    <w:p>
      <w:pPr>
        <w:spacing w:after="0" w:line="66" w:lineRule="exact"/>
        <w:rPr>
          <w:rFonts w:ascii="Arial" w:cs="Arial" w:eastAsia="Arial" w:hAnsi="Arial"/>
          <w:sz w:val="22"/>
          <w:szCs w:val="22"/>
          <w:color w:val="auto"/>
        </w:rPr>
      </w:pPr>
    </w:p>
    <w:p>
      <w:pPr>
        <w:ind w:left="660" w:firstLine="1293"/>
        <w:spacing w:after="0" w:line="250" w:lineRule="auto"/>
        <w:tabs>
          <w:tab w:leader="none" w:pos="2425" w:val="left"/>
        </w:tabs>
        <w:numPr>
          <w:ilvl w:val="1"/>
          <w:numId w:val="192"/>
        </w:numPr>
        <w:rPr>
          <w:rFonts w:ascii="Arial" w:cs="Arial" w:eastAsia="Arial" w:hAnsi="Arial"/>
          <w:sz w:val="22"/>
          <w:szCs w:val="22"/>
          <w:color w:val="auto"/>
        </w:rPr>
      </w:pPr>
      <w:r>
        <w:rPr>
          <w:rFonts w:ascii="Arial" w:cs="Arial" w:eastAsia="Arial" w:hAnsi="Arial"/>
          <w:sz w:val="22"/>
          <w:szCs w:val="22"/>
          <w:color w:val="auto"/>
        </w:rPr>
        <w:t>No provision of this Indenture or the Notes shall require the Trustee to expend or risk its own funds or 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80" w:lineRule="exact"/>
        <w:rPr>
          <w:rFonts w:ascii="Arial" w:cs="Arial" w:eastAsia="Arial" w:hAnsi="Arial"/>
          <w:sz w:val="22"/>
          <w:szCs w:val="22"/>
          <w:color w:val="auto"/>
        </w:rPr>
      </w:pPr>
    </w:p>
    <w:p>
      <w:pPr>
        <w:ind w:left="1780" w:hanging="475"/>
        <w:spacing w:after="0"/>
        <w:tabs>
          <w:tab w:leader="none" w:pos="178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paragraphs (a), (b) and (c)</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93" w:lineRule="exact"/>
        <w:rPr>
          <w:rFonts w:ascii="Arial" w:cs="Arial" w:eastAsia="Arial" w:hAnsi="Arial"/>
          <w:sz w:val="19"/>
          <w:szCs w:val="19"/>
          <w:color w:val="auto"/>
        </w:rPr>
      </w:pPr>
    </w:p>
    <w:p>
      <w:pPr>
        <w:ind w:right="480" w:firstLine="1305"/>
        <w:spacing w:after="0" w:line="263" w:lineRule="auto"/>
        <w:tabs>
          <w:tab w:leader="none" w:pos="174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Company.</w:t>
      </w:r>
    </w:p>
    <w:p>
      <w:pPr>
        <w:spacing w:after="0" w:line="66" w:lineRule="exact"/>
        <w:rPr>
          <w:rFonts w:ascii="Arial" w:cs="Arial" w:eastAsia="Arial" w:hAnsi="Arial"/>
          <w:sz w:val="22"/>
          <w:szCs w:val="22"/>
          <w:color w:val="auto"/>
        </w:rPr>
      </w:pPr>
    </w:p>
    <w:p>
      <w:pPr>
        <w:ind w:left="1740" w:hanging="435"/>
        <w:spacing w:after="0"/>
        <w:tabs>
          <w:tab w:leader="none" w:pos="174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Money held in trust by the Trustee need not be segregated from other funds except to the extent required by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93" w:lineRule="exact"/>
        <w:rPr>
          <w:rFonts w:ascii="Arial" w:cs="Arial" w:eastAsia="Arial" w:hAnsi="Arial"/>
          <w:sz w:val="19"/>
          <w:szCs w:val="19"/>
          <w:color w:val="auto"/>
        </w:rPr>
      </w:pPr>
    </w:p>
    <w:p>
      <w:pPr>
        <w:ind w:right="180" w:firstLine="1305"/>
        <w:spacing w:after="0" w:line="263" w:lineRule="auto"/>
        <w:tabs>
          <w:tab w:leader="none" w:pos="1765" w:val="left"/>
        </w:tabs>
        <w:numPr>
          <w:ilvl w:val="0"/>
          <w:numId w:val="192"/>
        </w:numPr>
        <w:rPr>
          <w:rFonts w:ascii="Arial" w:cs="Arial" w:eastAsia="Arial" w:hAnsi="Arial"/>
          <w:sz w:val="22"/>
          <w:szCs w:val="22"/>
          <w:color w:val="auto"/>
        </w:rPr>
      </w:pPr>
      <w:r>
        <w:rPr>
          <w:rFonts w:ascii="Arial" w:cs="Arial" w:eastAsia="Arial" w:hAnsi="Arial"/>
          <w:sz w:val="22"/>
          <w:szCs w:val="22"/>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6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7.1</w:t>
      </w:r>
      <w:r>
        <w:rPr>
          <w:rFonts w:ascii="Arial" w:cs="Arial" w:eastAsia="Arial" w:hAnsi="Arial"/>
          <w:sz w:val="19"/>
          <w:szCs w:val="19"/>
          <w:color w:val="auto"/>
        </w:rPr>
        <w:t>:</w:t>
      </w:r>
    </w:p>
    <w:p>
      <w:pPr>
        <w:spacing w:after="0" w:line="112" w:lineRule="exact"/>
        <w:rPr>
          <w:sz w:val="20"/>
          <w:szCs w:val="20"/>
          <w:color w:val="auto"/>
        </w:rPr>
      </w:pPr>
    </w:p>
    <w:p>
      <w:pPr>
        <w:ind w:right="100" w:firstLine="1305"/>
        <w:spacing w:after="0" w:line="294" w:lineRule="auto"/>
        <w:tabs>
          <w:tab w:leader="none" w:pos="1749"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Trustee may conclusively rely on and shall be fully protected in acting or refraining from acting upon any resolution, certificate, statement, instrument, opinion, report, notice, request, direction, consent, order or other paper or document (whether in its original or 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w:t>
      </w:r>
    </w:p>
    <w:p>
      <w:pPr>
        <w:spacing w:after="0" w:line="41" w:lineRule="exact"/>
        <w:rPr>
          <w:rFonts w:ascii="Arial" w:cs="Arial" w:eastAsia="Arial" w:hAnsi="Arial"/>
          <w:sz w:val="19"/>
          <w:szCs w:val="19"/>
          <w:color w:val="auto"/>
        </w:rPr>
      </w:pPr>
    </w:p>
    <w:p>
      <w:pPr>
        <w:ind w:right="180" w:firstLine="1305"/>
        <w:spacing w:after="0" w:line="253" w:lineRule="auto"/>
        <w:tabs>
          <w:tab w:leader="none" w:pos="1765" w:val="left"/>
        </w:tabs>
        <w:numPr>
          <w:ilvl w:val="0"/>
          <w:numId w:val="193"/>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77" w:lineRule="exact"/>
        <w:rPr>
          <w:rFonts w:ascii="Arial" w:cs="Arial" w:eastAsia="Arial" w:hAnsi="Arial"/>
          <w:sz w:val="22"/>
          <w:szCs w:val="22"/>
          <w:color w:val="auto"/>
        </w:rPr>
      </w:pPr>
    </w:p>
    <w:p>
      <w:pPr>
        <w:ind w:right="660" w:firstLine="1305"/>
        <w:spacing w:after="0" w:line="263" w:lineRule="auto"/>
        <w:tabs>
          <w:tab w:leader="none" w:pos="174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Trustee may execute any of the trusts and powers hereunder or perform any duties hereunder either directly by or through its attorneys and agents and shall not</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380"/>
          </w:cols>
          <w:pgMar w:left="240" w:top="848" w:right="27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be responsible for the misconduct or negligence of any agent or attorney appointed with due care by it hereunder.</w:t>
      </w:r>
    </w:p>
    <w:p>
      <w:pPr>
        <w:spacing w:after="0" w:line="112" w:lineRule="exact"/>
        <w:rPr>
          <w:sz w:val="20"/>
          <w:szCs w:val="20"/>
          <w:color w:val="auto"/>
        </w:rPr>
      </w:pPr>
    </w:p>
    <w:p>
      <w:pPr>
        <w:ind w:right="540" w:firstLine="1305"/>
        <w:spacing w:after="0" w:line="263" w:lineRule="auto"/>
        <w:tabs>
          <w:tab w:leader="none" w:pos="176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66" w:lineRule="exact"/>
        <w:rPr>
          <w:rFonts w:ascii="Arial" w:cs="Arial" w:eastAsia="Arial" w:hAnsi="Arial"/>
          <w:sz w:val="22"/>
          <w:szCs w:val="22"/>
          <w:color w:val="auto"/>
        </w:rPr>
      </w:pPr>
    </w:p>
    <w:p>
      <w:pPr>
        <w:ind w:right="140" w:firstLine="1305"/>
        <w:spacing w:after="0" w:line="312" w:lineRule="auto"/>
        <w:tabs>
          <w:tab w:leader="none" w:pos="174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the advice or opinion of counsel relating to this 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25" w:lineRule="exact"/>
        <w:rPr>
          <w:rFonts w:ascii="Arial" w:cs="Arial" w:eastAsia="Arial" w:hAnsi="Arial"/>
          <w:sz w:val="19"/>
          <w:szCs w:val="19"/>
          <w:color w:val="auto"/>
        </w:rPr>
      </w:pPr>
    </w:p>
    <w:p>
      <w:pPr>
        <w:ind w:firstLine="1305"/>
        <w:spacing w:after="0" w:line="302" w:lineRule="auto"/>
        <w:tabs>
          <w:tab w:leader="none" w:pos="172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The Trustee shall not be charged with knowledge of any Default or Event of Default with respect to the Notes unless either (1) with respect to any payment default a Responsible Officer of the Trustee has actual knowledge of such Default or Event of Default or (2) a written notice of such Default or Event of Default shall have been given to a Responsible Officer of the Trustee at the corporate trust office of the Trustee specified in </w:t>
      </w:r>
      <w:r>
        <w:rPr>
          <w:rFonts w:ascii="Arial" w:cs="Arial" w:eastAsia="Arial" w:hAnsi="Arial"/>
          <w:sz w:val="19"/>
          <w:szCs w:val="19"/>
          <w:u w:val="single" w:color="auto"/>
          <w:color w:val="auto"/>
        </w:rPr>
        <w:t>Section 12.2</w:t>
      </w:r>
      <w:r>
        <w:rPr>
          <w:rFonts w:ascii="Arial" w:cs="Arial" w:eastAsia="Arial" w:hAnsi="Arial"/>
          <w:sz w:val="19"/>
          <w:szCs w:val="19"/>
          <w:color w:val="auto"/>
        </w:rPr>
        <w:t>, and such notice references the Notes and this Indenture.</w:t>
      </w:r>
    </w:p>
    <w:p>
      <w:pPr>
        <w:spacing w:after="0" w:line="34" w:lineRule="exact"/>
        <w:rPr>
          <w:rFonts w:ascii="Arial" w:cs="Arial" w:eastAsia="Arial" w:hAnsi="Arial"/>
          <w:sz w:val="19"/>
          <w:szCs w:val="19"/>
          <w:color w:val="auto"/>
        </w:rPr>
      </w:pPr>
    </w:p>
    <w:p>
      <w:pPr>
        <w:ind w:right="140" w:firstLine="1305"/>
        <w:spacing w:after="0" w:line="253" w:lineRule="auto"/>
        <w:tabs>
          <w:tab w:leader="none" w:pos="176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each agent, custodian and other Person employed to act hereunder.</w:t>
      </w:r>
    </w:p>
    <w:p>
      <w:pPr>
        <w:spacing w:after="0" w:line="77" w:lineRule="exact"/>
        <w:rPr>
          <w:rFonts w:ascii="Arial" w:cs="Arial" w:eastAsia="Arial" w:hAnsi="Arial"/>
          <w:sz w:val="22"/>
          <w:szCs w:val="22"/>
          <w:color w:val="auto"/>
        </w:rPr>
      </w:pPr>
    </w:p>
    <w:p>
      <w:pPr>
        <w:ind w:right="40" w:firstLine="1305"/>
        <w:spacing w:after="0" w:line="250" w:lineRule="auto"/>
        <w:tabs>
          <w:tab w:leader="none" w:pos="176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or the Notes at the request or direction of any of the Holders pursuant to the provisions of this Indenture, unless such Holders shall have offered to the Trustee indemnity or security reasonably satisfactory to the Trustee against any loss, liability or expense which may be incurred therein or thereby.</w:t>
      </w:r>
    </w:p>
    <w:p>
      <w:pPr>
        <w:spacing w:after="0" w:line="80" w:lineRule="exact"/>
        <w:rPr>
          <w:rFonts w:ascii="Arial" w:cs="Arial" w:eastAsia="Arial" w:hAnsi="Arial"/>
          <w:sz w:val="22"/>
          <w:szCs w:val="22"/>
          <w:color w:val="auto"/>
        </w:rPr>
      </w:pPr>
    </w:p>
    <w:p>
      <w:pPr>
        <w:ind w:right="60" w:firstLine="1305"/>
        <w:spacing w:after="0" w:line="263" w:lineRule="auto"/>
        <w:tabs>
          <w:tab w:leader="none" w:pos="171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any fact or matter unless such fact or matter is known to a Responsible Officer of the Trustee.</w:t>
      </w:r>
    </w:p>
    <w:p>
      <w:pPr>
        <w:spacing w:after="0" w:line="66" w:lineRule="exact"/>
        <w:rPr>
          <w:rFonts w:ascii="Arial" w:cs="Arial" w:eastAsia="Arial" w:hAnsi="Arial"/>
          <w:sz w:val="22"/>
          <w:szCs w:val="22"/>
          <w:color w:val="auto"/>
        </w:rPr>
      </w:pPr>
    </w:p>
    <w:p>
      <w:pPr>
        <w:ind w:right="240" w:firstLine="1305"/>
        <w:spacing w:after="0" w:line="250" w:lineRule="auto"/>
        <w:tabs>
          <w:tab w:leader="none" w:pos="171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Whenever in the administration of this Indenture or the Notes the Trustee shall deem it desirable that a matter be proved or established prior to taking, suffering or omitting any action hereunder or thereunder, the Trustee (unless other evidence be herein specifically prescribed) may, in the absence of negligence or willful misconduct on its part, conclusively rely upon an Officer’s Certificate.</w:t>
      </w:r>
    </w:p>
    <w:p>
      <w:pPr>
        <w:spacing w:after="0" w:line="80" w:lineRule="exact"/>
        <w:rPr>
          <w:rFonts w:ascii="Arial" w:cs="Arial" w:eastAsia="Arial" w:hAnsi="Arial"/>
          <w:sz w:val="22"/>
          <w:szCs w:val="22"/>
          <w:color w:val="auto"/>
        </w:rPr>
      </w:pPr>
    </w:p>
    <w:p>
      <w:pPr>
        <w:ind w:right="80" w:firstLine="1305"/>
        <w:spacing w:after="0" w:line="246" w:lineRule="auto"/>
        <w:tabs>
          <w:tab w:leader="none" w:pos="176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Trustee shall not be bound to make any investigation into the facts or matters stated in any resolution, certificate, statement, instrument,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w:t>
      </w:r>
    </w:p>
    <w:p>
      <w:pPr>
        <w:spacing w:after="0" w:line="89" w:lineRule="exact"/>
        <w:rPr>
          <w:rFonts w:ascii="Arial" w:cs="Arial" w:eastAsia="Arial" w:hAnsi="Arial"/>
          <w:sz w:val="22"/>
          <w:szCs w:val="22"/>
          <w:color w:val="auto"/>
        </w:rPr>
      </w:pPr>
    </w:p>
    <w:p>
      <w:pPr>
        <w:ind w:left="1720" w:hanging="415"/>
        <w:spacing w:after="0"/>
        <w:tabs>
          <w:tab w:leader="none" w:pos="172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duties hereunder.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847" w:right="239" w:bottom="1440" w:gutter="0" w:footer="0" w:header="0"/>
        </w:sectPr>
      </w:pPr>
    </w:p>
    <w:bookmarkStart w:id="165" w:name="page166"/>
    <w:bookmarkEnd w:id="165"/>
    <w:p>
      <w:pPr>
        <w:jc w:val="both"/>
        <w:ind w:right="780" w:firstLine="1305"/>
        <w:spacing w:after="0" w:line="341" w:lineRule="auto"/>
        <w:tabs>
          <w:tab w:leader="none" w:pos="182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Trustee may request that the Company delivers an Officer’s Certificate setting forth the names of individuals and/or titles of officers authorized at such time to take specified actions pursuant to this Indenture or the Notes.</w:t>
      </w:r>
    </w:p>
    <w:p>
      <w:pPr>
        <w:ind w:right="180" w:firstLine="1305"/>
        <w:spacing w:after="0" w:line="253" w:lineRule="auto"/>
        <w:tabs>
          <w:tab w:leader="none" w:pos="176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77" w:lineRule="exact"/>
        <w:rPr>
          <w:rFonts w:ascii="Arial" w:cs="Arial" w:eastAsia="Arial" w:hAnsi="Arial"/>
          <w:sz w:val="22"/>
          <w:szCs w:val="22"/>
          <w:color w:val="auto"/>
        </w:rPr>
      </w:pPr>
    </w:p>
    <w:p>
      <w:pPr>
        <w:ind w:right="420" w:firstLine="1305"/>
        <w:spacing w:after="0" w:line="263" w:lineRule="auto"/>
        <w:tabs>
          <w:tab w:leader="none" w:pos="1765" w:val="left"/>
        </w:tabs>
        <w:numPr>
          <w:ilvl w:val="0"/>
          <w:numId w:val="195"/>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shall be sufficient if signed by one Officer of the Company.</w:t>
      </w:r>
    </w:p>
    <w:p>
      <w:pPr>
        <w:spacing w:after="0" w:line="66" w:lineRule="exact"/>
        <w:rPr>
          <w:rFonts w:ascii="Arial" w:cs="Arial" w:eastAsia="Arial" w:hAnsi="Arial"/>
          <w:sz w:val="22"/>
          <w:szCs w:val="22"/>
          <w:color w:val="auto"/>
        </w:rPr>
      </w:pPr>
    </w:p>
    <w:p>
      <w:pPr>
        <w:ind w:firstLine="1305"/>
        <w:spacing w:after="0" w:line="312" w:lineRule="auto"/>
        <w:tabs>
          <w:tab w:leader="none" w:pos="1761"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Trustee may employ a custodian, agent, nominee or delegate to transact or concur in transacting any business and to do or concur in doing any acts required to be done by the Trustee (including the receipt and payment of money) and shall not be responsible for the gross misconduct or gross negligence of any such agent appointed with due care.</w:t>
      </w:r>
    </w:p>
    <w:p>
      <w:pPr>
        <w:spacing w:after="0" w:line="25" w:lineRule="exact"/>
        <w:rPr>
          <w:rFonts w:ascii="Arial" w:cs="Arial" w:eastAsia="Arial" w:hAnsi="Arial"/>
          <w:sz w:val="19"/>
          <w:szCs w:val="19"/>
          <w:color w:val="auto"/>
        </w:rPr>
      </w:pPr>
    </w:p>
    <w:p>
      <w:pPr>
        <w:ind w:left="1760" w:hanging="455"/>
        <w:spacing w:after="0"/>
        <w:tabs>
          <w:tab w:leader="none" w:pos="17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Trustee shall not be responsible or liable for the computation of any interest payments or redemption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amounts.</w:t>
      </w:r>
    </w:p>
    <w:p>
      <w:pPr>
        <w:spacing w:after="0" w:line="93" w:lineRule="exact"/>
        <w:rPr>
          <w:rFonts w:ascii="Arial" w:cs="Arial" w:eastAsia="Arial" w:hAnsi="Arial"/>
          <w:sz w:val="19"/>
          <w:szCs w:val="19"/>
          <w:color w:val="auto"/>
        </w:rPr>
      </w:pPr>
    </w:p>
    <w:p>
      <w:pPr>
        <w:ind w:left="1740" w:hanging="435"/>
        <w:spacing w:after="0"/>
        <w:tabs>
          <w:tab w:leader="none" w:pos="17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permissive rights of the Trustee enumerated herein shall not be construed as duties.</w:t>
      </w:r>
    </w:p>
    <w:p>
      <w:pPr>
        <w:spacing w:after="0" w:line="112"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Individual Rights of Trustee</w:t>
      </w:r>
      <w:r>
        <w:rPr>
          <w:rFonts w:ascii="Arial" w:cs="Arial" w:eastAsia="Arial" w:hAnsi="Arial"/>
          <w:sz w:val="19"/>
          <w:szCs w:val="19"/>
          <w:color w:val="auto"/>
        </w:rPr>
        <w:t xml:space="preserve">. The Trustee in its individual or any other capacity may become the owner or pledgee of Notes and may otherwise deal with the Company, the Guarantors or their Affiliates with the same rights it would have if it were not Trustee. Any Paying Agent, Registrar, co-registrar or co-paying agent may do the same with like rights. However, the Trustee must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In addition, the Trustee shall be permitted to engage in transactions with the Company.</w:t>
      </w:r>
    </w:p>
    <w:p>
      <w:pPr>
        <w:spacing w:after="0" w:line="3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 The Trustee shall not be responsible for and makes no representation as to the validity or adequacy of this Indenture or the Notes, shall not be accountable for the Company’s use of the proceeds from the sale of the Notes, shall not be responsible for the use or application of any money received by any Paying Agent other than the Trustee or any money paid to the Company pursuant to the terms of this Indenture and shall not be responsible for any statement of the Company in this Indenture or in any document issued in connection with the sale of the Notes or in the Notes other than the Trustee’s certificate of authentication.</w:t>
      </w:r>
    </w:p>
    <w:p>
      <w:pPr>
        <w:spacing w:after="0" w:line="86"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9"/>
          <w:szCs w:val="19"/>
          <w:color w:val="auto"/>
        </w:rPr>
        <w:t xml:space="preserve">SECTION 7.5 </w:t>
      </w:r>
      <w:r>
        <w:rPr>
          <w:rFonts w:ascii="Arial" w:cs="Arial" w:eastAsia="Arial" w:hAnsi="Arial"/>
          <w:sz w:val="19"/>
          <w:szCs w:val="19"/>
          <w:u w:val="single" w:color="auto"/>
          <w:color w:val="auto"/>
        </w:rPr>
        <w:t>Notice of Defaults</w:t>
      </w:r>
      <w:r>
        <w:rPr>
          <w:rFonts w:ascii="Arial" w:cs="Arial" w:eastAsia="Arial" w:hAnsi="Arial"/>
          <w:sz w:val="19"/>
          <w:szCs w:val="19"/>
          <w:color w:val="auto"/>
        </w:rPr>
        <w:t>. If a Default occurs and is continuing and if a Responsible Officer is informed of such occurrence by the Company, the Trustee shall give notice of the Default to the Holders within 60 days after being notified by the Company. Except in the case of a Default in payment of principal of, or premium, if any, or interest on any Note, the Trustee may withhold the notice if and so long it in good faith determines that withholding the notice is in the interests of Holders.</w:t>
      </w:r>
    </w:p>
    <w:p>
      <w:pPr>
        <w:spacing w:after="0" w:line="3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Compensation and Indemnity</w:t>
      </w:r>
      <w:r>
        <w:rPr>
          <w:rFonts w:ascii="Arial" w:cs="Arial" w:eastAsia="Arial" w:hAnsi="Arial"/>
          <w:sz w:val="22"/>
          <w:szCs w:val="22"/>
          <w:color w:val="auto"/>
        </w:rPr>
        <w:t>. The Company shall pay to the Trustee from time to time compensation for its services hereunder and under the Notes as the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00"/>
          </w:cols>
          <w:pgMar w:left="240" w:top="847" w:right="259" w:bottom="1440" w:gutter="0" w:footer="0" w:header="0"/>
        </w:sectPr>
      </w:pPr>
    </w:p>
    <w:bookmarkStart w:id="166" w:name="page167"/>
    <w:bookmarkEnd w:id="166"/>
    <w:p>
      <w:pPr>
        <w:spacing w:after="0" w:line="286" w:lineRule="auto"/>
        <w:rPr>
          <w:sz w:val="20"/>
          <w:szCs w:val="20"/>
          <w:color w:val="auto"/>
        </w:rPr>
      </w:pPr>
      <w:r>
        <w:rPr>
          <w:rFonts w:ascii="Arial" w:cs="Arial" w:eastAsia="Arial" w:hAnsi="Arial"/>
          <w:sz w:val="19"/>
          <w:szCs w:val="19"/>
          <w:color w:val="auto"/>
        </w:rPr>
        <w:t xml:space="preserve">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Company shall indemnify the Trustee and its respective officers, directors, employees, representatives and agents from and against any and all loss, liability, damages, claims or expense, including taxes (other than taxes based upon the income of the Trustee) (including reasonable attorneys’ and agents’ fees and expenses) incurred by it without willful misconduct or gross negligence, as determined by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19"/>
          <w:szCs w:val="19"/>
          <w:u w:val="single" w:color="auto"/>
          <w:color w:val="auto"/>
        </w:rPr>
        <w:t>Section 7.7</w:t>
      </w:r>
      <w:r>
        <w:rPr>
          <w:rFonts w:ascii="Arial" w:cs="Arial" w:eastAsia="Arial" w:hAnsi="Arial"/>
          <w:sz w:val="19"/>
          <w:szCs w:val="19"/>
          <w:color w:val="auto"/>
        </w:rPr>
        <w:t>) and the Notes and of defending itself against any claims (whether asserted by any Holder, the Company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one separate counsel and the Company shall pay the fees and expenses of such counsel.</w:t>
      </w:r>
    </w:p>
    <w:p>
      <w:pPr>
        <w:spacing w:after="0" w:line="52" w:lineRule="exact"/>
        <w:rPr>
          <w:sz w:val="20"/>
          <w:szCs w:val="20"/>
          <w:color w:val="auto"/>
        </w:rPr>
      </w:pPr>
    </w:p>
    <w:p>
      <w:pPr>
        <w:ind w:right="380" w:firstLine="648"/>
        <w:spacing w:after="0" w:line="248" w:lineRule="auto"/>
        <w:rPr>
          <w:sz w:val="20"/>
          <w:szCs w:val="20"/>
          <w:color w:val="auto"/>
        </w:rPr>
      </w:pPr>
      <w:r>
        <w:rPr>
          <w:rFonts w:ascii="Arial" w:cs="Arial" w:eastAsia="Arial" w:hAnsi="Arial"/>
          <w:sz w:val="22"/>
          <w:szCs w:val="22"/>
          <w:color w:val="auto"/>
        </w:rPr>
        <w:t xml:space="preserve">To secure the Company’s payment obligations in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of the appointment of any successor Trustee. The Trustee’s right to receive payment of any amounts due under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not be subordinate to any other liability or Indebtedness of the Company.</w:t>
      </w:r>
    </w:p>
    <w:p>
      <w:pPr>
        <w:spacing w:after="0" w:line="84"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 xml:space="preserve">The Company’s payment and other obligations pursuant to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survive the discharge of this Indenture and any resignation or removal of the Trustee under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22"/>
          <w:szCs w:val="22"/>
          <w:u w:val="single" w:color="auto"/>
          <w:color w:val="auto"/>
        </w:rPr>
        <w:t>Section 6.1</w:t>
      </w:r>
      <w:r>
        <w:rPr>
          <w:rFonts w:ascii="Arial" w:cs="Arial" w:eastAsia="Arial" w:hAnsi="Arial"/>
          <w:sz w:val="22"/>
          <w:szCs w:val="22"/>
          <w:color w:val="auto"/>
        </w:rPr>
        <w:t>, the expenses (including the reasonable fees and expenses of its counsel) are intended to constitute expenses of administration under any Bankruptcy Law.</w:t>
      </w:r>
    </w:p>
    <w:p>
      <w:pPr>
        <w:spacing w:after="0" w:line="84"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 The Trustee may resign at any time by so notifying the Company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Company’s written consent, which consent will not be unreasonably withheld. The Company shall remove the Trustee if:</w:t>
      </w:r>
    </w:p>
    <w:p>
      <w:pPr>
        <w:spacing w:after="0" w:line="84" w:lineRule="exact"/>
        <w:rPr>
          <w:sz w:val="20"/>
          <w:szCs w:val="20"/>
          <w:color w:val="auto"/>
        </w:rPr>
      </w:pPr>
    </w:p>
    <w:p>
      <w:pPr>
        <w:ind w:left="2420" w:hanging="467"/>
        <w:spacing w:after="0"/>
        <w:tabs>
          <w:tab w:leader="none" w:pos="24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the Trustee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Trustee is adjudged bankrupt or insolvent;</w:t>
      </w:r>
    </w:p>
    <w:p>
      <w:pPr>
        <w:spacing w:after="0" w:line="111" w:lineRule="exact"/>
        <w:rPr>
          <w:rFonts w:ascii="Arial" w:cs="Arial" w:eastAsia="Arial" w:hAnsi="Arial"/>
          <w:sz w:val="22"/>
          <w:szCs w:val="22"/>
          <w:color w:val="auto"/>
        </w:rPr>
      </w:pPr>
    </w:p>
    <w:p>
      <w:pPr>
        <w:ind w:left="2420" w:hanging="467"/>
        <w:spacing w:after="0"/>
        <w:tabs>
          <w:tab w:leader="none" w:pos="242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847" w:right="239" w:bottom="1440" w:gutter="0" w:footer="0" w:header="0"/>
        </w:sectPr>
      </w:pPr>
    </w:p>
    <w:bookmarkStart w:id="167" w:name="page168"/>
    <w:bookmarkEnd w:id="167"/>
    <w:p>
      <w:pPr>
        <w:ind w:left="1960"/>
        <w:spacing w:after="0"/>
        <w:tabs>
          <w:tab w:leader="none" w:pos="240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the Trustee otherwise becomes incapable of acting.</w:t>
      </w:r>
    </w:p>
    <w:p>
      <w:pPr>
        <w:spacing w:after="0" w:line="1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If the Trustee resigns or is removed by the Company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Company shall promptly appoint a successor Trustee.</w:t>
      </w:r>
    </w:p>
    <w:p>
      <w:pPr>
        <w:spacing w:after="0" w:line="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Company, promptly transfer all property held by it as Trustee to the successor Trustee, subject to the lien provided for in </w:t>
      </w:r>
      <w:r>
        <w:rPr>
          <w:rFonts w:ascii="Arial" w:cs="Arial" w:eastAsia="Arial" w:hAnsi="Arial"/>
          <w:sz w:val="19"/>
          <w:szCs w:val="19"/>
          <w:u w:val="single" w:color="auto"/>
          <w:color w:val="auto"/>
        </w:rPr>
        <w:t>Section 7.7</w:t>
      </w:r>
      <w:r>
        <w:rPr>
          <w:rFonts w:ascii="Arial" w:cs="Arial" w:eastAsia="Arial" w:hAnsi="Arial"/>
          <w:sz w:val="19"/>
          <w:szCs w:val="19"/>
          <w:color w:val="auto"/>
        </w:rPr>
        <w:t>, and the recognition thereof by the successor Trustee.</w:t>
      </w:r>
    </w:p>
    <w:p>
      <w:pPr>
        <w:spacing w:after="0" w:line="39"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If a successor Trustee does not take office within 60 days after the retiring Trustee resigns or is removed, the retiring Trustee or the Holders of at least 10% in principal amount of the Notes may petition, at the Company’s expense, any court of competent jurisdiction for the appointment of a successor Trustee.</w:t>
      </w:r>
    </w:p>
    <w:p>
      <w:pPr>
        <w:spacing w:after="0" w:line="78"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If the Trustee fails to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any Holder, who has been a bona fide holder of a Note for at least six months, may petition any court of competent jurisdiction for the removal of the Trustee and the appointment of a successor Trustee.</w:t>
      </w:r>
    </w:p>
    <w:p>
      <w:pPr>
        <w:ind w:right="20" w:firstLine="648"/>
        <w:spacing w:after="0" w:line="253" w:lineRule="auto"/>
        <w:rPr>
          <w:sz w:val="20"/>
          <w:szCs w:val="20"/>
          <w:color w:val="auto"/>
        </w:rPr>
      </w:pPr>
      <w:r>
        <w:rPr>
          <w:rFonts w:ascii="Arial" w:cs="Arial" w:eastAsia="Arial" w:hAnsi="Arial"/>
          <w:sz w:val="22"/>
          <w:szCs w:val="22"/>
          <w:color w:val="auto"/>
        </w:rPr>
        <w:t xml:space="preserve">Notwithstanding the replacement of the Trustee pursuant to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the Company’s obligations under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continue for the benefit of the retiring Trustee. The predecessor Trustee shall have no liability for any action or inaction of any successor Trustee.</w:t>
      </w:r>
    </w:p>
    <w:p>
      <w:pPr>
        <w:spacing w:after="0" w:line="78"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 xml:space="preserve">SECTION 7.9 </w:t>
      </w:r>
      <w:r>
        <w:rPr>
          <w:rFonts w:ascii="Arial" w:cs="Arial" w:eastAsia="Arial" w:hAnsi="Arial"/>
          <w:sz w:val="22"/>
          <w:szCs w:val="22"/>
          <w:u w:val="single" w:color="auto"/>
          <w:color w:val="auto"/>
        </w:rPr>
        <w:t>Successor Trustee by Merger</w:t>
      </w:r>
      <w:r>
        <w:rPr>
          <w:rFonts w:ascii="Arial" w:cs="Arial" w:eastAsia="Arial" w:hAnsi="Arial"/>
          <w:sz w:val="22"/>
          <w:szCs w:val="22"/>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78"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adopt the certificate of authentication of any predecessor Trustee or authenticate Notes in the name of any predecessor Trustee shall only apply to its successor or successors by merger, consolidation or conversion.</w:t>
      </w:r>
    </w:p>
    <w:p>
      <w:pPr>
        <w:spacing w:after="0" w:line="43"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rPr>
        <w:t>. The Trustee shall have a combined capital and surplus of at least $50 million as set forth in its most recent published annual report of condition.</w:t>
      </w:r>
    </w:p>
    <w:p>
      <w:pPr>
        <w:spacing w:after="0" w:line="6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848" w:right="239" w:bottom="1440" w:gutter="0" w:footer="0" w:header="0"/>
        </w:sectPr>
      </w:pPr>
    </w:p>
    <w:bookmarkStart w:id="168" w:name="page169"/>
    <w:bookmarkEnd w:id="168"/>
    <w:p>
      <w:pPr>
        <w:ind w:right="60" w:firstLine="648"/>
        <w:spacing w:after="0" w:line="290"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Trustee’s Application for Instruction from the Company</w:t>
      </w:r>
      <w:r>
        <w:rPr>
          <w:rFonts w:ascii="Arial" w:cs="Arial" w:eastAsia="Arial" w:hAnsi="Arial"/>
          <w:sz w:val="19"/>
          <w:szCs w:val="19"/>
          <w:color w:val="auto"/>
        </w:rPr>
        <w:t>. 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LEGAL DEFEASANCE AND COVENANT DEFEASANCE</w:t>
      </w:r>
    </w:p>
    <w:p>
      <w:pPr>
        <w:spacing w:after="0" w:line="118"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Option To Effect Legal Defeasance or Covenant Defeasance; Defeasance</w:t>
      </w:r>
      <w:r>
        <w:rPr>
          <w:rFonts w:ascii="Arial" w:cs="Arial" w:eastAsia="Arial" w:hAnsi="Arial"/>
          <w:sz w:val="22"/>
          <w:szCs w:val="22"/>
          <w:color w:val="auto"/>
        </w:rPr>
        <w:t xml:space="preserve">. The Issuers may, at their option and at any time, elect to have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 be applied to all outstanding Notes upon compliance with the conditions set forth below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78"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Legal Defeasance and Discharge</w:t>
      </w:r>
      <w:r>
        <w:rPr>
          <w:rFonts w:ascii="Arial" w:cs="Arial" w:eastAsia="Arial" w:hAnsi="Arial"/>
          <w:sz w:val="21"/>
          <w:szCs w:val="21"/>
          <w:color w:val="auto"/>
        </w:rPr>
        <w:t xml:space="preserve">. Upon the Issuers’ exercise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hereof of the option applicable to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the Issuers and each of the Guarantors will, subject to the satisfaction of the conditions set forth in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be deemed to have been discharged from their obligations with respect to all outstanding Notes (including the Guarantees) on the date the conditions set forth below are satisfied (hereinafter, “</w:t>
      </w:r>
      <w:r>
        <w:rPr>
          <w:rFonts w:ascii="Arial" w:cs="Arial" w:eastAsia="Arial" w:hAnsi="Arial"/>
          <w:sz w:val="21"/>
          <w:szCs w:val="21"/>
          <w:u w:val="single" w:color="auto"/>
          <w:color w:val="auto"/>
        </w:rPr>
        <w:t>Legal Defeasance</w:t>
      </w:r>
      <w:r>
        <w:rPr>
          <w:rFonts w:ascii="Arial" w:cs="Arial" w:eastAsia="Arial" w:hAnsi="Arial"/>
          <w:sz w:val="21"/>
          <w:szCs w:val="21"/>
          <w:color w:val="auto"/>
        </w:rPr>
        <w:t xml:space="preserve">”). For this purpose, Legal Defeasance means that the Issuers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hereof and the other Sections of this Indenture referred to in clauses (1) and (2) below, and to have satisfied all of their other obligations under such Notes, the Guarantees and this Indenture (and the Trustee, on written demand of and at the expense of the Issuers, shall execute such instruments reasonably requested by the Issuers acknowledging the same) and to have cured all then existing Events of Default, except for the following provisions which will survive until otherwise terminated or discharged hereunder:</w:t>
      </w:r>
    </w:p>
    <w:p>
      <w:pPr>
        <w:spacing w:after="0" w:line="75" w:lineRule="exact"/>
        <w:rPr>
          <w:sz w:val="20"/>
          <w:szCs w:val="20"/>
          <w:color w:val="auto"/>
        </w:rPr>
      </w:pPr>
    </w:p>
    <w:p>
      <w:pPr>
        <w:ind w:left="660" w:right="180" w:firstLine="1293"/>
        <w:spacing w:after="0" w:line="253" w:lineRule="auto"/>
        <w:tabs>
          <w:tab w:leader="none" w:pos="242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the rights of Holders of Notes issued under this Indenture to receive payments in respect of the principal of, premium, if any, and interest and Additional Interest, if any, on the Notes when such payments are due solely out of the trust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w:t>
      </w:r>
    </w:p>
    <w:p>
      <w:pPr>
        <w:spacing w:after="0" w:line="77" w:lineRule="exact"/>
        <w:rPr>
          <w:rFonts w:ascii="Arial" w:cs="Arial" w:eastAsia="Arial" w:hAnsi="Arial"/>
          <w:sz w:val="22"/>
          <w:szCs w:val="22"/>
          <w:color w:val="auto"/>
        </w:rPr>
      </w:pPr>
    </w:p>
    <w:p>
      <w:pPr>
        <w:ind w:left="660" w:right="20" w:firstLine="1293"/>
        <w:spacing w:after="0" w:line="271" w:lineRule="auto"/>
        <w:tabs>
          <w:tab w:leader="none" w:pos="2425" w:val="left"/>
        </w:tabs>
        <w:numPr>
          <w:ilvl w:val="0"/>
          <w:numId w:val="197"/>
        </w:numPr>
        <w:rPr>
          <w:rFonts w:ascii="Arial" w:cs="Arial" w:eastAsia="Arial" w:hAnsi="Arial"/>
          <w:sz w:val="21"/>
          <w:szCs w:val="21"/>
          <w:color w:val="auto"/>
        </w:rPr>
      </w:pPr>
      <w:r>
        <w:rPr>
          <w:rFonts w:ascii="Arial" w:cs="Arial" w:eastAsia="Arial" w:hAnsi="Arial"/>
          <w:sz w:val="21"/>
          <w:szCs w:val="21"/>
          <w:color w:val="auto"/>
        </w:rPr>
        <w:t xml:space="preserve">the Issuers’ obligations with respect to the Notes under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concerning issuing temporary Notes, registration of such Notes, mutilated, destroyed, lost or stolen Notes and </w:t>
      </w:r>
      <w:r>
        <w:rPr>
          <w:rFonts w:ascii="Arial" w:cs="Arial" w:eastAsia="Arial" w:hAnsi="Arial"/>
          <w:sz w:val="21"/>
          <w:szCs w:val="21"/>
          <w:u w:val="single" w:color="auto"/>
          <w:color w:val="auto"/>
        </w:rPr>
        <w:t>Section 3.12</w:t>
      </w:r>
      <w:r>
        <w:rPr>
          <w:rFonts w:ascii="Arial" w:cs="Arial" w:eastAsia="Arial" w:hAnsi="Arial"/>
          <w:sz w:val="21"/>
          <w:szCs w:val="21"/>
          <w:color w:val="auto"/>
        </w:rPr>
        <w:t xml:space="preserve"> hereof concerning the maintenance of an office or agency for payment and money for security payments held in trust;</w:t>
      </w:r>
    </w:p>
    <w:p>
      <w:pPr>
        <w:spacing w:after="0" w:line="59" w:lineRule="exact"/>
        <w:rPr>
          <w:rFonts w:ascii="Arial" w:cs="Arial" w:eastAsia="Arial" w:hAnsi="Arial"/>
          <w:sz w:val="21"/>
          <w:szCs w:val="21"/>
          <w:color w:val="auto"/>
        </w:rPr>
      </w:pPr>
    </w:p>
    <w:p>
      <w:pPr>
        <w:ind w:left="660" w:right="840" w:firstLine="1293"/>
        <w:spacing w:after="0" w:line="263" w:lineRule="auto"/>
        <w:tabs>
          <w:tab w:leader="none" w:pos="242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 the Issuers’ or Guarantors’ obligations in connection therewith; and</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380"/>
          </w:cols>
          <w:pgMar w:left="240" w:top="848" w:right="279" w:bottom="1440" w:gutter="0" w:footer="0" w:header="0"/>
        </w:sectPr>
      </w:pPr>
    </w:p>
    <w:bookmarkStart w:id="169" w:name="page170"/>
    <w:bookmarkEnd w:id="169"/>
    <w:p>
      <w:pPr>
        <w:ind w:left="1960"/>
        <w:spacing w:after="0"/>
        <w:tabs>
          <w:tab w:leader="none" w:pos="240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 xml:space="preserve">this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with respect to provisions relating to Legal Defeasance.</w:t>
      </w:r>
    </w:p>
    <w:p>
      <w:pPr>
        <w:spacing w:after="0" w:line="112" w:lineRule="exact"/>
        <w:rPr>
          <w:sz w:val="20"/>
          <w:szCs w:val="20"/>
          <w:color w:val="auto"/>
        </w:rPr>
      </w:pPr>
    </w:p>
    <w:p>
      <w:pPr>
        <w:ind w:right="60" w:firstLine="648"/>
        <w:spacing w:after="0" w:line="286"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the Issuers and each of the Guarantors will,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be released from each of their obligations under the covenants contained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Section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hereof with respect to the outstanding Notes on and after the date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are satisfied (hereinafter,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Issuers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but, except as specified above, the remainder of this Indenture and such Notes and Guarantees will be unaffected thereby. In addition,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Sections 6.1(3)</w:t>
      </w:r>
      <w:r>
        <w:rPr>
          <w:rFonts w:ascii="Arial" w:cs="Arial" w:eastAsia="Arial" w:hAnsi="Arial"/>
          <w:sz w:val="19"/>
          <w:szCs w:val="19"/>
          <w:color w:val="auto"/>
        </w:rPr>
        <w:t xml:space="preserve"> (other than with respect to </w:t>
      </w:r>
      <w:r>
        <w:rPr>
          <w:rFonts w:ascii="Arial" w:cs="Arial" w:eastAsia="Arial" w:hAnsi="Arial"/>
          <w:sz w:val="19"/>
          <w:szCs w:val="19"/>
          <w:u w:val="single" w:color="auto"/>
          <w:color w:val="auto"/>
        </w:rPr>
        <w:t>Sections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w:t>
      </w:r>
      <w:r>
        <w:rPr>
          <w:rFonts w:ascii="Arial" w:cs="Arial" w:eastAsia="Arial" w:hAnsi="Arial"/>
          <w:sz w:val="19"/>
          <w:szCs w:val="19"/>
          <w:u w:val="single" w:color="auto"/>
          <w:color w:val="auto"/>
        </w:rPr>
        <w:t>6.1(5)</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6.1(8)</w:t>
      </w:r>
      <w:r>
        <w:rPr>
          <w:rFonts w:ascii="Arial" w:cs="Arial" w:eastAsia="Arial" w:hAnsi="Arial"/>
          <w:sz w:val="19"/>
          <w:szCs w:val="19"/>
          <w:color w:val="auto"/>
        </w:rPr>
        <w:t xml:space="preserve"> hereof shall not constitute Events of Default.</w:t>
      </w:r>
    </w:p>
    <w:p>
      <w:pPr>
        <w:spacing w:after="0" w:line="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Conditions to Legal or Covenant Defeasance</w:t>
      </w:r>
      <w:r>
        <w:rPr>
          <w:rFonts w:ascii="Arial" w:cs="Arial" w:eastAsia="Arial" w:hAnsi="Arial"/>
          <w:sz w:val="22"/>
          <w:szCs w:val="22"/>
          <w:color w:val="auto"/>
        </w:rPr>
        <w:t xml:space="preserve">. In order to exercise either Legal Defeasance or Covenant Defeasance under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w:t>
      </w:r>
    </w:p>
    <w:p>
      <w:pPr>
        <w:spacing w:after="0" w:line="67" w:lineRule="exact"/>
        <w:rPr>
          <w:sz w:val="20"/>
          <w:szCs w:val="20"/>
          <w:color w:val="auto"/>
        </w:rPr>
      </w:pPr>
    </w:p>
    <w:p>
      <w:pPr>
        <w:ind w:left="660" w:firstLine="1293"/>
        <w:spacing w:after="0" w:line="287" w:lineRule="auto"/>
        <w:tabs>
          <w:tab w:leader="none" w:pos="2425"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the Issuers must irrevocably deposit with the Paying Agent, in trust, for the benefit of the Holders, cash in U.S. dollars, U.S. Government Obligations, or a combination thereof, in such amounts as will be sufficient, in the opinion of a nationally recognized firm of independent public accountants, to pay the principal of and premium, if any, interest on the Notes issued under this Indenture on the stated maturity date or on the applicable redemption date,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Arial" w:cs="Arial" w:eastAsia="Arial" w:hAnsi="Arial"/>
          <w:sz w:val="19"/>
          <w:szCs w:val="19"/>
          <w:u w:val="single" w:color="auto"/>
          <w:color w:val="auto"/>
        </w:rPr>
        <w:t>Applicable Premium Deficit</w:t>
      </w:r>
      <w:r>
        <w:rPr>
          <w:rFonts w:ascii="Arial" w:cs="Arial" w:eastAsia="Arial" w:hAnsi="Arial"/>
          <w:sz w:val="19"/>
          <w:szCs w:val="19"/>
          <w:color w:val="auto"/>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 and (ii) must specify whether such Notes are being defeased to maturity or to a particular redemption date;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00"/>
          </w:cols>
          <w:pgMar w:left="240" w:top="847" w:right="259" w:bottom="1440" w:gutter="0" w:footer="0" w:header="0"/>
        </w:sectPr>
      </w:pPr>
    </w:p>
    <w:bookmarkStart w:id="170" w:name="page171"/>
    <w:bookmarkEnd w:id="170"/>
    <w:p>
      <w:pPr>
        <w:ind w:left="660" w:right="80" w:firstLine="1293"/>
        <w:spacing w:after="0" w:line="341" w:lineRule="auto"/>
        <w:tabs>
          <w:tab w:leader="none" w:pos="242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in the case of Legal Defeasance the Issuers shall have delivered to the Trustee and the Paying Agent an Opinion of Counsel in the United States confirming that, subject to customary assumptions and exclusions;</w:t>
      </w:r>
    </w:p>
    <w:p>
      <w:pPr>
        <w:ind w:left="660" w:right="600" w:firstLine="1941"/>
        <w:spacing w:after="0" w:line="263" w:lineRule="auto"/>
        <w:tabs>
          <w:tab w:leader="none" w:pos="3121" w:val="left"/>
        </w:tabs>
        <w:numPr>
          <w:ilvl w:val="1"/>
          <w:numId w:val="199"/>
        </w:numPr>
        <w:rPr>
          <w:rFonts w:ascii="Arial" w:cs="Arial" w:eastAsia="Arial" w:hAnsi="Arial"/>
          <w:sz w:val="22"/>
          <w:szCs w:val="22"/>
          <w:color w:val="auto"/>
        </w:rPr>
      </w:pPr>
      <w:r>
        <w:rPr>
          <w:rFonts w:ascii="Arial" w:cs="Arial" w:eastAsia="Arial" w:hAnsi="Arial"/>
          <w:sz w:val="22"/>
          <w:szCs w:val="22"/>
          <w:color w:val="auto"/>
        </w:rPr>
        <w:t>the Issuers have received from, or there has been published by, the United States Internal Revenue Service a ruling; or</w:t>
      </w:r>
    </w:p>
    <w:p>
      <w:pPr>
        <w:spacing w:after="0" w:line="66" w:lineRule="exact"/>
        <w:rPr>
          <w:rFonts w:ascii="Arial" w:cs="Arial" w:eastAsia="Arial" w:hAnsi="Arial"/>
          <w:sz w:val="22"/>
          <w:szCs w:val="22"/>
          <w:color w:val="auto"/>
        </w:rPr>
      </w:pPr>
    </w:p>
    <w:p>
      <w:pPr>
        <w:ind w:left="3100" w:hanging="499"/>
        <w:spacing w:after="0"/>
        <w:tabs>
          <w:tab w:leader="none" w:pos="310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since the issuance of such Notes, there has been a change in the applicable U.S. federal income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tax law;</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in either case to the effect that, and based thereon such Opinion of Counsel in the United States shall confirm that, subject to customary assumptions and exclusions,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35" w:lineRule="exact"/>
        <w:rPr>
          <w:sz w:val="20"/>
          <w:szCs w:val="20"/>
          <w:color w:val="auto"/>
        </w:rPr>
      </w:pPr>
    </w:p>
    <w:p>
      <w:pPr>
        <w:ind w:left="660" w:firstLine="1293"/>
        <w:spacing w:after="0" w:line="263" w:lineRule="auto"/>
        <w:tabs>
          <w:tab w:leader="none" w:pos="242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in the case of Covenant Defeasance, the Issuers shall have delivered to the Trustee and Paying Agent an Opinion of Counsel in the United States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67" w:lineRule="exact"/>
        <w:rPr>
          <w:rFonts w:ascii="Arial" w:cs="Arial" w:eastAsia="Arial" w:hAnsi="Arial"/>
          <w:sz w:val="21"/>
          <w:szCs w:val="21"/>
          <w:color w:val="auto"/>
        </w:rPr>
      </w:pPr>
    </w:p>
    <w:p>
      <w:pPr>
        <w:ind w:left="660" w:right="160" w:firstLine="1293"/>
        <w:spacing w:after="0" w:line="248" w:lineRule="auto"/>
        <w:tabs>
          <w:tab w:leader="none" w:pos="242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Issuers shall have delivered to the Trustee and Paying Agent an Opinion of Counsel to the effect that, as of the date of such opinion and subject to customary assumptions and exclusions following the deposit, the trust funds will not be subject to the effect of Sections 547 and 548 of Title 11 of the United States Code, as amended, or any applicable bankruptcy, insolvency, reorganization or similar laws affecting creditors’ rights generally under any applicable U.S. federal or state law;</w:t>
      </w:r>
    </w:p>
    <w:p>
      <w:pPr>
        <w:spacing w:after="0" w:line="84" w:lineRule="exact"/>
        <w:rPr>
          <w:rFonts w:ascii="Arial" w:cs="Arial" w:eastAsia="Arial" w:hAnsi="Arial"/>
          <w:sz w:val="22"/>
          <w:szCs w:val="22"/>
          <w:color w:val="auto"/>
        </w:rPr>
      </w:pPr>
    </w:p>
    <w:p>
      <w:pPr>
        <w:jc w:val="both"/>
        <w:ind w:left="660" w:right="60" w:firstLine="1293"/>
        <w:spacing w:after="0" w:line="253" w:lineRule="auto"/>
        <w:tabs>
          <w:tab w:leader="none" w:pos="242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Issuers shall have delivered to the Trustee and Paying Agent an Officer’s Certificate stating that the deposit was not made by the Issuers with the intent of defeating, hindering, delaying, defrauding or preferring any creditors of the Issuers; and</w:t>
      </w:r>
    </w:p>
    <w:p>
      <w:pPr>
        <w:spacing w:after="0" w:line="77" w:lineRule="exact"/>
        <w:rPr>
          <w:rFonts w:ascii="Arial" w:cs="Arial" w:eastAsia="Arial" w:hAnsi="Arial"/>
          <w:sz w:val="22"/>
          <w:szCs w:val="22"/>
          <w:color w:val="auto"/>
        </w:rPr>
      </w:pPr>
    </w:p>
    <w:p>
      <w:pPr>
        <w:ind w:left="660" w:firstLine="1293"/>
        <w:spacing w:after="0" w:line="250" w:lineRule="auto"/>
        <w:tabs>
          <w:tab w:leader="none" w:pos="242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Issuers shall have delivered to the Trustee and Paying Agent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80"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Deposited Money and U.S. Government Obligations To Be Held in Trust; Other Miscellaneous Provisions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hereof, all money and U.S. Government Obligations (including the proceeds thereof) deposited with the Trustee or the Paying Agent (or other qualifying trustee, collectively for purposes of this </w:t>
      </w:r>
      <w:r>
        <w:rPr>
          <w:rFonts w:ascii="Arial" w:cs="Arial" w:eastAsia="Arial" w:hAnsi="Arial"/>
          <w:sz w:val="22"/>
          <w:szCs w:val="22"/>
          <w:u w:val="single" w:color="auto"/>
          <w:color w:val="auto"/>
        </w:rPr>
        <w:t>Section 8.5</w:t>
      </w:r>
      <w:r>
        <w:rPr>
          <w:rFonts w:ascii="Arial" w:cs="Arial" w:eastAsia="Arial" w:hAnsi="Arial"/>
          <w:sz w:val="22"/>
          <w:szCs w:val="22"/>
          <w:color w:val="auto"/>
        </w:rPr>
        <w:t>, the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in respect of the outstanding Notes will be held in trust and applied by the Trustee or the Paying Agent, in accordance with the provisions of such Notes and this Indenture, to the payment, either directly or through any Paying Agent (including the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00"/>
          </w:cols>
          <w:pgMar w:left="240" w:top="847" w:right="259" w:bottom="1440" w:gutter="0" w:footer="0" w:header="0"/>
        </w:sectPr>
      </w:pPr>
    </w:p>
    <w:bookmarkStart w:id="171" w:name="page172"/>
    <w:bookmarkEnd w:id="171"/>
    <w:p>
      <w:pPr>
        <w:ind w:right="20"/>
        <w:spacing w:after="0" w:line="253" w:lineRule="auto"/>
        <w:rPr>
          <w:sz w:val="20"/>
          <w:szCs w:val="20"/>
          <w:color w:val="auto"/>
        </w:rPr>
      </w:pPr>
      <w:r>
        <w:rPr>
          <w:rFonts w:ascii="Arial" w:cs="Arial" w:eastAsia="Arial" w:hAnsi="Arial"/>
          <w:sz w:val="22"/>
          <w:szCs w:val="22"/>
          <w:color w:val="auto"/>
        </w:rPr>
        <w:t>Issuers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7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 xml:space="preserve">The Issuers will pay and indemnify the Trustee and each Paying Agent against any tax, fee or other charge imposed on or assessed against the cash or U.S. Government Obligations deposited pursuant to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or the principal and interest received in respect thereof other than any such tax, fee or other charge which by law is for the account of the Holders of the outstanding Notes.</w:t>
      </w:r>
    </w:p>
    <w:p>
      <w:pPr>
        <w:spacing w:after="0" w:line="80"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contrary, the Trustee or the Paying Agent will deliver or pay to the Issuers from time to time upon the request of the Issuers any money or U.S. Government Obligations held by it as provided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which, in the opinion of a nationally recognized firm of independent public accountants expressed in a written certification thereof delivered to the Trustee or the Paying Agent (which may be the opinion delivered under </w:t>
      </w:r>
      <w:r>
        <w:rPr>
          <w:rFonts w:ascii="Arial" w:cs="Arial" w:eastAsia="Arial" w:hAnsi="Arial"/>
          <w:sz w:val="22"/>
          <w:szCs w:val="22"/>
          <w:u w:val="single" w:color="auto"/>
          <w:color w:val="auto"/>
        </w:rPr>
        <w:t>Section 8.4(1)</w:t>
      </w:r>
      <w:r>
        <w:rPr>
          <w:rFonts w:ascii="Arial" w:cs="Arial" w:eastAsia="Arial" w:hAnsi="Arial"/>
          <w:sz w:val="22"/>
          <w:szCs w:val="22"/>
          <w:color w:val="auto"/>
        </w:rPr>
        <w:t xml:space="preserve"> hereof), are in excess of the amount thereof that would then be required to be deposited to effect an equivalent Legal Defeasance or Covenant Defeasance.</w:t>
      </w:r>
    </w:p>
    <w:p>
      <w:pPr>
        <w:spacing w:after="0" w:line="86" w:lineRule="exact"/>
        <w:rPr>
          <w:sz w:val="20"/>
          <w:szCs w:val="20"/>
          <w:color w:val="auto"/>
        </w:rPr>
      </w:pPr>
    </w:p>
    <w:p>
      <w:pPr>
        <w:ind w:right="60" w:firstLine="648"/>
        <w:spacing w:after="0" w:line="258" w:lineRule="auto"/>
        <w:rPr>
          <w:sz w:val="20"/>
          <w:szCs w:val="20"/>
          <w:color w:val="auto"/>
        </w:rPr>
      </w:pPr>
      <w:r>
        <w:rPr>
          <w:rFonts w:ascii="Arial" w:cs="Arial" w:eastAsia="Arial" w:hAnsi="Arial"/>
          <w:sz w:val="21"/>
          <w:szCs w:val="21"/>
          <w:color w:val="auto"/>
        </w:rPr>
        <w:t xml:space="preserve">SECTION 8.6 </w:t>
      </w:r>
      <w:r>
        <w:rPr>
          <w:rFonts w:ascii="Arial" w:cs="Arial" w:eastAsia="Arial" w:hAnsi="Arial"/>
          <w:sz w:val="21"/>
          <w:szCs w:val="21"/>
          <w:u w:val="single" w:color="auto"/>
          <w:color w:val="auto"/>
        </w:rPr>
        <w:t>Repayment to the Issuers</w:t>
      </w:r>
      <w:r>
        <w:rPr>
          <w:rFonts w:ascii="Arial" w:cs="Arial" w:eastAsia="Arial" w:hAnsi="Arial"/>
          <w:sz w:val="21"/>
          <w:szCs w:val="21"/>
          <w:color w:val="auto"/>
        </w:rPr>
        <w:t xml:space="preserve">. Any money deposited with the Trustee or any Paying Agent, or then held by the Issuers, in trust for the payment of the principal of, premium or interest on, any Note and remaining unclaimed for two years after such principal, premium or interest has become due and payable shall be paid to the Issuers on their written request unless an abandoned property law designates another Person or (if then held by the Issuers) will be discharged from such trust; and the Holder of such Note will thereafter be permitted to look only to the Issuers for payment thereof unless an abandoned property law designates another Person, and all liability of the Trustee or such Paying Agent with respect to such trust money, and all liability of the Issuers as trustee thereof, will thereupon cease;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Trustee, before being required to make any such repayment, shall at the expense of the Issuers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Issuers.</w:t>
      </w:r>
    </w:p>
    <w:p>
      <w:pPr>
        <w:spacing w:after="0" w:line="75"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Reinstatement</w:t>
      </w:r>
      <w:r>
        <w:rPr>
          <w:rFonts w:ascii="Arial" w:cs="Arial" w:eastAsia="Arial" w:hAnsi="Arial"/>
          <w:sz w:val="19"/>
          <w:szCs w:val="19"/>
          <w:color w:val="auto"/>
        </w:rPr>
        <w:t xml:space="preserve">. If the Trustee or Paying Agent is unable to apply any money or U.S. dollars or U.S. Government Obligations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until such time as the Trustee or Paying Agent is permitted to apply all such money in accordance with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hereof,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Company make any payment of principal of, premium, or interest and Additional Interest, if any, on, any Note following the reinstatement of its obligations, the Company will be subrogated to the rights of the Holders of such Notes to receive such payment from the money or U.S. Government Obligations held by the Trustee or Paying Agent.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380"/>
          </w:cols>
          <w:pgMar w:left="240" w:top="847" w:right="27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AMENDMENTS</w:t>
      </w:r>
    </w:p>
    <w:p>
      <w:pPr>
        <w:spacing w:after="0" w:line="11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this Indenture, the Company, the Trustee and the other parties hereto may amend or supplement any Note Documents:</w:t>
      </w:r>
    </w:p>
    <w:p>
      <w:pPr>
        <w:spacing w:after="0" w:line="67" w:lineRule="exact"/>
        <w:rPr>
          <w:sz w:val="20"/>
          <w:szCs w:val="20"/>
          <w:color w:val="auto"/>
        </w:rPr>
      </w:pPr>
    </w:p>
    <w:p>
      <w:pPr>
        <w:ind w:left="660" w:firstLine="1293"/>
        <w:spacing w:after="0" w:line="25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cure any ambiguity, omission, mistake, defect, error or inconsistency, conform any provision to any provision under the heading “Description of the Notes” in the Offering Memorandum or reduce the minimum denomination of the Notes;</w:t>
      </w:r>
    </w:p>
    <w:p>
      <w:pPr>
        <w:spacing w:after="0" w:line="77" w:lineRule="exact"/>
        <w:rPr>
          <w:rFonts w:ascii="Arial" w:cs="Arial" w:eastAsia="Arial" w:hAnsi="Arial"/>
          <w:sz w:val="22"/>
          <w:szCs w:val="22"/>
          <w:color w:val="auto"/>
        </w:rPr>
      </w:pPr>
    </w:p>
    <w:p>
      <w:pPr>
        <w:ind w:left="660" w:right="140" w:firstLine="1293"/>
        <w:spacing w:after="0" w:line="26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provide for the assumption by a successor Person of the obligations of the Company or a Guarantor under any Note Document or to comply with Section 4.1 hereof;</w:t>
      </w:r>
    </w:p>
    <w:p>
      <w:pPr>
        <w:spacing w:after="0" w:line="66" w:lineRule="exact"/>
        <w:rPr>
          <w:rFonts w:ascii="Arial" w:cs="Arial" w:eastAsia="Arial" w:hAnsi="Arial"/>
          <w:sz w:val="22"/>
          <w:szCs w:val="22"/>
          <w:color w:val="auto"/>
        </w:rPr>
      </w:pPr>
    </w:p>
    <w:p>
      <w:pPr>
        <w:ind w:left="660" w:right="760" w:firstLine="1293"/>
        <w:spacing w:after="0" w:line="26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 or to alter the provisions of this Indenture relating to the form of the Notes (including related definitions);</w:t>
      </w:r>
    </w:p>
    <w:p>
      <w:pPr>
        <w:spacing w:after="0" w:line="66" w:lineRule="exact"/>
        <w:rPr>
          <w:rFonts w:ascii="Arial" w:cs="Arial" w:eastAsia="Arial" w:hAnsi="Arial"/>
          <w:sz w:val="22"/>
          <w:szCs w:val="22"/>
          <w:color w:val="auto"/>
        </w:rPr>
      </w:pPr>
    </w:p>
    <w:p>
      <w:pPr>
        <w:ind w:left="660" w:right="360" w:firstLine="1293"/>
        <w:spacing w:after="0" w:line="26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add to the covenants or provide for a Guarantee for the benefit of the Holders or to surrender any right or power conferred upon the Company or any Restricted Subsidiary;</w:t>
      </w:r>
    </w:p>
    <w:p>
      <w:pPr>
        <w:spacing w:after="0" w:line="66" w:lineRule="exact"/>
        <w:rPr>
          <w:rFonts w:ascii="Arial" w:cs="Arial" w:eastAsia="Arial" w:hAnsi="Arial"/>
          <w:sz w:val="22"/>
          <w:szCs w:val="22"/>
          <w:color w:val="auto"/>
        </w:rPr>
      </w:pPr>
    </w:p>
    <w:p>
      <w:pPr>
        <w:jc w:val="both"/>
        <w:ind w:left="660" w:right="320" w:firstLine="1293"/>
        <w:spacing w:after="0" w:line="25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make any change (including changing the CUSIP or other identifying number on any Notes) that would provide any additional rights or benefits to the Holder or that does not adversely affect the rights of any Holder in any material respect;</w:t>
      </w:r>
    </w:p>
    <w:p>
      <w:pPr>
        <w:spacing w:after="0" w:line="77" w:lineRule="exact"/>
        <w:rPr>
          <w:rFonts w:ascii="Arial" w:cs="Arial" w:eastAsia="Arial" w:hAnsi="Arial"/>
          <w:sz w:val="22"/>
          <w:szCs w:val="22"/>
          <w:color w:val="auto"/>
        </w:rPr>
      </w:pPr>
    </w:p>
    <w:p>
      <w:pPr>
        <w:ind w:left="660" w:right="1060" w:firstLine="1293"/>
        <w:spacing w:after="0" w:line="26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at the Company’s election, comply with any requirement of the SEC in connection with the qualification of this Indenture under the TIA, if such qualification is required;</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make such provisions as necessary (as determined in good faith by the Company) for the issuance of</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Additional Notes;</w:t>
      </w:r>
    </w:p>
    <w:p>
      <w:pPr>
        <w:spacing w:after="0" w:line="93" w:lineRule="exact"/>
        <w:rPr>
          <w:rFonts w:ascii="Arial" w:cs="Arial" w:eastAsia="Arial" w:hAnsi="Arial"/>
          <w:sz w:val="19"/>
          <w:szCs w:val="19"/>
          <w:color w:val="auto"/>
        </w:rPr>
      </w:pPr>
    </w:p>
    <w:p>
      <w:pPr>
        <w:ind w:left="660" w:right="280" w:firstLine="1293"/>
        <w:spacing w:after="0" w:line="312" w:lineRule="auto"/>
        <w:tabs>
          <w:tab w:leader="none" w:pos="242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add Guarantees with respect to the Notes, to add security to or for the benefit of the Notes, or to confirm and evidence the release, termination, discharge or retaking of any Guarantee or Lien with respect to or securing the Notes when such release, termination, discharge or retaking is provided for under this Indenture;</w:t>
      </w:r>
    </w:p>
    <w:p>
      <w:pPr>
        <w:spacing w:after="0" w:line="25" w:lineRule="exact"/>
        <w:rPr>
          <w:rFonts w:ascii="Arial" w:cs="Arial" w:eastAsia="Arial" w:hAnsi="Arial"/>
          <w:sz w:val="19"/>
          <w:szCs w:val="19"/>
          <w:color w:val="auto"/>
        </w:rPr>
      </w:pPr>
    </w:p>
    <w:p>
      <w:pPr>
        <w:ind w:left="660" w:firstLine="1293"/>
        <w:spacing w:after="0" w:line="253" w:lineRule="auto"/>
        <w:tabs>
          <w:tab w:leader="none" w:pos="242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evidence and provide for the acceptance and appointment under this Indenture of a successor Trustee or successor Paying Agent thereunder pursuant to the requirements hereof or to provide for the accession by the Trustee to any Note Document;</w:t>
      </w:r>
    </w:p>
    <w:p>
      <w:pPr>
        <w:spacing w:after="0" w:line="77" w:lineRule="exact"/>
        <w:rPr>
          <w:rFonts w:ascii="Arial" w:cs="Arial" w:eastAsia="Arial" w:hAnsi="Arial"/>
          <w:sz w:val="22"/>
          <w:szCs w:val="22"/>
          <w:color w:val="auto"/>
        </w:rPr>
      </w:pPr>
    </w:p>
    <w:p>
      <w:pPr>
        <w:jc w:val="both"/>
        <w:ind w:left="660" w:right="280" w:firstLine="1293"/>
        <w:spacing w:after="0" w:line="253" w:lineRule="auto"/>
        <w:tabs>
          <w:tab w:leader="none" w:pos="2533"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to make any amendment to the provisions of this Indenture relating to the transfer and legending of Notes as permitted by this Indenture, including, without limitation, to facilitate the issuance and administration of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380"/>
          </w:cols>
          <w:pgMar w:left="240" w:top="842" w:right="279" w:bottom="1440" w:gutter="0" w:footer="0" w:header="0"/>
        </w:sectPr>
      </w:pPr>
    </w:p>
    <w:bookmarkStart w:id="173" w:name="page174"/>
    <w:bookmarkEnd w:id="173"/>
    <w:p>
      <w:pPr>
        <w:ind w:left="660" w:right="140"/>
        <w:spacing w:after="0" w:line="263" w:lineRule="auto"/>
        <w:rPr>
          <w:sz w:val="20"/>
          <w:szCs w:val="20"/>
          <w:color w:val="auto"/>
        </w:rPr>
      </w:pPr>
      <w:r>
        <w:rPr>
          <w:rFonts w:ascii="Arial" w:cs="Arial" w:eastAsia="Arial" w:hAnsi="Arial"/>
          <w:sz w:val="22"/>
          <w:szCs w:val="22"/>
          <w:color w:val="auto"/>
        </w:rPr>
        <w:t>compliance with this Indenture as so amended would not result in Notes being transferred in violation of the Securities Act or any other applicable securities law; or</w:t>
      </w:r>
    </w:p>
    <w:p>
      <w:pPr>
        <w:spacing w:after="0" w:line="67"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to comply with the rules of any applicable securities depositary.</w:t>
      </w:r>
    </w:p>
    <w:p>
      <w:pPr>
        <w:spacing w:after="0" w:line="112"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upon the request of the Company, and upon receipt by the Trustee of the documents described in </w:t>
      </w:r>
      <w:r>
        <w:rPr>
          <w:rFonts w:ascii="Arial" w:cs="Arial" w:eastAsia="Arial" w:hAnsi="Arial"/>
          <w:sz w:val="22"/>
          <w:szCs w:val="22"/>
          <w:u w:val="single" w:color="auto"/>
          <w:color w:val="auto"/>
        </w:rPr>
        <w:t>Sections 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12.6</w:t>
      </w:r>
      <w:r>
        <w:rPr>
          <w:rFonts w:ascii="Arial" w:cs="Arial" w:eastAsia="Arial" w:hAnsi="Arial"/>
          <w:sz w:val="22"/>
          <w:szCs w:val="22"/>
          <w:color w:val="auto"/>
        </w:rPr>
        <w:t xml:space="preserve"> hereof, the Trustee will join with the Company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With Consent of Holders</w:t>
      </w:r>
      <w:r>
        <w:rPr>
          <w:rFonts w:ascii="Arial" w:cs="Arial" w:eastAsia="Arial" w:hAnsi="Arial"/>
          <w:sz w:val="19"/>
          <w:szCs w:val="19"/>
          <w:color w:val="auto"/>
        </w:rPr>
        <w:t xml:space="preserve">. Except as provided below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the Company, the Guarantors and the Trustee may amend, supplement or otherwise modify this Indenture, any Guarantee and the Notes issued hereunder with the consent of the Holders of a majority in aggregate principal amount of the Notes then outstanding and issued under this Indenture (including consents obtained in connection with a purchase of, or tender offer or exchange offer for, Notes) and, subject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any existing Default or Event of Default (other than a Default or Event of Default in the payment of the principal of, premium, if any, or interest, if any, on the Notes, except a payment default resulting from an acceleration that has been rescinded) or compliance with any provision of this Indenture, the Notes and the Guarantees may be waived with the consent of the Holders of a majority in aggregate principal amount of the Notes then outstanding issued under this Indenture (including consents obtained in connection with a purchase of, or tender offer or exchange offer for, Notes).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hereof and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hereof shall determine which Notes are considered to be “outstanding” for the purposes of this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 xml:space="preserve">Upon the request of the Company, and upon the filing with the Trustee of evidence of the consent of the Holders of Notes as aforesaid, and upon receipt by the Trustee of the documents described in </w:t>
      </w:r>
      <w:r>
        <w:rPr>
          <w:rFonts w:ascii="Arial" w:cs="Arial" w:eastAsia="Arial" w:hAnsi="Arial"/>
          <w:sz w:val="19"/>
          <w:szCs w:val="19"/>
          <w:u w:val="single" w:color="auto"/>
          <w:color w:val="auto"/>
        </w:rPr>
        <w:t>Sections 9.6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12.6</w:t>
      </w:r>
      <w:r>
        <w:rPr>
          <w:rFonts w:ascii="Arial" w:cs="Arial" w:eastAsia="Arial" w:hAnsi="Arial"/>
          <w:sz w:val="19"/>
          <w:szCs w:val="19"/>
          <w:color w:val="auto"/>
        </w:rPr>
        <w:t xml:space="preserve"> hereof, the Trustee will join with the Company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Without the consent of each Holder of Notes affected, an amendment or waiver may not, with respect to any Notes held by a non-consenting Holder:</w:t>
      </w:r>
    </w:p>
    <w:p>
      <w:pPr>
        <w:spacing w:after="0" w:line="67" w:lineRule="exact"/>
        <w:rPr>
          <w:sz w:val="20"/>
          <w:szCs w:val="20"/>
          <w:color w:val="auto"/>
        </w:rPr>
      </w:pPr>
    </w:p>
    <w:p>
      <w:pPr>
        <w:ind w:left="2420" w:hanging="467"/>
        <w:spacing w:after="0"/>
        <w:tabs>
          <w:tab w:leader="none" w:pos="24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reduce the principal amount of such Notes whose Holders must consent to an amendment;</w:t>
      </w:r>
    </w:p>
    <w:p>
      <w:pPr>
        <w:spacing w:after="0" w:line="111" w:lineRule="exact"/>
        <w:rPr>
          <w:rFonts w:ascii="Arial" w:cs="Arial" w:eastAsia="Arial" w:hAnsi="Arial"/>
          <w:sz w:val="22"/>
          <w:szCs w:val="22"/>
          <w:color w:val="auto"/>
        </w:rPr>
      </w:pPr>
    </w:p>
    <w:p>
      <w:pPr>
        <w:ind w:left="660" w:right="180" w:firstLine="1293"/>
        <w:spacing w:after="0" w:line="263" w:lineRule="auto"/>
        <w:tabs>
          <w:tab w:leader="none" w:pos="242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reduce the stated rate of or extend the stated time for payment of interest on any such Note (other than provisions relating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ind w:left="2420" w:hanging="467"/>
        <w:spacing w:after="0"/>
        <w:tabs>
          <w:tab w:leader="none" w:pos="24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reduce the principal of or extend the Stated Maturity of any such Note;</w:t>
      </w:r>
    </w:p>
    <w:p>
      <w:pPr>
        <w:spacing w:after="0" w:line="111" w:lineRule="exact"/>
        <w:rPr>
          <w:rFonts w:ascii="Arial" w:cs="Arial" w:eastAsia="Arial" w:hAnsi="Arial"/>
          <w:sz w:val="22"/>
          <w:szCs w:val="22"/>
          <w:color w:val="auto"/>
        </w:rPr>
      </w:pPr>
    </w:p>
    <w:p>
      <w:pPr>
        <w:ind w:left="660" w:right="360" w:firstLine="1293"/>
        <w:spacing w:after="0" w:line="263" w:lineRule="auto"/>
        <w:tabs>
          <w:tab w:leader="none" w:pos="242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reduce the premium payable upon the redemption of any such Note or change the time at which any such Note may be redeemed, in each case as set forth in </w:t>
      </w:r>
      <w:r>
        <w:rPr>
          <w:rFonts w:ascii="Arial" w:cs="Arial" w:eastAsia="Arial" w:hAnsi="Arial"/>
          <w:sz w:val="22"/>
          <w:szCs w:val="22"/>
          <w:u w:val="single" w:color="auto"/>
          <w:color w:val="auto"/>
        </w:rPr>
        <w:t>Section 5.7</w:t>
      </w:r>
      <w:r>
        <w:rPr>
          <w:rFonts w:ascii="Arial" w:cs="Arial" w:eastAsia="Arial" w:hAnsi="Arial"/>
          <w:sz w:val="22"/>
          <w:szCs w:val="22"/>
          <w:color w:val="auto"/>
        </w:rPr>
        <w: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848" w:right="239" w:bottom="1440" w:gutter="0" w:footer="0" w:header="0"/>
        </w:sectPr>
      </w:pPr>
    </w:p>
    <w:bookmarkStart w:id="174" w:name="page175"/>
    <w:bookmarkEnd w:id="174"/>
    <w:p>
      <w:pPr>
        <w:ind w:left="2420" w:hanging="467"/>
        <w:spacing w:after="0"/>
        <w:tabs>
          <w:tab w:leader="none" w:pos="24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make any such Note payable in money other than that stated in such Note;</w:t>
      </w:r>
    </w:p>
    <w:p>
      <w:pPr>
        <w:spacing w:after="0" w:line="111" w:lineRule="exact"/>
        <w:rPr>
          <w:rFonts w:ascii="Arial" w:cs="Arial" w:eastAsia="Arial" w:hAnsi="Arial"/>
          <w:sz w:val="22"/>
          <w:szCs w:val="22"/>
          <w:color w:val="auto"/>
        </w:rPr>
      </w:pPr>
    </w:p>
    <w:p>
      <w:pPr>
        <w:ind w:left="660" w:right="200" w:firstLine="1293"/>
        <w:spacing w:after="0" w:line="263" w:lineRule="auto"/>
        <w:tabs>
          <w:tab w:leader="none" w:pos="2425"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impair the right of any Holder to institute suit for the enforcement of any payment of principal of and interest on such Holder’s Notes on or after the due dates therefor;</w:t>
      </w:r>
    </w:p>
    <w:p>
      <w:pPr>
        <w:spacing w:after="0" w:line="66" w:lineRule="exact"/>
        <w:rPr>
          <w:rFonts w:ascii="Arial" w:cs="Arial" w:eastAsia="Arial" w:hAnsi="Arial"/>
          <w:sz w:val="22"/>
          <w:szCs w:val="22"/>
          <w:color w:val="auto"/>
        </w:rPr>
      </w:pPr>
    </w:p>
    <w:p>
      <w:pPr>
        <w:ind w:left="660" w:right="220" w:firstLine="1293"/>
        <w:spacing w:after="0" w:line="312" w:lineRule="auto"/>
        <w:tabs>
          <w:tab w:leader="none" w:pos="242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waive a Default or Event of Default with respect to the nonpayment of principal, premium or interest (except pursuant to a rescission of acceleration of the Notes by the Holders of at least a majority in aggregate principal amount of such Notes and a waiver of the payment default that resulted from such acceleration); or</w:t>
      </w:r>
    </w:p>
    <w:p>
      <w:pPr>
        <w:spacing w:after="0" w:line="25" w:lineRule="exact"/>
        <w:rPr>
          <w:rFonts w:ascii="Arial" w:cs="Arial" w:eastAsia="Arial" w:hAnsi="Arial"/>
          <w:sz w:val="19"/>
          <w:szCs w:val="19"/>
          <w:color w:val="auto"/>
        </w:rPr>
      </w:pPr>
    </w:p>
    <w:p>
      <w:pPr>
        <w:ind w:left="2420" w:hanging="467"/>
        <w:spacing w:after="0"/>
        <w:tabs>
          <w:tab w:leader="none" w:pos="242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make any change in the amendment or waiver provisions which require the Holders’ consent described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94" w:lineRule="exact"/>
        <w:rPr>
          <w:sz w:val="20"/>
          <w:szCs w:val="20"/>
          <w:color w:val="auto"/>
        </w:rPr>
      </w:pPr>
    </w:p>
    <w:p>
      <w:pPr>
        <w:jc w:val="both"/>
        <w:ind w:right="80" w:firstLine="648"/>
        <w:spacing w:after="0" w:line="250" w:lineRule="auto"/>
        <w:rPr>
          <w:sz w:val="20"/>
          <w:szCs w:val="20"/>
          <w:color w:val="auto"/>
        </w:rPr>
      </w:pPr>
      <w:r>
        <w:rPr>
          <w:rFonts w:ascii="Arial" w:cs="Arial" w:eastAsia="Arial" w:hAnsi="Arial"/>
          <w:sz w:val="22"/>
          <w:szCs w:val="22"/>
          <w:color w:val="auto"/>
        </w:rPr>
        <w:t>It shall not be necessary for the consent of the Holders under this Indenture to approve the particular form of any proposed amendment, but it shall be sufficient if such consent approves the substance thereof. A consent to any amendment or waiver under this Indenture by any Holder of the Notes given in connection with a tender of such Holder’s Notes will not be rendered invalid by such tender.</w:t>
      </w:r>
    </w:p>
    <w:p>
      <w:pPr>
        <w:spacing w:after="0" w:line="80"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 xml:space="preserve">After an amendment or supplement under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becomes effective, the Company shall mail to Holders a notice briefly describing such amendment or supplement. The failure to give such notice to all Holders, or any defect therein, shall not impair or affect the validity of an amendment or supplement.</w:t>
      </w:r>
    </w:p>
    <w:p>
      <w:pPr>
        <w:spacing w:after="0" w:line="7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Revocation and Effect of Consents and Waivers</w:t>
      </w:r>
      <w:r>
        <w:rPr>
          <w:rFonts w:ascii="Arial" w:cs="Arial" w:eastAsia="Arial" w:hAnsi="Arial"/>
          <w:sz w:val="21"/>
          <w:szCs w:val="21"/>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73" w:lineRule="exact"/>
        <w:rPr>
          <w:sz w:val="20"/>
          <w:szCs w:val="20"/>
          <w:color w:val="auto"/>
        </w:rPr>
      </w:pPr>
    </w:p>
    <w:p>
      <w:pPr>
        <w:ind w:right="320" w:firstLine="648"/>
        <w:spacing w:after="0" w:line="294" w:lineRule="auto"/>
        <w:rPr>
          <w:sz w:val="20"/>
          <w:szCs w:val="20"/>
          <w:color w:val="auto"/>
        </w:rPr>
      </w:pPr>
      <w:r>
        <w:rPr>
          <w:rFonts w:ascii="Arial" w:cs="Arial" w:eastAsia="Arial" w:hAnsi="Arial"/>
          <w:sz w:val="19"/>
          <w:szCs w:val="19"/>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42"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Notation on or Exchange of Notes</w:t>
      </w:r>
      <w:r>
        <w:rPr>
          <w:rFonts w:ascii="Arial" w:cs="Arial" w:eastAsia="Arial" w:hAnsi="Arial"/>
          <w:sz w:val="22"/>
          <w:szCs w:val="22"/>
          <w:color w:val="auto"/>
        </w:rPr>
        <w:t>. The Trustee may place an appropriate notation about an amendment, supplement or waiver on any Note thereafter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380"/>
          </w:cols>
          <w:pgMar w:left="240" w:top="848" w:right="279" w:bottom="1440" w:gutter="0" w:footer="0" w:header="0"/>
        </w:sectPr>
      </w:pPr>
    </w:p>
    <w:bookmarkStart w:id="175" w:name="page176"/>
    <w:bookmarkEnd w:id="175"/>
    <w:p>
      <w:pPr>
        <w:ind w:right="1100"/>
        <w:spacing w:after="0" w:line="263" w:lineRule="auto"/>
        <w:rPr>
          <w:sz w:val="20"/>
          <w:szCs w:val="20"/>
          <w:color w:val="auto"/>
        </w:rPr>
      </w:pPr>
      <w:r>
        <w:rPr>
          <w:rFonts w:ascii="Arial" w:cs="Arial" w:eastAsia="Arial" w:hAnsi="Arial"/>
          <w:sz w:val="22"/>
          <w:szCs w:val="22"/>
          <w:color w:val="auto"/>
        </w:rPr>
        <w:t>authenticated. The Company in exchange for all Notes may issue and the Trustee shall, upon receipt of an Issuer Order, authenticate new Notes that reflect the amendment, supplement or waiver.</w:t>
      </w:r>
    </w:p>
    <w:p>
      <w:pPr>
        <w:spacing w:after="0" w:line="67"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will not affect the validity and effect of such amendment, supplement or waiver.</w:t>
      </w:r>
    </w:p>
    <w:p>
      <w:pPr>
        <w:spacing w:after="0" w:line="6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SECTION 9.6 </w:t>
      </w:r>
      <w:r>
        <w:rPr>
          <w:rFonts w:ascii="Arial" w:cs="Arial" w:eastAsia="Arial" w:hAnsi="Arial"/>
          <w:sz w:val="22"/>
          <w:szCs w:val="22"/>
          <w:u w:val="single" w:color="auto"/>
          <w:color w:val="auto"/>
        </w:rPr>
        <w:t>Trustee Signs Amendments</w:t>
      </w:r>
      <w:r>
        <w:rPr>
          <w:rFonts w:ascii="Arial" w:cs="Arial" w:eastAsia="Arial" w:hAnsi="Arial"/>
          <w:sz w:val="22"/>
          <w:szCs w:val="22"/>
          <w:color w:val="auto"/>
        </w:rPr>
        <w:t xml:space="preserve">. The Trustee shall sign any amended or supplemental indenture authorized pursuant to this Article IX if the amendment or supplement does not adversely affect the rights, duties, liabilities or immunities of the Trustee. In executing any amended or supplemental indenture, the Trustee will be entitled to receive and (subject to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hereof) shall be fully protected in conclusively relying upon, in addition to the documents required by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hereof, an Officer’s Certificate and an Opinion of Counsel to the effect that stating that the execution of such amended or supplemental indenture is authorized or permitted by this Indenture and is valid, binding and enforceable against the Company in accordance with its terms.</w:t>
      </w:r>
    </w:p>
    <w:p>
      <w:pPr>
        <w:spacing w:after="0" w:line="83"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GUARANTEE</w:t>
      </w:r>
    </w:p>
    <w:p>
      <w:pPr>
        <w:spacing w:after="0" w:line="118" w:lineRule="exact"/>
        <w:rPr>
          <w:sz w:val="20"/>
          <w:szCs w:val="20"/>
          <w:color w:val="auto"/>
        </w:rPr>
      </w:pPr>
    </w:p>
    <w:p>
      <w:pPr>
        <w:ind w:right="40" w:firstLine="648"/>
        <w:spacing w:after="0" w:line="258"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Guarantee</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Guarantor hereby fully, unconditionally and irrevocably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Issuers under this Indenture (including without limitation interest accruing after the filing of any petition in bankruptcy, or the commencement of any insolvency, reorganization or like proceeding, relating to the Issuers or any Guarantor whether or not a claim for post-filing or Post-Petition Interest is allowed in such proceeding and the obligations under </w:t>
      </w:r>
      <w:r>
        <w:rPr>
          <w:rFonts w:ascii="Arial" w:cs="Arial" w:eastAsia="Arial" w:hAnsi="Arial"/>
          <w:sz w:val="21"/>
          <w:szCs w:val="21"/>
          <w:u w:val="single" w:color="auto"/>
          <w:color w:val="auto"/>
        </w:rPr>
        <w:t>Section 7.7</w:t>
      </w:r>
      <w:r>
        <w:rPr>
          <w:rFonts w:ascii="Arial" w:cs="Arial" w:eastAsia="Arial" w:hAnsi="Arial"/>
          <w:sz w:val="21"/>
          <w:szCs w:val="21"/>
          <w:color w:val="auto"/>
        </w:rPr>
        <w:t>) (all the foregoing being hereinafter collectively called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75"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 xml:space="preserve">To evidence its Guarantee set forth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each Guarantor hereby agrees that this Indenture shall be executed on behalf of such Guarantor by an Officer of such Guarantor.</w:t>
      </w:r>
    </w:p>
    <w:p>
      <w:pPr>
        <w:spacing w:after="0" w:line="67" w:lineRule="exact"/>
        <w:rPr>
          <w:sz w:val="20"/>
          <w:szCs w:val="20"/>
          <w:color w:val="auto"/>
        </w:rPr>
      </w:pPr>
    </w:p>
    <w:p>
      <w:pPr>
        <w:ind w:right="980" w:firstLine="648"/>
        <w:spacing w:after="0" w:line="287" w:lineRule="auto"/>
        <w:rPr>
          <w:sz w:val="20"/>
          <w:szCs w:val="20"/>
          <w:color w:val="auto"/>
        </w:rPr>
      </w:pPr>
      <w:r>
        <w:rPr>
          <w:rFonts w:ascii="Arial" w:cs="Arial" w:eastAsia="Arial" w:hAnsi="Arial"/>
          <w:sz w:val="21"/>
          <w:szCs w:val="21"/>
          <w:color w:val="auto"/>
        </w:rPr>
        <w:t xml:space="preserve">Each Guarantor hereby agrees that its Guarantee set forth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shall remain in full force and effect notwithstanding the absence of the endorsement of any notation of such Guarantee on the Notes.</w:t>
      </w:r>
    </w:p>
    <w:p>
      <w:pPr>
        <w:spacing w:after="0" w:line="44"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If an Officer whose signature is on this Indenture no longer holds that office at the time the Trustee authenticates the Note, the Guarantee shall be valid nevertheless.</w:t>
      </w:r>
    </w:p>
    <w:p>
      <w:pPr>
        <w:spacing w:after="0" w:line="67"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Each Guarantor further agrees (to the extent permitted by law) that the Guaranteed Obligations may be extended or renewed, in whole or in part, without notice or further assent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847" w:right="23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auto"/>
        </w:rPr>
        <w:t xml:space="preserve">from it, and that it will remain bound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notwithstanding any extension or renewal of any Guaranteed Obligation.</w:t>
      </w:r>
    </w:p>
    <w:p>
      <w:pPr>
        <w:spacing w:after="0" w:line="14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78"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78"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Issuers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w:t>
      </w:r>
    </w:p>
    <w:p>
      <w:pPr>
        <w:ind w:firstLine="8"/>
        <w:spacing w:after="0" w:line="295" w:lineRule="auto"/>
        <w:tabs>
          <w:tab w:leader="none" w:pos="29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failure of any Holder to exercise any right or remedy against any other Guarantor; (f) any change in the ownership of the Issuers;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42"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 Each Guarantor further agrees that its Guarantee herein shall continue to be effective or be reinstated, as the case may be, if at any time payment, or any part thereof, of principal of, premium, if any, interest and Additional Interest, if any, on any of the Guaranteed Obligations is rescinded or must otherwise be restored by any Holder upon the bankruptcy or reorganization of the Issuers or otherwise.</w:t>
      </w:r>
    </w:p>
    <w:p>
      <w:pPr>
        <w:spacing w:after="0" w:line="86"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In furtherance of the foregoing and not in limitation of any other right which any Holder has at law or in equity against any Guarantor by virtue hereof, upon the failure of the Issuers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on such Guaranteed Obligations then due and owing (but only to the extent not prohibited by law) (including interest accruing after the filing of any petition in bankruptcy or the commencement of any insolvency, reorganization or like proceeding relating</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380"/>
          </w:cols>
          <w:pgMar w:left="240" w:top="847" w:right="27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to the Issuers or any Guarantor whether or not a claim for post-filing or Post-Petition Interest is allowed in such proceeding).</w:t>
      </w:r>
    </w:p>
    <w:p>
      <w:pPr>
        <w:spacing w:after="0" w:line="146"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86"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Each Guarantor also agrees to pay any and all fees, costs and expenses (including attorneys’ fees and expenses) incurred by the Trustee or the Holders in enforcing any rights under this Section.</w:t>
      </w:r>
    </w:p>
    <w:p>
      <w:pPr>
        <w:spacing w:after="0" w:line="67"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Limitation on Liability; Termination, Release and Discharge</w:t>
      </w:r>
      <w:r>
        <w:rPr>
          <w:rFonts w:ascii="Arial" w:cs="Arial" w:eastAsia="Arial" w:hAnsi="Arial"/>
          <w:sz w:val="19"/>
          <w:szCs w:val="19"/>
          <w:color w:val="auto"/>
        </w:rPr>
        <w:t>.</w:t>
      </w:r>
    </w:p>
    <w:p>
      <w:pPr>
        <w:spacing w:after="0" w:line="112" w:lineRule="exact"/>
        <w:rPr>
          <w:sz w:val="20"/>
          <w:szCs w:val="20"/>
          <w:color w:val="auto"/>
        </w:rPr>
      </w:pPr>
    </w:p>
    <w:p>
      <w:pPr>
        <w:ind w:firstLine="1305"/>
        <w:spacing w:after="0" w:line="294" w:lineRule="auto"/>
        <w:tabs>
          <w:tab w:leader="none" w:pos="1741"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or state law and not otherwise being void or voidable under any similar laws affecting the rights of creditors generally.</w:t>
      </w:r>
    </w:p>
    <w:p>
      <w:pPr>
        <w:spacing w:after="0" w:line="41" w:lineRule="exact"/>
        <w:rPr>
          <w:rFonts w:ascii="Arial" w:cs="Arial" w:eastAsia="Arial" w:hAnsi="Arial"/>
          <w:sz w:val="19"/>
          <w:szCs w:val="19"/>
          <w:color w:val="auto"/>
        </w:rPr>
      </w:pPr>
    </w:p>
    <w:p>
      <w:pPr>
        <w:ind w:left="1760" w:hanging="455"/>
        <w:spacing w:after="0"/>
        <w:tabs>
          <w:tab w:leader="none" w:pos="176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Any Guarantee of a Guarantor shall be automatically and unconditionally released and discharged upon:</w:t>
      </w:r>
    </w:p>
    <w:p>
      <w:pPr>
        <w:spacing w:after="0" w:line="146" w:lineRule="exact"/>
        <w:rPr>
          <w:rFonts w:ascii="Arial" w:cs="Arial" w:eastAsia="Arial" w:hAnsi="Arial"/>
          <w:sz w:val="19"/>
          <w:szCs w:val="19"/>
          <w:color w:val="auto"/>
        </w:rPr>
      </w:pPr>
    </w:p>
    <w:p>
      <w:pPr>
        <w:ind w:left="660" w:right="180" w:firstLine="1293"/>
        <w:spacing w:after="0" w:line="271" w:lineRule="auto"/>
        <w:tabs>
          <w:tab w:leader="none" w:pos="2425" w:val="left"/>
        </w:tabs>
        <w:numPr>
          <w:ilvl w:val="1"/>
          <w:numId w:val="205"/>
        </w:numPr>
        <w:rPr>
          <w:rFonts w:ascii="Arial" w:cs="Arial" w:eastAsia="Arial" w:hAnsi="Arial"/>
          <w:sz w:val="21"/>
          <w:szCs w:val="21"/>
          <w:color w:val="auto"/>
        </w:rPr>
      </w:pPr>
      <w:r>
        <w:rPr>
          <w:rFonts w:ascii="Arial" w:cs="Arial" w:eastAsia="Arial" w:hAnsi="Arial"/>
          <w:sz w:val="21"/>
          <w:szCs w:val="21"/>
          <w:color w:val="auto"/>
        </w:rPr>
        <w:t>a sale or other disposition (including by way of consolidation or merger) of the Capital Stock of Subsidiary Guarantor or the sale or disposition of all or substantially all the assets of the Subsidiary Guarantor to a Person other than to the Company or a Restricted Subsidiary and as otherwise permitted by this Indenture;</w:t>
      </w:r>
    </w:p>
    <w:p>
      <w:pPr>
        <w:spacing w:after="0" w:line="59" w:lineRule="exact"/>
        <w:rPr>
          <w:rFonts w:ascii="Arial" w:cs="Arial" w:eastAsia="Arial" w:hAnsi="Arial"/>
          <w:sz w:val="21"/>
          <w:szCs w:val="21"/>
          <w:color w:val="auto"/>
        </w:rPr>
      </w:pPr>
    </w:p>
    <w:p>
      <w:pPr>
        <w:ind w:left="660" w:right="680" w:firstLine="1293"/>
        <w:spacing w:after="0" w:line="341" w:lineRule="auto"/>
        <w:tabs>
          <w:tab w:leader="none" w:pos="2425"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designation in accordance with this Indenture of a Subsidiary Guarantor as an Unrestricted Subsidiary or the occurrence of any event after which the Subsidiary Guarantor is no longer a Restricted Subsidiary;</w:t>
      </w:r>
    </w:p>
    <w:p>
      <w:pPr>
        <w:ind w:left="2420" w:hanging="467"/>
        <w:spacing w:after="0"/>
        <w:tabs>
          <w:tab w:leader="none" w:pos="242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 xml:space="preserve">defeasance or discharge of the Notes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111" w:lineRule="exact"/>
        <w:rPr>
          <w:rFonts w:ascii="Arial" w:cs="Arial" w:eastAsia="Arial" w:hAnsi="Arial"/>
          <w:sz w:val="22"/>
          <w:szCs w:val="22"/>
          <w:color w:val="auto"/>
        </w:rPr>
      </w:pPr>
    </w:p>
    <w:p>
      <w:pPr>
        <w:ind w:left="660" w:right="40" w:firstLine="1293"/>
        <w:spacing w:after="0" w:line="341" w:lineRule="auto"/>
        <w:tabs>
          <w:tab w:leader="none" w:pos="2425"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to the extent that such Subsidiary Guarantor is not an Immaterial Subsidiary solely due to the operation of clause (i) of the definition of “Immaterial Subsidiary,” upon the release of the guarantee referred to in such clause; or</w:t>
      </w:r>
    </w:p>
    <w:p>
      <w:pPr>
        <w:ind w:left="660" w:right="400" w:firstLine="1293"/>
        <w:spacing w:after="0" w:line="312" w:lineRule="auto"/>
        <w:tabs>
          <w:tab w:leader="none" w:pos="2425" w:val="left"/>
        </w:tabs>
        <w:numPr>
          <w:ilvl w:val="1"/>
          <w:numId w:val="205"/>
        </w:numPr>
        <w:rPr>
          <w:rFonts w:ascii="Arial" w:cs="Arial" w:eastAsia="Arial" w:hAnsi="Arial"/>
          <w:sz w:val="19"/>
          <w:szCs w:val="19"/>
          <w:color w:val="auto"/>
        </w:rPr>
      </w:pPr>
      <w:r>
        <w:rPr>
          <w:rFonts w:ascii="Arial" w:cs="Arial" w:eastAsia="Arial" w:hAnsi="Arial"/>
          <w:sz w:val="19"/>
          <w:szCs w:val="19"/>
          <w:color w:val="auto"/>
        </w:rPr>
        <w:t>such Guarantor, other than the Indirect Parent or the Company, being (or being substantially concurrently) released or discharged of its Guarantee, (x) has been released from all of (i) its obligations under all of its Guarantees of payment by the Company of any Indebtedness of the Company under the Credit Agreement or (ii) in</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380"/>
          </w:cols>
          <w:pgMar w:left="240" w:top="848" w:right="279" w:bottom="1440" w:gutter="0" w:footer="0" w:header="0"/>
        </w:sectPr>
      </w:pPr>
    </w:p>
    <w:bookmarkStart w:id="178" w:name="page179"/>
    <w:bookmarkEnd w:id="178"/>
    <w:p>
      <w:pPr>
        <w:ind w:left="660" w:right="40"/>
        <w:spacing w:after="0" w:line="297" w:lineRule="auto"/>
        <w:rPr>
          <w:sz w:val="20"/>
          <w:szCs w:val="20"/>
          <w:color w:val="auto"/>
        </w:rPr>
      </w:pPr>
      <w:r>
        <w:rPr>
          <w:rFonts w:ascii="Arial" w:cs="Arial" w:eastAsia="Arial" w:hAnsi="Arial"/>
          <w:sz w:val="19"/>
          <w:szCs w:val="19"/>
          <w:color w:val="auto"/>
        </w:rPr>
        <w:t>the case of a Guarantee made by a Guarantor (each, an “</w:t>
      </w:r>
      <w:r>
        <w:rPr>
          <w:rFonts w:ascii="Arial" w:cs="Arial" w:eastAsia="Arial" w:hAnsi="Arial"/>
          <w:sz w:val="19"/>
          <w:szCs w:val="19"/>
          <w:u w:val="single" w:color="auto"/>
          <w:color w:val="auto"/>
        </w:rPr>
        <w:t>Other Guarantee</w:t>
      </w:r>
      <w:r>
        <w:rPr>
          <w:rFonts w:ascii="Arial" w:cs="Arial" w:eastAsia="Arial" w:hAnsi="Arial"/>
          <w:sz w:val="19"/>
          <w:szCs w:val="19"/>
          <w:color w:val="auto"/>
        </w:rPr>
        <w:t xml:space="preserve">”) as a result of its guarantee of other Indebtedness of the Company or a Guarantor pursuant to </w:t>
      </w:r>
      <w:r>
        <w:rPr>
          <w:rFonts w:ascii="Arial" w:cs="Arial" w:eastAsia="Arial" w:hAnsi="Arial"/>
          <w:sz w:val="19"/>
          <w:szCs w:val="19"/>
          <w:u w:val="single" w:color="auto"/>
          <w:color w:val="auto"/>
        </w:rPr>
        <w:t>Section 3.7</w:t>
      </w:r>
      <w:r>
        <w:rPr>
          <w:rFonts w:ascii="Arial" w:cs="Arial" w:eastAsia="Arial" w:hAnsi="Arial"/>
          <w:sz w:val="19"/>
          <w:szCs w:val="19"/>
          <w:color w:val="auto"/>
        </w:rPr>
        <w:t>, the relevant Indebtedness, except in the case of (i) or (ii), a release as a result of the repayment in full of the Indebtedness specified in clause (i) or (ii) (it being understood that a release subject to a contingent reinstatement is still considered a release, and if any such Indebtedness of such Guarantor under the Credit Agreement or any Other Guarantee is so reinstated, such Guarantee shall also be reinstated);</w:t>
      </w:r>
    </w:p>
    <w:p>
      <w:pPr>
        <w:spacing w:after="0" w:line="39" w:lineRule="exact"/>
        <w:rPr>
          <w:sz w:val="20"/>
          <w:szCs w:val="20"/>
          <w:color w:val="auto"/>
        </w:rPr>
      </w:pPr>
    </w:p>
    <w:p>
      <w:pPr>
        <w:ind w:left="660" w:right="140" w:firstLine="1293"/>
        <w:spacing w:after="0" w:line="253" w:lineRule="auto"/>
        <w:tabs>
          <w:tab w:leader="none" w:pos="242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upon the merger, amalgamation or consolidation of any Guarantor with and into the Company or another Guarantor or upon the liquidation of such Guarantor, in each case, in compliance with the applicable provisions of the Indenture;</w:t>
      </w:r>
    </w:p>
    <w:p>
      <w:pPr>
        <w:spacing w:after="0" w:line="77" w:lineRule="exact"/>
        <w:rPr>
          <w:rFonts w:ascii="Arial" w:cs="Arial" w:eastAsia="Arial" w:hAnsi="Arial"/>
          <w:sz w:val="22"/>
          <w:szCs w:val="22"/>
          <w:color w:val="auto"/>
        </w:rPr>
      </w:pPr>
    </w:p>
    <w:p>
      <w:pPr>
        <w:ind w:left="660" w:right="360" w:firstLine="1293"/>
        <w:spacing w:after="0" w:line="341" w:lineRule="auto"/>
        <w:tabs>
          <w:tab w:leader="none" w:pos="2425" w:val="left"/>
        </w:tabs>
        <w:numPr>
          <w:ilvl w:val="0"/>
          <w:numId w:val="206"/>
        </w:numPr>
        <w:rPr>
          <w:rFonts w:ascii="Arial" w:cs="Arial" w:eastAsia="Arial" w:hAnsi="Arial"/>
          <w:sz w:val="19"/>
          <w:szCs w:val="19"/>
          <w:color w:val="auto"/>
        </w:rPr>
      </w:pPr>
      <w:r>
        <w:rPr>
          <w:rFonts w:ascii="Arial" w:cs="Arial" w:eastAsia="Arial" w:hAnsi="Arial"/>
          <w:sz w:val="19"/>
          <w:szCs w:val="19"/>
          <w:color w:val="auto"/>
        </w:rPr>
        <w:t xml:space="preserve">in the case of the Subsidiary Guarantees, the achievement of Investment Grade Status by the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Guarantees shall be reinstated upon the Reversion Date pursuant to </w:t>
      </w:r>
      <w:r>
        <w:rPr>
          <w:rFonts w:ascii="Arial" w:cs="Arial" w:eastAsia="Arial" w:hAnsi="Arial"/>
          <w:sz w:val="19"/>
          <w:szCs w:val="19"/>
          <w:u w:val="single" w:color="auto"/>
          <w:color w:val="auto"/>
        </w:rPr>
        <w:t>Section 3.21</w:t>
      </w:r>
      <w:r>
        <w:rPr>
          <w:rFonts w:ascii="Arial" w:cs="Arial" w:eastAsia="Arial" w:hAnsi="Arial"/>
          <w:sz w:val="19"/>
          <w:szCs w:val="19"/>
          <w:color w:val="auto"/>
        </w:rPr>
        <w:t>; and</w:t>
      </w:r>
    </w:p>
    <w:p>
      <w:pPr>
        <w:ind w:left="2420" w:hanging="467"/>
        <w:spacing w:after="0"/>
        <w:tabs>
          <w:tab w:leader="none" w:pos="24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11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Right of Contribution</w:t>
      </w:r>
      <w:r>
        <w:rPr>
          <w:rFonts w:ascii="Arial" w:cs="Arial" w:eastAsia="Arial" w:hAnsi="Arial"/>
          <w:sz w:val="22"/>
          <w:szCs w:val="22"/>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Issuers or any other Guarantor who has not paid its proportionate share of such payment. The provisions of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made by each Guarantor hereunder, no Guarantor shall be entitled to be subrogated to any of the rights of the Trustee or any Holder against the Issuers or any other Guarantor or any collateral security or guarantee or right of offset held by the Trustee or any Holder for the payment of the Guaranteed Obligations, nor shall any Guarantor seek or be entitled to seek any contribution or reimbursement from the Issuers or any other Guarantor in respect of payments made by such Guarantor hereunder, until all amounts owing to the Trustee and the Holders by the Issuers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SATISFACTION AND DISCHARGE</w:t>
      </w:r>
    </w:p>
    <w:p>
      <w:pPr>
        <w:spacing w:after="0" w:line="118"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Satisfaction and Discharge</w:t>
      </w:r>
      <w:r>
        <w:rPr>
          <w:rFonts w:ascii="Arial" w:cs="Arial" w:eastAsia="Arial" w:hAnsi="Arial"/>
          <w:sz w:val="22"/>
          <w:szCs w:val="22"/>
          <w:color w:val="auto"/>
        </w:rPr>
        <w:t>. This Indenture will be discharged and will cease to be of further effect as to all Notes issued hereunder, when:</w:t>
      </w:r>
    </w:p>
    <w:p>
      <w:pPr>
        <w:spacing w:after="0" w:line="6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either:</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380"/>
          </w:cols>
          <w:pgMar w:left="240" w:top="847" w:right="279" w:bottom="1440" w:gutter="0" w:footer="0" w:header="0"/>
        </w:sectPr>
      </w:pPr>
    </w:p>
    <w:bookmarkStart w:id="179" w:name="page180"/>
    <w:bookmarkEnd w:id="179"/>
    <w:p>
      <w:pPr>
        <w:ind w:left="660" w:right="200" w:firstLine="1293"/>
        <w:spacing w:after="0" w:line="253" w:lineRule="auto"/>
        <w:tabs>
          <w:tab w:leader="none" w:pos="2425" w:val="left"/>
        </w:tabs>
        <w:numPr>
          <w:ilvl w:val="2"/>
          <w:numId w:val="207"/>
        </w:numPr>
        <w:rPr>
          <w:rFonts w:ascii="Arial" w:cs="Arial" w:eastAsia="Arial" w:hAnsi="Arial"/>
          <w:sz w:val="22"/>
          <w:szCs w:val="22"/>
          <w:color w:val="auto"/>
        </w:rPr>
      </w:pPr>
      <w:r>
        <w:rPr>
          <w:rFonts w:ascii="Arial" w:cs="Arial" w:eastAsia="Arial" w:hAnsi="Arial"/>
          <w:sz w:val="22"/>
          <w:szCs w:val="22"/>
          <w:color w:val="auto"/>
        </w:rPr>
        <w:t>all Notes that have been authenticated and delivered (except lost, stolen or destroyed Notes and Notes for which provision for payment was previously made and thereafter the funds have been released to the Company) have been delivered to the Trustee for cancellation; or</w:t>
      </w:r>
    </w:p>
    <w:p>
      <w:pPr>
        <w:spacing w:after="0" w:line="77" w:lineRule="exact"/>
        <w:rPr>
          <w:rFonts w:ascii="Arial" w:cs="Arial" w:eastAsia="Arial" w:hAnsi="Arial"/>
          <w:sz w:val="22"/>
          <w:szCs w:val="22"/>
          <w:color w:val="auto"/>
        </w:rPr>
      </w:pPr>
    </w:p>
    <w:p>
      <w:pPr>
        <w:ind w:left="2420" w:hanging="467"/>
        <w:spacing w:after="0"/>
        <w:tabs>
          <w:tab w:leader="none" w:pos="2420" w:val="left"/>
        </w:tabs>
        <w:numPr>
          <w:ilvl w:val="2"/>
          <w:numId w:val="207"/>
        </w:numPr>
        <w:rPr>
          <w:rFonts w:ascii="Arial" w:cs="Arial" w:eastAsia="Arial" w:hAnsi="Arial"/>
          <w:sz w:val="19"/>
          <w:szCs w:val="19"/>
          <w:color w:val="auto"/>
        </w:rPr>
      </w:pPr>
      <w:r>
        <w:rPr>
          <w:rFonts w:ascii="Arial" w:cs="Arial" w:eastAsia="Arial" w:hAnsi="Arial"/>
          <w:sz w:val="19"/>
          <w:szCs w:val="19"/>
          <w:color w:val="auto"/>
        </w:rPr>
        <w:t>all Notes not theretofore delivered to the Trustee for cancellation (i) have become due and payable or</w:t>
      </w:r>
    </w:p>
    <w:p>
      <w:pPr>
        <w:spacing w:after="0" w:line="56" w:lineRule="exact"/>
        <w:rPr>
          <w:rFonts w:ascii="Arial" w:cs="Arial" w:eastAsia="Arial" w:hAnsi="Arial"/>
          <w:sz w:val="19"/>
          <w:szCs w:val="19"/>
          <w:color w:val="auto"/>
        </w:rPr>
      </w:pPr>
    </w:p>
    <w:p>
      <w:pPr>
        <w:jc w:val="both"/>
        <w:ind w:left="660" w:right="160" w:hanging="4"/>
        <w:spacing w:after="0" w:line="245" w:lineRule="auto"/>
        <w:tabs>
          <w:tab w:leader="none" w:pos="97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will become due and payable within one year at their Stated Maturity or (iii) are to be called for redemption within one year under arrangements satisfactory to the Trustee for the giving of notice of redemption by the Trustee, in the name, and at the expense of the Company;</w:t>
      </w:r>
    </w:p>
    <w:p>
      <w:pPr>
        <w:spacing w:after="0" w:line="85" w:lineRule="exact"/>
        <w:rPr>
          <w:rFonts w:ascii="Arial" w:cs="Arial" w:eastAsia="Arial" w:hAnsi="Arial"/>
          <w:sz w:val="22"/>
          <w:szCs w:val="22"/>
          <w:color w:val="auto"/>
        </w:rPr>
      </w:pPr>
    </w:p>
    <w:p>
      <w:pPr>
        <w:ind w:left="1780" w:hanging="475"/>
        <w:spacing w:after="0"/>
        <w:tabs>
          <w:tab w:leader="none" w:pos="178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Company has deposited or caused to be deposited with the Trustee, money in U.S. dollars,</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 xml:space="preserve">U.S. Government Obligations, or a combination thereof, as applicable, in such amounts as will be sufficient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and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48" w:lineRule="exact"/>
        <w:rPr>
          <w:sz w:val="20"/>
          <w:szCs w:val="20"/>
          <w:color w:val="auto"/>
        </w:rPr>
      </w:pPr>
    </w:p>
    <w:p>
      <w:pPr>
        <w:ind w:left="1760" w:hanging="455"/>
        <w:spacing w:after="0"/>
        <w:tabs>
          <w:tab w:leader="none" w:pos="17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the Company has paid or caused to be paid all sums payable by the Company under this Indenture; and</w:t>
      </w:r>
    </w:p>
    <w:p>
      <w:pPr>
        <w:spacing w:after="0" w:line="146" w:lineRule="exact"/>
        <w:rPr>
          <w:rFonts w:ascii="Arial" w:cs="Arial" w:eastAsia="Arial" w:hAnsi="Arial"/>
          <w:sz w:val="19"/>
          <w:szCs w:val="19"/>
          <w:color w:val="auto"/>
        </w:rPr>
      </w:pPr>
    </w:p>
    <w:p>
      <w:pPr>
        <w:jc w:val="both"/>
        <w:ind w:right="180" w:firstLine="1305"/>
        <w:spacing w:after="0" w:line="312" w:lineRule="auto"/>
        <w:tabs>
          <w:tab w:leader="none" w:pos="1765"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the Company shall deliver to the Trustee an Officer’s Certificate and an Opinion of Counsel to the effect that all conditions precedent to satisfaction and discharge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counsel may rely on an Officer’s Certificate as to matters of fact (including compliance with clauses (a), (b) and (c) in this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26"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 xml:space="preserve">Notwithstanding the satisfaction and discharge of this Indenture, if money has been deposited with the Registrar pursuant to clause (b)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8.6</w:t>
      </w:r>
      <w:r>
        <w:rPr>
          <w:rFonts w:ascii="Arial" w:cs="Arial" w:eastAsia="Arial" w:hAnsi="Arial"/>
          <w:sz w:val="22"/>
          <w:szCs w:val="22"/>
          <w:color w:val="auto"/>
        </w:rPr>
        <w:t xml:space="preserve"> hereof will survive.</w:t>
      </w:r>
    </w:p>
    <w:p>
      <w:pPr>
        <w:spacing w:after="0" w:line="67"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hereof, all money deposited with the Trustee or the Paying Agent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hereof shall be held in trust and applied by it, in accordance with the provisions of the Notes and this Indenture, to the payment, either directly or through any Paying Agent (including the Company acting as their own Paying Agent) as the Trustee may determine, to the Persons entitled thereto, of the principal (and premium) and interest and Additional Interest, if any, for whose payment such money has been deposited with the Trustee or the Paying Agent; but such money need not be segregated from other funds except to the extent required by law.</w:t>
      </w:r>
    </w:p>
    <w:p>
      <w:pPr>
        <w:spacing w:after="0" w:line="42" w:lineRule="exact"/>
        <w:rPr>
          <w:sz w:val="20"/>
          <w:szCs w:val="20"/>
          <w:color w:val="auto"/>
        </w:rPr>
      </w:pPr>
    </w:p>
    <w:p>
      <w:pPr>
        <w:ind w:right="680" w:firstLine="648"/>
        <w:spacing w:after="0" w:line="253" w:lineRule="auto"/>
        <w:rPr>
          <w:sz w:val="20"/>
          <w:szCs w:val="20"/>
          <w:color w:val="auto"/>
        </w:rPr>
      </w:pPr>
      <w:r>
        <w:rPr>
          <w:rFonts w:ascii="Arial" w:cs="Arial" w:eastAsia="Arial" w:hAnsi="Arial"/>
          <w:sz w:val="22"/>
          <w:szCs w:val="22"/>
          <w:color w:val="auto"/>
        </w:rPr>
        <w:t xml:space="preserve">If the Trustee or the Paying Agent is unable to apply any money or U.S. Government Obligations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by reason of any legal proceeding or by reason of any order or judgment of any court or Governmental Authority enjoining, restraining 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848" w:right="239" w:bottom="1440" w:gutter="0" w:footer="0" w:header="0"/>
        </w:sectPr>
      </w:pPr>
    </w:p>
    <w:bookmarkStart w:id="180" w:name="page181"/>
    <w:bookmarkEnd w:id="180"/>
    <w:p>
      <w:pPr>
        <w:ind w:right="40"/>
        <w:spacing w:after="0" w:line="248" w:lineRule="auto"/>
        <w:rPr>
          <w:sz w:val="20"/>
          <w:szCs w:val="20"/>
          <w:color w:val="auto"/>
        </w:rPr>
      </w:pPr>
      <w:r>
        <w:rPr>
          <w:rFonts w:ascii="Arial" w:cs="Arial" w:eastAsia="Arial" w:hAnsi="Arial"/>
          <w:sz w:val="22"/>
          <w:szCs w:val="22"/>
          <w:color w:val="auto"/>
        </w:rPr>
        <w:t xml:space="preserve">otherwise prohibiting such application, the Company’s and any Guarantor’s obligations under this Indenture and the Notes shall be revived and reinstated as though no deposit had occurred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Company has made any payment of principal of, or premium or interest on, any Notes because of the reinstatement of its obligations, the Company shall be subrogated to the rights of the Holders of such Notes to receive such payment from the money or U.S. Government Obligations held by the Trustee or the Paying Agent.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1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direction, consent or communication made pursuant to the provisions of this Indenture or the Notes shall be in writing and delivered in person, delivered by commercial courier service, sent by facsimile or mailed by first-class mail, postage prepaid, addressed as follows:</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or to any Guarantor:</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 Sylvan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Parsippany, NJ 07054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502-394-1160</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Joshua N. Korff and Brian Hecht</w:t>
      </w:r>
    </w:p>
    <w:p>
      <w:pPr>
        <w:spacing w:after="0" w:line="4" w:lineRule="exact"/>
        <w:rPr>
          <w:sz w:val="20"/>
          <w:szCs w:val="20"/>
          <w:color w:val="auto"/>
        </w:rPr>
      </w:pPr>
    </w:p>
    <w:p>
      <w:pPr>
        <w:ind w:left="1960"/>
        <w:spacing w:after="0"/>
        <w:tabs>
          <w:tab w:leader="none" w:pos="304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212-446-6460</w:t>
      </w:r>
    </w:p>
    <w:p>
      <w:pPr>
        <w:spacing w:after="0" w:line="94" w:lineRule="exact"/>
        <w:rPr>
          <w:sz w:val="20"/>
          <w:szCs w:val="20"/>
          <w:color w:val="auto"/>
        </w:rPr>
      </w:pPr>
    </w:p>
    <w:p>
      <w:pPr>
        <w:ind w:left="1300" w:right="60"/>
        <w:spacing w:after="0" w:line="263" w:lineRule="auto"/>
        <w:rPr>
          <w:sz w:val="20"/>
          <w:szCs w:val="20"/>
          <w:color w:val="auto"/>
        </w:rPr>
      </w:pPr>
      <w:r>
        <w:rPr>
          <w:rFonts w:ascii="Arial" w:cs="Arial" w:eastAsia="Arial" w:hAnsi="Arial"/>
          <w:sz w:val="22"/>
          <w:szCs w:val="22"/>
          <w:color w:val="auto"/>
        </w:rPr>
        <w:t>if to the Trustee, at its corporate trust office, which corporate trust office for purposes of this Indenture is at the date hereof located at:</w:t>
      </w:r>
    </w:p>
    <w:p>
      <w:pPr>
        <w:spacing w:after="0" w:line="200" w:lineRule="exact"/>
        <w:rPr>
          <w:sz w:val="20"/>
          <w:szCs w:val="20"/>
          <w:color w:val="auto"/>
        </w:rPr>
      </w:pP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&amp; Agency Services</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24th Floor</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NYC60-2407</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10005</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USA</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Corporates Team, Avis Budget Car Rental/Avis Budget Finance</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(732) 578-4635</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360"/>
          </w:cols>
          <w:pgMar w:left="240" w:top="847" w:right="299" w:bottom="1440" w:gutter="0" w:footer="0" w:header="0"/>
        </w:sectPr>
      </w:pPr>
    </w:p>
    <w:bookmarkStart w:id="181" w:name="page182"/>
    <w:bookmarkEnd w:id="181"/>
    <w:p>
      <w:pPr>
        <w:ind w:right="280" w:firstLine="648"/>
        <w:spacing w:after="0" w:line="263" w:lineRule="auto"/>
        <w:rPr>
          <w:sz w:val="20"/>
          <w:szCs w:val="20"/>
          <w:color w:val="auto"/>
        </w:rPr>
      </w:pPr>
      <w:r>
        <w:rPr>
          <w:rFonts w:ascii="Arial" w:cs="Arial" w:eastAsia="Arial" w:hAnsi="Arial"/>
          <w:sz w:val="22"/>
          <w:szCs w:val="22"/>
          <w:color w:val="auto"/>
        </w:rPr>
        <w:t>The Company or the Trustee by written notice to the other may designate additional or different addresses for subsequent notices or communications.</w:t>
      </w:r>
    </w:p>
    <w:p>
      <w:pPr>
        <w:spacing w:after="0" w:line="67"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22"/>
          <w:szCs w:val="22"/>
          <w:color w:val="auto"/>
        </w:rPr>
        <w:t>All notices or other communications required or permitted to be given by the Company to any Paying Agent or Registrar under this Indenture shall be in the English language or, if not in English and if so required by the Paying Agent or Registrar, be accompanied by a certified English translation.</w:t>
      </w:r>
    </w:p>
    <w:p>
      <w:pPr>
        <w:spacing w:after="0" w:line="78" w:lineRule="exact"/>
        <w:rPr>
          <w:sz w:val="20"/>
          <w:szCs w:val="20"/>
          <w:color w:val="auto"/>
        </w:rPr>
      </w:pPr>
    </w:p>
    <w:p>
      <w:pPr>
        <w:ind w:right="40" w:firstLine="648"/>
        <w:spacing w:after="0" w:line="294" w:lineRule="auto"/>
        <w:rPr>
          <w:sz w:val="20"/>
          <w:szCs w:val="20"/>
          <w:color w:val="auto"/>
        </w:rPr>
      </w:pPr>
      <w:r>
        <w:rPr>
          <w:rFonts w:ascii="Arial" w:cs="Arial" w:eastAsia="Arial" w:hAnsi="Arial"/>
          <w:sz w:val="19"/>
          <w:szCs w:val="19"/>
          <w:color w:val="auto"/>
        </w:rPr>
        <w:t>All notices to Holders of Notes shall be validly given if electronically delivered or mailed to the Holders at their respective addresses in the Notes Register and shall be sufficiently given if so sent within the time prescribed. Notwithstanding any other provision of this Indenture or any Note, for so long as any Notes are represented by Global Notes and where this Indenture or any Note provides for notice of any event (including any notice of redemption or purchase) to Holders of Notes (whether by mail or otherwise), such notice shall be sufficiently given if given to DTC (or its designee), pursuant to the standing instructions from DTC or its designee, which will give such notices to the Holders of book-entry interests.</w:t>
      </w:r>
    </w:p>
    <w:p>
      <w:pPr>
        <w:spacing w:after="0" w:line="42"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 xml:space="preserve">Any notice or communication to the Company, the Guarantors or Holders of Notes shall be deemed to have been given on the date of such publication or, if published more than once on different dates, on the first date on which publication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him if so mailed within the time prescribed.</w:t>
      </w:r>
    </w:p>
    <w:p>
      <w:pPr>
        <w:spacing w:after="0" w:line="39"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w:t>
      </w:r>
    </w:p>
    <w:p>
      <w:pPr>
        <w:spacing w:after="0" w:line="7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112"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rPr>
        <w:t>. Upon any request or application by the Company or any of the Guarantors to the Trustee to take or refrain from taking any action under this Indenture, the Company or such Guarantor, as the case may be, shall furnish to the Trustee:</w:t>
      </w:r>
    </w:p>
    <w:p>
      <w:pPr>
        <w:spacing w:after="0" w:line="78" w:lineRule="exact"/>
        <w:rPr>
          <w:sz w:val="20"/>
          <w:szCs w:val="20"/>
          <w:color w:val="auto"/>
        </w:rPr>
      </w:pPr>
    </w:p>
    <w:p>
      <w:pPr>
        <w:ind w:left="660" w:right="160" w:firstLine="1293"/>
        <w:spacing w:after="0" w:line="253" w:lineRule="auto"/>
        <w:tabs>
          <w:tab w:leader="none" w:pos="242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an Officer’s Certificate in form satisfactory to the Trustee (which shall include the statements set forth in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the signers, all conditions precedent, if any, provided for in this Indenture relating to the proposed action have been satisfied; and</w:t>
      </w:r>
    </w:p>
    <w:p>
      <w:pPr>
        <w:spacing w:after="0" w:line="77" w:lineRule="exact"/>
        <w:rPr>
          <w:rFonts w:ascii="Arial" w:cs="Arial" w:eastAsia="Arial" w:hAnsi="Arial"/>
          <w:sz w:val="22"/>
          <w:szCs w:val="22"/>
          <w:color w:val="auto"/>
        </w:rPr>
      </w:pPr>
    </w:p>
    <w:p>
      <w:pPr>
        <w:ind w:left="660" w:right="120" w:firstLine="1293"/>
        <w:spacing w:after="0" w:line="253" w:lineRule="auto"/>
        <w:tabs>
          <w:tab w:leader="none" w:pos="242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an Opinion of Counsel in form satisfactory to the Trustee (which shall include the statements set forth in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such counsel, all such conditions precedent have been satisfied and all covenants have been complied with.</w:t>
      </w:r>
    </w:p>
    <w:p>
      <w:pPr>
        <w:spacing w:after="0" w:line="7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 Each certificate or opinion with respect to compliance with a covenant or condition provided for in this Indenture shall include: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847" w:right="239" w:bottom="1440" w:gutter="0" w:footer="0" w:header="0"/>
        </w:sectPr>
      </w:pPr>
    </w:p>
    <w:bookmarkStart w:id="182" w:name="page183"/>
    <w:bookmarkEnd w:id="182"/>
    <w:p>
      <w:pPr>
        <w:ind w:left="2420" w:hanging="467"/>
        <w:spacing w:after="0"/>
        <w:tabs>
          <w:tab w:leader="none" w:pos="24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 statement that the individual making such certificate or opinion has read such covenant or condition;</w:t>
      </w:r>
    </w:p>
    <w:p>
      <w:pPr>
        <w:spacing w:after="0" w:line="146" w:lineRule="exact"/>
        <w:rPr>
          <w:rFonts w:ascii="Arial" w:cs="Arial" w:eastAsia="Arial" w:hAnsi="Arial"/>
          <w:sz w:val="19"/>
          <w:szCs w:val="19"/>
          <w:color w:val="auto"/>
        </w:rPr>
      </w:pPr>
    </w:p>
    <w:p>
      <w:pPr>
        <w:ind w:left="660" w:right="800" w:firstLine="1293"/>
        <w:spacing w:after="0" w:line="263" w:lineRule="auto"/>
        <w:tabs>
          <w:tab w:leader="none" w:pos="242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66" w:lineRule="exact"/>
        <w:rPr>
          <w:rFonts w:ascii="Arial" w:cs="Arial" w:eastAsia="Arial" w:hAnsi="Arial"/>
          <w:sz w:val="22"/>
          <w:szCs w:val="22"/>
          <w:color w:val="auto"/>
        </w:rPr>
      </w:pPr>
    </w:p>
    <w:p>
      <w:pPr>
        <w:jc w:val="both"/>
        <w:ind w:left="660" w:right="100" w:firstLine="1293"/>
        <w:spacing w:after="0" w:line="253" w:lineRule="auto"/>
        <w:tabs>
          <w:tab w:leader="none" w:pos="242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77" w:lineRule="exact"/>
        <w:rPr>
          <w:rFonts w:ascii="Arial" w:cs="Arial" w:eastAsia="Arial" w:hAnsi="Arial"/>
          <w:sz w:val="22"/>
          <w:szCs w:val="22"/>
          <w:color w:val="auto"/>
        </w:rPr>
      </w:pPr>
    </w:p>
    <w:p>
      <w:pPr>
        <w:ind w:left="2420" w:hanging="467"/>
        <w:spacing w:after="0"/>
        <w:tabs>
          <w:tab w:leader="none" w:pos="242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individual, such covenant or condition has been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94"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In giving such Opinion of Counsel, counsel may rely as to factual matters on an Officer’s Certificate or on certificates of public officials.</w:t>
      </w:r>
    </w:p>
    <w:p>
      <w:pPr>
        <w:spacing w:after="0" w:line="67"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When Notes Disregarded</w:t>
      </w:r>
      <w:r>
        <w:rPr>
          <w:rFonts w:ascii="Arial" w:cs="Arial" w:eastAsia="Arial" w:hAnsi="Arial"/>
          <w:sz w:val="22"/>
          <w:szCs w:val="22"/>
          <w:color w:val="auto"/>
        </w:rPr>
        <w:t>. In determining whether the Holders of the required aggregate principal amount of Notes have concurred in any direction, waiver or consent, Notes owned by the Company,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86" w:lineRule="exact"/>
        <w:rPr>
          <w:sz w:val="20"/>
          <w:szCs w:val="20"/>
          <w:color w:val="auto"/>
        </w:rPr>
      </w:pPr>
    </w:p>
    <w:p>
      <w:pPr>
        <w:ind w:right="40" w:firstLine="648"/>
        <w:spacing w:after="0" w:line="287" w:lineRule="auto"/>
        <w:rPr>
          <w:sz w:val="20"/>
          <w:szCs w:val="20"/>
          <w:color w:val="auto"/>
        </w:rPr>
      </w:pPr>
      <w:r>
        <w:rPr>
          <w:rFonts w:ascii="Arial" w:cs="Arial" w:eastAsia="Arial" w:hAnsi="Arial"/>
          <w:sz w:val="21"/>
          <w:szCs w:val="21"/>
          <w:color w:val="auto"/>
        </w:rPr>
        <w:t xml:space="preserve">SECTION 12.7 </w:t>
      </w:r>
      <w:r>
        <w:rPr>
          <w:rFonts w:ascii="Arial" w:cs="Arial" w:eastAsia="Arial" w:hAnsi="Arial"/>
          <w:sz w:val="21"/>
          <w:szCs w:val="21"/>
          <w:u w:val="single" w:color="auto"/>
          <w:color w:val="auto"/>
        </w:rPr>
        <w:t>Rules by Trustee, Paying Agent and Registrar</w:t>
      </w:r>
      <w:r>
        <w:rPr>
          <w:rFonts w:ascii="Arial" w:cs="Arial" w:eastAsia="Arial" w:hAnsi="Arial"/>
          <w:sz w:val="21"/>
          <w:szCs w:val="21"/>
          <w:color w:val="auto"/>
        </w:rPr>
        <w:t>. The Trustee may make reasonable rules for action by, or at meetings of, Holders. The Registrar and the Paying Agent may make reasonable rules for their functions.</w:t>
      </w:r>
    </w:p>
    <w:p>
      <w:pPr>
        <w:spacing w:after="0" w:line="44"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Legal Holidays</w:t>
      </w:r>
      <w:r>
        <w:rPr>
          <w:rFonts w:ascii="Arial" w:cs="Arial" w:eastAsia="Arial" w:hAnsi="Arial"/>
          <w:sz w:val="22"/>
          <w:szCs w:val="22"/>
          <w:color w:val="auto"/>
        </w:rPr>
        <w:t>.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 Saturday, a Sunday or other day on which banking institutions are authorized or required by law to be closed in New York, New York or the state of the place of payment. If a payment date or Redemption Date is a Legal Holiday, payment shall be made on the next succeeding day that is not a Legal Holiday, and no interest shall accrue for the intervening period (unless otherwise required). If a regular record date is a Legal Holiday, the record date shall not be affected.</w:t>
      </w:r>
    </w:p>
    <w:p>
      <w:pPr>
        <w:spacing w:after="0" w:line="84" w:lineRule="exact"/>
        <w:rPr>
          <w:sz w:val="20"/>
          <w:szCs w:val="20"/>
          <w:color w:val="auto"/>
        </w:rPr>
      </w:pPr>
    </w:p>
    <w:p>
      <w:pPr>
        <w:ind w:right="1100" w:firstLine="648"/>
        <w:spacing w:after="0" w:line="287" w:lineRule="auto"/>
        <w:rPr>
          <w:sz w:val="20"/>
          <w:szCs w:val="20"/>
          <w:color w:val="auto"/>
        </w:rPr>
      </w:pPr>
      <w:r>
        <w:rPr>
          <w:rFonts w:ascii="Arial" w:cs="Arial" w:eastAsia="Arial" w:hAnsi="Arial"/>
          <w:sz w:val="21"/>
          <w:szCs w:val="21"/>
          <w:color w:val="auto"/>
        </w:rPr>
        <w:t xml:space="preserve">SECTION 12.9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INDENTURE, THE NOTES AND THE GUARANTEES SHALL BE GOVERNED BY, AND CONSTRUED IN ACCORDANCE WITH, THE LAWS OF THE STATE OF NEW YORK.</w:t>
      </w:r>
    </w:p>
    <w:p>
      <w:pPr>
        <w:spacing w:after="0" w:line="44" w:lineRule="exact"/>
        <w:rPr>
          <w:sz w:val="20"/>
          <w:szCs w:val="20"/>
          <w:color w:val="auto"/>
        </w:rPr>
      </w:pPr>
    </w:p>
    <w:p>
      <w:pPr>
        <w:ind w:right="200" w:firstLine="648"/>
        <w:spacing w:after="0" w:line="292" w:lineRule="auto"/>
        <w:rPr>
          <w:sz w:val="20"/>
          <w:szCs w:val="20"/>
          <w:color w:val="auto"/>
        </w:rPr>
      </w:pPr>
      <w:r>
        <w:rPr>
          <w:rFonts w:ascii="Arial" w:cs="Arial" w:eastAsia="Arial" w:hAnsi="Arial"/>
          <w:sz w:val="19"/>
          <w:szCs w:val="19"/>
          <w:color w:val="auto"/>
        </w:rPr>
        <w:t xml:space="preserve">SECTION 12.10 </w:t>
      </w:r>
      <w:r>
        <w:rPr>
          <w:rFonts w:ascii="Arial" w:cs="Arial" w:eastAsia="Arial" w:hAnsi="Arial"/>
          <w:sz w:val="19"/>
          <w:szCs w:val="19"/>
          <w:u w:val="single" w:color="auto"/>
          <w:color w:val="auto"/>
        </w:rPr>
        <w:t>Jurisdiction</w:t>
      </w:r>
      <w:r>
        <w:rPr>
          <w:rFonts w:ascii="Arial" w:cs="Arial" w:eastAsia="Arial" w:hAnsi="Arial"/>
          <w:sz w:val="19"/>
          <w:szCs w:val="19"/>
          <w:color w:val="auto"/>
        </w:rPr>
        <w:t>. The Company and the Guarantors agree that any suit, action or proceeding against the Company or any Guarantor brought by any Holder, the Trustee arising out of or based upon this Indenture, the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Company and the Guarantors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00"/>
          </w:cols>
          <w:pgMar w:left="240" w:top="848" w:right="259" w:bottom="1440" w:gutter="0" w:footer="0" w:header="0"/>
        </w:sectPr>
      </w:pPr>
    </w:p>
    <w:bookmarkStart w:id="183" w:name="page184"/>
    <w:bookmarkEnd w:id="183"/>
    <w:p>
      <w:pPr>
        <w:ind w:right="160"/>
        <w:spacing w:after="0" w:line="263" w:lineRule="auto"/>
        <w:rPr>
          <w:sz w:val="20"/>
          <w:szCs w:val="20"/>
          <w:color w:val="auto"/>
        </w:rPr>
      </w:pPr>
      <w:r>
        <w:rPr>
          <w:rFonts w:ascii="Arial" w:cs="Arial" w:eastAsia="Arial" w:hAnsi="Arial"/>
          <w:sz w:val="21"/>
          <w:szCs w:val="21"/>
          <w:color w:val="auto"/>
        </w:rPr>
        <w:t>state thereof, in such courts whether on the grounds of venue, residence or domicile or on the ground that any such suit, action or proceeding has been brought in an inconvenient forum. The Company and the Guarantors agree that final judgment in any such suit, action or proceeding brought in such court shall be conclusive and binding upon the Company or the Guarantors, as the case may be, and may be enforced in any court to the jurisdiction of which the Company or the Guarantors, as the case may be, are subject by a suit upon such judgment.</w:t>
      </w:r>
    </w:p>
    <w:p>
      <w:pPr>
        <w:spacing w:after="0" w:line="62" w:lineRule="exact"/>
        <w:rPr>
          <w:sz w:val="20"/>
          <w:szCs w:val="20"/>
          <w:color w:val="auto"/>
        </w:rPr>
      </w:pPr>
    </w:p>
    <w:p>
      <w:pPr>
        <w:ind w:right="20" w:firstLine="648"/>
        <w:spacing w:after="0" w:line="249" w:lineRule="auto"/>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u w:val="single" w:color="auto"/>
          <w:color w:val="auto"/>
        </w:rPr>
        <w:t>Waivers of Jury Trial</w:t>
      </w:r>
      <w:r>
        <w:rPr>
          <w:rFonts w:ascii="Arial" w:cs="Arial" w:eastAsia="Arial" w:hAnsi="Arial"/>
          <w:sz w:val="22"/>
          <w:szCs w:val="22"/>
          <w:color w:val="auto"/>
        </w:rPr>
        <w:t xml:space="preserve">. </w:t>
      </w:r>
      <w:r>
        <w:rPr>
          <w:rFonts w:ascii="Arial" w:cs="Arial" w:eastAsia="Arial" w:hAnsi="Arial"/>
          <w:sz w:val="22"/>
          <w:szCs w:val="22"/>
          <w:b w:val="1"/>
          <w:bCs w:val="1"/>
          <w:color w:val="auto"/>
        </w:rPr>
        <w:t>THE COMPANY, THE GUARANTORS AND THE TRUSTEE HEREBY</w:t>
      </w:r>
      <w:r>
        <w:rPr>
          <w:rFonts w:ascii="Arial" w:cs="Arial" w:eastAsia="Arial" w:hAnsi="Arial"/>
          <w:sz w:val="22"/>
          <w:szCs w:val="22"/>
          <w:color w:val="auto"/>
        </w:rPr>
        <w:t xml:space="preserve"> </w:t>
      </w:r>
      <w:r>
        <w:rPr>
          <w:rFonts w:ascii="Arial" w:cs="Arial" w:eastAsia="Arial" w:hAnsi="Arial"/>
          <w:sz w:val="22"/>
          <w:szCs w:val="22"/>
          <w:b w:val="1"/>
          <w:bCs w:val="1"/>
          <w:color w:val="auto"/>
        </w:rPr>
        <w:t>IRREVOCABLY AND UNCONDITIONALLY WAIVES, TO THE FULLEST EXTENT PERMITTED BY APPLICABLE LAW, ANY AND ALL RIGHT TO TRIAL BY JURY IN ANY LEGAL ACTION OR PROCEEDING ARISING OUT OF OR RELATING TO THIS INDENTURE, THE NOTES OR THE GUARANTEES AND FOR ANY COUNTERCLAIM THEREIN</w:t>
      </w:r>
      <w:r>
        <w:rPr>
          <w:rFonts w:ascii="Arial" w:cs="Arial" w:eastAsia="Arial" w:hAnsi="Arial"/>
          <w:sz w:val="22"/>
          <w:szCs w:val="22"/>
          <w:color w:val="auto"/>
        </w:rPr>
        <w:t>.</w:t>
      </w:r>
    </w:p>
    <w:p>
      <w:pPr>
        <w:spacing w:after="0" w:line="8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USA PATRIOT Act Section 326 Customer Identification Program</w:t>
      </w:r>
      <w:r>
        <w:rPr>
          <w:rFonts w:ascii="Arial" w:cs="Arial" w:eastAsia="Arial" w:hAnsi="Arial"/>
          <w:sz w:val="19"/>
          <w:szCs w:val="19"/>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the Trustee is required to obtain, verify, record and update certain information relating to individuals and entities which maintain a business relationship with the Trustee. Accordingly, each of the parties to this Indenture agrees to provide to the Trustee, upon its request from time to time, such identifying information and documentation as may be available for such party in order to enable the Trustee to comply with the USA PATRIOT Act.</w:t>
      </w:r>
    </w:p>
    <w:p>
      <w:pPr>
        <w:spacing w:after="0" w:line="43"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stockholder or shareholder of the Company or any of its Subsidiaries or Affiliates, or such (other than the Company and the Guarantors), shall have any liability for any obligations of the Company or the Guarantors under the Notes, the Guarantees or this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42" w:lineRule="exact"/>
        <w:rPr>
          <w:sz w:val="20"/>
          <w:szCs w:val="20"/>
          <w:color w:val="auto"/>
        </w:rPr>
      </w:pPr>
    </w:p>
    <w:p>
      <w:pPr>
        <w:ind w:right="280" w:firstLine="648"/>
        <w:spacing w:after="0" w:line="287" w:lineRule="auto"/>
        <w:rPr>
          <w:sz w:val="20"/>
          <w:szCs w:val="20"/>
          <w:color w:val="auto"/>
        </w:rPr>
      </w:pPr>
      <w:r>
        <w:rPr>
          <w:rFonts w:ascii="Arial" w:cs="Arial" w:eastAsia="Arial" w:hAnsi="Arial"/>
          <w:sz w:val="21"/>
          <w:szCs w:val="21"/>
          <w:color w:val="auto"/>
        </w:rPr>
        <w:t xml:space="preserve">SECTION 12.14 </w:t>
      </w:r>
      <w:r>
        <w:rPr>
          <w:rFonts w:ascii="Arial" w:cs="Arial" w:eastAsia="Arial" w:hAnsi="Arial"/>
          <w:sz w:val="21"/>
          <w:szCs w:val="21"/>
          <w:u w:val="single" w:color="auto"/>
          <w:color w:val="auto"/>
        </w:rPr>
        <w:t>Successors</w:t>
      </w:r>
      <w:r>
        <w:rPr>
          <w:rFonts w:ascii="Arial" w:cs="Arial" w:eastAsia="Arial" w:hAnsi="Arial"/>
          <w:sz w:val="21"/>
          <w:szCs w:val="21"/>
          <w:color w:val="auto"/>
        </w:rPr>
        <w:t>. All agreements of the Company and each Guarantor in this Indenture and the Notes shall bind their respective successors. All agreements of the Trustee in this Indenture shall bind its successors.</w:t>
      </w:r>
    </w:p>
    <w:p>
      <w:pPr>
        <w:spacing w:after="0" w:line="44"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 xml:space="preserve">SECTION 12.15 </w:t>
      </w:r>
      <w:r>
        <w:rPr>
          <w:rFonts w:ascii="Arial" w:cs="Arial" w:eastAsia="Arial" w:hAnsi="Arial"/>
          <w:sz w:val="21"/>
          <w:szCs w:val="21"/>
          <w:u w:val="single" w:color="auto"/>
          <w:color w:val="auto"/>
        </w:rPr>
        <w:t>Multiple Originals</w:t>
      </w:r>
      <w:r>
        <w:rPr>
          <w:rFonts w:ascii="Arial" w:cs="Arial" w:eastAsia="Arial" w:hAnsi="Arial"/>
          <w:sz w:val="21"/>
          <w:szCs w:val="21"/>
          <w:color w:val="auto"/>
        </w:rPr>
        <w:t>. 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6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22"/>
          <w:szCs w:val="22"/>
          <w:color w:val="auto"/>
        </w:rPr>
        <w:t>SECTION 12.16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340"/>
          </w:cols>
          <w:pgMar w:left="240" w:top="847" w:right="319" w:bottom="1440" w:gutter="0" w:footer="0" w:header="0"/>
        </w:sectPr>
      </w:pPr>
    </w:p>
    <w:bookmarkStart w:id="184" w:name="page185"/>
    <w:bookmarkEnd w:id="184"/>
    <w:p>
      <w:pPr>
        <w:ind w:firstLine="648"/>
        <w:spacing w:after="0" w:line="253"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Table of Contents; Headings</w:t>
      </w:r>
      <w:r>
        <w:rPr>
          <w:rFonts w:ascii="Arial" w:cs="Arial" w:eastAsia="Arial" w:hAnsi="Arial"/>
          <w:sz w:val="22"/>
          <w:szCs w:val="22"/>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78" w:lineRule="exact"/>
        <w:rPr>
          <w:sz w:val="20"/>
          <w:szCs w:val="20"/>
          <w:color w:val="auto"/>
        </w:rPr>
      </w:pPr>
    </w:p>
    <w:p>
      <w:pPr>
        <w:ind w:right="340" w:firstLine="648"/>
        <w:spacing w:after="0" w:line="294"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42"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 xml:space="preserve">SECTION 12.19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320"/>
          </w:cols>
          <w:pgMar w:left="240" w:top="848" w:right="339" w:bottom="1440" w:gutter="0" w:footer="0" w:header="0"/>
        </w:sectPr>
      </w:pPr>
    </w:p>
    <w:bookmarkStart w:id="185" w:name="page186"/>
    <w:bookmarkEnd w:id="185"/>
    <w:p>
      <w:pPr>
        <w:ind w:left="660"/>
        <w:spacing w:after="0"/>
        <w:rPr>
          <w:sz w:val="20"/>
          <w:szCs w:val="20"/>
          <w:color w:val="auto"/>
        </w:rPr>
      </w:pPr>
      <w:r>
        <w:rPr>
          <w:rFonts w:ascii="Arial" w:cs="Arial" w:eastAsia="Arial" w:hAnsi="Arial"/>
          <w:sz w:val="19"/>
          <w:szCs w:val="19"/>
          <w:color w:val="auto"/>
        </w:rPr>
        <w:t>IN WITNESS WHEREOF, the parties have caused this Indenture to be duly executed all as of the date and year first written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ectPr>
          <w:pgSz w:w="11900" w:h="16838" w:orient="portrait"/>
          <w:cols w:equalWidth="0" w:num="1">
            <w:col w:w="11380"/>
          </w:cols>
          <w:pgMar w:left="240" w:top="1077" w:right="279" w:bottom="1440" w:gutter="0" w:footer="0" w:header="0"/>
        </w:sectPr>
      </w:pPr>
    </w:p>
    <w:bookmarkStart w:id="186" w:name="page187"/>
    <w:bookmarkEnd w:id="186"/>
    <w:p>
      <w:pPr>
        <w:ind w:left="3460"/>
        <w:spacing w:after="0"/>
        <w:rPr>
          <w:sz w:val="20"/>
          <w:szCs w:val="20"/>
          <w:color w:val="auto"/>
        </w:rPr>
      </w:pPr>
      <w:r>
        <w:rPr>
          <w:rFonts w:ascii="Arial" w:cs="Arial" w:eastAsia="Arial" w:hAnsi="Arial"/>
          <w:sz w:val="22"/>
          <w:szCs w:val="22"/>
          <w:color w:val="auto"/>
        </w:rPr>
        <w:t>AVIS BUDGET CAR RENTAL, LLC</w:t>
      </w: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Calabria</w:t>
      </w:r>
    </w:p>
    <w:p>
      <w:pPr>
        <w:ind w:left="3460"/>
        <w:spacing w:after="0" w:line="238" w:lineRule="auto"/>
        <w:rPr>
          <w:sz w:val="20"/>
          <w:szCs w:val="20"/>
          <w:color w:val="auto"/>
        </w:rPr>
      </w:pPr>
      <w:r>
        <w:rPr>
          <w:rFonts w:ascii="Arial" w:cs="Arial" w:eastAsia="Arial" w:hAnsi="Arial"/>
          <w:sz w:val="22"/>
          <w:szCs w:val="22"/>
          <w:color w:val="auto"/>
        </w:rPr>
        <w:t>Name: David Calabria</w:t>
      </w:r>
    </w:p>
    <w:p>
      <w:pPr>
        <w:ind w:left="3420"/>
        <w:spacing w:after="0"/>
        <w:rPr>
          <w:sz w:val="20"/>
          <w:szCs w:val="20"/>
          <w:color w:val="auto"/>
        </w:rPr>
      </w:pPr>
      <w:r>
        <w:rPr>
          <w:rFonts w:ascii="Arial" w:cs="Arial" w:eastAsia="Arial" w:hAnsi="Arial"/>
          <w:sz w:val="21"/>
          <w:szCs w:val="21"/>
          <w:color w:val="auto"/>
        </w:rPr>
        <w:t>Title: Senior Vice President and Chief</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Accounting Officer</w:t>
      </w:r>
    </w:p>
    <w:p>
      <w:pPr>
        <w:spacing w:after="0" w:line="2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AVIS BUDGET FINANCE, INC.</w:t>
      </w:r>
    </w:p>
    <w:p>
      <w:pPr>
        <w:spacing w:after="0" w:line="23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Calabria</w:t>
      </w:r>
    </w:p>
    <w:p>
      <w:pPr>
        <w:ind w:left="3460"/>
        <w:spacing w:after="0" w:line="238" w:lineRule="auto"/>
        <w:rPr>
          <w:sz w:val="20"/>
          <w:szCs w:val="20"/>
          <w:color w:val="auto"/>
        </w:rPr>
      </w:pPr>
      <w:r>
        <w:rPr>
          <w:rFonts w:ascii="Arial" w:cs="Arial" w:eastAsia="Arial" w:hAnsi="Arial"/>
          <w:sz w:val="22"/>
          <w:szCs w:val="22"/>
          <w:color w:val="auto"/>
        </w:rPr>
        <w:t>Name: David Calabria</w:t>
      </w:r>
    </w:p>
    <w:p>
      <w:pPr>
        <w:ind w:left="3440"/>
        <w:spacing w:after="0"/>
        <w:rPr>
          <w:sz w:val="20"/>
          <w:szCs w:val="20"/>
          <w:color w:val="auto"/>
        </w:rPr>
      </w:pPr>
      <w:r>
        <w:rPr>
          <w:rFonts w:ascii="Arial" w:cs="Arial" w:eastAsia="Arial" w:hAnsi="Arial"/>
          <w:sz w:val="21"/>
          <w:szCs w:val="21"/>
          <w:color w:val="auto"/>
        </w:rPr>
        <w:t>Title: Senior Vice President and Chief</w:t>
      </w:r>
    </w:p>
    <w:p>
      <w:pPr>
        <w:spacing w:after="0" w:line="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Accounting Office</w:t>
      </w:r>
    </w:p>
    <w:p>
      <w:pPr>
        <w:spacing w:after="0" w:line="200" w:lineRule="exact"/>
        <w:rPr>
          <w:sz w:val="20"/>
          <w:szCs w:val="20"/>
          <w:color w:val="auto"/>
        </w:rPr>
      </w:pPr>
    </w:p>
    <w:p>
      <w:pPr>
        <w:spacing w:after="0" w:line="24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AVIS BUDGET GROUP, INC.</w:t>
      </w:r>
    </w:p>
    <w:p>
      <w:pPr>
        <w:ind w:left="3500"/>
        <w:spacing w:after="0" w:line="238" w:lineRule="auto"/>
        <w:rPr>
          <w:sz w:val="20"/>
          <w:szCs w:val="20"/>
          <w:color w:val="auto"/>
        </w:rPr>
      </w:pPr>
      <w:r>
        <w:rPr>
          <w:rFonts w:ascii="Arial" w:cs="Arial" w:eastAsia="Arial" w:hAnsi="Arial"/>
          <w:sz w:val="22"/>
          <w:szCs w:val="22"/>
          <w:color w:val="auto"/>
        </w:rPr>
        <w:t>AVIS BUDGET HOLDINGS, LLC</w:t>
      </w:r>
    </w:p>
    <w:p>
      <w:pPr>
        <w:ind w:left="3500"/>
        <w:spacing w:after="0"/>
        <w:rPr>
          <w:sz w:val="20"/>
          <w:szCs w:val="20"/>
          <w:color w:val="auto"/>
        </w:rPr>
      </w:pPr>
      <w:r>
        <w:rPr>
          <w:rFonts w:ascii="Arial" w:cs="Arial" w:eastAsia="Arial" w:hAnsi="Arial"/>
          <w:sz w:val="21"/>
          <w:szCs w:val="21"/>
          <w:color w:val="auto"/>
        </w:rPr>
        <w:t>AB CAR RENTAL SERVICES, INC.</w:t>
      </w:r>
    </w:p>
    <w:p>
      <w:pPr>
        <w:ind w:left="3500"/>
        <w:spacing w:after="0" w:line="232" w:lineRule="auto"/>
        <w:rPr>
          <w:sz w:val="20"/>
          <w:szCs w:val="20"/>
          <w:color w:val="auto"/>
        </w:rPr>
      </w:pPr>
      <w:r>
        <w:rPr>
          <w:rFonts w:ascii="Arial" w:cs="Arial" w:eastAsia="Arial" w:hAnsi="Arial"/>
          <w:sz w:val="22"/>
          <w:szCs w:val="22"/>
          <w:color w:val="auto"/>
        </w:rPr>
        <w:t>AVIS CAR RENTAL GROUP, LLC</w:t>
      </w:r>
    </w:p>
    <w:p>
      <w:pPr>
        <w:ind w:left="3500"/>
        <w:spacing w:after="0" w:line="230" w:lineRule="auto"/>
        <w:rPr>
          <w:sz w:val="20"/>
          <w:szCs w:val="20"/>
          <w:color w:val="auto"/>
        </w:rPr>
      </w:pPr>
      <w:r>
        <w:rPr>
          <w:rFonts w:ascii="Arial" w:cs="Arial" w:eastAsia="Arial" w:hAnsi="Arial"/>
          <w:sz w:val="22"/>
          <w:szCs w:val="22"/>
          <w:color w:val="auto"/>
        </w:rPr>
        <w:t>AVIS CARIBBEAN, LIMITED</w:t>
      </w:r>
    </w:p>
    <w:p>
      <w:pPr>
        <w:ind w:left="3500"/>
        <w:spacing w:after="0" w:line="231" w:lineRule="auto"/>
        <w:rPr>
          <w:sz w:val="20"/>
          <w:szCs w:val="20"/>
          <w:color w:val="auto"/>
        </w:rPr>
      </w:pPr>
      <w:r>
        <w:rPr>
          <w:rFonts w:ascii="Arial" w:cs="Arial" w:eastAsia="Arial" w:hAnsi="Arial"/>
          <w:sz w:val="22"/>
          <w:szCs w:val="22"/>
          <w:color w:val="auto"/>
        </w:rPr>
        <w:t>AVIS GROUP HOLDINGS, LLC</w:t>
      </w:r>
    </w:p>
    <w:p>
      <w:pPr>
        <w:ind w:left="3500"/>
        <w:spacing w:after="0" w:line="231" w:lineRule="auto"/>
        <w:rPr>
          <w:sz w:val="20"/>
          <w:szCs w:val="20"/>
          <w:color w:val="auto"/>
        </w:rPr>
      </w:pPr>
      <w:r>
        <w:rPr>
          <w:rFonts w:ascii="Arial" w:cs="Arial" w:eastAsia="Arial" w:hAnsi="Arial"/>
          <w:sz w:val="22"/>
          <w:szCs w:val="22"/>
          <w:color w:val="auto"/>
        </w:rPr>
        <w:t>AVIS INTERNATIONAL, LTD.</w:t>
      </w:r>
    </w:p>
    <w:p>
      <w:pPr>
        <w:ind w:left="3500"/>
        <w:spacing w:after="0" w:line="230" w:lineRule="auto"/>
        <w:rPr>
          <w:sz w:val="20"/>
          <w:szCs w:val="20"/>
          <w:color w:val="auto"/>
        </w:rPr>
      </w:pPr>
      <w:r>
        <w:rPr>
          <w:rFonts w:ascii="Arial" w:cs="Arial" w:eastAsia="Arial" w:hAnsi="Arial"/>
          <w:sz w:val="22"/>
          <w:szCs w:val="22"/>
          <w:color w:val="auto"/>
        </w:rPr>
        <w:t>AVIS RENT A CAR SYSTEM, LLC</w:t>
      </w:r>
    </w:p>
    <w:p>
      <w:pPr>
        <w:ind w:left="3500"/>
        <w:spacing w:after="0" w:line="231" w:lineRule="auto"/>
        <w:rPr>
          <w:sz w:val="20"/>
          <w:szCs w:val="20"/>
          <w:color w:val="auto"/>
        </w:rPr>
      </w:pPr>
      <w:r>
        <w:rPr>
          <w:rFonts w:ascii="Arial" w:cs="Arial" w:eastAsia="Arial" w:hAnsi="Arial"/>
          <w:sz w:val="22"/>
          <w:szCs w:val="22"/>
          <w:color w:val="auto"/>
        </w:rPr>
        <w:t>PR HOLDCO, INC.</w:t>
      </w:r>
    </w:p>
    <w:p>
      <w:pPr>
        <w:ind w:left="3500"/>
        <w:spacing w:after="0" w:line="230" w:lineRule="auto"/>
        <w:rPr>
          <w:sz w:val="20"/>
          <w:szCs w:val="20"/>
          <w:color w:val="auto"/>
        </w:rPr>
      </w:pPr>
      <w:r>
        <w:rPr>
          <w:rFonts w:ascii="Arial" w:cs="Arial" w:eastAsia="Arial" w:hAnsi="Arial"/>
          <w:sz w:val="22"/>
          <w:szCs w:val="22"/>
          <w:color w:val="auto"/>
        </w:rPr>
        <w:t>WIZARD CO., INC.</w:t>
      </w:r>
    </w:p>
    <w:p>
      <w:pPr>
        <w:ind w:left="3500"/>
        <w:spacing w:after="0" w:line="231" w:lineRule="auto"/>
        <w:rPr>
          <w:sz w:val="20"/>
          <w:szCs w:val="20"/>
          <w:color w:val="auto"/>
        </w:rPr>
      </w:pPr>
      <w:r>
        <w:rPr>
          <w:rFonts w:ascii="Arial" w:cs="Arial" w:eastAsia="Arial" w:hAnsi="Arial"/>
          <w:sz w:val="22"/>
          <w:szCs w:val="22"/>
          <w:color w:val="auto"/>
        </w:rPr>
        <w:t>WIZARD SERVICES, INC.</w:t>
      </w:r>
    </w:p>
    <w:p>
      <w:pPr>
        <w:spacing w:after="0" w:line="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ZIPCAR, INC.</w:t>
      </w:r>
    </w:p>
    <w:p>
      <w:pPr>
        <w:spacing w:after="0" w:line="21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Calabria</w:t>
      </w:r>
    </w:p>
    <w:p>
      <w:pPr>
        <w:ind w:left="3480"/>
        <w:spacing w:after="0" w:line="238" w:lineRule="auto"/>
        <w:rPr>
          <w:sz w:val="20"/>
          <w:szCs w:val="20"/>
          <w:color w:val="auto"/>
        </w:rPr>
      </w:pPr>
      <w:r>
        <w:rPr>
          <w:rFonts w:ascii="Arial" w:cs="Arial" w:eastAsia="Arial" w:hAnsi="Arial"/>
          <w:sz w:val="22"/>
          <w:szCs w:val="22"/>
          <w:color w:val="auto"/>
        </w:rPr>
        <w:t>Name: David Calabria</w:t>
      </w:r>
    </w:p>
    <w:p>
      <w:pPr>
        <w:ind w:left="3480"/>
        <w:spacing w:after="0"/>
        <w:rPr>
          <w:sz w:val="20"/>
          <w:szCs w:val="20"/>
          <w:color w:val="auto"/>
        </w:rPr>
      </w:pPr>
      <w:r>
        <w:rPr>
          <w:rFonts w:ascii="Arial" w:cs="Arial" w:eastAsia="Arial" w:hAnsi="Arial"/>
          <w:sz w:val="19"/>
          <w:szCs w:val="19"/>
          <w:color w:val="auto"/>
        </w:rPr>
        <w:t>Title: Senior Vice President and Chief</w:t>
      </w:r>
    </w:p>
    <w:p>
      <w:pPr>
        <w:spacing w:after="0" w:line="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Accounting Officer</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BUDGET RENT A CAR SYSTEM, INC.</w:t>
      </w:r>
    </w:p>
    <w:p>
      <w:pPr>
        <w:spacing w:after="0" w:line="43"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BUDGET TRUCK RENTAL LLC</w:t>
      </w:r>
    </w:p>
    <w:p>
      <w:pPr>
        <w:spacing w:after="0" w:line="215"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Calabria</w:t>
      </w:r>
    </w:p>
    <w:p>
      <w:pPr>
        <w:ind w:left="3400"/>
        <w:spacing w:after="0" w:line="238" w:lineRule="auto"/>
        <w:rPr>
          <w:sz w:val="20"/>
          <w:szCs w:val="20"/>
          <w:color w:val="auto"/>
        </w:rPr>
      </w:pPr>
      <w:r>
        <w:rPr>
          <w:rFonts w:ascii="Arial" w:cs="Arial" w:eastAsia="Arial" w:hAnsi="Arial"/>
          <w:sz w:val="22"/>
          <w:szCs w:val="22"/>
          <w:color w:val="auto"/>
        </w:rPr>
        <w:t>Name: David Calabria</w:t>
      </w:r>
    </w:p>
    <w:p>
      <w:pPr>
        <w:ind w:left="3400"/>
        <w:spacing w:after="0"/>
        <w:rPr>
          <w:sz w:val="20"/>
          <w:szCs w:val="20"/>
          <w:color w:val="auto"/>
        </w:rPr>
      </w:pPr>
      <w:r>
        <w:rPr>
          <w:rFonts w:ascii="Arial" w:cs="Arial" w:eastAsia="Arial" w:hAnsi="Arial"/>
          <w:sz w:val="22"/>
          <w:szCs w:val="22"/>
          <w:color w:val="auto"/>
        </w:rPr>
        <w:t>Title: Senior Vice President</w:t>
      </w:r>
    </w:p>
    <w:p>
      <w:pPr>
        <w:sectPr>
          <w:pgSz w:w="11900" w:h="16838" w:orient="portrait"/>
          <w:cols w:equalWidth="0" w:num="1">
            <w:col w:w="9019"/>
          </w:cols>
          <w:pgMar w:left="1440" w:top="996" w:right="1440" w:bottom="1440" w:gutter="0" w:footer="0" w:header="0"/>
        </w:sectPr>
      </w:pPr>
    </w:p>
    <w:bookmarkStart w:id="187" w:name="page188"/>
    <w:bookmarkEnd w:id="187"/>
    <w:p>
      <w:pPr>
        <w:spacing w:after="0" w:line="200" w:lineRule="exact"/>
        <w:rPr>
          <w:sz w:val="20"/>
          <w:szCs w:val="20"/>
          <w:color w:val="auto"/>
        </w:rPr>
      </w:pPr>
    </w:p>
    <w:p>
      <w:pPr>
        <w:spacing w:after="0" w:line="261"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DEUTSCHE BANK TRUST COMPANY</w:t>
      </w:r>
    </w:p>
    <w:p>
      <w:pPr>
        <w:spacing w:after="0" w:line="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AMERICAS,</w:t>
      </w:r>
    </w:p>
    <w:p>
      <w:pPr>
        <w:ind w:left="3340"/>
        <w:spacing w:after="0"/>
        <w:rPr>
          <w:sz w:val="20"/>
          <w:szCs w:val="20"/>
          <w:color w:val="auto"/>
        </w:rPr>
      </w:pPr>
      <w:r>
        <w:rPr>
          <w:rFonts w:ascii="Arial" w:cs="Arial" w:eastAsia="Arial" w:hAnsi="Arial"/>
          <w:sz w:val="22"/>
          <w:szCs w:val="22"/>
          <w:color w:val="auto"/>
        </w:rPr>
        <w:t>as Trustee</w:t>
      </w:r>
    </w:p>
    <w:p>
      <w:pPr>
        <w:spacing w:after="0" w:line="35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Bridgette Casasnovas</w:t>
      </w:r>
    </w:p>
    <w:p>
      <w:pPr>
        <w:ind w:left="3360"/>
        <w:spacing w:after="0" w:line="238" w:lineRule="auto"/>
        <w:rPr>
          <w:sz w:val="20"/>
          <w:szCs w:val="20"/>
          <w:color w:val="auto"/>
        </w:rPr>
      </w:pPr>
      <w:r>
        <w:rPr>
          <w:rFonts w:ascii="Arial" w:cs="Arial" w:eastAsia="Arial" w:hAnsi="Arial"/>
          <w:sz w:val="22"/>
          <w:szCs w:val="22"/>
          <w:color w:val="auto"/>
        </w:rPr>
        <w:t>Name: Bridgette Casasnovas</w:t>
      </w:r>
    </w:p>
    <w:p>
      <w:pPr>
        <w:ind w:left="33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Annie Jaghatspanyan</w:t>
      </w:r>
    </w:p>
    <w:p>
      <w:pPr>
        <w:ind w:left="3360"/>
        <w:spacing w:after="0" w:line="238" w:lineRule="auto"/>
        <w:rPr>
          <w:sz w:val="20"/>
          <w:szCs w:val="20"/>
          <w:color w:val="auto"/>
        </w:rPr>
      </w:pPr>
      <w:r>
        <w:rPr>
          <w:rFonts w:ascii="Arial" w:cs="Arial" w:eastAsia="Arial" w:hAnsi="Arial"/>
          <w:sz w:val="22"/>
          <w:szCs w:val="22"/>
          <w:color w:val="auto"/>
        </w:rPr>
        <w:t>Name: Annie Jaghatspanyan</w:t>
      </w:r>
    </w:p>
    <w:p>
      <w:pPr>
        <w:ind w:left="336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1440" w:right="1440"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Note</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AVIS BUDGET CAR RENTAL, LLC</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AVIS BUDGET FINANCE, INC.</w:t>
      </w:r>
    </w:p>
    <w:p>
      <w:pPr>
        <w:spacing w:after="0" w:line="35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5.75% Senior Notes due 2027</w:t>
      </w:r>
    </w:p>
    <w:p>
      <w:pPr>
        <w:spacing w:after="0" w:line="200" w:lineRule="exact"/>
        <w:rPr>
          <w:sz w:val="20"/>
          <w:szCs w:val="20"/>
          <w:color w:val="auto"/>
        </w:rPr>
      </w:pPr>
    </w:p>
    <w:p>
      <w:pPr>
        <w:spacing w:after="0" w:line="282" w:lineRule="exact"/>
        <w:rPr>
          <w:sz w:val="20"/>
          <w:szCs w:val="20"/>
          <w:color w:val="auto"/>
        </w:rPr>
      </w:pPr>
    </w:p>
    <w:p>
      <w:pPr>
        <w:ind w:left="660"/>
        <w:spacing w:after="0"/>
        <w:tabs>
          <w:tab w:leader="none" w:pos="3520" w:val="left"/>
        </w:tabs>
        <w:rPr>
          <w:sz w:val="20"/>
          <w:szCs w:val="20"/>
          <w:color w:val="auto"/>
        </w:rPr>
      </w:pPr>
      <w:r>
        <w:rPr>
          <w:rFonts w:ascii="Arial" w:cs="Arial" w:eastAsia="Arial" w:hAnsi="Arial"/>
          <w:sz w:val="22"/>
          <w:szCs w:val="22"/>
          <w:color w:val="auto"/>
        </w:rPr>
        <w:t>CUSIP No. _______________</w:t>
      </w:r>
      <w:r>
        <w:rPr>
          <w:sz w:val="20"/>
          <w:szCs w:val="20"/>
          <w:color w:val="auto"/>
        </w:rPr>
        <w:tab/>
      </w:r>
      <w:r>
        <w:rPr>
          <w:rFonts w:ascii="Arial" w:cs="Arial" w:eastAsia="Arial" w:hAnsi="Arial"/>
          <w:sz w:val="19"/>
          <w:szCs w:val="19"/>
          <w:color w:val="auto"/>
        </w:rPr>
        <w:t>No. 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24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Avis Budget Car Rental, LLC, a limited liability company duly organized and existing under the laws of the State of Delaware, and Avis Budget Finance, Inc., a corporation duly organized and existing under the laws of the State of Delaware (together, “the </w:t>
      </w:r>
      <w:r>
        <w:rPr>
          <w:rFonts w:ascii="Arial" w:cs="Arial" w:eastAsia="Arial" w:hAnsi="Arial"/>
          <w:sz w:val="19"/>
          <w:szCs w:val="19"/>
          <w:u w:val="single" w:color="auto"/>
          <w:color w:val="auto"/>
        </w:rPr>
        <w:t>Company</w:t>
      </w:r>
      <w:r>
        <w:rPr>
          <w:rFonts w:ascii="Arial" w:cs="Arial" w:eastAsia="Arial" w:hAnsi="Arial"/>
          <w:sz w:val="19"/>
          <w:szCs w:val="19"/>
          <w:color w:val="auto"/>
        </w:rPr>
        <w:t>,” which term includes their successors and assigns), promise to pay to ___________, or registered assigns,</w:t>
      </w:r>
    </w:p>
    <w:p>
      <w:pPr>
        <w:spacing w:after="0" w:line="1" w:lineRule="exact"/>
        <w:rPr>
          <w:sz w:val="20"/>
          <w:szCs w:val="20"/>
          <w:color w:val="auto"/>
        </w:rPr>
      </w:pPr>
    </w:p>
    <w:p>
      <w:pPr>
        <w:spacing w:after="0"/>
        <w:tabs>
          <w:tab w:leader="none" w:pos="5860" w:val="left"/>
        </w:tabs>
        <w:rPr>
          <w:sz w:val="20"/>
          <w:szCs w:val="20"/>
          <w:color w:val="auto"/>
        </w:rPr>
      </w:pPr>
      <w:r>
        <w:rPr>
          <w:rFonts w:ascii="Arial" w:cs="Arial" w:eastAsia="Arial" w:hAnsi="Arial"/>
          <w:sz w:val="22"/>
          <w:szCs w:val="22"/>
          <w:color w:val="auto"/>
        </w:rPr>
        <w:t>the principal sum of $___________________ ([</w:t>
      </w:r>
      <w:r>
        <w:rPr>
          <w:sz w:val="20"/>
          <w:szCs w:val="20"/>
          <w:color w:val="auto"/>
        </w:rPr>
        <w:tab/>
      </w:r>
      <w:r>
        <w:rPr>
          <w:rFonts w:ascii="Arial" w:cs="Arial" w:eastAsia="Arial" w:hAnsi="Arial"/>
          <w:sz w:val="19"/>
          <w:szCs w:val="19"/>
          <w:color w:val="auto"/>
        </w:rPr>
        <w:t>] United States Dollars) [(or such lesser or greater amount as</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9"/>
          <w:szCs w:val="19"/>
          <w:color w:val="auto"/>
        </w:rPr>
        <w:t>shall be outstanding hereunder from 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July 15, 2027. The Company promises to pay interest semi-annually in cash on January 15 and July 15 of each year, commencing January 15, 2020, at the rate of 5.75%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w:t>
      </w:r>
    </w:p>
    <w:p>
      <w:pPr>
        <w:spacing w:after="0" w:line="6"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computed on the basis of a 360-day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 or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071" w:right="239" w:bottom="1440" w:gutter="0" w:footer="0" w:header="0"/>
        </w:sectPr>
      </w:pPr>
    </w:p>
    <w:bookmarkStart w:id="189" w:name="page190"/>
    <w:bookmarkEnd w:id="189"/>
    <w:p>
      <w:pPr>
        <w:ind w:right="20" w:firstLine="648"/>
        <w:spacing w:after="0" w:line="250" w:lineRule="auto"/>
        <w:rPr>
          <w:sz w:val="20"/>
          <w:szCs w:val="20"/>
          <w:color w:val="auto"/>
        </w:rPr>
      </w:pPr>
      <w:r>
        <w:rPr>
          <w:rFonts w:ascii="Arial" w:cs="Arial" w:eastAsia="Arial" w:hAnsi="Arial"/>
          <w:sz w:val="22"/>
          <w:szCs w:val="22"/>
          <w:color w:val="auto"/>
        </w:rPr>
        <w:t xml:space="preserve">Payment of the principal of (and premium, if any) and interest on this Note will be made at the office of the applicable Paying Agent, or such other office or agency of the Company maintained for that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at the option of the Company payment of interest may be made by check mailed to the address of the Person entitled thereto as such address shall appear in the Notes Register.</w:t>
      </w:r>
    </w:p>
    <w:p>
      <w:pPr>
        <w:spacing w:after="0" w:line="148"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20"/>
          </w:cols>
          <w:pgMar w:left="240" w:top="847" w:right="3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IN WITNESS WHEREOF, the Company has caused this instrument to be duly executed.</w:t>
      </w:r>
    </w:p>
    <w:p>
      <w:pPr>
        <w:sectPr>
          <w:pgSz w:w="11900" w:h="16838" w:orient="portrait"/>
          <w:cols w:equalWidth="0" w:num="1">
            <w:col w:w="9559"/>
          </w:cols>
          <w:pgMar w:left="900" w:top="969"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AVIS BUDGET CAR RENTAL, LLC</w:t>
      </w:r>
    </w:p>
    <w:p>
      <w:pPr>
        <w:spacing w:after="0" w:line="24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AVIS BUDGET FINANCE, INC.</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9559"/>
          </w:cols>
          <w:pgMar w:left="900" w:top="969" w:right="1440" w:bottom="1440" w:gutter="0" w:footer="0" w:header="0"/>
          <w:type w:val="continuous"/>
        </w:sectPr>
      </w:pPr>
    </w:p>
    <w:bookmarkStart w:id="191" w:name="page192"/>
    <w:bookmarkEnd w:id="191"/>
    <w:p>
      <w:pPr>
        <w:ind w:left="660"/>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6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DEUTSCHE BANK TRUST COMPANY</w:t>
      </w:r>
    </w:p>
    <w:p>
      <w:pPr>
        <w:spacing w:after="0" w:line="4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AMERICAS, as Trustee</w:t>
      </w:r>
    </w:p>
    <w:p>
      <w:pPr>
        <w:spacing w:after="0" w:line="200" w:lineRule="exact"/>
        <w:rPr>
          <w:sz w:val="20"/>
          <w:szCs w:val="20"/>
          <w:color w:val="auto"/>
        </w:rPr>
      </w:pPr>
    </w:p>
    <w:p>
      <w:pPr>
        <w:spacing w:after="0" w:line="2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Dated: July __, 2019</w:t>
      </w: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219"/>
          </w:cols>
          <w:pgMar w:left="240" w:top="969" w:right="1440"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Note is one of the duly authorized issue of 5.75% Senior Notes due 2027 of the Company (herein called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issued under an Indenture, dated as of July 3, 2019 (as amended, supplemented or otherwise modified, herein called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which term shall have the meanings assigned to it in such instrument), among the Company, the Guarantors from time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time parties thereto (“the </w:t>
      </w:r>
      <w:r>
        <w:rPr>
          <w:rFonts w:ascii="Arial" w:cs="Arial" w:eastAsia="Arial" w:hAnsi="Arial"/>
          <w:sz w:val="19"/>
          <w:szCs w:val="19"/>
          <w:u w:val="single" w:color="auto"/>
          <w:color w:val="auto"/>
        </w:rPr>
        <w:t>Guarantors</w:t>
      </w:r>
      <w:r>
        <w:rPr>
          <w:rFonts w:ascii="Arial" w:cs="Arial" w:eastAsia="Arial" w:hAnsi="Arial"/>
          <w:sz w:val="19"/>
          <w:szCs w:val="19"/>
          <w:color w:val="auto"/>
        </w:rPr>
        <w:t>”) and Deutsche Bank Trust Company Americas,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which term includes any successor trustee under the Indenture), and reference is hereby made to the Indenture for a statement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respective rights, limitations of rights, duties and immunities thereunder of the Company, any other obligor upon this Note,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Trustee and the Holders of the Notes and of the terms upon which the Notes are, and are to be, authenticated and delivered.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terms of the Notes include those stated in the Indenture. The Notes are subject to all such terms, and Holders are referred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Indenture for a statement of such terms. Additional Notes may be issued under the Indenture which will vote as a class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Notes and otherwise be treated as Notes for purposes of the Indenture.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1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Company nor any Guarantor shall be required to make any notation on this Note to reflect any Guarantee or any such release, termination or discharge.</w:t>
      </w:r>
    </w:p>
    <w:p>
      <w:pPr>
        <w:spacing w:after="0" w:line="148"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Notes will be redeemable, at the Company’s option, in whole or in part, at any time and from time to time on or after July 15, 2022, and prior to maturity at the applicable redemption price set forth below. Such redemption may be made upon not less than 10 nor more than 60 days’ prior notice by electronic delivery or first-class mail, postage prepaid, with a copy to the Trustee, to each Holder’s registered address in accordance with the Indenture. The Company may provide in such notice that payment of the redemption price and the performance of the Company’s obligations with respect to such redemption may be performed by another Person. Any such redemption and notice may, in the Company’s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July 15 of each of the years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00"/>
          </w:cols>
          <w:pgMar w:left="240" w:top="855" w:right="259" w:bottom="1440" w:gutter="0" w:footer="0" w:header="0"/>
        </w:sectPr>
      </w:pPr>
    </w:p>
    <w:bookmarkStart w:id="193" w:name="page194"/>
    <w:bookmarkEnd w:id="193"/>
    <w:tbl>
      <w:tblPr>
        <w:tblLayout w:type="fixed"/>
        <w:tblInd w:w="680" w:type="dxa"/>
        <w:tblCellMar>
          <w:top w:w="0" w:type="dxa"/>
          <w:left w:w="0" w:type="dxa"/>
          <w:bottom w:w="0" w:type="dxa"/>
          <w:right w:w="0" w:type="dxa"/>
        </w:tblCellMar>
      </w:tblPr>
      <w:tr>
        <w:trPr>
          <w:trHeight w:val="253"/>
        </w:trPr>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Period</w:t>
            </w:r>
          </w:p>
        </w:tc>
        <w:tc>
          <w:tcPr>
            <w:tcW w:w="668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Redemption Price</w:t>
            </w:r>
          </w:p>
        </w:tc>
        <w:tc>
          <w:tcPr>
            <w:tcW w:w="1100" w:type="dxa"/>
            <w:vAlign w:val="bottom"/>
          </w:tcPr>
          <w:p>
            <w:pPr>
              <w:spacing w:after="0"/>
              <w:rPr>
                <w:sz w:val="21"/>
                <w:szCs w:val="21"/>
                <w:color w:val="auto"/>
              </w:rPr>
            </w:pPr>
          </w:p>
        </w:tc>
      </w:tr>
      <w:tr>
        <w:trPr>
          <w:trHeight w:val="328"/>
        </w:trPr>
        <w:tc>
          <w:tcPr>
            <w:tcW w:w="620" w:type="dxa"/>
            <w:vAlign w:val="bottom"/>
          </w:tcPr>
          <w:p>
            <w:pPr>
              <w:spacing w:after="0"/>
              <w:rPr>
                <w:sz w:val="20"/>
                <w:szCs w:val="20"/>
                <w:color w:val="auto"/>
              </w:rPr>
            </w:pPr>
            <w:r>
              <w:rPr>
                <w:rFonts w:ascii="Arial" w:cs="Arial" w:eastAsia="Arial" w:hAnsi="Arial"/>
                <w:sz w:val="22"/>
                <w:szCs w:val="22"/>
                <w:color w:val="auto"/>
              </w:rPr>
              <w:t>2022</w:t>
            </w:r>
          </w:p>
        </w:tc>
        <w:tc>
          <w:tcPr>
            <w:tcW w:w="668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102.875%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2023</w:t>
            </w:r>
          </w:p>
        </w:tc>
        <w:tc>
          <w:tcPr>
            <w:tcW w:w="668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101.438%</w:t>
            </w:r>
          </w:p>
        </w:tc>
      </w:tr>
      <w:tr>
        <w:trPr>
          <w:trHeight w:val="297"/>
        </w:trPr>
        <w:tc>
          <w:tcPr>
            <w:tcW w:w="7300" w:type="dxa"/>
            <w:vAlign w:val="bottom"/>
            <w:gridSpan w:val="2"/>
          </w:tcPr>
          <w:p>
            <w:pPr>
              <w:spacing w:after="0"/>
              <w:rPr>
                <w:sz w:val="20"/>
                <w:szCs w:val="20"/>
                <w:color w:val="auto"/>
              </w:rPr>
            </w:pPr>
            <w:r>
              <w:rPr>
                <w:rFonts w:ascii="Arial" w:cs="Arial" w:eastAsia="Arial" w:hAnsi="Arial"/>
                <w:sz w:val="22"/>
                <w:szCs w:val="22"/>
                <w:color w:val="auto"/>
              </w:rPr>
              <w:t>2024 and thereafter</w:t>
            </w: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4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In addition, at any time and from time to time on or prior to July 15, 2022, the Company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105.750%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of one or more Equity Offerings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aggregate principal amount of Notes equal to at least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The Company may make such redemption upon not less than 10 nor more than 60 days’ prior notice mailed by electronic delivery or first-class mail, with a copy to the Trustee, to each Holder’s registered address in accordance with the Indenture (but in no event more than 180 days after the completion of the related Equity Offering). The Company may provide in such notice that payment of the redemption price and performance of the Company’s obligations with respect to such redemption may be performed by another Person.</w:t>
      </w:r>
    </w:p>
    <w:p>
      <w:pPr>
        <w:spacing w:after="0" w:line="123" w:lineRule="exact"/>
        <w:rPr>
          <w:sz w:val="20"/>
          <w:szCs w:val="20"/>
          <w:color w:val="auto"/>
        </w:rPr>
      </w:pPr>
    </w:p>
    <w:p>
      <w:pPr>
        <w:ind w:right="140" w:firstLine="648"/>
        <w:spacing w:after="0" w:line="259" w:lineRule="auto"/>
        <w:rPr>
          <w:sz w:val="20"/>
          <w:szCs w:val="20"/>
          <w:color w:val="auto"/>
        </w:rPr>
      </w:pPr>
      <w:r>
        <w:rPr>
          <w:rFonts w:ascii="Arial" w:cs="Arial" w:eastAsia="Arial" w:hAnsi="Arial"/>
          <w:sz w:val="21"/>
          <w:szCs w:val="21"/>
          <w:color w:val="auto"/>
        </w:rPr>
        <w:t>At any time prior to July 15, 2022, Notes may also be redeemed or purchased by the Company in whole or in part, at the Company’s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10 nor more than 60 days’ notice mailed by electronic delivery or first-class mail, postage prepaid, with a copy to the Trustee, to each Holder’s registered address in accordance with the Indenture. The Company may provide in such notice that payment of the Redemption Price and performance of the Company’s obligations with respect to such redemption or purchase may be performed by another Person.</w:t>
      </w:r>
    </w:p>
    <w:p>
      <w:pPr>
        <w:spacing w:after="0" w:line="144"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Notice of any redemption of the Notes in connection with a corporate transaction (including an Equity Offering, an incurrence of Indebtedness or a Change of Control) may, at the Company’s discretion, be given prior to the completion thereof and any redemption or notice of redemption may, at the Company’s discretion, be subject to one or more conditions precedent, including, but not limited to, completion of the related transaction. If such redemption or purchase is so subject to satisfaction of one or more conditions precedent, such notice shall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420"/>
          </w:cols>
          <w:pgMar w:left="240" w:top="967" w:right="239" w:bottom="1440" w:gutter="0" w:footer="0" w:header="0"/>
        </w:sectPr>
      </w:pPr>
    </w:p>
    <w:bookmarkStart w:id="194" w:name="page195"/>
    <w:bookmarkEnd w:id="194"/>
    <w:p>
      <w:pPr>
        <w:spacing w:after="0" w:line="294" w:lineRule="auto"/>
        <w:rPr>
          <w:sz w:val="20"/>
          <w:szCs w:val="20"/>
          <w:color w:val="auto"/>
        </w:rPr>
      </w:pPr>
      <w:r>
        <w:rPr>
          <w:rFonts w:ascii="Arial" w:cs="Arial" w:eastAsia="Arial" w:hAnsi="Arial"/>
          <w:sz w:val="19"/>
          <w:szCs w:val="19"/>
          <w:color w:val="auto"/>
        </w:rPr>
        <w:t>describe each such condition, and if applicable, shall state that, in the Company’s discretion, the redemption date may be delayed until such time (including more than 60 days after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10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The Indenture provides that, upon the occurrence after the Issue Date of a Change of Control, each Holder will have the right to require that the Company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obligated to repurchase the Notes in the event it has previously or concurrently exercised its right to redeem all the outstanding Notes as described above.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179"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14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If an Event of Default, other than an Event of Default relating to bankruptcy, insolvency or similar events with respect to the Company,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 Event of Default relating to such bankruptcy, insolvency or similar events with respect to the Company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 the time outstanding to be affected. The Indenture also contains provisions permitting the Holders of specified percentages in principal amount of the Notes at the time Outstanding, on behalf of the Holders of all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420"/>
          </w:cols>
          <w:pgMar w:left="240" w:top="847" w:right="239" w:bottom="1440" w:gutter="0" w:footer="0" w:header="0"/>
        </w:sectPr>
      </w:pPr>
    </w:p>
    <w:bookmarkStart w:id="195" w:name="page196"/>
    <w:bookmarkEnd w:id="195"/>
    <w:p>
      <w:pPr>
        <w:ind w:firstLine="648"/>
        <w:spacing w:after="0" w:line="258"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143"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4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Company in a place of payment, duly endorsed by, or accompanied by a written instrument of transfer in form satisfactory to the Company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15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Notes are issuable only in fully registered form without coupons in minimum denominations of $2,000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148" w:lineRule="exact"/>
        <w:rPr>
          <w:sz w:val="20"/>
          <w:szCs w:val="20"/>
          <w:color w:val="auto"/>
        </w:rPr>
      </w:pPr>
    </w:p>
    <w:p>
      <w:pPr>
        <w:ind w:right="6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Company may require payment of a sum sufficient to cover any transfer tax or other governmental charge payable in connection therewith.</w:t>
      </w:r>
    </w:p>
    <w:p>
      <w:pPr>
        <w:spacing w:after="0" w:line="111"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Prior to due presentment of this Note for registration or transfer, the Company, any other obligor in respect of this Note, the Trustee and any agent of the Company, such other obligor or the Trustee may treat the Person in whose name this Note is registered as the owner hereof for all purposes, whether or not this Note be overdue, and none of the Company, any other obligor upon this Note, the Trustee nor any such agent shall be affected by notice to the contrary.</w:t>
      </w:r>
    </w:p>
    <w:p>
      <w:pPr>
        <w:spacing w:after="0" w:line="135" w:lineRule="exact"/>
        <w:rPr>
          <w:sz w:val="20"/>
          <w:szCs w:val="20"/>
          <w:color w:val="auto"/>
        </w:rPr>
      </w:pPr>
    </w:p>
    <w:p>
      <w:pPr>
        <w:ind w:right="80" w:firstLine="648"/>
        <w:spacing w:after="0" w:line="263" w:lineRule="auto"/>
        <w:rPr>
          <w:sz w:val="20"/>
          <w:szCs w:val="20"/>
          <w:color w:val="auto"/>
        </w:rPr>
      </w:pPr>
      <w:r>
        <w:rPr>
          <w:rFonts w:ascii="Arial" w:cs="Arial" w:eastAsia="Arial" w:hAnsi="Arial"/>
          <w:sz w:val="22"/>
          <w:szCs w:val="22"/>
          <w:color w:val="auto"/>
        </w:rPr>
        <w:t>No director, officer, employee, incorporator, equity holder, member or stockholder, as such, of the Company, any Guarantor or any Subsidiary of any thereof shall have any liability for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11420"/>
          </w:cols>
          <w:pgMar w:left="240" w:top="848" w:right="239" w:bottom="1440" w:gutter="0" w:footer="0" w:header="0"/>
        </w:sectPr>
      </w:pPr>
    </w:p>
    <w:bookmarkStart w:id="196" w:name="page197"/>
    <w:bookmarkEnd w:id="196"/>
    <w:p>
      <w:pPr>
        <w:ind w:right="20"/>
        <w:spacing w:after="0" w:line="271" w:lineRule="auto"/>
        <w:rPr>
          <w:sz w:val="20"/>
          <w:szCs w:val="20"/>
          <w:color w:val="auto"/>
        </w:rPr>
      </w:pPr>
      <w:r>
        <w:rPr>
          <w:rFonts w:ascii="Arial" w:cs="Arial" w:eastAsia="Arial" w:hAnsi="Arial"/>
          <w:sz w:val="21"/>
          <w:szCs w:val="21"/>
          <w:color w:val="auto"/>
        </w:rPr>
        <w:t>any obligation of the Company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12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280"/>
          </w:cols>
          <w:pgMar w:left="240" w:top="847" w:right="379" w:bottom="1440" w:gutter="0" w:footer="0" w:header="0"/>
        </w:sectPr>
      </w:pPr>
    </w:p>
    <w:bookmarkStart w:id="197" w:name="page198"/>
    <w:bookmarkEnd w:id="197"/>
    <w:p>
      <w:pPr>
        <w:jc w:val="center"/>
        <w:ind w:right="-79"/>
        <w:spacing w:after="0"/>
        <w:rPr>
          <w:sz w:val="20"/>
          <w:szCs w:val="20"/>
          <w:color w:val="auto"/>
        </w:rPr>
      </w:pPr>
      <w:r>
        <w:rPr>
          <w:rFonts w:ascii="Arial" w:cs="Arial" w:eastAsia="Arial" w:hAnsi="Arial"/>
          <w:sz w:val="22"/>
          <w:szCs w:val="22"/>
          <w:b w:val="1"/>
          <w:bCs w:val="1"/>
          <w:color w:val="auto"/>
        </w:rPr>
        <w:t>GUARANTEE</w:t>
      </w:r>
    </w:p>
    <w:p>
      <w:pPr>
        <w:spacing w:after="0" w:line="21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Issuers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11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 xml:space="preserve">Capitalized terms used but not defined herein shall have the meanings ascribed to them in the Indenture, dated as of July 3, 2019, among Avis Budget Car Rental, LLC, a Delaware limited liability company, Avis Budget Finance, Inc., a Delaware corporation (together,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from time to time parties thereto and Deutsche Bank Trust Company Americas, as Trustee (as amended, supplemented or otherwise modified, the “</w:t>
      </w:r>
      <w:r>
        <w:rPr>
          <w:rFonts w:ascii="Arial" w:cs="Arial" w:eastAsia="Arial" w:hAnsi="Arial"/>
          <w:sz w:val="21"/>
          <w:szCs w:val="21"/>
          <w:u w:val="single" w:color="auto"/>
          <w:color w:val="auto"/>
        </w:rPr>
        <w:t>Indenture</w:t>
      </w:r>
      <w:r>
        <w:rPr>
          <w:rFonts w:ascii="Arial" w:cs="Arial" w:eastAsia="Arial" w:hAnsi="Arial"/>
          <w:sz w:val="21"/>
          <w:szCs w:val="21"/>
          <w:color w:val="auto"/>
        </w:rPr>
        <w:t>”).</w:t>
      </w:r>
    </w:p>
    <w:p>
      <w:pPr>
        <w:spacing w:after="0" w:line="13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1360"/>
          </w:cols>
          <w:pgMar w:left="240" w:top="855" w:right="299" w:bottom="1440" w:gutter="0" w:footer="0" w:header="0"/>
        </w:sectPr>
      </w:pPr>
    </w:p>
    <w:bookmarkStart w:id="198" w:name="page199"/>
    <w:bookmarkEnd w:id="198"/>
    <w:p>
      <w:pPr>
        <w:ind w:left="2800"/>
        <w:spacing w:after="0"/>
        <w:rPr>
          <w:sz w:val="20"/>
          <w:szCs w:val="20"/>
          <w:color w:val="auto"/>
        </w:rPr>
      </w:pPr>
      <w:r>
        <w:rPr>
          <w:rFonts w:ascii="Arial" w:cs="Arial" w:eastAsia="Arial" w:hAnsi="Arial"/>
          <w:sz w:val="22"/>
          <w:szCs w:val="22"/>
          <w:color w:val="auto"/>
        </w:rPr>
        <w:t>AVIS BUDGET GROUP, INC.</w:t>
      </w:r>
    </w:p>
    <w:p>
      <w:pPr>
        <w:ind w:left="2800"/>
        <w:spacing w:after="0" w:line="238" w:lineRule="auto"/>
        <w:rPr>
          <w:sz w:val="20"/>
          <w:szCs w:val="20"/>
          <w:color w:val="auto"/>
        </w:rPr>
      </w:pPr>
      <w:r>
        <w:rPr>
          <w:rFonts w:ascii="Arial" w:cs="Arial" w:eastAsia="Arial" w:hAnsi="Arial"/>
          <w:sz w:val="22"/>
          <w:szCs w:val="22"/>
          <w:color w:val="auto"/>
        </w:rPr>
        <w:t>AVIS BUDGET HOLDINGS, LLC</w:t>
      </w:r>
    </w:p>
    <w:p>
      <w:pPr>
        <w:ind w:left="2800"/>
        <w:spacing w:after="0" w:line="230" w:lineRule="auto"/>
        <w:rPr>
          <w:sz w:val="20"/>
          <w:szCs w:val="20"/>
          <w:color w:val="auto"/>
        </w:rPr>
      </w:pPr>
      <w:r>
        <w:rPr>
          <w:rFonts w:ascii="Arial" w:cs="Arial" w:eastAsia="Arial" w:hAnsi="Arial"/>
          <w:sz w:val="22"/>
          <w:szCs w:val="22"/>
          <w:color w:val="auto"/>
        </w:rPr>
        <w:t>AB CAR RENTAL SERVICES, INC.</w:t>
      </w:r>
    </w:p>
    <w:p>
      <w:pPr>
        <w:ind w:left="2800"/>
        <w:spacing w:after="0" w:line="231" w:lineRule="auto"/>
        <w:rPr>
          <w:sz w:val="20"/>
          <w:szCs w:val="20"/>
          <w:color w:val="auto"/>
        </w:rPr>
      </w:pPr>
      <w:r>
        <w:rPr>
          <w:rFonts w:ascii="Arial" w:cs="Arial" w:eastAsia="Arial" w:hAnsi="Arial"/>
          <w:sz w:val="22"/>
          <w:szCs w:val="22"/>
          <w:color w:val="auto"/>
        </w:rPr>
        <w:t>AVIS CAR RENTAL GROUP, LLC</w:t>
      </w:r>
    </w:p>
    <w:p>
      <w:pPr>
        <w:ind w:left="2800"/>
        <w:spacing w:after="0" w:line="231" w:lineRule="auto"/>
        <w:rPr>
          <w:sz w:val="20"/>
          <w:szCs w:val="20"/>
          <w:color w:val="auto"/>
        </w:rPr>
      </w:pPr>
      <w:r>
        <w:rPr>
          <w:rFonts w:ascii="Arial" w:cs="Arial" w:eastAsia="Arial" w:hAnsi="Arial"/>
          <w:sz w:val="22"/>
          <w:szCs w:val="22"/>
          <w:color w:val="auto"/>
        </w:rPr>
        <w:t>AVIS CARIBBEAN, LIMITED</w:t>
      </w:r>
    </w:p>
    <w:p>
      <w:pPr>
        <w:ind w:left="2800"/>
        <w:spacing w:after="0" w:line="230" w:lineRule="auto"/>
        <w:rPr>
          <w:sz w:val="20"/>
          <w:szCs w:val="20"/>
          <w:color w:val="auto"/>
        </w:rPr>
      </w:pPr>
      <w:r>
        <w:rPr>
          <w:rFonts w:ascii="Arial" w:cs="Arial" w:eastAsia="Arial" w:hAnsi="Arial"/>
          <w:sz w:val="22"/>
          <w:szCs w:val="22"/>
          <w:color w:val="auto"/>
        </w:rPr>
        <w:t>AVIS GROUP HOLDINGS, LLC</w:t>
      </w:r>
    </w:p>
    <w:p>
      <w:pPr>
        <w:ind w:left="2800"/>
        <w:spacing w:after="0" w:line="231" w:lineRule="auto"/>
        <w:rPr>
          <w:sz w:val="20"/>
          <w:szCs w:val="20"/>
          <w:color w:val="auto"/>
        </w:rPr>
      </w:pPr>
      <w:r>
        <w:rPr>
          <w:rFonts w:ascii="Arial" w:cs="Arial" w:eastAsia="Arial" w:hAnsi="Arial"/>
          <w:sz w:val="22"/>
          <w:szCs w:val="22"/>
          <w:color w:val="auto"/>
        </w:rPr>
        <w:t>AVIS INTERNATIONAL, LTD.</w:t>
      </w:r>
    </w:p>
    <w:p>
      <w:pPr>
        <w:ind w:left="2800"/>
        <w:spacing w:after="0" w:line="231" w:lineRule="auto"/>
        <w:rPr>
          <w:sz w:val="20"/>
          <w:szCs w:val="20"/>
          <w:color w:val="auto"/>
        </w:rPr>
      </w:pPr>
      <w:r>
        <w:rPr>
          <w:rFonts w:ascii="Arial" w:cs="Arial" w:eastAsia="Arial" w:hAnsi="Arial"/>
          <w:sz w:val="22"/>
          <w:szCs w:val="22"/>
          <w:color w:val="auto"/>
        </w:rPr>
        <w:t>AVIS RENT A CAR SYSTEM, LLC</w:t>
      </w:r>
    </w:p>
    <w:p>
      <w:pPr>
        <w:ind w:left="2800"/>
        <w:spacing w:after="0" w:line="230" w:lineRule="auto"/>
        <w:rPr>
          <w:sz w:val="20"/>
          <w:szCs w:val="20"/>
          <w:color w:val="auto"/>
        </w:rPr>
      </w:pPr>
      <w:r>
        <w:rPr>
          <w:rFonts w:ascii="Arial" w:cs="Arial" w:eastAsia="Arial" w:hAnsi="Arial"/>
          <w:sz w:val="22"/>
          <w:szCs w:val="22"/>
          <w:color w:val="auto"/>
        </w:rPr>
        <w:t>PR HOLDCO, INC.</w:t>
      </w:r>
    </w:p>
    <w:p>
      <w:pPr>
        <w:ind w:left="2800"/>
        <w:spacing w:after="0" w:line="231" w:lineRule="auto"/>
        <w:rPr>
          <w:sz w:val="20"/>
          <w:szCs w:val="20"/>
          <w:color w:val="auto"/>
        </w:rPr>
      </w:pPr>
      <w:r>
        <w:rPr>
          <w:rFonts w:ascii="Arial" w:cs="Arial" w:eastAsia="Arial" w:hAnsi="Arial"/>
          <w:sz w:val="22"/>
          <w:szCs w:val="22"/>
          <w:color w:val="auto"/>
        </w:rPr>
        <w:t>WIZARD CO., INC.</w:t>
      </w:r>
    </w:p>
    <w:p>
      <w:pPr>
        <w:ind w:left="2800"/>
        <w:spacing w:after="0" w:line="231" w:lineRule="auto"/>
        <w:rPr>
          <w:sz w:val="20"/>
          <w:szCs w:val="20"/>
          <w:color w:val="auto"/>
        </w:rPr>
      </w:pPr>
      <w:r>
        <w:rPr>
          <w:rFonts w:ascii="Arial" w:cs="Arial" w:eastAsia="Arial" w:hAnsi="Arial"/>
          <w:sz w:val="22"/>
          <w:szCs w:val="22"/>
          <w:color w:val="auto"/>
        </w:rPr>
        <w:t>WIZARD SERVICES, INC.</w:t>
      </w:r>
    </w:p>
    <w:p>
      <w:pPr>
        <w:ind w:left="2800"/>
        <w:spacing w:after="0"/>
        <w:rPr>
          <w:sz w:val="20"/>
          <w:szCs w:val="20"/>
          <w:color w:val="auto"/>
        </w:rPr>
      </w:pPr>
      <w:r>
        <w:rPr>
          <w:rFonts w:ascii="Arial" w:cs="Arial" w:eastAsia="Arial" w:hAnsi="Arial"/>
          <w:sz w:val="22"/>
          <w:szCs w:val="22"/>
          <w:color w:val="auto"/>
        </w:rPr>
        <w:t>ZIPCAR, INC.</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BUDGET RENT A CAR SYSTEM, INC.</w:t>
      </w:r>
    </w:p>
    <w:p>
      <w:pPr>
        <w:spacing w:after="0" w:line="4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BUDGET TRUCK RENTAL LLC</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9019"/>
          </w:cols>
          <w:pgMar w:left="1440" w:top="1253" w:right="1440"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22"/>
          <w:szCs w:val="22"/>
          <w:color w:val="auto"/>
        </w:rPr>
        <w:t>[FORM OF CERTIFICATE OF TRANSFER]</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Company with full power of substitution in the premises.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Company;</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hanging="812"/>
        <w:spacing w:after="0" w:line="288" w:lineRule="auto"/>
        <w:tabs>
          <w:tab w:leader="none" w:pos="19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2580" w:hanging="5932"/>
        <w:spacing w:after="0" w:line="507" w:lineRule="auto"/>
        <w:tabs>
          <w:tab w:leader="none" w:pos="18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 (c) in an offshore transaction in accordance with Regulation S under the Securities Act of 1933; </w:t>
      </w:r>
      <w:r>
        <w:rPr>
          <w:rFonts w:ascii="Arial" w:cs="Arial" w:eastAsia="Arial" w:hAnsi="Arial"/>
          <w:sz w:val="22"/>
          <w:szCs w:val="22"/>
          <w:u w:val="single" w:color="auto"/>
          <w:color w:val="auto"/>
        </w:rPr>
        <w:t>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380"/>
          </w:cols>
          <w:pgMar w:left="240" w:top="861" w:right="279" w:bottom="1440" w:gutter="0" w:footer="0" w:header="0"/>
        </w:sectPr>
      </w:pPr>
    </w:p>
    <w:bookmarkStart w:id="200" w:name="page201"/>
    <w:bookmarkEnd w:id="200"/>
    <w:p>
      <w:pPr>
        <w:ind w:left="820" w:right="360" w:hanging="812"/>
        <w:spacing w:after="0" w:line="328" w:lineRule="auto"/>
        <w:tabs>
          <w:tab w:leader="none" w:pos="19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right="80" w:hanging="812"/>
        <w:spacing w:after="0" w:line="302" w:lineRule="auto"/>
        <w:tabs>
          <w:tab w:leader="none" w:pos="19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3640" w:hanging="5932"/>
        <w:spacing w:after="0" w:line="486" w:lineRule="auto"/>
        <w:tabs>
          <w:tab w:leader="none" w:pos="1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2" w:lineRule="exact"/>
        <w:rPr>
          <w:sz w:val="20"/>
          <w:szCs w:val="20"/>
          <w:color w:val="auto"/>
        </w:rPr>
      </w:pPr>
    </w:p>
    <w:p>
      <w:pPr>
        <w:ind w:left="820" w:hanging="812"/>
        <w:spacing w:after="0" w:line="302" w:lineRule="auto"/>
        <w:tabs>
          <w:tab w:leader="none" w:pos="19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If none of the foregoing boxes is checked, the Trustee or other Note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274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75"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NOTICE: The signature</w:t>
      </w:r>
    </w:p>
    <w:p>
      <w:pPr>
        <w:ind w:left="5300"/>
        <w:spacing w:after="0" w:line="238" w:lineRule="auto"/>
        <w:rPr>
          <w:sz w:val="20"/>
          <w:szCs w:val="20"/>
          <w:color w:val="auto"/>
        </w:rPr>
      </w:pPr>
      <w:r>
        <w:rPr>
          <w:rFonts w:ascii="Arial" w:cs="Arial" w:eastAsia="Arial" w:hAnsi="Arial"/>
          <w:sz w:val="22"/>
          <w:szCs w:val="22"/>
          <w:color w:val="auto"/>
        </w:rPr>
        <w:t>to this assignment must</w:t>
      </w:r>
    </w:p>
    <w:p>
      <w:pPr>
        <w:ind w:left="5300"/>
        <w:spacing w:after="0" w:line="230" w:lineRule="auto"/>
        <w:rPr>
          <w:sz w:val="20"/>
          <w:szCs w:val="20"/>
          <w:color w:val="auto"/>
        </w:rPr>
      </w:pPr>
      <w:r>
        <w:rPr>
          <w:rFonts w:ascii="Arial" w:cs="Arial" w:eastAsia="Arial" w:hAnsi="Arial"/>
          <w:sz w:val="22"/>
          <w:szCs w:val="22"/>
          <w:color w:val="auto"/>
        </w:rPr>
        <w:t>correspond with the name</w:t>
      </w:r>
    </w:p>
    <w:p>
      <w:pPr>
        <w:ind w:left="5300"/>
        <w:spacing w:after="0" w:line="231" w:lineRule="auto"/>
        <w:rPr>
          <w:sz w:val="20"/>
          <w:szCs w:val="20"/>
          <w:color w:val="auto"/>
        </w:rPr>
      </w:pPr>
      <w:r>
        <w:rPr>
          <w:rFonts w:ascii="Arial" w:cs="Arial" w:eastAsia="Arial" w:hAnsi="Arial"/>
          <w:sz w:val="22"/>
          <w:szCs w:val="22"/>
          <w:color w:val="auto"/>
        </w:rPr>
        <w:t>as written upon the face of</w:t>
      </w:r>
    </w:p>
    <w:p>
      <w:pPr>
        <w:ind w:left="5300"/>
        <w:spacing w:after="0" w:line="231" w:lineRule="auto"/>
        <w:rPr>
          <w:sz w:val="20"/>
          <w:szCs w:val="20"/>
          <w:color w:val="auto"/>
        </w:rPr>
      </w:pPr>
      <w:r>
        <w:rPr>
          <w:rFonts w:ascii="Arial" w:cs="Arial" w:eastAsia="Arial" w:hAnsi="Arial"/>
          <w:sz w:val="22"/>
          <w:szCs w:val="22"/>
          <w:color w:val="auto"/>
        </w:rPr>
        <w:t>the within-mentioned</w:t>
      </w:r>
    </w:p>
    <w:p>
      <w:pPr>
        <w:ind w:left="5300"/>
        <w:spacing w:after="0" w:line="230" w:lineRule="auto"/>
        <w:rPr>
          <w:sz w:val="20"/>
          <w:szCs w:val="20"/>
          <w:color w:val="auto"/>
        </w:rPr>
      </w:pPr>
      <w:r>
        <w:rPr>
          <w:rFonts w:ascii="Arial" w:cs="Arial" w:eastAsia="Arial" w:hAnsi="Arial"/>
          <w:sz w:val="22"/>
          <w:szCs w:val="22"/>
          <w:color w:val="auto"/>
        </w:rPr>
        <w:t>instrument in every</w:t>
      </w:r>
    </w:p>
    <w:p>
      <w:pPr>
        <w:ind w:left="5300"/>
        <w:spacing w:after="0" w:line="231" w:lineRule="auto"/>
        <w:rPr>
          <w:sz w:val="20"/>
          <w:szCs w:val="20"/>
          <w:color w:val="auto"/>
        </w:rPr>
      </w:pPr>
      <w:r>
        <w:rPr>
          <w:rFonts w:ascii="Arial" w:cs="Arial" w:eastAsia="Arial" w:hAnsi="Arial"/>
          <w:sz w:val="22"/>
          <w:szCs w:val="22"/>
          <w:color w:val="auto"/>
        </w:rPr>
        <w:t>particular, without</w:t>
      </w:r>
    </w:p>
    <w:p>
      <w:pPr>
        <w:ind w:left="5300"/>
        <w:spacing w:after="0" w:line="231" w:lineRule="auto"/>
        <w:rPr>
          <w:sz w:val="20"/>
          <w:szCs w:val="20"/>
          <w:color w:val="auto"/>
        </w:rPr>
      </w:pPr>
      <w:r>
        <w:rPr>
          <w:rFonts w:ascii="Arial" w:cs="Arial" w:eastAsia="Arial" w:hAnsi="Arial"/>
          <w:sz w:val="22"/>
          <w:szCs w:val="22"/>
          <w:color w:val="auto"/>
        </w:rPr>
        <w:t>alteration or any change</w:t>
      </w:r>
    </w:p>
    <w:p>
      <w:pPr>
        <w:ind w:left="5300"/>
        <w:spacing w:after="0"/>
        <w:rPr>
          <w:sz w:val="20"/>
          <w:szCs w:val="20"/>
          <w:color w:val="auto"/>
        </w:rPr>
      </w:pPr>
      <w:r>
        <w:rPr>
          <w:rFonts w:ascii="Arial" w:cs="Arial" w:eastAsia="Arial" w:hAnsi="Arial"/>
          <w:sz w:val="22"/>
          <w:szCs w:val="22"/>
          <w:color w:val="auto"/>
        </w:rPr>
        <w:t>whatsoever.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-17780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7" w:lineRule="exact"/>
        <w:rPr>
          <w:sz w:val="20"/>
          <w:szCs w:val="20"/>
          <w:color w:val="auto"/>
        </w:rPr>
      </w:pPr>
    </w:p>
    <w:p>
      <w:pPr>
        <w:ind w:right="300" w:firstLine="648"/>
        <w:spacing w:after="0" w:line="265"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1320"/>
          </w:cols>
          <w:pgMar w:left="240" w:top="861" w:right="3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Dated:______________________</w:t>
      </w:r>
      <w:r>
        <w:rPr>
          <w:sz w:val="20"/>
          <w:szCs w:val="20"/>
          <w:color w:val="auto"/>
        </w:rPr>
        <w:tab/>
      </w:r>
      <w:r>
        <w:rPr>
          <w:rFonts w:ascii="Arial" w:cs="Arial" w:eastAsia="Arial" w:hAnsi="Arial"/>
          <w:sz w:val="19"/>
          <w:szCs w:val="19"/>
          <w:color w:val="auto"/>
        </w:rPr>
        <w:t>______________________</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861" w:right="239" w:bottom="1440" w:gutter="0" w:footer="0" w:header="0"/>
        </w:sectPr>
      </w:pPr>
    </w:p>
    <w:bookmarkStart w:id="202" w:name="page203"/>
    <w:bookmarkEnd w:id="202"/>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wish to have this Note purchased by the Company pursuant to Section 3.5 or 3.9 of the Indenture, check the box: [  ].</w:t>
      </w:r>
    </w:p>
    <w:p>
      <w:pPr>
        <w:spacing w:after="0" w:line="200" w:lineRule="exact"/>
        <w:rPr>
          <w:sz w:val="20"/>
          <w:szCs w:val="20"/>
          <w:color w:val="auto"/>
        </w:rPr>
      </w:pPr>
    </w:p>
    <w:p>
      <w:pPr>
        <w:spacing w:after="0" w:line="270" w:lineRule="exact"/>
        <w:rPr>
          <w:sz w:val="20"/>
          <w:szCs w:val="20"/>
          <w:color w:val="auto"/>
        </w:rPr>
      </w:pPr>
    </w:p>
    <w:p>
      <w:pPr>
        <w:ind w:right="220" w:firstLine="648"/>
        <w:spacing w:after="0" w:line="507" w:lineRule="auto"/>
        <w:rPr>
          <w:sz w:val="20"/>
          <w:szCs w:val="20"/>
          <w:color w:val="auto"/>
        </w:rPr>
      </w:pPr>
      <w:r>
        <w:rPr>
          <w:rFonts w:ascii="Arial" w:cs="Arial" w:eastAsia="Arial" w:hAnsi="Arial"/>
          <w:sz w:val="22"/>
          <w:szCs w:val="22"/>
          <w:color w:val="auto"/>
        </w:rPr>
        <w:t>If you wish to have a portion of this Note purchased by the Company pursuant to Section 3.5 or 3.9 of the Indenture, state the amount (in principal amount) below:</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-17780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-17780</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8" w:lineRule="exact"/>
        <w:rPr>
          <w:sz w:val="20"/>
          <w:szCs w:val="20"/>
          <w:color w:val="auto"/>
        </w:rPr>
      </w:pPr>
    </w:p>
    <w:p>
      <w:pPr>
        <w:ind w:right="380" w:firstLine="648"/>
        <w:spacing w:after="0" w:line="520"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00"/>
          </w:cols>
          <w:pgMar w:left="240" w:top="861" w:right="259" w:bottom="1440" w:gutter="0" w:footer="0" w:header="0"/>
        </w:sectPr>
      </w:pPr>
    </w:p>
    <w:bookmarkStart w:id="203" w:name="page204"/>
    <w:bookmarkEnd w:id="203"/>
    <w:p>
      <w:pPr>
        <w:jc w:val="center"/>
        <w:ind w:right="260"/>
        <w:spacing w:after="0"/>
        <w:rPr>
          <w:sz w:val="20"/>
          <w:szCs w:val="20"/>
          <w:color w:val="auto"/>
        </w:rPr>
      </w:pPr>
      <w:r>
        <w:rPr>
          <w:rFonts w:ascii="Arial" w:cs="Arial" w:eastAsia="Arial" w:hAnsi="Arial"/>
          <w:sz w:val="22"/>
          <w:szCs w:val="22"/>
          <w:color w:val="auto"/>
        </w:rPr>
        <w:t>SCHEDULE OF INCREASES OR DECREASES IN GLOBAL NOTE</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0"/>
              </w:rPr>
              <w:t>Principal amount of this</w:t>
            </w:r>
          </w:p>
        </w:tc>
        <w:tc>
          <w:tcPr>
            <w:tcW w:w="2140" w:type="dxa"/>
            <w:vAlign w:val="bottom"/>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9"/>
              </w:rPr>
              <w:t>Amount of decreases in</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0"/>
              </w:rPr>
              <w:t>Amount of increases in</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89"/>
              </w:rPr>
              <w:t>Signature of authorized</w:t>
            </w: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2"/>
              </w:rPr>
              <w:t>Principal Amount of this</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2"/>
              </w:rPr>
              <w:t>Principal Amount of this</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0"/>
              </w:rPr>
              <w:t>officer of Trustee or</w:t>
            </w: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9"/>
              </w:rPr>
              <w:t>Date of Exchange</w:t>
            </w:r>
          </w:p>
        </w:tc>
        <w:tc>
          <w:tcPr>
            <w:tcW w:w="2440" w:type="dxa"/>
            <w:vAlign w:val="bottom"/>
          </w:tcPr>
          <w:p>
            <w:pPr>
              <w:jc w:val="center"/>
              <w:ind w:left="32"/>
              <w:spacing w:after="0"/>
              <w:rPr>
                <w:sz w:val="20"/>
                <w:szCs w:val="20"/>
                <w:color w:val="auto"/>
              </w:rPr>
            </w:pPr>
            <w:r>
              <w:rPr>
                <w:rFonts w:ascii="Arial" w:cs="Arial" w:eastAsia="Arial" w:hAnsi="Arial"/>
                <w:sz w:val="22"/>
                <w:szCs w:val="22"/>
                <w:color w:val="auto"/>
                <w:w w:val="91"/>
              </w:rPr>
              <w:t>Global Note</w:t>
            </w:r>
          </w:p>
        </w:tc>
        <w:tc>
          <w:tcPr>
            <w:tcW w:w="2300" w:type="dxa"/>
            <w:vAlign w:val="bottom"/>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Pr>
          <w:p>
            <w:pPr>
              <w:jc w:val="center"/>
              <w:spacing w:after="0"/>
              <w:rPr>
                <w:sz w:val="20"/>
                <w:szCs w:val="20"/>
                <w:color w:val="auto"/>
              </w:rPr>
            </w:pPr>
            <w:r>
              <w:rPr>
                <w:rFonts w:ascii="Arial" w:cs="Arial" w:eastAsia="Arial" w:hAnsi="Arial"/>
                <w:sz w:val="22"/>
                <w:szCs w:val="22"/>
                <w:color w:val="auto"/>
                <w:w w:val="84"/>
              </w:rPr>
              <w:t>increases</w:t>
            </w:r>
          </w:p>
        </w:tc>
        <w:tc>
          <w:tcPr>
            <w:tcW w:w="2140" w:type="dxa"/>
            <w:vAlign w:val="bottom"/>
          </w:tcPr>
          <w:p>
            <w:pPr>
              <w:jc w:val="center"/>
              <w:spacing w:after="0"/>
              <w:rPr>
                <w:sz w:val="20"/>
                <w:szCs w:val="20"/>
                <w:color w:val="auto"/>
              </w:rPr>
            </w:pPr>
            <w:r>
              <w:rPr>
                <w:rFonts w:ascii="Arial" w:cs="Arial" w:eastAsia="Arial" w:hAnsi="Arial"/>
                <w:sz w:val="22"/>
                <w:szCs w:val="22"/>
                <w:color w:val="auto"/>
                <w:w w:val="88"/>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0920"/>
          </w:cols>
          <w:pgMar w:left="620" w:top="861" w:right="35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dated as of [_________]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among [name of Subsidiary</w:t>
      </w:r>
    </w:p>
    <w:p>
      <w:pPr>
        <w:spacing w:after="0" w:line="56"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Guarantor(s)] (the “</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Avis Budget Car Rental, LLC, a limited liability company duly organized and existing under the laws of the State of Delaware, and Avis Budget Finance, Inc., a corporation duly organized and existing under the laws of the State of Delaware (together,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which term includes their successors and assigns), and Deutsche Bank Trust Company Americas,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under the Indenture referred to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right="360" w:firstLine="648"/>
        <w:spacing w:after="0" w:line="253" w:lineRule="auto"/>
        <w:rPr>
          <w:sz w:val="20"/>
          <w:szCs w:val="20"/>
          <w:color w:val="auto"/>
        </w:rPr>
      </w:pPr>
      <w:r>
        <w:rPr>
          <w:rFonts w:ascii="Arial" w:cs="Arial" w:eastAsia="Arial" w:hAnsi="Arial"/>
          <w:sz w:val="22"/>
          <w:szCs w:val="22"/>
          <w:color w:val="auto"/>
        </w:rPr>
        <w:t>WHEREAS, the Company and the Trustee have heretofore become parties to an Indenture, dated as of July 3, 2019 (as amended, supplemented, waived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of 5.75% Senior Notes due 2027 of the Company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14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Indenture provides that the Company is required to cause the Subsidiary Guarantors to execute and deliver to the Trustee a supplemental indenture pursuant to which the Subsidiary Guarantors shall guarantee the Subsidiary Guaranteed Obligations pursuant to a Subsidiary Guarantee on the terms and conditions set forth herein and in Article X of the Indenture;</w:t>
      </w:r>
    </w:p>
    <w:p>
      <w:pPr>
        <w:spacing w:after="0" w:line="148"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the Company, the obligations hereunder of which such Subsidiary Guarantor has guaranteed, and on such Subsidiary Guarantor’s access to working capital through the Company’s access to revolving credit borrowings under the Credit Agreement; and</w:t>
      </w:r>
    </w:p>
    <w:p>
      <w:pPr>
        <w:spacing w:after="0" w:line="152" w:lineRule="exact"/>
        <w:rPr>
          <w:sz w:val="20"/>
          <w:szCs w:val="20"/>
          <w:color w:val="auto"/>
        </w:rPr>
      </w:pPr>
    </w:p>
    <w:p>
      <w:pPr>
        <w:ind w:right="980" w:firstLine="648"/>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Indenture, the parties hereto are authorized to execute and deliver this Supplemental Indenture to amend the Indenture, without the consent of any Holder;</w:t>
      </w:r>
    </w:p>
    <w:p>
      <w:pPr>
        <w:spacing w:after="0" w:line="134"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Subsidiary Guarantor(s), the Company and the Trustee mutually covenant and agree for the benefit of the Holders of the Notes as follows:</w:t>
      </w:r>
    </w:p>
    <w:p>
      <w:pPr>
        <w:spacing w:after="0" w:line="159" w:lineRule="exact"/>
        <w:rPr>
          <w:sz w:val="20"/>
          <w:szCs w:val="20"/>
          <w:color w:val="auto"/>
        </w:rPr>
      </w:pPr>
    </w:p>
    <w:p>
      <w:pPr>
        <w:jc w:val="both"/>
        <w:ind w:right="360" w:firstLine="1305"/>
        <w:spacing w:after="0" w:line="357" w:lineRule="auto"/>
        <w:tabs>
          <w:tab w:leader="none" w:pos="1675"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071" w:right="239" w:bottom="1440" w:gutter="0" w:footer="0" w:header="0"/>
        </w:sectPr>
      </w:pPr>
    </w:p>
    <w:bookmarkStart w:id="205" w:name="page206"/>
    <w:bookmarkEnd w:id="205"/>
    <w:p>
      <w:pPr>
        <w:ind w:left="-60" w:right="100" w:firstLine="1305"/>
        <w:spacing w:after="0" w:line="346" w:lineRule="auto"/>
        <w:tabs>
          <w:tab w:leader="none" w:pos="1615"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[Each] Subsidiary Guarantor hereby agrees, jointly and severally with all other Subsidiary Guarantors and irrevocably, fully and unconditionally, to Guarantee the Subsidiary Guaranteed Obligations under the Indenture and the Notes on the terms and subject to the conditions set forth in Article X of the Indenture and to be bound by (and shall be entitled to the benefits of) all other applicable provisions of the Indenture as a Subsidiary Guarantor.</w:t>
      </w:r>
    </w:p>
    <w:p>
      <w:pPr>
        <w:spacing w:after="0" w:line="144" w:lineRule="exact"/>
        <w:rPr>
          <w:rFonts w:ascii="Arial" w:cs="Arial" w:eastAsia="Arial" w:hAnsi="Arial"/>
          <w:sz w:val="19"/>
          <w:szCs w:val="19"/>
          <w:color w:val="auto"/>
        </w:rPr>
      </w:pPr>
    </w:p>
    <w:p>
      <w:pPr>
        <w:ind w:left="-60" w:right="20" w:firstLine="1305"/>
        <w:spacing w:after="0" w:line="311" w:lineRule="auto"/>
        <w:tabs>
          <w:tab w:leader="none" w:pos="1615"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Termination, Release and Discharge</w:t>
      </w:r>
      <w:r>
        <w:rPr>
          <w:rFonts w:ascii="Arial" w:cs="Arial" w:eastAsia="Arial" w:hAnsi="Arial"/>
          <w:sz w:val="21"/>
          <w:szCs w:val="21"/>
          <w:color w:val="auto"/>
        </w:rPr>
        <w:t>. [The] [Each] Subsidiary Guarantor’s Subsidiary Guarantee shall terminate and be of no further force or effect, and [the] [each] Subsidiary Guarantor shall be released and discharged from all obligations in respect of such Subsidiary Guarantee, as and when provided in Section 10.2 of the Indenture.</w:t>
      </w:r>
    </w:p>
    <w:p>
      <w:pPr>
        <w:spacing w:after="0" w:line="168" w:lineRule="exact"/>
        <w:rPr>
          <w:rFonts w:ascii="Arial" w:cs="Arial" w:eastAsia="Arial" w:hAnsi="Arial"/>
          <w:sz w:val="21"/>
          <w:szCs w:val="21"/>
          <w:color w:val="auto"/>
        </w:rPr>
      </w:pPr>
    </w:p>
    <w:p>
      <w:pPr>
        <w:ind w:left="-60" w:right="60" w:firstLine="1305"/>
        <w:spacing w:after="0" w:line="311" w:lineRule="auto"/>
        <w:tabs>
          <w:tab w:leader="none" w:pos="1615"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68" w:lineRule="exact"/>
        <w:rPr>
          <w:rFonts w:ascii="Arial" w:cs="Arial" w:eastAsia="Arial" w:hAnsi="Arial"/>
          <w:sz w:val="21"/>
          <w:szCs w:val="21"/>
          <w:color w:val="auto"/>
        </w:rPr>
      </w:pPr>
    </w:p>
    <w:p>
      <w:pPr>
        <w:ind w:left="-60" w:firstLine="1305"/>
        <w:spacing w:after="0" w:line="311" w:lineRule="auto"/>
        <w:tabs>
          <w:tab w:leader="none" w:pos="1615"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Parties</w:t>
      </w:r>
      <w:r>
        <w:rPr>
          <w:rFonts w:ascii="Arial" w:cs="Arial" w:eastAsia="Arial" w:hAnsi="Arial"/>
          <w:sz w:val="21"/>
          <w:szCs w:val="21"/>
          <w:color w:val="auto"/>
        </w:rPr>
        <w:t>. Nothing in this Supplemental Indenture is intended or shall be construed to give any Person, other than the Holders and the Trustee, any legal or equitable right, remedy or claim under or in respect of [the] [each] Subsidiary Guarantor’s Subsidiary Guarantee or any provision contained herein or in Article X of the Indenture.</w:t>
      </w:r>
    </w:p>
    <w:p>
      <w:pPr>
        <w:spacing w:after="0" w:line="168" w:lineRule="exact"/>
        <w:rPr>
          <w:rFonts w:ascii="Arial" w:cs="Arial" w:eastAsia="Arial" w:hAnsi="Arial"/>
          <w:sz w:val="21"/>
          <w:szCs w:val="21"/>
          <w:color w:val="auto"/>
        </w:rPr>
      </w:pPr>
    </w:p>
    <w:p>
      <w:pPr>
        <w:ind w:left="-60" w:right="80" w:firstLine="1305"/>
        <w:spacing w:after="0" w:line="285" w:lineRule="auto"/>
        <w:tabs>
          <w:tab w:leader="none" w:pos="1615"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SUPPLEMENTAL INDENTURE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96" w:lineRule="exact"/>
        <w:rPr>
          <w:rFonts w:ascii="Arial" w:cs="Arial" w:eastAsia="Arial" w:hAnsi="Arial"/>
          <w:sz w:val="22"/>
          <w:szCs w:val="22"/>
          <w:color w:val="auto"/>
        </w:rPr>
      </w:pPr>
    </w:p>
    <w:p>
      <w:pPr>
        <w:ind w:left="-60" w:right="60" w:firstLine="1305"/>
        <w:spacing w:after="0" w:line="341" w:lineRule="auto"/>
        <w:tabs>
          <w:tab w:leader="none" w:pos="1615"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00"/>
          </w:cols>
          <w:pgMar w:left="300" w:top="861" w:right="299" w:bottom="1440" w:gutter="0" w:footer="0" w:header="0"/>
        </w:sectPr>
      </w:pPr>
    </w:p>
    <w:bookmarkStart w:id="206" w:name="page207"/>
    <w:bookmarkEnd w:id="206"/>
    <w:p>
      <w:pPr>
        <w:ind w:left="-20" w:firstLine="1305"/>
        <w:spacing w:after="0" w:line="302" w:lineRule="auto"/>
        <w:tabs>
          <w:tab w:leader="none" w:pos="1655"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hereto may sign one or more copies of this Supplemental Indenture in counterparts, all of which together shall constitute one and the same agreement.</w:t>
      </w:r>
    </w:p>
    <w:p>
      <w:pPr>
        <w:spacing w:after="0" w:line="173" w:lineRule="exact"/>
        <w:rPr>
          <w:rFonts w:ascii="Arial" w:cs="Arial" w:eastAsia="Arial" w:hAnsi="Arial"/>
          <w:sz w:val="22"/>
          <w:szCs w:val="22"/>
          <w:color w:val="auto"/>
        </w:rPr>
      </w:pPr>
    </w:p>
    <w:p>
      <w:pPr>
        <w:ind w:left="-20" w:right="20" w:firstLine="1305"/>
        <w:spacing w:after="0" w:line="302" w:lineRule="auto"/>
        <w:tabs>
          <w:tab w:leader="none" w:pos="1655"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herein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380"/>
          </w:cols>
          <w:pgMar w:left="260" w:top="861" w:right="259" w:bottom="1440" w:gutter="0" w:footer="0" w:header="0"/>
        </w:sectPr>
      </w:pPr>
    </w:p>
    <w:bookmarkStart w:id="207" w:name="page208"/>
    <w:bookmarkEnd w:id="20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8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AVIS BUDGET CAR RENTAL, LLC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AVIS BUDGET FINANCE, INC.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[NAME OF SUBSIDIARY</w:t>
      </w:r>
    </w:p>
    <w:p>
      <w:pPr>
        <w:ind w:left="5760"/>
        <w:spacing w:after="0" w:line="238" w:lineRule="auto"/>
        <w:rPr>
          <w:sz w:val="20"/>
          <w:szCs w:val="20"/>
          <w:color w:val="auto"/>
        </w:rPr>
      </w:pPr>
      <w:r>
        <w:rPr>
          <w:rFonts w:ascii="Arial" w:cs="Arial" w:eastAsia="Arial" w:hAnsi="Arial"/>
          <w:sz w:val="22"/>
          <w:szCs w:val="22"/>
          <w:color w:val="auto"/>
        </w:rPr>
        <w:t>GUARANTOR(S)],</w:t>
      </w:r>
    </w:p>
    <w:p>
      <w:pPr>
        <w:ind w:left="5760"/>
        <w:spacing w:after="0"/>
        <w:rPr>
          <w:sz w:val="20"/>
          <w:szCs w:val="20"/>
          <w:color w:val="auto"/>
        </w:rPr>
      </w:pPr>
      <w:r>
        <w:rPr>
          <w:rFonts w:ascii="Arial" w:cs="Arial" w:eastAsia="Arial" w:hAnsi="Arial"/>
          <w:sz w:val="22"/>
          <w:szCs w:val="22"/>
          <w:color w:val="auto"/>
        </w:rPr>
        <w:t>as Subsidiary Guarantor</w:t>
      </w:r>
    </w:p>
    <w:p>
      <w:pPr>
        <w:spacing w:after="0" w:line="215"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By:______________________</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22"/>
          <w:szCs w:val="22"/>
          <w:color w:val="auto"/>
        </w:rPr>
        <w:t>Title:</w:t>
      </w:r>
    </w:p>
    <w:p>
      <w:pPr>
        <w:spacing w:after="0" w:line="395"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DEUTSCHE BANK TRUST COMPANY</w:t>
      </w:r>
    </w:p>
    <w:p>
      <w:pPr>
        <w:spacing w:after="0" w:line="8"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AMERICAS, as Trustee</w:t>
      </w:r>
    </w:p>
    <w:p>
      <w:pPr>
        <w:spacing w:after="0" w:line="80"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By:______________________</w:t>
      </w:r>
    </w:p>
    <w:p>
      <w:pPr>
        <w:spacing w:after="0" w:line="152"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080"/>
          </w:cols>
          <w:pgMar w:left="240" w:top="848" w:right="579"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22"/>
          <w:szCs w:val="22"/>
          <w:b w:val="1"/>
          <w:bCs w:val="1"/>
          <w:color w:val="auto"/>
        </w:rPr>
        <w:t>Form of Note</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AVIS BUDGET CAR RENTAL, LLC</w:t>
      </w:r>
    </w:p>
    <w:p>
      <w:pPr>
        <w:spacing w:after="0" w:line="44"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AVIS BUDGET FINANCE, INC.</w:t>
      </w:r>
    </w:p>
    <w:p>
      <w:pPr>
        <w:spacing w:after="0" w:line="355"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5.75% Senior Notes due 2027</w:t>
      </w:r>
    </w:p>
    <w:p>
      <w:pPr>
        <w:spacing w:after="0" w:line="200" w:lineRule="exact"/>
        <w:rPr>
          <w:sz w:val="20"/>
          <w:szCs w:val="20"/>
          <w:color w:val="auto"/>
        </w:rPr>
      </w:pPr>
    </w:p>
    <w:p>
      <w:pPr>
        <w:spacing w:after="0" w:line="282" w:lineRule="exact"/>
        <w:rPr>
          <w:sz w:val="20"/>
          <w:szCs w:val="20"/>
          <w:color w:val="auto"/>
        </w:rPr>
      </w:pPr>
    </w:p>
    <w:p>
      <w:pPr>
        <w:ind w:left="660"/>
        <w:spacing w:after="0"/>
        <w:tabs>
          <w:tab w:leader="none" w:pos="3520" w:val="left"/>
        </w:tabs>
        <w:rPr>
          <w:sz w:val="20"/>
          <w:szCs w:val="20"/>
          <w:color w:val="auto"/>
        </w:rPr>
      </w:pPr>
      <w:r>
        <w:rPr>
          <w:rFonts w:ascii="Arial" w:cs="Arial" w:eastAsia="Arial" w:hAnsi="Arial"/>
          <w:sz w:val="22"/>
          <w:szCs w:val="22"/>
          <w:color w:val="auto"/>
        </w:rPr>
        <w:t>CUSIP No. _______________</w:t>
      </w:r>
      <w:r>
        <w:rPr>
          <w:sz w:val="20"/>
          <w:szCs w:val="20"/>
          <w:color w:val="auto"/>
        </w:rPr>
        <w:tab/>
      </w:r>
      <w:r>
        <w:rPr>
          <w:rFonts w:ascii="Arial" w:cs="Arial" w:eastAsia="Arial" w:hAnsi="Arial"/>
          <w:sz w:val="19"/>
          <w:szCs w:val="19"/>
          <w:color w:val="auto"/>
        </w:rPr>
        <w:t>No. 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247"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Avis Budget Car Rental, LLC, a limited liability company duly organized and existing under the laws of the State of Delaware, and Avis Budget Finance, Inc., a corporation duly organized and existing under the laws of the State of Delaware (together, “the </w:t>
      </w:r>
      <w:r>
        <w:rPr>
          <w:rFonts w:ascii="Arial" w:cs="Arial" w:eastAsia="Arial" w:hAnsi="Arial"/>
          <w:sz w:val="19"/>
          <w:szCs w:val="19"/>
          <w:u w:val="single" w:color="auto"/>
          <w:color w:val="auto"/>
        </w:rPr>
        <w:t>Company</w:t>
      </w:r>
      <w:r>
        <w:rPr>
          <w:rFonts w:ascii="Arial" w:cs="Arial" w:eastAsia="Arial" w:hAnsi="Arial"/>
          <w:sz w:val="19"/>
          <w:szCs w:val="19"/>
          <w:color w:val="auto"/>
        </w:rPr>
        <w:t>,” which term includes their successors and assigns), promise to pay to ___________, or registered assigns,</w:t>
      </w:r>
    </w:p>
    <w:p>
      <w:pPr>
        <w:spacing w:after="0" w:line="1" w:lineRule="exact"/>
        <w:rPr>
          <w:sz w:val="20"/>
          <w:szCs w:val="20"/>
          <w:color w:val="auto"/>
        </w:rPr>
      </w:pPr>
    </w:p>
    <w:p>
      <w:pPr>
        <w:spacing w:after="0"/>
        <w:tabs>
          <w:tab w:leader="none" w:pos="5860" w:val="left"/>
        </w:tabs>
        <w:rPr>
          <w:sz w:val="20"/>
          <w:szCs w:val="20"/>
          <w:color w:val="auto"/>
        </w:rPr>
      </w:pPr>
      <w:r>
        <w:rPr>
          <w:rFonts w:ascii="Arial" w:cs="Arial" w:eastAsia="Arial" w:hAnsi="Arial"/>
          <w:sz w:val="22"/>
          <w:szCs w:val="22"/>
          <w:color w:val="auto"/>
        </w:rPr>
        <w:t>the principal sum of $___________________ ([</w:t>
      </w:r>
      <w:r>
        <w:rPr>
          <w:sz w:val="20"/>
          <w:szCs w:val="20"/>
          <w:color w:val="auto"/>
        </w:rPr>
        <w:tab/>
      </w:r>
      <w:r>
        <w:rPr>
          <w:rFonts w:ascii="Arial" w:cs="Arial" w:eastAsia="Arial" w:hAnsi="Arial"/>
          <w:sz w:val="19"/>
          <w:szCs w:val="19"/>
          <w:color w:val="auto"/>
        </w:rPr>
        <w:t>] United States Dollars) [(or such lesser or greater amount as</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9"/>
          <w:szCs w:val="19"/>
          <w:color w:val="auto"/>
        </w:rPr>
        <w:t>shall be outstanding hereunder from 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July 15, 2027. The Company promises to pay interest semi-annually in cash on January 15 and July 15 of each year, commencing January 15, 2020, at the rate of 5.75%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w:t>
      </w:r>
    </w:p>
    <w:p>
      <w:pPr>
        <w:spacing w:after="0" w:line="6"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computed on the basis of a 360-day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 or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0" w:lineRule="exact"/>
        <w:rPr>
          <w:sz w:val="20"/>
          <w:szCs w:val="20"/>
          <w:color w:val="auto"/>
        </w:rPr>
      </w:pPr>
    </w:p>
    <w:p>
      <w:pPr>
        <w:spacing w:after="0" w:line="352"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Payment of the principal of (and premium, if any) and interest on this Note will be made at the office of the applicable Paying Agent, or such other office or agency of the Company</w:t>
      </w:r>
    </w:p>
    <w:p>
      <w:pPr>
        <w:sectPr>
          <w:pgSz w:w="11900" w:h="16838" w:orient="portrait"/>
          <w:cols w:equalWidth="0" w:num="1">
            <w:col w:w="11420"/>
          </w:cols>
          <w:pgMar w:left="240" w:top="382" w:right="239" w:bottom="1440" w:gutter="0" w:footer="0" w:header="0"/>
        </w:sectPr>
      </w:pPr>
    </w:p>
    <w:bookmarkStart w:id="209" w:name="page210"/>
    <w:bookmarkEnd w:id="209"/>
    <w:p>
      <w:pPr>
        <w:ind w:right="420"/>
        <w:spacing w:after="0" w:line="287" w:lineRule="auto"/>
        <w:rPr>
          <w:sz w:val="20"/>
          <w:szCs w:val="20"/>
          <w:color w:val="auto"/>
        </w:rPr>
      </w:pPr>
      <w:r>
        <w:rPr>
          <w:rFonts w:ascii="Arial" w:cs="Arial" w:eastAsia="Arial" w:hAnsi="Arial"/>
          <w:sz w:val="21"/>
          <w:szCs w:val="21"/>
          <w:color w:val="auto"/>
        </w:rPr>
        <w:t xml:space="preserve">maintained for that purpose;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the option of the Company payment of interest may be made by check mailed to the address of the Person entitled thereto as such address shall appear in the Notes Register.</w:t>
      </w:r>
    </w:p>
    <w:p>
      <w:pPr>
        <w:spacing w:after="0" w:line="200" w:lineRule="exact"/>
        <w:rPr>
          <w:sz w:val="20"/>
          <w:szCs w:val="20"/>
          <w:color w:val="auto"/>
        </w:rPr>
      </w:pPr>
    </w:p>
    <w:p>
      <w:pPr>
        <w:spacing w:after="0" w:line="343"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320"/>
          </w:cols>
          <w:pgMar w:left="240" w:top="375" w:right="339" w:bottom="1440" w:gutter="0" w:footer="0" w:header="0"/>
        </w:sectPr>
      </w:pPr>
    </w:p>
    <w:bookmarkStart w:id="210" w:name="page211"/>
    <w:bookmarkEnd w:id="210"/>
    <w:p>
      <w:pPr>
        <w:spacing w:after="0"/>
        <w:rPr>
          <w:sz w:val="20"/>
          <w:szCs w:val="20"/>
          <w:color w:val="auto"/>
        </w:rPr>
      </w:pPr>
      <w:r>
        <w:rPr>
          <w:rFonts w:ascii="Arial" w:cs="Arial" w:eastAsia="Arial" w:hAnsi="Arial"/>
          <w:sz w:val="19"/>
          <w:szCs w:val="19"/>
          <w:color w:val="auto"/>
        </w:rPr>
        <w:t>IN WITNESS WHEREOF, the Company has caused this instrument to be duly executed.</w:t>
      </w:r>
    </w:p>
    <w:p>
      <w:pPr>
        <w:sectPr>
          <w:pgSz w:w="11900" w:h="16838" w:orient="portrait"/>
          <w:cols w:equalWidth="0" w:num="1">
            <w:col w:w="9559"/>
          </w:cols>
          <w:pgMar w:left="900" w:top="496"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AVIS BUDGET CAR RENTAL, LLC</w:t>
      </w:r>
    </w:p>
    <w:p>
      <w:pPr>
        <w:spacing w:after="0" w:line="24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By:_____________________</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AVIS BUDGET FINANCE, INC.</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 _____________________</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559"/>
          </w:cols>
          <w:pgMar w:left="900" w:top="496" w:right="1440" w:bottom="1440" w:gutter="0" w:footer="0" w:header="0"/>
          <w:type w:val="continuous"/>
        </w:sectPr>
      </w:pPr>
    </w:p>
    <w:bookmarkStart w:id="211" w:name="page212"/>
    <w:bookmarkEnd w:id="211"/>
    <w:p>
      <w:pPr>
        <w:ind w:left="660"/>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6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DEUTSCHE BANK TRUST COMPANY</w:t>
      </w:r>
    </w:p>
    <w:p>
      <w:pPr>
        <w:spacing w:after="0" w:line="4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AMERICAS, as Trustee</w:t>
      </w:r>
    </w:p>
    <w:p>
      <w:pPr>
        <w:spacing w:after="0" w:line="200" w:lineRule="exact"/>
        <w:rPr>
          <w:sz w:val="20"/>
          <w:szCs w:val="20"/>
          <w:color w:val="auto"/>
        </w:rPr>
      </w:pPr>
    </w:p>
    <w:p>
      <w:pPr>
        <w:spacing w:after="0" w:line="2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By:_____________________</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Dated: July __, 2019</w:t>
      </w:r>
    </w:p>
    <w:p>
      <w:pPr>
        <w:sectPr>
          <w:pgSz w:w="11900" w:h="16838" w:orient="portrait"/>
          <w:cols w:equalWidth="0" w:num="1">
            <w:col w:w="10219"/>
          </w:cols>
          <w:pgMar w:left="240" w:top="496"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Note is one of the duly authorized issue of 5.75% Senior Notes due 2027 of the Company (herein called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issued under an Indenture, dated as of July 3, 2019 (as amended, supplemented or otherwise modified, herein called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Indenture</w:t>
      </w:r>
      <w:r>
        <w:rPr>
          <w:rFonts w:ascii="Arial" w:cs="Arial" w:eastAsia="Arial" w:hAnsi="Arial"/>
          <w:sz w:val="19"/>
          <w:szCs w:val="19"/>
          <w:color w:val="auto"/>
        </w:rPr>
        <w:t>,” which term shall have the meanings assigned to it in such instrument), among the Company, the Guarantors from time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to time parties thereto (“the </w:t>
      </w:r>
      <w:r>
        <w:rPr>
          <w:rFonts w:ascii="Arial" w:cs="Arial" w:eastAsia="Arial" w:hAnsi="Arial"/>
          <w:sz w:val="19"/>
          <w:szCs w:val="19"/>
          <w:u w:val="single" w:color="auto"/>
          <w:color w:val="auto"/>
        </w:rPr>
        <w:t>Guarantors</w:t>
      </w:r>
      <w:r>
        <w:rPr>
          <w:rFonts w:ascii="Arial" w:cs="Arial" w:eastAsia="Arial" w:hAnsi="Arial"/>
          <w:sz w:val="19"/>
          <w:szCs w:val="19"/>
          <w:color w:val="auto"/>
        </w:rPr>
        <w:t>”) and Deutsche Bank Trust Company Americas, as trustee (herein called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which term includes any successor trustee under the Indenture), and reference is hereby made to the Indenture for a statement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respective rights, limitations of rights, duties and immunities thereunder of the Company, any other obligor upon this Note,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Trustee and the Holders of the Notes and of the terms upon which the Notes are, and are to be, authenticated and delivered.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terms of the Notes include those stated in the Indenture. The Notes are subject to all such terms, and Holders are referred to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Indenture for a statement of such terms. Additional Notes may be issued under the Indenture which will vote as a class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Notes and otherwise be treated as Notes for purposes of the Indenture.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1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Company nor any Guarantor shall be required to make any notation on this Note to reflect any Guarantee or any such release, termination or discharge.</w:t>
      </w:r>
    </w:p>
    <w:p>
      <w:pPr>
        <w:spacing w:after="0" w:line="148"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Notes will be redeemable, at the Company’s option, in whole or in part, at any time and from time to time on or after July 15, 2022, and prior to maturity at the applicable redemption price set forth below. Such redemption may be made upon not less than 10 nor more than 60 days’ prior notice by electronic delivery or first-class mail, postage prepaid, with a copy to the Trustee, to each Holder’s registered address in accordance with the Indenture. The Company may provide in such notice that payment of the redemption price and the performance of the Company’s obligations with respect to such redemption may be performed by another Person. Any such redemption and notice may, in the Company’s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July 15 of each of the years set forth below:</w:t>
      </w:r>
    </w:p>
    <w:p>
      <w:pPr>
        <w:sectPr>
          <w:pgSz w:w="11900" w:h="16838" w:orient="portrait"/>
          <w:cols w:equalWidth="0" w:num="1">
            <w:col w:w="11400"/>
          </w:cols>
          <w:pgMar w:left="240" w:top="382" w:right="259" w:bottom="1440" w:gutter="0" w:footer="0" w:header="0"/>
        </w:sectPr>
      </w:pPr>
    </w:p>
    <w:bookmarkStart w:id="213" w:name="page214"/>
    <w:bookmarkEnd w:id="213"/>
    <w:tbl>
      <w:tblPr>
        <w:tblLayout w:type="fixed"/>
        <w:tblInd w:w="680" w:type="dxa"/>
        <w:tblCellMar>
          <w:top w:w="0" w:type="dxa"/>
          <w:left w:w="0" w:type="dxa"/>
          <w:bottom w:w="0" w:type="dxa"/>
          <w:right w:w="0" w:type="dxa"/>
        </w:tblCellMar>
      </w:tblPr>
      <w:tr>
        <w:trPr>
          <w:trHeight w:val="253"/>
        </w:trPr>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Period</w:t>
            </w:r>
          </w:p>
        </w:tc>
        <w:tc>
          <w:tcPr>
            <w:tcW w:w="6680" w:type="dxa"/>
            <w:vAlign w:val="bottom"/>
          </w:tcPr>
          <w:p>
            <w:pPr>
              <w:spacing w:after="0"/>
              <w:rPr>
                <w:sz w:val="21"/>
                <w:szCs w:val="21"/>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Redemption Price</w:t>
            </w:r>
          </w:p>
        </w:tc>
        <w:tc>
          <w:tcPr>
            <w:tcW w:w="1100" w:type="dxa"/>
            <w:vAlign w:val="bottom"/>
          </w:tcPr>
          <w:p>
            <w:pPr>
              <w:spacing w:after="0"/>
              <w:rPr>
                <w:sz w:val="21"/>
                <w:szCs w:val="21"/>
                <w:color w:val="auto"/>
              </w:rPr>
            </w:pPr>
          </w:p>
        </w:tc>
      </w:tr>
      <w:tr>
        <w:trPr>
          <w:trHeight w:val="328"/>
        </w:trPr>
        <w:tc>
          <w:tcPr>
            <w:tcW w:w="620" w:type="dxa"/>
            <w:vAlign w:val="bottom"/>
          </w:tcPr>
          <w:p>
            <w:pPr>
              <w:spacing w:after="0"/>
              <w:rPr>
                <w:sz w:val="20"/>
                <w:szCs w:val="20"/>
                <w:color w:val="auto"/>
              </w:rPr>
            </w:pPr>
            <w:r>
              <w:rPr>
                <w:rFonts w:ascii="Arial" w:cs="Arial" w:eastAsia="Arial" w:hAnsi="Arial"/>
                <w:sz w:val="22"/>
                <w:szCs w:val="22"/>
                <w:color w:val="auto"/>
              </w:rPr>
              <w:t>2022</w:t>
            </w:r>
          </w:p>
        </w:tc>
        <w:tc>
          <w:tcPr>
            <w:tcW w:w="668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102.875%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2023</w:t>
            </w:r>
          </w:p>
        </w:tc>
        <w:tc>
          <w:tcPr>
            <w:tcW w:w="668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101.438%</w:t>
            </w:r>
          </w:p>
        </w:tc>
      </w:tr>
      <w:tr>
        <w:trPr>
          <w:trHeight w:val="297"/>
        </w:trPr>
        <w:tc>
          <w:tcPr>
            <w:tcW w:w="7300" w:type="dxa"/>
            <w:vAlign w:val="bottom"/>
            <w:gridSpan w:val="2"/>
          </w:tcPr>
          <w:p>
            <w:pPr>
              <w:spacing w:after="0"/>
              <w:rPr>
                <w:sz w:val="20"/>
                <w:szCs w:val="20"/>
                <w:color w:val="auto"/>
              </w:rPr>
            </w:pPr>
            <w:r>
              <w:rPr>
                <w:rFonts w:ascii="Arial" w:cs="Arial" w:eastAsia="Arial" w:hAnsi="Arial"/>
                <w:sz w:val="22"/>
                <w:szCs w:val="22"/>
                <w:color w:val="auto"/>
              </w:rPr>
              <w:t>2024 and thereafter</w:t>
            </w:r>
          </w:p>
        </w:tc>
        <w:tc>
          <w:tcPr>
            <w:tcW w:w="2760" w:type="dxa"/>
            <w:vAlign w:val="bottom"/>
            <w:gridSpan w:val="2"/>
          </w:tcPr>
          <w:p>
            <w:pPr>
              <w:jc w:val="right"/>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41"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In addition, at any time and from time to time on or prior to July 15, 2022, the Company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105.750%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of one or more Equity Offerings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aggregate principal amount of Notes equal to at least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The Company may make such redemption upon not less than 10 nor more than 60 days’ prior notice mailed by electronic delivery or first-class mail, with a copy to the Trustee, to each Holder’s registered address in accordance with the Indenture (but in no event more than 180 days after the completion of the related Equity Offering). The Company may provide in such notice that payment of the redemption price and performance of the Company’s obligations with respect to such redemption may be performed by another Person.</w:t>
      </w:r>
    </w:p>
    <w:p>
      <w:pPr>
        <w:spacing w:after="0" w:line="123" w:lineRule="exact"/>
        <w:rPr>
          <w:sz w:val="20"/>
          <w:szCs w:val="20"/>
          <w:color w:val="auto"/>
        </w:rPr>
      </w:pPr>
    </w:p>
    <w:p>
      <w:pPr>
        <w:ind w:right="140" w:firstLine="648"/>
        <w:spacing w:after="0" w:line="259" w:lineRule="auto"/>
        <w:rPr>
          <w:sz w:val="20"/>
          <w:szCs w:val="20"/>
          <w:color w:val="auto"/>
        </w:rPr>
      </w:pPr>
      <w:r>
        <w:rPr>
          <w:rFonts w:ascii="Arial" w:cs="Arial" w:eastAsia="Arial" w:hAnsi="Arial"/>
          <w:sz w:val="21"/>
          <w:szCs w:val="21"/>
          <w:color w:val="auto"/>
        </w:rPr>
        <w:t>At any time prior to July 15, 2022, Notes may also be redeemed or purchased by the Company in whole or in part, at the Company’s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10 nor more than 60 days’ notice mailed by electronic delivery or first-class mail, postage prepaid, with a copy to the Trustee, to each Holder’s registered address in accordance with the Indenture. The Company may provide in such notice that payment of the Redemption Price and performance of the Company’s obligations with respect to such redemption or purchase may be performed by another Person.</w:t>
      </w:r>
    </w:p>
    <w:p>
      <w:pPr>
        <w:spacing w:after="0" w:line="144"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Notice of any redemption of the Notes in connection with a corporate transaction (including an Equity Offering, an incurrence of Indebtedness or a Change of Control) may, at the Company’s discretion, be given prior to the completion thereof and any redemption or notice of redemption may, at the Company’s discretion, be subject to one or more conditions precedent, including, but not limited to, completion of the related transaction. If such redemption or purchase is so subject to satisfaction of one or more conditions precedent, such notice shall</w:t>
      </w:r>
    </w:p>
    <w:p>
      <w:pPr>
        <w:sectPr>
          <w:pgSz w:w="11900" w:h="16838" w:orient="portrait"/>
          <w:cols w:equalWidth="0" w:num="1">
            <w:col w:w="11420"/>
          </w:cols>
          <w:pgMar w:left="240" w:top="494" w:right="239" w:bottom="1440" w:gutter="0" w:footer="0" w:header="0"/>
        </w:sectPr>
      </w:pPr>
    </w:p>
    <w:bookmarkStart w:id="214" w:name="page215"/>
    <w:bookmarkEnd w:id="214"/>
    <w:p>
      <w:pPr>
        <w:spacing w:after="0" w:line="294" w:lineRule="auto"/>
        <w:rPr>
          <w:sz w:val="20"/>
          <w:szCs w:val="20"/>
          <w:color w:val="auto"/>
        </w:rPr>
      </w:pPr>
      <w:r>
        <w:rPr>
          <w:rFonts w:ascii="Arial" w:cs="Arial" w:eastAsia="Arial" w:hAnsi="Arial"/>
          <w:sz w:val="19"/>
          <w:szCs w:val="19"/>
          <w:color w:val="auto"/>
        </w:rPr>
        <w:t>describe each such condition, and if applicable, shall state that, in the Company’s discretion, the redemption date may be delayed until such time (including more than 60 days after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10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The Indenture provides that, upon the occurrence after the Issue Date of a Change of Control, each Holder will have the right to require that the Company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shall not be obligated to repurchase the Notes in the event it has previously or concurrently exercised its right to redeem all the outstanding Notes as described above.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179"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14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If an Event of Default, other than an Event of Default relating to bankruptcy, insolvency or similar events with respect to the Company,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 Event of Default relating to such bankruptcy, insolvency or similar events with respect to the Company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Company and the rights of the Holders of the Notes to be effected under the Indenture at any time by the Company and the Trustee with the consent of the Holders of at least a majority in principal amount of the Notes at the time outstanding to be affected. The Indenture also contains provisions permitting the Holders of specified percentages in principal amount of the Notes at the time Outstanding, on behalf of the Holders of all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ectPr>
          <w:pgSz w:w="11900" w:h="16838" w:orient="portrait"/>
          <w:cols w:equalWidth="0" w:num="1">
            <w:col w:w="11420"/>
          </w:cols>
          <w:pgMar w:left="240" w:top="375" w:right="239" w:bottom="1440" w:gutter="0" w:footer="0" w:header="0"/>
        </w:sectPr>
      </w:pPr>
    </w:p>
    <w:bookmarkStart w:id="215" w:name="page216"/>
    <w:bookmarkEnd w:id="215"/>
    <w:p>
      <w:pPr>
        <w:ind w:firstLine="648"/>
        <w:spacing w:after="0" w:line="258"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143"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45"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Company in a place of payment, duly endorsed by, or accompanied by a written instrument of transfer in form satisfactory to the Company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15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Notes are issuable only in fully registered form without coupons in minimum denominations of $2,000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148" w:lineRule="exact"/>
        <w:rPr>
          <w:sz w:val="20"/>
          <w:szCs w:val="20"/>
          <w:color w:val="auto"/>
        </w:rPr>
      </w:pPr>
    </w:p>
    <w:p>
      <w:pPr>
        <w:ind w:right="6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Company may require payment of a sum sufficient to cover any transfer tax or other governmental charge payable in connection therewith.</w:t>
      </w:r>
    </w:p>
    <w:p>
      <w:pPr>
        <w:spacing w:after="0" w:line="111"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Prior to due presentment of this Note for registration or transfer, the Company, any other obligor in respect of this Note, the Trustee and any agent of the Company, such other obligor or the Trustee may treat the Person in whose name this Note is registered as the owner hereof for all purposes, whether or not this Note be overdue, and none of the Company, any other obligor upon this Note, the Trustee nor any such agent shall be affected by notice to the contrary.</w:t>
      </w:r>
    </w:p>
    <w:p>
      <w:pPr>
        <w:sectPr>
          <w:pgSz w:w="11900" w:h="16838" w:orient="portrait"/>
          <w:cols w:equalWidth="0" w:num="1">
            <w:col w:w="11420"/>
          </w:cols>
          <w:pgMar w:left="240" w:top="807" w:right="239" w:bottom="1440" w:gutter="0" w:footer="0" w:header="0"/>
        </w:sectPr>
      </w:pPr>
    </w:p>
    <w:bookmarkStart w:id="216" w:name="page217"/>
    <w:bookmarkEnd w:id="216"/>
    <w:p>
      <w:pPr>
        <w:ind w:firstLine="648"/>
        <w:spacing w:after="0" w:line="248" w:lineRule="auto"/>
        <w:rPr>
          <w:sz w:val="20"/>
          <w:szCs w:val="20"/>
          <w:color w:val="auto"/>
        </w:rPr>
      </w:pPr>
      <w:r>
        <w:rPr>
          <w:rFonts w:ascii="Arial" w:cs="Arial" w:eastAsia="Arial" w:hAnsi="Arial"/>
          <w:sz w:val="22"/>
          <w:szCs w:val="22"/>
          <w:color w:val="auto"/>
        </w:rPr>
        <w:t>No director, officer, employee, incorporator, equity holder, member or stockholder, as such, of the Company, any Guarantor or any Subsidiary of any thereof shall have any liability for any obligation of the Company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152"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COMPANY,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340"/>
          </w:cols>
          <w:pgMar w:left="240" w:top="375" w:right="319" w:bottom="1440" w:gutter="0" w:footer="0" w:header="0"/>
        </w:sectPr>
      </w:pPr>
    </w:p>
    <w:bookmarkStart w:id="217" w:name="page218"/>
    <w:bookmarkEnd w:id="217"/>
    <w:p>
      <w:pPr>
        <w:jc w:val="center"/>
        <w:ind w:right="-79"/>
        <w:spacing w:after="0"/>
        <w:rPr>
          <w:sz w:val="20"/>
          <w:szCs w:val="20"/>
          <w:color w:val="auto"/>
        </w:rPr>
      </w:pPr>
      <w:r>
        <w:rPr>
          <w:rFonts w:ascii="Arial" w:cs="Arial" w:eastAsia="Arial" w:hAnsi="Arial"/>
          <w:sz w:val="22"/>
          <w:szCs w:val="22"/>
          <w:b w:val="1"/>
          <w:bCs w:val="1"/>
          <w:color w:val="auto"/>
        </w:rPr>
        <w:t>GUARANTEE</w:t>
      </w:r>
    </w:p>
    <w:p>
      <w:pPr>
        <w:spacing w:after="0" w:line="21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Issuers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116"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 xml:space="preserve">Capitalized terms used but not defined herein shall have the meanings ascribed to them in the Indenture, dated as of July 3, 2019, among Avis Budget Car Rental, LLC, a Delaware limited liability company, Avis Budget Finance, Inc., a Delaware corporation (together,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from time to time parties thereto and Deutsche Bank Trust Company Americas, as Trustee (as amended, supplemented or otherwise modified, the “</w:t>
      </w:r>
      <w:r>
        <w:rPr>
          <w:rFonts w:ascii="Arial" w:cs="Arial" w:eastAsia="Arial" w:hAnsi="Arial"/>
          <w:sz w:val="21"/>
          <w:szCs w:val="21"/>
          <w:u w:val="single" w:color="auto"/>
          <w:color w:val="auto"/>
        </w:rPr>
        <w:t>Indenture</w:t>
      </w:r>
      <w:r>
        <w:rPr>
          <w:rFonts w:ascii="Arial" w:cs="Arial" w:eastAsia="Arial" w:hAnsi="Arial"/>
          <w:sz w:val="21"/>
          <w:szCs w:val="21"/>
          <w:color w:val="auto"/>
        </w:rPr>
        <w:t>”).</w:t>
      </w:r>
    </w:p>
    <w:p>
      <w:pPr>
        <w:spacing w:after="0" w:line="13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ectPr>
          <w:pgSz w:w="11900" w:h="16838" w:orient="portrait"/>
          <w:cols w:equalWidth="0" w:num="1">
            <w:col w:w="11360"/>
          </w:cols>
          <w:pgMar w:left="240" w:top="382" w:right="299" w:bottom="1440" w:gutter="0" w:footer="0" w:header="0"/>
        </w:sectPr>
      </w:pPr>
    </w:p>
    <w:bookmarkStart w:id="218" w:name="page219"/>
    <w:bookmarkEnd w:id="218"/>
    <w:p>
      <w:pPr>
        <w:ind w:left="2800"/>
        <w:spacing w:after="0"/>
        <w:rPr>
          <w:sz w:val="20"/>
          <w:szCs w:val="20"/>
          <w:color w:val="auto"/>
        </w:rPr>
      </w:pPr>
      <w:r>
        <w:rPr>
          <w:rFonts w:ascii="Arial" w:cs="Arial" w:eastAsia="Arial" w:hAnsi="Arial"/>
          <w:sz w:val="22"/>
          <w:szCs w:val="22"/>
          <w:color w:val="auto"/>
        </w:rPr>
        <w:t>AVIS BUDGET GROUP, INC.</w:t>
      </w:r>
    </w:p>
    <w:p>
      <w:pPr>
        <w:ind w:left="2800"/>
        <w:spacing w:after="0" w:line="238" w:lineRule="auto"/>
        <w:rPr>
          <w:sz w:val="20"/>
          <w:szCs w:val="20"/>
          <w:color w:val="auto"/>
        </w:rPr>
      </w:pPr>
      <w:r>
        <w:rPr>
          <w:rFonts w:ascii="Arial" w:cs="Arial" w:eastAsia="Arial" w:hAnsi="Arial"/>
          <w:sz w:val="22"/>
          <w:szCs w:val="22"/>
          <w:color w:val="auto"/>
        </w:rPr>
        <w:t>AVIS BUDGET HOLDINGS, LLC</w:t>
      </w:r>
    </w:p>
    <w:p>
      <w:pPr>
        <w:ind w:left="2800"/>
        <w:spacing w:after="0" w:line="230" w:lineRule="auto"/>
        <w:rPr>
          <w:sz w:val="20"/>
          <w:szCs w:val="20"/>
          <w:color w:val="auto"/>
        </w:rPr>
      </w:pPr>
      <w:r>
        <w:rPr>
          <w:rFonts w:ascii="Arial" w:cs="Arial" w:eastAsia="Arial" w:hAnsi="Arial"/>
          <w:sz w:val="22"/>
          <w:szCs w:val="22"/>
          <w:color w:val="auto"/>
        </w:rPr>
        <w:t>AB CAR RENTAL SERVICES, INC.</w:t>
      </w:r>
    </w:p>
    <w:p>
      <w:pPr>
        <w:ind w:left="2800"/>
        <w:spacing w:after="0" w:line="231" w:lineRule="auto"/>
        <w:rPr>
          <w:sz w:val="20"/>
          <w:szCs w:val="20"/>
          <w:color w:val="auto"/>
        </w:rPr>
      </w:pPr>
      <w:r>
        <w:rPr>
          <w:rFonts w:ascii="Arial" w:cs="Arial" w:eastAsia="Arial" w:hAnsi="Arial"/>
          <w:sz w:val="22"/>
          <w:szCs w:val="22"/>
          <w:color w:val="auto"/>
        </w:rPr>
        <w:t>AVIS CAR RENTAL GROUP, LLC</w:t>
      </w:r>
    </w:p>
    <w:p>
      <w:pPr>
        <w:ind w:left="2800"/>
        <w:spacing w:after="0" w:line="231" w:lineRule="auto"/>
        <w:rPr>
          <w:sz w:val="20"/>
          <w:szCs w:val="20"/>
          <w:color w:val="auto"/>
        </w:rPr>
      </w:pPr>
      <w:r>
        <w:rPr>
          <w:rFonts w:ascii="Arial" w:cs="Arial" w:eastAsia="Arial" w:hAnsi="Arial"/>
          <w:sz w:val="22"/>
          <w:szCs w:val="22"/>
          <w:color w:val="auto"/>
        </w:rPr>
        <w:t>AVIS CARIBBEAN, LIMITED</w:t>
      </w:r>
    </w:p>
    <w:p>
      <w:pPr>
        <w:ind w:left="2800"/>
        <w:spacing w:after="0" w:line="230" w:lineRule="auto"/>
        <w:rPr>
          <w:sz w:val="20"/>
          <w:szCs w:val="20"/>
          <w:color w:val="auto"/>
        </w:rPr>
      </w:pPr>
      <w:r>
        <w:rPr>
          <w:rFonts w:ascii="Arial" w:cs="Arial" w:eastAsia="Arial" w:hAnsi="Arial"/>
          <w:sz w:val="22"/>
          <w:szCs w:val="22"/>
          <w:color w:val="auto"/>
        </w:rPr>
        <w:t>AVIS GROUP HOLDINGS, LLC</w:t>
      </w:r>
    </w:p>
    <w:p>
      <w:pPr>
        <w:ind w:left="2800"/>
        <w:spacing w:after="0" w:line="231" w:lineRule="auto"/>
        <w:rPr>
          <w:sz w:val="20"/>
          <w:szCs w:val="20"/>
          <w:color w:val="auto"/>
        </w:rPr>
      </w:pPr>
      <w:r>
        <w:rPr>
          <w:rFonts w:ascii="Arial" w:cs="Arial" w:eastAsia="Arial" w:hAnsi="Arial"/>
          <w:sz w:val="22"/>
          <w:szCs w:val="22"/>
          <w:color w:val="auto"/>
        </w:rPr>
        <w:t>AVIS INTERNATIONAL, LTD.</w:t>
      </w:r>
    </w:p>
    <w:p>
      <w:pPr>
        <w:ind w:left="2800"/>
        <w:spacing w:after="0" w:line="231" w:lineRule="auto"/>
        <w:rPr>
          <w:sz w:val="20"/>
          <w:szCs w:val="20"/>
          <w:color w:val="auto"/>
        </w:rPr>
      </w:pPr>
      <w:r>
        <w:rPr>
          <w:rFonts w:ascii="Arial" w:cs="Arial" w:eastAsia="Arial" w:hAnsi="Arial"/>
          <w:sz w:val="22"/>
          <w:szCs w:val="22"/>
          <w:color w:val="auto"/>
        </w:rPr>
        <w:t>AVIS RENT A CAR SYSTEM, LLC</w:t>
      </w:r>
    </w:p>
    <w:p>
      <w:pPr>
        <w:ind w:left="2800"/>
        <w:spacing w:after="0" w:line="230" w:lineRule="auto"/>
        <w:rPr>
          <w:sz w:val="20"/>
          <w:szCs w:val="20"/>
          <w:color w:val="auto"/>
        </w:rPr>
      </w:pPr>
      <w:r>
        <w:rPr>
          <w:rFonts w:ascii="Arial" w:cs="Arial" w:eastAsia="Arial" w:hAnsi="Arial"/>
          <w:sz w:val="22"/>
          <w:szCs w:val="22"/>
          <w:color w:val="auto"/>
        </w:rPr>
        <w:t>PR HOLDCO, INC.</w:t>
      </w:r>
    </w:p>
    <w:p>
      <w:pPr>
        <w:ind w:left="2800"/>
        <w:spacing w:after="0" w:line="231" w:lineRule="auto"/>
        <w:rPr>
          <w:sz w:val="20"/>
          <w:szCs w:val="20"/>
          <w:color w:val="auto"/>
        </w:rPr>
      </w:pPr>
      <w:r>
        <w:rPr>
          <w:rFonts w:ascii="Arial" w:cs="Arial" w:eastAsia="Arial" w:hAnsi="Arial"/>
          <w:sz w:val="22"/>
          <w:szCs w:val="22"/>
          <w:color w:val="auto"/>
        </w:rPr>
        <w:t>WIZARD CO., INC.</w:t>
      </w:r>
    </w:p>
    <w:p>
      <w:pPr>
        <w:ind w:left="2800"/>
        <w:spacing w:after="0" w:line="231" w:lineRule="auto"/>
        <w:rPr>
          <w:sz w:val="20"/>
          <w:szCs w:val="20"/>
          <w:color w:val="auto"/>
        </w:rPr>
      </w:pPr>
      <w:r>
        <w:rPr>
          <w:rFonts w:ascii="Arial" w:cs="Arial" w:eastAsia="Arial" w:hAnsi="Arial"/>
          <w:sz w:val="22"/>
          <w:szCs w:val="22"/>
          <w:color w:val="auto"/>
        </w:rPr>
        <w:t>WIZARD SERVICES, INC.</w:t>
      </w:r>
    </w:p>
    <w:p>
      <w:pPr>
        <w:ind w:left="2800"/>
        <w:spacing w:after="0"/>
        <w:rPr>
          <w:sz w:val="20"/>
          <w:szCs w:val="20"/>
          <w:color w:val="auto"/>
        </w:rPr>
      </w:pPr>
      <w:r>
        <w:rPr>
          <w:rFonts w:ascii="Arial" w:cs="Arial" w:eastAsia="Arial" w:hAnsi="Arial"/>
          <w:sz w:val="22"/>
          <w:szCs w:val="22"/>
          <w:color w:val="auto"/>
        </w:rPr>
        <w:t>ZIPCAR, INC.</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 _____________________</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0"/>
        <w:spacing w:after="0"/>
        <w:rPr>
          <w:sz w:val="20"/>
          <w:szCs w:val="20"/>
          <w:color w:val="auto"/>
        </w:rPr>
      </w:pPr>
      <w:r>
        <w:rPr>
          <w:rFonts w:ascii="Arial" w:cs="Arial" w:eastAsia="Arial" w:hAnsi="Arial"/>
          <w:sz w:val="19"/>
          <w:szCs w:val="19"/>
          <w:color w:val="auto"/>
        </w:rPr>
        <w:t>BUDGET RENT A CAR SYSTEM, INC.</w:t>
      </w:r>
    </w:p>
    <w:p>
      <w:pPr>
        <w:spacing w:after="0" w:line="4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BUDGET TRUCK RENTAL LLC</w:t>
      </w:r>
    </w:p>
    <w:p>
      <w:pPr>
        <w:spacing w:after="0" w:line="215"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By:_____________________</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780" w:right="1440"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22"/>
          <w:szCs w:val="22"/>
          <w:color w:val="auto"/>
        </w:rPr>
        <w:t>[FORM OF CERTIFICATE OF TRANSFER]</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137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Company with full power of substitution in the premises.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Company;</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hanging="812"/>
        <w:spacing w:after="0" w:line="288" w:lineRule="auto"/>
        <w:tabs>
          <w:tab w:leader="none" w:pos="19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2580" w:hanging="5932"/>
        <w:spacing w:after="0" w:line="507" w:lineRule="auto"/>
        <w:tabs>
          <w:tab w:leader="none" w:pos="1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 (c) in an offshore transaction in accordance with Regulation S under the Securities Act of 1933; </w:t>
      </w:r>
      <w:r>
        <w:rPr>
          <w:rFonts w:ascii="Arial" w:cs="Arial" w:eastAsia="Arial" w:hAnsi="Arial"/>
          <w:sz w:val="22"/>
          <w:szCs w:val="22"/>
          <w:u w:val="single" w:color="auto"/>
          <w:color w:val="auto"/>
        </w:rPr>
        <w:t>or</w:t>
      </w:r>
    </w:p>
    <w:p>
      <w:pPr>
        <w:sectPr>
          <w:pgSz w:w="11900" w:h="16838" w:orient="portrait"/>
          <w:cols w:equalWidth="0" w:num="1">
            <w:col w:w="11380"/>
          </w:cols>
          <w:pgMar w:left="240" w:top="388" w:right="279" w:bottom="1440" w:gutter="0" w:footer="0" w:header="0"/>
        </w:sectPr>
      </w:pPr>
    </w:p>
    <w:bookmarkStart w:id="220" w:name="page221"/>
    <w:bookmarkEnd w:id="220"/>
    <w:p>
      <w:pPr>
        <w:ind w:left="820" w:right="360" w:hanging="812"/>
        <w:spacing w:after="0" w:line="328" w:lineRule="auto"/>
        <w:tabs>
          <w:tab w:leader="none" w:pos="19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right="80" w:hanging="812"/>
        <w:spacing w:after="0" w:line="302" w:lineRule="auto"/>
        <w:tabs>
          <w:tab w:leader="none" w:pos="19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3640" w:hanging="5932"/>
        <w:spacing w:after="0" w:line="486" w:lineRule="auto"/>
        <w:tabs>
          <w:tab w:leader="none" w:pos="1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2" w:lineRule="exact"/>
        <w:rPr>
          <w:sz w:val="20"/>
          <w:szCs w:val="20"/>
          <w:color w:val="auto"/>
        </w:rPr>
      </w:pPr>
    </w:p>
    <w:p>
      <w:pPr>
        <w:ind w:left="820" w:hanging="812"/>
        <w:spacing w:after="0" w:line="302" w:lineRule="auto"/>
        <w:tabs>
          <w:tab w:leader="none" w:pos="19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If none of the foregoing boxes is checked, the Trustee or other Note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274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NOTICE: The signature</w:t>
      </w:r>
    </w:p>
    <w:p>
      <w:pPr>
        <w:ind w:left="5320"/>
        <w:spacing w:after="0" w:line="238" w:lineRule="auto"/>
        <w:rPr>
          <w:sz w:val="20"/>
          <w:szCs w:val="20"/>
          <w:color w:val="auto"/>
        </w:rPr>
      </w:pPr>
      <w:r>
        <w:rPr>
          <w:rFonts w:ascii="Arial" w:cs="Arial" w:eastAsia="Arial" w:hAnsi="Arial"/>
          <w:sz w:val="22"/>
          <w:szCs w:val="22"/>
          <w:color w:val="auto"/>
        </w:rPr>
        <w:t>to this assignment must</w:t>
      </w:r>
    </w:p>
    <w:p>
      <w:pPr>
        <w:ind w:left="5320"/>
        <w:spacing w:after="0" w:line="230" w:lineRule="auto"/>
        <w:rPr>
          <w:sz w:val="20"/>
          <w:szCs w:val="20"/>
          <w:color w:val="auto"/>
        </w:rPr>
      </w:pPr>
      <w:r>
        <w:rPr>
          <w:rFonts w:ascii="Arial" w:cs="Arial" w:eastAsia="Arial" w:hAnsi="Arial"/>
          <w:sz w:val="22"/>
          <w:szCs w:val="22"/>
          <w:color w:val="auto"/>
        </w:rPr>
        <w:t>correspond with the name</w:t>
      </w:r>
    </w:p>
    <w:p>
      <w:pPr>
        <w:ind w:left="5320"/>
        <w:spacing w:after="0" w:line="231" w:lineRule="auto"/>
        <w:rPr>
          <w:sz w:val="20"/>
          <w:szCs w:val="20"/>
          <w:color w:val="auto"/>
        </w:rPr>
      </w:pPr>
      <w:r>
        <w:rPr>
          <w:rFonts w:ascii="Arial" w:cs="Arial" w:eastAsia="Arial" w:hAnsi="Arial"/>
          <w:sz w:val="22"/>
          <w:szCs w:val="22"/>
          <w:color w:val="auto"/>
        </w:rPr>
        <w:t>as written upon the face of</w:t>
      </w:r>
    </w:p>
    <w:p>
      <w:pPr>
        <w:ind w:left="5320"/>
        <w:spacing w:after="0" w:line="231" w:lineRule="auto"/>
        <w:rPr>
          <w:sz w:val="20"/>
          <w:szCs w:val="20"/>
          <w:color w:val="auto"/>
        </w:rPr>
      </w:pPr>
      <w:r>
        <w:rPr>
          <w:rFonts w:ascii="Arial" w:cs="Arial" w:eastAsia="Arial" w:hAnsi="Arial"/>
          <w:sz w:val="22"/>
          <w:szCs w:val="22"/>
          <w:color w:val="auto"/>
        </w:rPr>
        <w:t>the within-mentioned</w:t>
      </w:r>
    </w:p>
    <w:p>
      <w:pPr>
        <w:ind w:left="5320"/>
        <w:spacing w:after="0" w:line="230" w:lineRule="auto"/>
        <w:rPr>
          <w:sz w:val="20"/>
          <w:szCs w:val="20"/>
          <w:color w:val="auto"/>
        </w:rPr>
      </w:pPr>
      <w:r>
        <w:rPr>
          <w:rFonts w:ascii="Arial" w:cs="Arial" w:eastAsia="Arial" w:hAnsi="Arial"/>
          <w:sz w:val="22"/>
          <w:szCs w:val="22"/>
          <w:color w:val="auto"/>
        </w:rPr>
        <w:t>instrument in every</w:t>
      </w:r>
    </w:p>
    <w:p>
      <w:pPr>
        <w:ind w:left="5320"/>
        <w:spacing w:after="0" w:line="231" w:lineRule="auto"/>
        <w:rPr>
          <w:sz w:val="20"/>
          <w:szCs w:val="20"/>
          <w:color w:val="auto"/>
        </w:rPr>
      </w:pPr>
      <w:r>
        <w:rPr>
          <w:rFonts w:ascii="Arial" w:cs="Arial" w:eastAsia="Arial" w:hAnsi="Arial"/>
          <w:sz w:val="22"/>
          <w:szCs w:val="22"/>
          <w:color w:val="auto"/>
        </w:rPr>
        <w:t>particular, without</w:t>
      </w:r>
    </w:p>
    <w:p>
      <w:pPr>
        <w:ind w:left="5320"/>
        <w:spacing w:after="0" w:line="231" w:lineRule="auto"/>
        <w:rPr>
          <w:sz w:val="20"/>
          <w:szCs w:val="20"/>
          <w:color w:val="auto"/>
        </w:rPr>
      </w:pPr>
      <w:r>
        <w:rPr>
          <w:rFonts w:ascii="Arial" w:cs="Arial" w:eastAsia="Arial" w:hAnsi="Arial"/>
          <w:sz w:val="22"/>
          <w:szCs w:val="22"/>
          <w:color w:val="auto"/>
        </w:rPr>
        <w:t>alteration or any change</w:t>
      </w:r>
    </w:p>
    <w:p>
      <w:pPr>
        <w:ind w:left="5320"/>
        <w:spacing w:after="0"/>
        <w:rPr>
          <w:sz w:val="20"/>
          <w:szCs w:val="20"/>
          <w:color w:val="auto"/>
        </w:rPr>
      </w:pPr>
      <w:r>
        <w:rPr>
          <w:rFonts w:ascii="Arial" w:cs="Arial" w:eastAsia="Arial" w:hAnsi="Arial"/>
          <w:sz w:val="22"/>
          <w:szCs w:val="22"/>
          <w:color w:val="auto"/>
        </w:rPr>
        <w:t>whatsoever.</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-17780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7" w:lineRule="exact"/>
        <w:rPr>
          <w:sz w:val="20"/>
          <w:szCs w:val="20"/>
          <w:color w:val="auto"/>
        </w:rPr>
      </w:pPr>
    </w:p>
    <w:p>
      <w:pPr>
        <w:ind w:right="300" w:firstLine="648"/>
        <w:spacing w:after="0" w:line="265"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320"/>
          </w:cols>
          <w:pgMar w:left="240" w:top="388" w:right="3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Dated:_____________________</w:t>
      </w:r>
      <w:r>
        <w:rPr>
          <w:sz w:val="20"/>
          <w:szCs w:val="20"/>
          <w:color w:val="auto"/>
        </w:rPr>
        <w:tab/>
      </w:r>
      <w:r>
        <w:rPr>
          <w:rFonts w:ascii="Arial" w:cs="Arial" w:eastAsia="Arial" w:hAnsi="Arial"/>
          <w:sz w:val="19"/>
          <w:szCs w:val="19"/>
          <w:color w:val="auto"/>
        </w:rPr>
        <w:t>_____________________</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ectPr>
          <w:pgSz w:w="11900" w:h="16838" w:orient="portrait"/>
          <w:cols w:equalWidth="0" w:num="1">
            <w:col w:w="11420"/>
          </w:cols>
          <w:pgMar w:left="240" w:top="388" w:right="239" w:bottom="1440" w:gutter="0" w:footer="0" w:header="0"/>
        </w:sectPr>
      </w:pPr>
    </w:p>
    <w:bookmarkStart w:id="222" w:name="page223"/>
    <w:bookmarkEnd w:id="222"/>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wish to have this Note purchased by the Company pursuant to Section 3.5 or 3.9 of the Indenture, check the box: [  ].</w:t>
      </w:r>
    </w:p>
    <w:p>
      <w:pPr>
        <w:spacing w:after="0" w:line="200" w:lineRule="exact"/>
        <w:rPr>
          <w:sz w:val="20"/>
          <w:szCs w:val="20"/>
          <w:color w:val="auto"/>
        </w:rPr>
      </w:pPr>
    </w:p>
    <w:p>
      <w:pPr>
        <w:spacing w:after="0" w:line="270" w:lineRule="exact"/>
        <w:rPr>
          <w:sz w:val="20"/>
          <w:szCs w:val="20"/>
          <w:color w:val="auto"/>
        </w:rPr>
      </w:pPr>
    </w:p>
    <w:p>
      <w:pPr>
        <w:ind w:right="220" w:firstLine="648"/>
        <w:spacing w:after="0" w:line="507" w:lineRule="auto"/>
        <w:rPr>
          <w:sz w:val="20"/>
          <w:szCs w:val="20"/>
          <w:color w:val="auto"/>
        </w:rPr>
      </w:pPr>
      <w:r>
        <w:rPr>
          <w:rFonts w:ascii="Arial" w:cs="Arial" w:eastAsia="Arial" w:hAnsi="Arial"/>
          <w:sz w:val="22"/>
          <w:szCs w:val="22"/>
          <w:color w:val="auto"/>
        </w:rPr>
        <w:t>If you wish to have a portion of this Note purchased by the Company pursuant to Section 3.5 or 3.9 of the Indenture, state the amount (in principal amount) below:</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-17780</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-17780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-17780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8" w:lineRule="exact"/>
        <w:rPr>
          <w:sz w:val="20"/>
          <w:szCs w:val="20"/>
          <w:color w:val="auto"/>
        </w:rPr>
      </w:pPr>
    </w:p>
    <w:p>
      <w:pPr>
        <w:ind w:right="380" w:firstLine="648"/>
        <w:spacing w:after="0" w:line="520"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400"/>
          </w:cols>
          <w:pgMar w:left="240" w:top="388" w:right="259" w:bottom="1440" w:gutter="0" w:footer="0" w:header="0"/>
        </w:sectPr>
      </w:pPr>
    </w:p>
    <w:bookmarkStart w:id="223" w:name="page224"/>
    <w:bookmarkEnd w:id="223"/>
    <w:p>
      <w:pPr>
        <w:jc w:val="center"/>
        <w:ind w:right="260"/>
        <w:spacing w:after="0"/>
        <w:rPr>
          <w:sz w:val="20"/>
          <w:szCs w:val="20"/>
          <w:color w:val="auto"/>
        </w:rPr>
      </w:pPr>
      <w:r>
        <w:rPr>
          <w:rFonts w:ascii="Arial" w:cs="Arial" w:eastAsia="Arial" w:hAnsi="Arial"/>
          <w:sz w:val="22"/>
          <w:szCs w:val="22"/>
          <w:color w:val="auto"/>
        </w:rPr>
        <w:t>SCHEDULE OF INCREASES OR DECREASES IN GLOBAL NOTE</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0"/>
              </w:rPr>
              <w:t>Principal amount of this</w:t>
            </w:r>
          </w:p>
        </w:tc>
        <w:tc>
          <w:tcPr>
            <w:tcW w:w="2140" w:type="dxa"/>
            <w:vAlign w:val="bottom"/>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9"/>
              </w:rPr>
              <w:t>Amount of decreases in</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0"/>
              </w:rPr>
              <w:t>Amount of increases in</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89"/>
              </w:rPr>
              <w:t>Signature of authorized</w:t>
            </w: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2"/>
              </w:rPr>
              <w:t>Principal Amount of this</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2"/>
              </w:rPr>
              <w:t>Principal Amount of this</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0"/>
              </w:rPr>
              <w:t>officer of Trustee or</w:t>
            </w: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9"/>
              </w:rPr>
              <w:t>Date of Exchange</w:t>
            </w:r>
          </w:p>
        </w:tc>
        <w:tc>
          <w:tcPr>
            <w:tcW w:w="2440" w:type="dxa"/>
            <w:vAlign w:val="bottom"/>
          </w:tcPr>
          <w:p>
            <w:pPr>
              <w:jc w:val="center"/>
              <w:ind w:left="32"/>
              <w:spacing w:after="0"/>
              <w:rPr>
                <w:sz w:val="20"/>
                <w:szCs w:val="20"/>
                <w:color w:val="auto"/>
              </w:rPr>
            </w:pPr>
            <w:r>
              <w:rPr>
                <w:rFonts w:ascii="Arial" w:cs="Arial" w:eastAsia="Arial" w:hAnsi="Arial"/>
                <w:sz w:val="22"/>
                <w:szCs w:val="22"/>
                <w:color w:val="auto"/>
                <w:w w:val="91"/>
              </w:rPr>
              <w:t>Global Note</w:t>
            </w:r>
          </w:p>
        </w:tc>
        <w:tc>
          <w:tcPr>
            <w:tcW w:w="2300" w:type="dxa"/>
            <w:vAlign w:val="bottom"/>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Pr>
          <w:p>
            <w:pPr>
              <w:jc w:val="center"/>
              <w:spacing w:after="0"/>
              <w:rPr>
                <w:sz w:val="20"/>
                <w:szCs w:val="20"/>
                <w:color w:val="auto"/>
              </w:rPr>
            </w:pPr>
            <w:r>
              <w:rPr>
                <w:rFonts w:ascii="Arial" w:cs="Arial" w:eastAsia="Arial" w:hAnsi="Arial"/>
                <w:sz w:val="22"/>
                <w:szCs w:val="22"/>
                <w:color w:val="auto"/>
                <w:w w:val="84"/>
              </w:rPr>
              <w:t>increases</w:t>
            </w:r>
          </w:p>
        </w:tc>
        <w:tc>
          <w:tcPr>
            <w:tcW w:w="2140" w:type="dxa"/>
            <w:vAlign w:val="bottom"/>
          </w:tcPr>
          <w:p>
            <w:pPr>
              <w:jc w:val="center"/>
              <w:spacing w:after="0"/>
              <w:rPr>
                <w:sz w:val="20"/>
                <w:szCs w:val="20"/>
                <w:color w:val="auto"/>
              </w:rPr>
            </w:pPr>
            <w:r>
              <w:rPr>
                <w:rFonts w:ascii="Arial" w:cs="Arial" w:eastAsia="Arial" w:hAnsi="Arial"/>
                <w:sz w:val="22"/>
                <w:szCs w:val="22"/>
                <w:color w:val="auto"/>
                <w:w w:val="88"/>
              </w:rPr>
              <w:t>Notes Custodian</w:t>
            </w:r>
          </w:p>
        </w:tc>
      </w:tr>
    </w:tbl>
    <w:p>
      <w:pPr>
        <w:sectPr>
          <w:pgSz w:w="11900" w:h="16838" w:orient="portrait"/>
          <w:cols w:equalWidth="0" w:num="1">
            <w:col w:w="10920"/>
          </w:cols>
          <w:pgMar w:left="620" w:top="388" w:right="35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F. North, III, certify that:</w:t>
      </w:r>
    </w:p>
    <w:p>
      <w:pPr>
        <w:spacing w:after="0" w:line="171" w:lineRule="exact"/>
        <w:rPr>
          <w:sz w:val="20"/>
          <w:szCs w:val="20"/>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387"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F. North,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2019, as filed with the Securities and Exchange Commission on the date hereof (the “Report”), Larry D. De Shon, as Chief Executive Officer of the Company, and John F. North, III,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August 6, 2019</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 North, III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50"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August 6,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1."/>
      <w:numFmt w:val="decimal"/>
      <w:start w:val="1"/>
    </w:lvl>
    <w:lvl w:ilvl="1">
      <w:lvlJc w:val="left"/>
      <w:lvlText w:val="•"/>
      <w:numFmt w:val="bullet"/>
      <w:start w:val="1"/>
    </w:lvl>
  </w:abstractNum>
  <w:abstractNum w:abstractNumId="5">
    <w:nsid w:val="379E21B5"/>
    <w:multiLevelType w:val="hybridMultilevel"/>
    <w:lvl w:ilvl="0">
      <w:lvlJc w:val="left"/>
      <w:lvlText w:val="(%1)"/>
      <w:numFmt w:val="lowerLetter"/>
      <w:start w:val="1"/>
    </w:lvl>
  </w:abstractNum>
  <w:abstractNum w:abstractNumId="6">
    <w:nsid w:val="69E373"/>
    <w:multiLevelType w:val="hybridMultilevel"/>
    <w:lvl w:ilvl="0">
      <w:lvlJc w:val="left"/>
      <w:lvlText w:val="%1."/>
      <w:numFmt w:val="decimal"/>
      <w:start w:val="2"/>
    </w:lvl>
  </w:abstractNum>
  <w:abstractNum w:abstractNumId="7">
    <w:nsid w:val="2C27173B"/>
    <w:multiLevelType w:val="hybridMultilevel"/>
    <w:lvl w:ilvl="0">
      <w:lvlJc w:val="left"/>
      <w:lvlText w:val="(%1)"/>
      <w:numFmt w:val="lowerLetter"/>
      <w:start w:val="1"/>
    </w:lvl>
  </w:abstractNum>
  <w:abstractNum w:abstractNumId="8">
    <w:nsid w:val="4C9B0904"/>
    <w:multiLevelType w:val="hybridMultilevel"/>
    <w:lvl w:ilvl="0">
      <w:lvlJc w:val="left"/>
      <w:lvlText w:val="%1."/>
      <w:numFmt w:val="decimal"/>
      <w:start w:val="3"/>
    </w:lvl>
  </w:abstractNum>
  <w:abstractNum w:abstractNumId="9">
    <w:nsid w:val="6AA7B75C"/>
    <w:multiLevelType w:val="hybridMultilevel"/>
    <w:lvl w:ilvl="0">
      <w:lvlJc w:val="left"/>
      <w:lvlText w:val="(%1)"/>
      <w:numFmt w:val="lowerLetter"/>
      <w:start w:val="1"/>
    </w:lvl>
  </w:abstractNum>
  <w:abstractNum w:abstractNumId="10">
    <w:nsid w:val="1DF029D3"/>
    <w:multiLevelType w:val="hybridMultilevel"/>
    <w:lvl w:ilvl="0">
      <w:lvlJc w:val="left"/>
      <w:lvlText w:val="%1."/>
      <w:numFmt w:val="decimal"/>
      <w:start w:val="4"/>
    </w:lvl>
  </w:abstractNum>
  <w:abstractNum w:abstractNumId="11">
    <w:nsid w:val="5675FF36"/>
    <w:multiLevelType w:val="hybridMultilevel"/>
    <w:lvl w:ilvl="0">
      <w:lvlJc w:val="left"/>
      <w:lvlText w:val="%1"/>
      <w:numFmt w:val="decimal"/>
      <w:start w:val="1"/>
    </w:lvl>
    <w:lvl w:ilvl="1">
      <w:lvlJc w:val="left"/>
      <w:lvlText w:val="(%2)"/>
      <w:numFmt w:val="lowerLetter"/>
      <w:start w:val="1"/>
    </w:lvl>
  </w:abstractNum>
  <w:abstractNum w:abstractNumId="12">
    <w:nsid w:val="3DD15094"/>
    <w:multiLevelType w:val="hybridMultilevel"/>
    <w:lvl w:ilvl="0">
      <w:lvlJc w:val="left"/>
      <w:lvlText w:val="%1."/>
      <w:numFmt w:val="decimal"/>
      <w:start w:val="5"/>
    </w:lvl>
    <w:lvl w:ilvl="1">
      <w:lvlJc w:val="left"/>
      <w:lvlText w:val="%2"/>
      <w:numFmt w:val="lowerLetter"/>
      <w:start w:val="1"/>
    </w:lvl>
  </w:abstractNum>
  <w:abstractNum w:abstractNumId="13">
    <w:nsid w:val="3DB012B3"/>
    <w:multiLevelType w:val="hybridMultilevel"/>
    <w:lvl w:ilvl="0">
      <w:lvlJc w:val="left"/>
      <w:lvlText w:val="%1."/>
      <w:numFmt w:val="decimal"/>
      <w:start w:val="6"/>
    </w:lvl>
  </w:abstractNum>
  <w:abstractNum w:abstractNumId="14">
    <w:nsid w:val="2708C9AF"/>
    <w:multiLevelType w:val="hybridMultilevel"/>
    <w:lvl w:ilvl="0">
      <w:lvlJc w:val="left"/>
      <w:lvlText w:val="%1."/>
      <w:numFmt w:val="decimal"/>
      <w:start w:val="7"/>
    </w:lvl>
  </w:abstractNum>
  <w:abstractNum w:abstractNumId="15">
    <w:nsid w:val="5B25ACE2"/>
    <w:multiLevelType w:val="hybridMultilevel"/>
    <w:lvl w:ilvl="0">
      <w:lvlJc w:val="left"/>
      <w:lvlText w:val="%1."/>
      <w:numFmt w:val="decimal"/>
      <w:start w:val="8"/>
    </w:lvl>
  </w:abstractNum>
  <w:abstractNum w:abstractNumId="16">
    <w:nsid w:val="175DFCF0"/>
    <w:multiLevelType w:val="hybridMultilevel"/>
    <w:lvl w:ilvl="0">
      <w:lvlJc w:val="left"/>
      <w:lvlText w:val="%1."/>
      <w:numFmt w:val="decimal"/>
      <w:start w:val="9"/>
    </w:lvl>
  </w:abstractNum>
  <w:abstractNum w:abstractNumId="17">
    <w:nsid w:val="4F97E3E4"/>
    <w:multiLevelType w:val="hybridMultilevel"/>
    <w:lvl w:ilvl="0">
      <w:lvlJc w:val="left"/>
      <w:lvlText w:val="%1."/>
      <w:numFmt w:val="decimal"/>
      <w:start w:val="11"/>
    </w:lvl>
  </w:abstractNum>
  <w:abstractNum w:abstractNumId="18">
    <w:nsid w:val="53B0A9E"/>
    <w:multiLevelType w:val="hybridMultilevel"/>
    <w:lvl w:ilvl="0">
      <w:lvlJc w:val="left"/>
      <w:lvlText w:val="(%1)"/>
      <w:numFmt w:val="lowerLetter"/>
      <w:start w:val="1"/>
    </w:lvl>
  </w:abstractNum>
  <w:abstractNum w:abstractNumId="19">
    <w:nsid w:val="34FD6B4F"/>
    <w:multiLevelType w:val="hybridMultilevel"/>
    <w:lvl w:ilvl="0">
      <w:lvlJc w:val="left"/>
      <w:lvlText w:val="(%1)"/>
      <w:numFmt w:val="lowerLetter"/>
      <w:start w:val="1"/>
    </w:lvl>
  </w:abstractNum>
  <w:abstractNum w:abstractNumId="20">
    <w:nsid w:val="5915FF32"/>
    <w:multiLevelType w:val="hybridMultilevel"/>
    <w:lvl w:ilvl="0">
      <w:lvlJc w:val="left"/>
      <w:lvlText w:val="%1."/>
      <w:numFmt w:val="decimal"/>
      <w:start w:val="12"/>
    </w:lvl>
  </w:abstractNum>
  <w:abstractNum w:abstractNumId="21">
    <w:nsid w:val="56438D15"/>
    <w:multiLevelType w:val="hybridMultilevel"/>
    <w:lvl w:ilvl="0">
      <w:lvlJc w:val="left"/>
      <w:lvlText w:val="(%1)"/>
      <w:numFmt w:val="lowerLetter"/>
      <w:start w:val="1"/>
    </w:lvl>
  </w:abstractNum>
  <w:abstractNum w:abstractNumId="22">
    <w:nsid w:val="519E3149"/>
    <w:multiLevelType w:val="hybridMultilevel"/>
    <w:lvl w:ilvl="0">
      <w:lvlJc w:val="left"/>
      <w:lvlText w:val="(%1)"/>
      <w:numFmt w:val="lowerLetter"/>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1)"/>
      <w:numFmt w:val="lowerLetter"/>
      <w:start w:val="1"/>
    </w:lvl>
  </w:abstractNum>
  <w:abstractNum w:abstractNumId="26">
    <w:nsid w:val="5046B5A9"/>
    <w:multiLevelType w:val="hybridMultilevel"/>
    <w:lvl w:ilvl="0">
      <w:lvlJc w:val="left"/>
      <w:lvlText w:val="%1."/>
      <w:numFmt w:val="decimal"/>
      <w:start w:val="13"/>
    </w:lvl>
  </w:abstractNum>
  <w:abstractNum w:abstractNumId="27">
    <w:nsid w:val="5D888A08"/>
    <w:multiLevelType w:val="hybridMultilevel"/>
    <w:lvl w:ilvl="0">
      <w:lvlJc w:val="left"/>
      <w:lvlText w:val="%1."/>
      <w:numFmt w:val="decimal"/>
      <w:start w:val="14"/>
    </w:lvl>
  </w:abstractNum>
  <w:abstractNum w:abstractNumId="28">
    <w:nsid w:val="2A082C70"/>
    <w:multiLevelType w:val="hybridMultilevel"/>
    <w:lvl w:ilvl="0">
      <w:lvlJc w:val="left"/>
      <w:lvlText w:val="%1"/>
      <w:numFmt w:val="decimal"/>
      <w:start w:val="1"/>
    </w:lvl>
    <w:lvl w:ilvl="1">
      <w:lvlJc w:val="left"/>
      <w:lvlText w:val="(%2)"/>
      <w:numFmt w:val="lowerLetter"/>
      <w:start w:val="1"/>
    </w:lvl>
  </w:abstractNum>
  <w:abstractNum w:abstractNumId="29">
    <w:nsid w:val="5EC6AFD4"/>
    <w:multiLevelType w:val="hybridMultilevel"/>
    <w:lvl w:ilvl="0">
      <w:lvlJc w:val="left"/>
      <w:lvlText w:val="%1."/>
      <w:numFmt w:val="decimal"/>
      <w:start w:val="15"/>
    </w:lvl>
    <w:lvl w:ilvl="1">
      <w:lvlJc w:val="left"/>
      <w:lvlText w:val="%2"/>
      <w:numFmt w:val="lowerLetter"/>
      <w:start w:val="1"/>
    </w:lvl>
  </w:abstractNum>
  <w:abstractNum w:abstractNumId="30">
    <w:nsid w:val="19E21BB2"/>
    <w:multiLevelType w:val="hybridMultilevel"/>
    <w:lvl w:ilvl="0">
      <w:lvlJc w:val="left"/>
      <w:lvlText w:val="(%1)"/>
      <w:numFmt w:val="decimal"/>
      <w:start w:val="361"/>
    </w:lvl>
  </w:abstractNum>
  <w:abstractNum w:abstractNumId="31">
    <w:nsid w:val="75E0858A"/>
    <w:multiLevelType w:val="hybridMultilevel"/>
    <w:lvl w:ilvl="0">
      <w:lvlJc w:val="left"/>
      <w:lvlText w:val="(%1)"/>
      <w:numFmt w:val="decimal"/>
      <w:start w:val="55"/>
    </w:lvl>
  </w:abstractNum>
  <w:abstractNum w:abstractNumId="32">
    <w:nsid w:val="57A61A29"/>
    <w:multiLevelType w:val="hybridMultilevel"/>
    <w:lvl w:ilvl="0">
      <w:lvlJc w:val="left"/>
      <w:lvlText w:val="%1"/>
      <w:numFmt w:val="decimal"/>
      <w:start w:val="522"/>
    </w:lvl>
  </w:abstractNum>
  <w:abstractNum w:abstractNumId="33">
    <w:nsid w:val="5399C654"/>
    <w:multiLevelType w:val="hybridMultilevel"/>
    <w:lvl w:ilvl="0">
      <w:lvlJc w:val="left"/>
      <w:lvlText w:val="(%1)"/>
      <w:numFmt w:val="decimal"/>
      <w:start w:val="430"/>
    </w:lvl>
  </w:abstractNum>
  <w:abstractNum w:abstractNumId="34">
    <w:nsid w:val="20EE1348"/>
    <w:multiLevelType w:val="hybridMultilevel"/>
    <w:lvl w:ilvl="0">
      <w:lvlJc w:val="left"/>
      <w:lvlText w:val="(%1)"/>
      <w:numFmt w:val="lowerLetter"/>
      <w:start w:val="1"/>
    </w:lvl>
  </w:abstractNum>
  <w:abstractNum w:abstractNumId="35">
    <w:nsid w:val="4427069A"/>
    <w:multiLevelType w:val="hybridMultilevel"/>
    <w:lvl w:ilvl="0">
      <w:lvlJc w:val="left"/>
      <w:lvlText w:val="(%1)"/>
      <w:numFmt w:val="lowerLetter"/>
      <w:start w:val="1"/>
    </w:lvl>
  </w:abstractNum>
  <w:abstractNum w:abstractNumId="36">
    <w:nsid w:val="B37E80A"/>
    <w:multiLevelType w:val="hybridMultilevel"/>
    <w:lvl w:ilvl="0">
      <w:lvlJc w:val="left"/>
      <w:lvlText w:val="%1."/>
      <w:numFmt w:val="decimal"/>
      <w:start w:val="16"/>
    </w:lvl>
  </w:abstractNum>
  <w:abstractNum w:abstractNumId="37">
    <w:nsid w:val="2157F6BC"/>
    <w:multiLevelType w:val="hybridMultilevel"/>
    <w:lvl w:ilvl="0">
      <w:lvlJc w:val="left"/>
      <w:lvlText w:val="(%1)"/>
      <w:numFmt w:val="lowerLetter"/>
      <w:start w:val="1"/>
    </w:lvl>
  </w:abstractNum>
  <w:abstractNum w:abstractNumId="38">
    <w:nsid w:val="704E1DD5"/>
    <w:multiLevelType w:val="hybridMultilevel"/>
    <w:lvl w:ilvl="0">
      <w:lvlJc w:val="left"/>
      <w:lvlText w:val="(%1)"/>
      <w:numFmt w:val="lowerLetter"/>
      <w:start w:val="1"/>
    </w:lvl>
  </w:abstractNum>
  <w:abstractNum w:abstractNumId="39">
    <w:nsid w:val="57D2F10E"/>
    <w:multiLevelType w:val="hybridMultilevel"/>
    <w:lvl w:ilvl="0">
      <w:lvlJc w:val="left"/>
      <w:lvlText w:val="(%1)"/>
      <w:numFmt w:val="lowerLetter"/>
      <w:start w:val="1"/>
    </w:lvl>
  </w:abstractNum>
  <w:abstractNum w:abstractNumId="40">
    <w:nsid w:val="BFFAE18"/>
    <w:multiLevelType w:val="hybridMultilevel"/>
    <w:lvl w:ilvl="0">
      <w:lvlJc w:val="left"/>
      <w:lvlText w:val="%1"/>
      <w:numFmt w:val="decimal"/>
      <w:start w:val="1"/>
    </w:lvl>
    <w:lvl w:ilvl="1">
      <w:lvlJc w:val="left"/>
      <w:lvlText w:val="(%2)"/>
      <w:numFmt w:val="lowerLetter"/>
      <w:start w:val="1"/>
    </w:lvl>
  </w:abstractNum>
  <w:abstractNum w:abstractNumId="41">
    <w:nsid w:val="E3E47A8"/>
    <w:multiLevelType w:val="hybridMultilevel"/>
    <w:lvl w:ilvl="0">
      <w:lvlJc w:val="left"/>
      <w:lvlText w:val="%1."/>
      <w:numFmt w:val="decimal"/>
      <w:start w:val="17"/>
    </w:lvl>
    <w:lvl w:ilvl="1">
      <w:lvlJc w:val="left"/>
      <w:lvlText w:val="%2"/>
      <w:numFmt w:val="lowerLetter"/>
      <w:start w:val="1"/>
    </w:lvl>
  </w:abstractNum>
  <w:abstractNum w:abstractNumId="42">
    <w:nsid w:val="2E48F044"/>
    <w:multiLevelType w:val="hybridMultilevel"/>
    <w:lvl w:ilvl="0">
      <w:lvlJc w:val="left"/>
      <w:lvlText w:val="(%1)"/>
      <w:numFmt w:val="lowerLetter"/>
      <w:start w:val="1"/>
    </w:lvl>
  </w:abstractNum>
  <w:abstractNum w:abstractNumId="43">
    <w:nsid w:val="49D0FEAC"/>
    <w:multiLevelType w:val="hybridMultilevel"/>
    <w:lvl w:ilvl="0">
      <w:lvlJc w:val="left"/>
      <w:lvlText w:val="(%1)"/>
      <w:numFmt w:val="lowerLetter"/>
      <w:start w:val="1"/>
    </w:lvl>
  </w:abstractNum>
  <w:abstractNum w:abstractNumId="44">
    <w:nsid w:val="4BEE5A5B"/>
    <w:multiLevelType w:val="hybridMultilevel"/>
    <w:lvl w:ilvl="0">
      <w:lvlJc w:val="left"/>
      <w:lvlText w:val="%1."/>
      <w:numFmt w:val="decimal"/>
      <w:start w:val="18"/>
    </w:lvl>
  </w:abstractNum>
  <w:abstractNum w:abstractNumId="45">
    <w:nsid w:val="5551B9F3"/>
    <w:multiLevelType w:val="hybridMultilevel"/>
    <w:lvl w:ilvl="0">
      <w:lvlJc w:val="left"/>
      <w:lvlText w:val="(%1)"/>
      <w:numFmt w:val="lowerLetter"/>
      <w:start w:val="1"/>
    </w:lvl>
  </w:abstractNum>
  <w:abstractNum w:abstractNumId="46">
    <w:nsid w:val="24F6AB8E"/>
    <w:multiLevelType w:val="hybridMultilevel"/>
    <w:lvl w:ilvl="0">
      <w:lvlJc w:val="left"/>
      <w:lvlText w:val="%1."/>
      <w:numFmt w:val="decimal"/>
      <w:start w:val="19"/>
    </w:lvl>
    <w:lvl w:ilvl="1">
      <w:lvlJc w:val="left"/>
      <w:lvlText w:val="*"/>
      <w:numFmt w:val="bullet"/>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1)"/>
      <w:numFmt w:val="lowerRoman"/>
      <w:start w:val="4"/>
    </w:lvl>
  </w:abstractNum>
  <w:abstractNum w:abstractNumId="49">
    <w:nsid w:val="2A31B62D"/>
    <w:multiLevelType w:val="hybridMultilevel"/>
    <w:lvl w:ilvl="0">
      <w:lvlJc w:val="left"/>
      <w:lvlText w:val="•"/>
      <w:numFmt w:val="bullet"/>
      <w:start w:val="1"/>
    </w:lvl>
  </w:abstractNum>
  <w:abstractNum w:abstractNumId="50">
    <w:nsid w:val="1849C29B"/>
    <w:multiLevelType w:val="hybridMultilevel"/>
    <w:lvl w:ilvl="0">
      <w:lvlJc w:val="left"/>
      <w:lvlText w:val="(%1)"/>
      <w:numFmt w:val="lowerLetter"/>
      <w:start w:val="1"/>
    </w:lvl>
  </w:abstractNum>
  <w:abstractNum w:abstractNumId="51">
    <w:nsid w:val="7DFF9D09"/>
    <w:multiLevelType w:val="hybridMultilevel"/>
    <w:lvl w:ilvl="0">
      <w:lvlJc w:val="left"/>
      <w:lvlText w:val="(%1)"/>
      <w:numFmt w:val="lowerLetter"/>
      <w:start w:val="1"/>
    </w:lvl>
  </w:abstractNum>
  <w:abstractNum w:abstractNumId="52">
    <w:nsid w:val="754342"/>
    <w:multiLevelType w:val="hybridMultilevel"/>
    <w:lvl w:ilvl="0">
      <w:lvlJc w:val="left"/>
      <w:lvlText w:val="(%1)"/>
      <w:numFmt w:val="lowerRoman"/>
      <w:start w:val="1"/>
    </w:lvl>
  </w:abstractNum>
  <w:abstractNum w:abstractNumId="53">
    <w:nsid w:val="69E7F3E5"/>
    <w:multiLevelType w:val="hybridMultilevel"/>
    <w:lvl w:ilvl="0">
      <w:lvlJc w:val="left"/>
      <w:lvlText w:val="(%1)"/>
      <w:numFmt w:val="lowerLetter"/>
      <w:start w:val="1"/>
    </w:lvl>
  </w:abstractNum>
  <w:abstractNum w:abstractNumId="54">
    <w:nsid w:val="2A6DE806"/>
    <w:multiLevelType w:val="hybridMultilevel"/>
    <w:lvl w:ilvl="0">
      <w:lvlJc w:val="left"/>
      <w:lvlText w:val="%1"/>
      <w:numFmt w:val="decimal"/>
      <w:start w:val="32"/>
    </w:lvl>
  </w:abstractNum>
  <w:abstractNum w:abstractNumId="55">
    <w:nsid w:val="1816F8C4"/>
    <w:multiLevelType w:val="hybridMultilevel"/>
    <w:lvl w:ilvl="0">
      <w:lvlJc w:val="left"/>
      <w:lvlText w:val="(%1)"/>
      <w:numFmt w:val="decimal"/>
      <w:start w:val="1"/>
    </w:lvl>
  </w:abstractNum>
  <w:abstractNum w:abstractNumId="56">
    <w:nsid w:val="37DF2233"/>
    <w:multiLevelType w:val="hybridMultilevel"/>
    <w:lvl w:ilvl="0">
      <w:lvlJc w:val="left"/>
      <w:lvlText w:val="(%1)"/>
      <w:numFmt w:val="decimal"/>
      <w:start w:val="2"/>
    </w:lvl>
  </w:abstractNum>
  <w:abstractNum w:abstractNumId="57">
    <w:nsid w:val="7AB49DAF"/>
    <w:multiLevelType w:val="hybridMultilevel"/>
    <w:lvl w:ilvl="0">
      <w:lvlJc w:val="left"/>
      <w:lvlText w:val="(%1)"/>
      <w:numFmt w:val="lowerLetter"/>
      <w:start w:val="1"/>
    </w:lvl>
  </w:abstractNum>
  <w:abstractNum w:abstractNumId="58">
    <w:nsid w:val="759F82CD"/>
    <w:multiLevelType w:val="hybridMultilevel"/>
    <w:lvl w:ilvl="0">
      <w:lvlJc w:val="left"/>
      <w:lvlText w:val="(%1)"/>
      <w:numFmt w:val="lowerLetter"/>
      <w:start w:val="1"/>
    </w:lvl>
  </w:abstractNum>
  <w:abstractNum w:abstractNumId="59">
    <w:nsid w:val="61E74EA3"/>
    <w:multiLevelType w:val="hybridMultilevel"/>
    <w:lvl w:ilvl="0">
      <w:lvlJc w:val="left"/>
      <w:lvlText w:val="(%1)"/>
      <w:numFmt w:val="decimal"/>
      <w:start w:val="1"/>
    </w:lvl>
  </w:abstractNum>
  <w:abstractNum w:abstractNumId="60">
    <w:nsid w:val="597B4D84"/>
    <w:multiLevelType w:val="hybridMultilevel"/>
    <w:lvl w:ilvl="0">
      <w:lvlJc w:val="left"/>
      <w:lvlText w:val="(%1)"/>
      <w:numFmt w:val="decimal"/>
      <w:start w:val="8"/>
    </w:lvl>
  </w:abstractNum>
  <w:abstractNum w:abstractNumId="61">
    <w:nsid w:val="F819E7F"/>
    <w:multiLevelType w:val="hybridMultilevel"/>
    <w:lvl w:ilvl="0">
      <w:lvlJc w:val="left"/>
      <w:lvlText w:val="(%1)"/>
      <w:numFmt w:val="decimal"/>
      <w:start w:val="18"/>
    </w:lvl>
  </w:abstractNum>
  <w:abstractNum w:abstractNumId="62">
    <w:nsid w:val="57C7D42D"/>
    <w:multiLevelType w:val="hybridMultilevel"/>
    <w:lvl w:ilvl="0">
      <w:lvlJc w:val="left"/>
      <w:lvlText w:val="(%1)"/>
      <w:numFmt w:val="decimal"/>
      <w:start w:val="1"/>
    </w:lvl>
  </w:abstractNum>
  <w:abstractNum w:abstractNumId="63">
    <w:nsid w:val="312167AD"/>
    <w:multiLevelType w:val="hybridMultilevel"/>
    <w:lvl w:ilvl="0">
      <w:lvlJc w:val="left"/>
      <w:lvlText w:val="(%1)"/>
      <w:numFmt w:val="decimal"/>
      <w:start w:val="3"/>
    </w:lvl>
  </w:abstractNum>
  <w:abstractNum w:abstractNumId="64">
    <w:nsid w:val="631B64D4"/>
    <w:multiLevelType w:val="hybridMultilevel"/>
    <w:lvl w:ilvl="0">
      <w:lvlJc w:val="left"/>
      <w:lvlText w:val="(%1)"/>
      <w:numFmt w:val="decimal"/>
      <w:start w:val="9"/>
    </w:lvl>
  </w:abstractNum>
  <w:abstractNum w:abstractNumId="65">
    <w:nsid w:val="78B5E776"/>
    <w:multiLevelType w:val="hybridMultilevel"/>
    <w:lvl w:ilvl="0">
      <w:lvlJc w:val="left"/>
      <w:lvlText w:val="(%1)"/>
      <w:numFmt w:val="decimal"/>
      <w:start w:val="1"/>
    </w:lvl>
  </w:abstractNum>
  <w:abstractNum w:abstractNumId="66">
    <w:nsid w:val="75486E47"/>
    <w:multiLevelType w:val="hybridMultilevel"/>
    <w:lvl w:ilvl="0">
      <w:lvlJc w:val="left"/>
      <w:lvlText w:val="(%1)"/>
      <w:numFmt w:val="decimal"/>
      <w:start w:val="1"/>
    </w:lvl>
    <w:lvl w:ilvl="1">
      <w:lvlJc w:val="left"/>
      <w:lvlText w:val="(%2)"/>
      <w:numFmt w:val="lowerLetter"/>
      <w:start w:val="1"/>
    </w:lvl>
  </w:abstractNum>
  <w:abstractNum w:abstractNumId="67">
    <w:nsid w:val="6E534CDE"/>
    <w:multiLevelType w:val="hybridMultilevel"/>
    <w:lvl w:ilvl="0">
      <w:lvlJc w:val="left"/>
      <w:lvlText w:val="(%1)"/>
      <w:numFmt w:val="lowerLetter"/>
      <w:start w:val="5"/>
    </w:lvl>
  </w:abstractNum>
  <w:abstractNum w:abstractNumId="68">
    <w:nsid w:val="1A0DDE32"/>
    <w:multiLevelType w:val="hybridMultilevel"/>
    <w:lvl w:ilvl="0">
      <w:lvlJc w:val="left"/>
      <w:lvlText w:val="%1"/>
      <w:numFmt w:val="lowerLetter"/>
      <w:start w:val="1"/>
    </w:lvl>
    <w:lvl w:ilvl="1">
      <w:lvlJc w:val="left"/>
      <w:lvlText w:val="(%2)"/>
      <w:numFmt w:val="lowerLetter"/>
      <w:start w:val="9"/>
    </w:lvl>
  </w:abstractNum>
  <w:abstractNum w:abstractNumId="69">
    <w:nsid w:val="65968C1C"/>
    <w:multiLevelType w:val="hybridMultilevel"/>
    <w:lvl w:ilvl="0">
      <w:lvlJc w:val="left"/>
      <w:lvlText w:val="(%1)"/>
      <w:numFmt w:val="lowerLetter"/>
      <w:start w:val="1"/>
    </w:lvl>
    <w:lvl w:ilvl="1">
      <w:lvlJc w:val="left"/>
      <w:lvlText w:val="%2"/>
      <w:numFmt w:val="lowerLetter"/>
      <w:start w:val="1"/>
    </w:lvl>
  </w:abstractNum>
  <w:abstractNum w:abstractNumId="70">
    <w:nsid w:val="46263DEC"/>
    <w:multiLevelType w:val="hybridMultilevel"/>
    <w:lvl w:ilvl="0">
      <w:lvlJc w:val="left"/>
      <w:lvlText w:val="%1"/>
      <w:numFmt w:val="decimal"/>
      <w:start w:val="1"/>
    </w:lvl>
    <w:lvl w:ilvl="1">
      <w:lvlJc w:val="left"/>
      <w:lvlText w:val="(%2)"/>
      <w:numFmt w:val="lowerLetter"/>
      <w:start w:val="17"/>
    </w:lvl>
  </w:abstractNum>
  <w:abstractNum w:abstractNumId="71">
    <w:nsid w:val="260D8C4A"/>
    <w:multiLevelType w:val="hybridMultilevel"/>
    <w:lvl w:ilvl="0">
      <w:lvlJc w:val="left"/>
      <w:lvlText w:val="(%1)"/>
      <w:numFmt w:val="decimal"/>
      <w:start w:val="2"/>
    </w:lvl>
    <w:lvl w:ilvl="1">
      <w:lvlJc w:val="left"/>
      <w:lvlText w:val="%2"/>
      <w:numFmt w:val="lowerLetter"/>
      <w:start w:val="1"/>
    </w:lvl>
  </w:abstractNum>
  <w:abstractNum w:abstractNumId="72">
    <w:nsid w:val="73D4D3C4"/>
    <w:multiLevelType w:val="hybridMultilevel"/>
    <w:lvl w:ilvl="0">
      <w:lvlJc w:val="left"/>
      <w:lvlText w:val="(%1)"/>
      <w:numFmt w:val="decimal"/>
      <w:start w:val="1"/>
    </w:lvl>
  </w:abstractNum>
  <w:abstractNum w:abstractNumId="73">
    <w:nsid w:val="746F2E30"/>
    <w:multiLevelType w:val="hybridMultilevel"/>
    <w:lvl w:ilvl="0">
      <w:lvlJc w:val="left"/>
      <w:lvlText w:val="(%1)"/>
      <w:numFmt w:val="decimal"/>
      <w:start w:val="2"/>
    </w:lvl>
  </w:abstractNum>
  <w:abstractNum w:abstractNumId="74">
    <w:nsid w:val="6FDE8AF6"/>
    <w:multiLevelType w:val="hybridMultilevel"/>
    <w:lvl w:ilvl="0">
      <w:lvlJc w:val="left"/>
      <w:lvlText w:val="(%1)"/>
      <w:numFmt w:val="decimal"/>
      <w:start w:val="1"/>
    </w:lvl>
  </w:abstractNum>
  <w:abstractNum w:abstractNumId="75">
    <w:nsid w:val="3FC32E20"/>
    <w:multiLevelType w:val="hybridMultilevel"/>
    <w:lvl w:ilvl="0">
      <w:lvlJc w:val="left"/>
      <w:lvlText w:val="(%1)"/>
      <w:numFmt w:val="decimal"/>
      <w:start w:val="3"/>
    </w:lvl>
  </w:abstractNum>
  <w:abstractNum w:abstractNumId="76">
    <w:nsid w:val="49C0E823"/>
    <w:multiLevelType w:val="hybridMultilevel"/>
    <w:lvl w:ilvl="0">
      <w:lvlJc w:val="left"/>
      <w:lvlText w:val="(%1)"/>
      <w:numFmt w:val="decimal"/>
      <w:start w:val="8"/>
    </w:lvl>
  </w:abstractNum>
  <w:abstractNum w:abstractNumId="77">
    <w:nsid w:val="14D53685"/>
    <w:multiLevelType w:val="hybridMultilevel"/>
    <w:lvl w:ilvl="0">
      <w:lvlJc w:val="left"/>
      <w:lvlText w:val="(%1)"/>
      <w:numFmt w:val="decimal"/>
      <w:start w:val="1"/>
    </w:lvl>
    <w:lvl w:ilvl="1">
      <w:lvlJc w:val="left"/>
      <w:lvlText w:val="(%2)"/>
      <w:numFmt w:val="lowerLetter"/>
      <w:start w:val="1"/>
    </w:lvl>
  </w:abstractNum>
  <w:abstractNum w:abstractNumId="78">
    <w:nsid w:val="230F856C"/>
    <w:multiLevelType w:val="hybridMultilevel"/>
    <w:lvl w:ilvl="0">
      <w:lvlJc w:val="left"/>
      <w:lvlText w:val="(%1)"/>
      <w:numFmt w:val="decimal"/>
      <w:start w:val="1"/>
    </w:lvl>
  </w:abstractNum>
  <w:abstractNum w:abstractNumId="79">
    <w:nsid w:val="6EAA85FB"/>
    <w:multiLevelType w:val="hybridMultilevel"/>
    <w:lvl w:ilvl="0">
      <w:lvlJc w:val="left"/>
      <w:lvlText w:val="(%1)"/>
      <w:numFmt w:val="lowerRoman"/>
      <w:start w:val="2"/>
    </w:lvl>
  </w:abstractNum>
  <w:abstractNum w:abstractNumId="80">
    <w:nsid w:val="3F06ECB2"/>
    <w:multiLevelType w:val="hybridMultilevel"/>
    <w:lvl w:ilvl="0">
      <w:lvlJc w:val="left"/>
      <w:lvlText w:val="(%1)"/>
      <w:numFmt w:val="decimal"/>
      <w:start w:val="1"/>
    </w:lvl>
  </w:abstractNum>
  <w:abstractNum w:abstractNumId="81">
    <w:nsid w:val="3B594807"/>
    <w:multiLevelType w:val="hybridMultilevel"/>
    <w:lvl w:ilvl="0">
      <w:lvlJc w:val="left"/>
      <w:lvlText w:val="(%1)"/>
      <w:numFmt w:val="decimal"/>
      <w:start w:val="1"/>
    </w:lvl>
  </w:abstractNum>
  <w:abstractNum w:abstractNumId="82">
    <w:nsid w:val="6CAA2304"/>
    <w:multiLevelType w:val="hybridMultilevel"/>
    <w:lvl w:ilvl="0">
      <w:lvlJc w:val="left"/>
      <w:lvlText w:val="(%1)"/>
      <w:numFmt w:val="decimal"/>
      <w:start w:val="1"/>
    </w:lvl>
  </w:abstractNum>
  <w:abstractNum w:abstractNumId="83">
    <w:nsid w:val="3F7C2FF4"/>
    <w:multiLevelType w:val="hybridMultilevel"/>
    <w:lvl w:ilvl="0">
      <w:lvlJc w:val="left"/>
      <w:lvlText w:val="(%1)"/>
      <w:numFmt w:val="decimal"/>
      <w:start w:val="8"/>
    </w:lvl>
  </w:abstractNum>
  <w:abstractNum w:abstractNumId="84">
    <w:nsid w:val="25413BEC"/>
    <w:multiLevelType w:val="hybridMultilevel"/>
    <w:lvl w:ilvl="0">
      <w:lvlJc w:val="left"/>
      <w:lvlText w:val="(%1)"/>
      <w:numFmt w:val="decimal"/>
      <w:start w:val="1"/>
    </w:lvl>
  </w:abstractNum>
  <w:abstractNum w:abstractNumId="85">
    <w:nsid w:val="17180B0B"/>
    <w:multiLevelType w:val="hybridMultilevel"/>
    <w:lvl w:ilvl="0">
      <w:lvlJc w:val="left"/>
      <w:lvlText w:val="(%1)"/>
      <w:numFmt w:val="decimal"/>
      <w:start w:val="4"/>
    </w:lvl>
  </w:abstractNum>
  <w:abstractNum w:abstractNumId="86">
    <w:nsid w:val="579328B9"/>
    <w:multiLevelType w:val="hybridMultilevel"/>
    <w:lvl w:ilvl="0">
      <w:lvlJc w:val="left"/>
      <w:lvlText w:val="(%1)"/>
      <w:numFmt w:val="decimal"/>
      <w:start w:val="1"/>
    </w:lvl>
  </w:abstractNum>
  <w:abstractNum w:abstractNumId="87">
    <w:nsid w:val="5D205E20"/>
    <w:multiLevelType w:val="hybridMultilevel"/>
    <w:lvl w:ilvl="0">
      <w:lvlJc w:val="left"/>
      <w:lvlText w:val="(%1)"/>
      <w:numFmt w:val="decimal"/>
      <w:start w:val="1"/>
    </w:lvl>
  </w:abstractNum>
  <w:abstractNum w:abstractNumId="88">
    <w:nsid w:val="11CCA8BA"/>
    <w:multiLevelType w:val="hybridMultilevel"/>
    <w:lvl w:ilvl="0">
      <w:lvlJc w:val="left"/>
      <w:lvlText w:val="(%1)"/>
      <w:numFmt w:val="decimal"/>
      <w:start w:val="1"/>
    </w:lvl>
  </w:abstractNum>
  <w:abstractNum w:abstractNumId="89">
    <w:nsid w:val="4D32AB86"/>
    <w:multiLevelType w:val="hybridMultilevel"/>
    <w:lvl w:ilvl="0">
      <w:lvlJc w:val="left"/>
      <w:lvlText w:val="(%1)"/>
      <w:numFmt w:val="decimal"/>
      <w:start w:val="2"/>
    </w:lvl>
  </w:abstractNum>
  <w:abstractNum w:abstractNumId="90">
    <w:nsid w:val="3F07ACC3"/>
    <w:multiLevelType w:val="hybridMultilevel"/>
    <w:lvl w:ilvl="0">
      <w:lvlJc w:val="left"/>
      <w:lvlText w:val="(%1)"/>
      <w:numFmt w:val="decimal"/>
      <w:start w:val="1"/>
    </w:lvl>
  </w:abstractNum>
  <w:abstractNum w:abstractNumId="91">
    <w:nsid w:val="6B47F63E"/>
    <w:multiLevelType w:val="hybridMultilevel"/>
    <w:lvl w:ilvl="0">
      <w:lvlJc w:val="left"/>
      <w:lvlText w:val="(%1)"/>
      <w:numFmt w:val="decimal"/>
      <w:start w:val="1"/>
    </w:lvl>
  </w:abstractNum>
  <w:abstractNum w:abstractNumId="92">
    <w:nsid w:val="5CB44A05"/>
    <w:multiLevelType w:val="hybridMultilevel"/>
    <w:lvl w:ilvl="0">
      <w:lvlJc w:val="left"/>
      <w:lvlText w:val="(%1)"/>
      <w:numFmt w:val="decimal"/>
      <w:start w:val="1"/>
    </w:lvl>
  </w:abstractNum>
  <w:abstractNum w:abstractNumId="93">
    <w:nsid w:val="16CF80F1"/>
    <w:multiLevelType w:val="hybridMultilevel"/>
    <w:lvl w:ilvl="0">
      <w:lvlJc w:val="left"/>
      <w:lvlText w:val="(%1)"/>
      <w:numFmt w:val="decimal"/>
      <w:start w:val="2"/>
    </w:lvl>
  </w:abstractNum>
  <w:abstractNum w:abstractNumId="94">
    <w:nsid w:val="1C695DEC"/>
    <w:multiLevelType w:val="hybridMultilevel"/>
    <w:lvl w:ilvl="0">
      <w:lvlJc w:val="left"/>
      <w:lvlText w:val="(%1)"/>
      <w:numFmt w:val="decimal"/>
      <w:start w:val="1"/>
    </w:lvl>
  </w:abstractNum>
  <w:abstractNum w:abstractNumId="95">
    <w:nsid w:val="3FCFAED9"/>
    <w:multiLevelType w:val="hybridMultilevel"/>
    <w:lvl w:ilvl="0">
      <w:lvlJc w:val="left"/>
      <w:lvlText w:val="(%1)"/>
      <w:numFmt w:val="decimal"/>
      <w:start w:val="7"/>
    </w:lvl>
  </w:abstractNum>
  <w:abstractNum w:abstractNumId="96">
    <w:nsid w:val="F856867"/>
    <w:multiLevelType w:val="hybridMultilevel"/>
    <w:lvl w:ilvl="0">
      <w:lvlJc w:val="left"/>
      <w:lvlText w:val="(%1)"/>
      <w:numFmt w:val="decimal"/>
      <w:start w:val="17"/>
    </w:lvl>
  </w:abstractNum>
  <w:abstractNum w:abstractNumId="97">
    <w:nsid w:val="11B1CC33"/>
    <w:multiLevelType w:val="hybridMultilevel"/>
    <w:lvl w:ilvl="0">
      <w:lvlJc w:val="left"/>
      <w:lvlText w:val="(%1)"/>
      <w:numFmt w:val="decimal"/>
      <w:start w:val="25"/>
    </w:lvl>
  </w:abstractNum>
  <w:abstractNum w:abstractNumId="98">
    <w:nsid w:val="2E22FBB7"/>
    <w:multiLevelType w:val="hybridMultilevel"/>
    <w:lvl w:ilvl="0">
      <w:lvlJc w:val="left"/>
      <w:lvlText w:val="(%1)"/>
      <w:numFmt w:val="decimal"/>
      <w:start w:val="1"/>
    </w:lvl>
  </w:abstractNum>
  <w:abstractNum w:abstractNumId="99">
    <w:nsid w:val="29934699"/>
    <w:multiLevelType w:val="hybridMultilevel"/>
    <w:lvl w:ilvl="0">
      <w:lvlJc w:val="left"/>
      <w:lvlText w:val="%1"/>
      <w:numFmt w:val="lowerRoman"/>
      <w:start w:val="1"/>
    </w:lvl>
    <w:lvl w:ilvl="1">
      <w:lvlJc w:val="left"/>
      <w:lvlText w:val="(%2)"/>
      <w:numFmt w:val="decimal"/>
      <w:start w:val="3"/>
    </w:lvl>
  </w:abstractNum>
  <w:abstractNum w:abstractNumId="100">
    <w:nsid w:val="77485850"/>
    <w:multiLevelType w:val="hybridMultilevel"/>
    <w:lvl w:ilvl="0">
      <w:lvlJc w:val="left"/>
      <w:lvlText w:val="(%1)"/>
      <w:numFmt w:val="lowerRoman"/>
      <w:start w:val="1"/>
    </w:lvl>
    <w:lvl w:ilvl="1">
      <w:lvlJc w:val="left"/>
      <w:lvlText w:val="%2"/>
      <w:numFmt w:val="decimal"/>
      <w:start w:val="1"/>
    </w:lvl>
  </w:abstractNum>
  <w:abstractNum w:abstractNumId="101">
    <w:nsid w:val="744939A3"/>
    <w:multiLevelType w:val="hybridMultilevel"/>
    <w:lvl w:ilvl="0">
      <w:lvlJc w:val="left"/>
      <w:lvlText w:val="(%1)"/>
      <w:numFmt w:val="decimal"/>
      <w:start w:val="7"/>
    </w:lvl>
  </w:abstractNum>
  <w:abstractNum w:abstractNumId="102">
    <w:nsid w:val="4FA0D2E3"/>
    <w:multiLevelType w:val="hybridMultilevel"/>
    <w:lvl w:ilvl="0">
      <w:lvlJc w:val="left"/>
      <w:lvlText w:val="(%1)"/>
      <w:numFmt w:val="decimal"/>
      <w:start w:val="13"/>
    </w:lvl>
  </w:abstractNum>
  <w:abstractNum w:abstractNumId="103">
    <w:nsid w:val="6B1D2C14"/>
    <w:multiLevelType w:val="hybridMultilevel"/>
    <w:lvl w:ilvl="0">
      <w:lvlJc w:val="left"/>
      <w:lvlText w:val="(%1)"/>
      <w:numFmt w:val="decimal"/>
      <w:start w:val="22"/>
    </w:lvl>
  </w:abstractNum>
  <w:abstractNum w:abstractNumId="104">
    <w:nsid w:val="68B867D3"/>
    <w:multiLevelType w:val="hybridMultilevel"/>
    <w:lvl w:ilvl="0">
      <w:lvlJc w:val="left"/>
      <w:lvlText w:val="(%1)"/>
      <w:numFmt w:val="decimal"/>
      <w:start w:val="35"/>
    </w:lvl>
  </w:abstractNum>
  <w:abstractNum w:abstractNumId="105">
    <w:nsid w:val="3F7F5DD9"/>
    <w:multiLevelType w:val="hybridMultilevel"/>
    <w:lvl w:ilvl="0">
      <w:lvlJc w:val="left"/>
      <w:lvlText w:val="(%1)"/>
      <w:numFmt w:val="decimal"/>
      <w:start w:val="1"/>
    </w:lvl>
    <w:lvl w:ilvl="1">
      <w:lvlJc w:val="left"/>
      <w:lvlText w:val="(%2)"/>
      <w:numFmt w:val="lowerLetter"/>
      <w:start w:val="1"/>
    </w:lvl>
  </w:abstractNum>
  <w:abstractNum w:abstractNumId="106">
    <w:nsid w:val="2AE05A34"/>
    <w:multiLevelType w:val="hybridMultilevel"/>
    <w:lvl w:ilvl="0">
      <w:lvlJc w:val="left"/>
      <w:lvlText w:val="%1"/>
      <w:numFmt w:val="decimal"/>
      <w:start w:val="1"/>
    </w:lvl>
    <w:lvl w:ilvl="1">
      <w:lvlJc w:val="left"/>
      <w:lvlText w:val="(%2)"/>
      <w:numFmt w:val="lowerLetter"/>
      <w:start w:val="2"/>
    </w:lvl>
  </w:abstractNum>
  <w:abstractNum w:abstractNumId="107">
    <w:nsid w:val="32794FF7"/>
    <w:multiLevelType w:val="hybridMultilevel"/>
    <w:lvl w:ilvl="0">
      <w:lvlJc w:val="left"/>
      <w:lvlText w:val="(%1)"/>
      <w:numFmt w:val="decimal"/>
      <w:start w:val="3"/>
    </w:lvl>
    <w:lvl w:ilvl="1">
      <w:lvlJc w:val="left"/>
      <w:lvlText w:val="%2"/>
      <w:numFmt w:val="lowerLetter"/>
      <w:start w:val="1"/>
    </w:lvl>
  </w:abstractNum>
  <w:abstractNum w:abstractNumId="108">
    <w:nsid w:val="5454945E"/>
    <w:multiLevelType w:val="hybridMultilevel"/>
    <w:lvl w:ilvl="0">
      <w:lvlJc w:val="left"/>
      <w:lvlText w:val="(%1)"/>
      <w:numFmt w:val="lowerRoman"/>
      <w:start w:val="1"/>
    </w:lvl>
  </w:abstractNum>
  <w:abstractNum w:abstractNumId="109">
    <w:nsid w:val="4DEFDFA0"/>
    <w:multiLevelType w:val="hybridMultilevel"/>
    <w:lvl w:ilvl="0">
      <w:lvlJc w:val="left"/>
      <w:lvlText w:val="(%1)"/>
      <w:numFmt w:val="lowerRoman"/>
      <w:start w:val="1"/>
    </w:lvl>
  </w:abstractNum>
  <w:abstractNum w:abstractNumId="110">
    <w:nsid w:val="2123D5F2"/>
    <w:multiLevelType w:val="hybridMultilevel"/>
    <w:lvl w:ilvl="0">
      <w:lvlJc w:val="left"/>
      <w:lvlText w:val="(%1)"/>
      <w:numFmt w:val="decimal"/>
      <w:start w:val="1"/>
    </w:lvl>
    <w:lvl w:ilvl="1">
      <w:lvlJc w:val="left"/>
      <w:lvlText w:val="(%2)"/>
      <w:numFmt w:val="lowerLetter"/>
      <w:start w:val="1"/>
    </w:lvl>
  </w:abstractNum>
  <w:abstractNum w:abstractNumId="111">
    <w:nsid w:val="135B8110"/>
    <w:multiLevelType w:val="hybridMultilevel"/>
    <w:lvl w:ilvl="0">
      <w:lvlJc w:val="left"/>
      <w:lvlText w:val="(%1)"/>
      <w:numFmt w:val="decimal"/>
      <w:start w:val="1"/>
    </w:lvl>
  </w:abstractNum>
  <w:abstractNum w:abstractNumId="112">
    <w:nsid w:val="94927A8"/>
    <w:multiLevelType w:val="hybridMultilevel"/>
    <w:lvl w:ilvl="0">
      <w:lvlJc w:val="left"/>
      <w:lvlText w:val="(%1)"/>
      <w:numFmt w:val="decimal"/>
      <w:start w:val="1"/>
    </w:lvl>
  </w:abstractNum>
  <w:abstractNum w:abstractNumId="113">
    <w:nsid w:val="DCDF8F6"/>
    <w:multiLevelType w:val="hybridMultilevel"/>
    <w:lvl w:ilvl="0">
      <w:lvlJc w:val="left"/>
      <w:lvlText w:val="(%1)"/>
      <w:numFmt w:val="lowerRoman"/>
      <w:start w:val="2"/>
    </w:lvl>
  </w:abstractNum>
  <w:abstractNum w:abstractNumId="114">
    <w:nsid w:val="52D7B105"/>
    <w:multiLevelType w:val="hybridMultilevel"/>
    <w:lvl w:ilvl="0">
      <w:lvlJc w:val="left"/>
      <w:lvlText w:val="(%1)"/>
      <w:numFmt w:val="decimal"/>
      <w:start w:val="1"/>
    </w:lvl>
  </w:abstractNum>
  <w:abstractNum w:abstractNumId="115">
    <w:nsid w:val="2E8A6394"/>
    <w:multiLevelType w:val="hybridMultilevel"/>
    <w:lvl w:ilvl="0">
      <w:lvlJc w:val="left"/>
      <w:lvlText w:val="(%1)"/>
      <w:numFmt w:val="lowerLetter"/>
      <w:start w:val="1"/>
    </w:lvl>
  </w:abstractNum>
  <w:abstractNum w:abstractNumId="116">
    <w:nsid w:val="24E60401"/>
    <w:multiLevelType w:val="hybridMultilevel"/>
    <w:lvl w:ilvl="0">
      <w:lvlJc w:val="left"/>
      <w:lvlText w:val="(%1)"/>
      <w:numFmt w:val="lowerLetter"/>
      <w:start w:val="2"/>
    </w:lvl>
  </w:abstractNum>
  <w:abstractNum w:abstractNumId="117">
    <w:nsid w:val="2A6AD9BE"/>
    <w:multiLevelType w:val="hybridMultilevel"/>
    <w:lvl w:ilvl="0">
      <w:lvlJc w:val="left"/>
      <w:lvlText w:val="(%1)"/>
      <w:numFmt w:val="lowerRoman"/>
      <w:start w:val="2"/>
    </w:lvl>
  </w:abstractNum>
  <w:abstractNum w:abstractNumId="118">
    <w:nsid w:val="BAAC1B4"/>
    <w:multiLevelType w:val="hybridMultilevel"/>
    <w:lvl w:ilvl="0">
      <w:lvlJc w:val="left"/>
      <w:lvlText w:val="(%1)"/>
      <w:numFmt w:val="lowerLetter"/>
      <w:start w:val="3"/>
    </w:lvl>
  </w:abstractNum>
  <w:abstractNum w:abstractNumId="119">
    <w:nsid w:val="36B2ACBC"/>
    <w:multiLevelType w:val="hybridMultilevel"/>
    <w:lvl w:ilvl="0">
      <w:lvlJc w:val="left"/>
      <w:lvlText w:val="(%1)"/>
      <w:numFmt w:val="decimal"/>
      <w:start w:val="1"/>
    </w:lvl>
  </w:abstractNum>
  <w:abstractNum w:abstractNumId="120">
    <w:nsid w:val="779D8544"/>
    <w:multiLevelType w:val="hybridMultilevel"/>
    <w:lvl w:ilvl="0">
      <w:lvlJc w:val="left"/>
      <w:lvlText w:val="(%1)"/>
      <w:numFmt w:val="decimal"/>
      <w:start w:val="1"/>
    </w:lvl>
  </w:abstractNum>
  <w:abstractNum w:abstractNumId="121">
    <w:nsid w:val="4AB26E78"/>
    <w:multiLevelType w:val="hybridMultilevel"/>
    <w:lvl w:ilvl="0">
      <w:lvlJc w:val="left"/>
      <w:lvlText w:val="(%1)"/>
      <w:numFmt w:val="decimal"/>
      <w:start w:val="3"/>
    </w:lvl>
  </w:abstractNum>
  <w:abstractNum w:abstractNumId="122">
    <w:nsid w:val="21FAA2FA"/>
    <w:multiLevelType w:val="hybridMultilevel"/>
    <w:lvl w:ilvl="0">
      <w:lvlJc w:val="left"/>
      <w:lvlText w:val="(%1)"/>
      <w:numFmt w:val="decimal"/>
      <w:start w:val="7"/>
    </w:lvl>
  </w:abstractNum>
  <w:abstractNum w:abstractNumId="123">
    <w:nsid w:val="5451CF49"/>
    <w:multiLevelType w:val="hybridMultilevel"/>
    <w:lvl w:ilvl="0">
      <w:lvlJc w:val="left"/>
      <w:lvlText w:val="(%1)"/>
      <w:numFmt w:val="decimal"/>
      <w:start w:val="5"/>
    </w:lvl>
  </w:abstractNum>
  <w:abstractNum w:abstractNumId="124">
    <w:nsid w:val="6181EF69"/>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25">
    <w:nsid w:val="3E6400E6"/>
    <w:multiLevelType w:val="hybridMultilevel"/>
    <w:lvl w:ilvl="0">
      <w:lvlJc w:val="left"/>
      <w:lvlText w:val="(%1)"/>
      <w:numFmt w:val="lowerLetter"/>
      <w:start w:val="25"/>
    </w:lvl>
    <w:lvl w:ilvl="1">
      <w:lvlJc w:val="left"/>
      <w:lvlText w:val="%2"/>
      <w:numFmt w:val="lowerLetter"/>
      <w:start w:val="1"/>
    </w:lvl>
    <w:lvl w:ilvl="2">
      <w:lvlJc w:val="left"/>
      <w:lvlText w:val="%3"/>
      <w:numFmt w:val="decimal"/>
      <w:start w:val="1"/>
    </w:lvl>
  </w:abstractNum>
  <w:abstractNum w:abstractNumId="126">
    <w:nsid w:val="14217E23"/>
    <w:multiLevelType w:val="hybridMultilevel"/>
    <w:lvl w:ilvl="0">
      <w:lvlJc w:val="left"/>
      <w:lvlText w:val="%1"/>
      <w:numFmt w:val="lowerLetter"/>
      <w:start w:val="1"/>
    </w:lvl>
    <w:lvl w:ilvl="1">
      <w:lvlJc w:val="left"/>
      <w:lvlText w:val="(%2)"/>
      <w:numFmt w:val="decimal"/>
      <w:start w:val="2"/>
    </w:lvl>
  </w:abstractNum>
  <w:abstractNum w:abstractNumId="127">
    <w:nsid w:val="710757D0"/>
    <w:multiLevelType w:val="hybridMultilevel"/>
    <w:lvl w:ilvl="0">
      <w:lvlJc w:val="left"/>
      <w:lvlText w:val="(%1)"/>
      <w:numFmt w:val="lowerLetter"/>
      <w:start w:val="6"/>
    </w:lvl>
    <w:lvl w:ilvl="1">
      <w:lvlJc w:val="left"/>
      <w:lvlText w:val="%2"/>
      <w:numFmt w:val="decimal"/>
      <w:start w:val="1"/>
    </w:lvl>
  </w:abstractNum>
  <w:abstractNum w:abstractNumId="128">
    <w:nsid w:val="5015CD1A"/>
    <w:multiLevelType w:val="hybridMultilevel"/>
    <w:lvl w:ilvl="0">
      <w:lvlJc w:val="left"/>
      <w:lvlText w:val="(%1)"/>
      <w:numFmt w:val="decimal"/>
      <w:start w:val="1"/>
    </w:lvl>
  </w:abstractNum>
  <w:abstractNum w:abstractNumId="129">
    <w:nsid w:val="424479DA"/>
    <w:multiLevelType w:val="hybridMultilevel"/>
    <w:lvl w:ilvl="0">
      <w:lvlJc w:val="left"/>
      <w:lvlText w:val="(%1)"/>
      <w:numFmt w:val="lowerLetter"/>
      <w:start w:val="1"/>
    </w:lvl>
    <w:lvl w:ilvl="1">
      <w:lvlJc w:val="left"/>
      <w:lvlText w:val="(%2)"/>
      <w:numFmt w:val="decimal"/>
      <w:start w:val="1"/>
    </w:lvl>
  </w:abstractNum>
  <w:abstractNum w:abstractNumId="130">
    <w:nsid w:val="1A9A9E69"/>
    <w:multiLevelType w:val="hybridMultilevel"/>
    <w:lvl w:ilvl="0">
      <w:lvlJc w:val="left"/>
      <w:lvlText w:val="%1"/>
      <w:numFmt w:val="lowerLetter"/>
      <w:start w:val="1"/>
    </w:lvl>
    <w:lvl w:ilvl="1">
      <w:lvlJc w:val="left"/>
      <w:lvlText w:val="(%2)"/>
      <w:numFmt w:val="decimal"/>
      <w:start w:val="3"/>
    </w:lvl>
  </w:abstractNum>
  <w:abstractNum w:abstractNumId="131">
    <w:nsid w:val="475E256A"/>
    <w:multiLevelType w:val="hybridMultilevel"/>
    <w:lvl w:ilvl="0">
      <w:lvlJc w:val="left"/>
      <w:lvlText w:val="(%1)"/>
      <w:numFmt w:val="lowerLetter"/>
      <w:start w:val="3"/>
    </w:lvl>
    <w:lvl w:ilvl="1">
      <w:lvlJc w:val="left"/>
      <w:lvlText w:val="(%2)"/>
      <w:numFmt w:val="decimal"/>
      <w:start w:val="1"/>
    </w:lvl>
  </w:abstractNum>
  <w:abstractNum w:abstractNumId="132">
    <w:nsid w:val="368DB37E"/>
    <w:multiLevelType w:val="hybridMultilevel"/>
    <w:lvl w:ilvl="0">
      <w:lvlJc w:val="left"/>
      <w:lvlText w:val="(%1)"/>
      <w:numFmt w:val="lowerLetter"/>
      <w:start w:val="4"/>
    </w:lvl>
  </w:abstractNum>
  <w:abstractNum w:abstractNumId="133">
    <w:nsid w:val="6A3B714C"/>
    <w:multiLevelType w:val="hybridMultilevel"/>
    <w:lvl w:ilvl="0">
      <w:lvlJc w:val="left"/>
      <w:lvlText w:val="(%1)"/>
      <w:numFmt w:val="lowerLetter"/>
      <w:start w:val="5"/>
    </w:lvl>
  </w:abstractNum>
  <w:abstractNum w:abstractNumId="134">
    <w:nsid w:val="327B517E"/>
    <w:multiLevelType w:val="hybridMultilevel"/>
    <w:lvl w:ilvl="0">
      <w:lvlJc w:val="left"/>
      <w:lvlText w:val="(%1)"/>
      <w:numFmt w:val="lowerLetter"/>
      <w:start w:val="8"/>
    </w:lvl>
  </w:abstractNum>
  <w:abstractNum w:abstractNumId="135">
    <w:nsid w:val="1F461B51"/>
    <w:multiLevelType w:val="hybridMultilevel"/>
    <w:lvl w:ilvl="0">
      <w:lvlJc w:val="left"/>
      <w:lvlText w:val="%1."/>
      <w:numFmt w:val="decimal"/>
      <w:start w:val="1"/>
    </w:lvl>
  </w:abstractNum>
  <w:abstractNum w:abstractNumId="136">
    <w:nsid w:val="29BACF25"/>
    <w:multiLevelType w:val="hybridMultilevel"/>
    <w:lvl w:ilvl="0">
      <w:lvlJc w:val="left"/>
      <w:lvlText w:val="%1."/>
      <w:numFmt w:val="decimal"/>
      <w:start w:val="3"/>
    </w:lvl>
  </w:abstractNum>
  <w:abstractNum w:abstractNumId="137">
    <w:nsid w:val="5D5BABB3"/>
    <w:multiLevelType w:val="hybridMultilevel"/>
    <w:lvl w:ilvl="0">
      <w:lvlJc w:val="left"/>
      <w:lvlText w:val="(%1)"/>
      <w:numFmt w:val="lowerLetter"/>
      <w:start w:val="1"/>
    </w:lvl>
  </w:abstractNum>
  <w:abstractNum w:abstractNumId="138">
    <w:nsid w:val="51BF6B48"/>
    <w:multiLevelType w:val="hybridMultilevel"/>
    <w:lvl w:ilvl="0">
      <w:lvlJc w:val="left"/>
      <w:lvlText w:val="(%1)"/>
      <w:numFmt w:val="lowerLetter"/>
      <w:start w:val="1"/>
    </w:lvl>
  </w:abstractNum>
  <w:abstractNum w:abstractNumId="139">
    <w:nsid w:val="7E0F6384"/>
    <w:multiLevelType w:val="hybridMultilevel"/>
    <w:lvl w:ilvl="0">
      <w:lvlJc w:val="left"/>
      <w:lvlText w:val="(%1)"/>
      <w:numFmt w:val="lowerLetter"/>
      <w:start w:val="2"/>
    </w:lvl>
  </w:abstractNum>
  <w:abstractNum w:abstractNumId="140">
    <w:nsid w:val="2B4B8B5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1">
    <w:nsid w:val="72E3413A"/>
    <w:multiLevelType w:val="hybridMultilevel"/>
    <w:lvl w:ilvl="0">
      <w:lvlJc w:val="left"/>
      <w:lvlText w:val="(%1)"/>
      <w:numFmt w:val="lowerRoman"/>
      <w:start w:val="1"/>
    </w:lvl>
  </w:abstractNum>
  <w:abstractNum w:abstractNumId="142">
    <w:nsid w:val="116AE494"/>
    <w:multiLevelType w:val="hybridMultilevel"/>
    <w:lvl w:ilvl="0">
      <w:lvlJc w:val="left"/>
      <w:lvlText w:val="(%1)"/>
      <w:numFmt w:val="lowerRoman"/>
      <w:start w:val="3"/>
    </w:lvl>
    <w:lvl w:ilvl="1">
      <w:lvlJc w:val="left"/>
      <w:lvlText w:val="(%2)"/>
      <w:numFmt w:val="upperLetter"/>
      <w:start w:val="1"/>
    </w:lvl>
  </w:abstractNum>
  <w:abstractNum w:abstractNumId="143">
    <w:nsid w:val="3494B2FB"/>
    <w:multiLevelType w:val="hybridMultilevel"/>
    <w:lvl w:ilvl="0">
      <w:lvlJc w:val="left"/>
      <w:lvlText w:val="%1"/>
      <w:numFmt w:val="lowerLetter"/>
      <w:start w:val="1"/>
    </w:lvl>
    <w:lvl w:ilvl="1">
      <w:lvlJc w:val="left"/>
      <w:lvlText w:val="(%2)"/>
      <w:numFmt w:val="upperLetter"/>
      <w:start w:val="6"/>
    </w:lvl>
  </w:abstractNum>
  <w:abstractNum w:abstractNumId="144">
    <w:nsid w:val="B13A31"/>
    <w:multiLevelType w:val="hybridMultilevel"/>
    <w:lvl w:ilvl="0">
      <w:lvlJc w:val="left"/>
      <w:lvlText w:val="(%1)"/>
      <w:numFmt w:val="lowerLetter"/>
      <w:start w:val="2"/>
    </w:lvl>
    <w:lvl w:ilvl="1">
      <w:lvlJc w:val="left"/>
      <w:lvlText w:val="%2"/>
      <w:numFmt w:val="upperLetter"/>
      <w:start w:val="1"/>
    </w:lvl>
  </w:abstractNum>
  <w:abstractNum w:abstractNumId="145">
    <w:nsid w:val="64429599"/>
    <w:multiLevelType w:val="hybridMultilevel"/>
    <w:lvl w:ilvl="0">
      <w:lvlJc w:val="left"/>
      <w:lvlText w:val="(%1)"/>
      <w:numFmt w:val="decimal"/>
      <w:start w:val="1"/>
    </w:lvl>
  </w:abstractNum>
  <w:abstractNum w:abstractNumId="146">
    <w:nsid w:val="631F1690"/>
    <w:multiLevelType w:val="hybridMultilevel"/>
    <w:lvl w:ilvl="0">
      <w:lvlJc w:val="left"/>
      <w:lvlText w:val="(%1)"/>
      <w:numFmt w:val="decimal"/>
      <w:start w:val="4"/>
    </w:lvl>
    <w:lvl w:ilvl="1">
      <w:lvlJc w:val="left"/>
      <w:lvlText w:val="(%2)"/>
      <w:numFmt w:val="upperLetter"/>
      <w:start w:val="1"/>
    </w:lvl>
  </w:abstractNum>
  <w:abstractNum w:abstractNumId="147">
    <w:nsid w:val="25973E32"/>
    <w:multiLevelType w:val="hybridMultilevel"/>
    <w:lvl w:ilvl="0">
      <w:lvlJc w:val="left"/>
      <w:lvlText w:val="(%1)"/>
      <w:numFmt w:val="upperLetter"/>
      <w:start w:val="2"/>
    </w:lvl>
  </w:abstractNum>
  <w:abstractNum w:abstractNumId="148">
    <w:nsid w:val="EAD6F57"/>
    <w:multiLevelType w:val="hybridMultilevel"/>
    <w:lvl w:ilvl="0">
      <w:lvlJc w:val="left"/>
      <w:lvlText w:val="(%1)"/>
      <w:numFmt w:val="decimal"/>
      <w:start w:val="8"/>
    </w:lvl>
    <w:lvl w:ilvl="1">
      <w:lvlJc w:val="left"/>
      <w:lvlText w:val="(%2)"/>
      <w:numFmt w:val="upperLetter"/>
      <w:start w:val="1"/>
    </w:lvl>
  </w:abstractNum>
  <w:abstractNum w:abstractNumId="149">
    <w:nsid w:val="6EC9D844"/>
    <w:multiLevelType w:val="hybridMultilevel"/>
    <w:lvl w:ilvl="0">
      <w:lvlJc w:val="left"/>
      <w:lvlText w:val="(%1)"/>
      <w:numFmt w:val="decimal"/>
      <w:start w:val="11"/>
    </w:lvl>
  </w:abstractNum>
  <w:abstractNum w:abstractNumId="150">
    <w:nsid w:val="5C49EAEE"/>
    <w:multiLevelType w:val="hybridMultilevel"/>
    <w:lvl w:ilvl="0">
      <w:lvlJc w:val="left"/>
      <w:lvlText w:val="(%1)"/>
      <w:numFmt w:val="decimal"/>
      <w:start w:val="18"/>
    </w:lvl>
  </w:abstractNum>
  <w:abstractNum w:abstractNumId="151">
    <w:nsid w:val="64AF49B"/>
    <w:multiLevelType w:val="hybridMultilevel"/>
    <w:lvl w:ilvl="0">
      <w:lvlJc w:val="left"/>
      <w:lvlText w:val="(%1)"/>
      <w:numFmt w:val="decimal"/>
      <w:start w:val="1"/>
    </w:lvl>
    <w:lvl w:ilvl="1">
      <w:lvlJc w:val="left"/>
      <w:lvlText w:val="(%2)"/>
      <w:numFmt w:val="upperLetter"/>
      <w:start w:val="1"/>
    </w:lvl>
  </w:abstractNum>
  <w:abstractNum w:abstractNumId="152">
    <w:nsid w:val="397C46BC"/>
    <w:multiLevelType w:val="hybridMultilevel"/>
    <w:lvl w:ilvl="0">
      <w:lvlJc w:val="left"/>
      <w:lvlText w:val="%1"/>
      <w:numFmt w:val="lowerRoman"/>
      <w:start w:val="1"/>
    </w:lvl>
    <w:lvl w:ilvl="1">
      <w:lvlJc w:val="left"/>
      <w:lvlText w:val="(%2)"/>
      <w:numFmt w:val="upperLetter"/>
      <w:start w:val="2"/>
    </w:lvl>
  </w:abstractNum>
  <w:abstractNum w:abstractNumId="153">
    <w:nsid w:val="7E448DE9"/>
    <w:multiLevelType w:val="hybridMultilevel"/>
    <w:lvl w:ilvl="0">
      <w:lvlJc w:val="left"/>
      <w:lvlText w:val="(%1)"/>
      <w:numFmt w:val="lowerRoman"/>
      <w:start w:val="1"/>
    </w:lvl>
    <w:lvl w:ilvl="1">
      <w:lvlJc w:val="left"/>
      <w:lvlText w:val="%2"/>
      <w:numFmt w:val="upperLetter"/>
      <w:start w:val="1"/>
    </w:lvl>
  </w:abstractNum>
  <w:abstractNum w:abstractNumId="154">
    <w:nsid w:val="5A9CC3E5"/>
    <w:multiLevelType w:val="hybridMultilevel"/>
    <w:lvl w:ilvl="0">
      <w:lvlJc w:val="left"/>
      <w:lvlText w:val="(%1)"/>
      <w:numFmt w:val="lowerLetter"/>
      <w:start w:val="2"/>
    </w:lvl>
  </w:abstractNum>
  <w:abstractNum w:abstractNumId="155">
    <w:nsid w:val="1AFE3625"/>
    <w:multiLevelType w:val="hybridMultilevel"/>
    <w:lvl w:ilvl="0">
      <w:lvlJc w:val="left"/>
      <w:lvlText w:val="(%1)"/>
      <w:numFmt w:val="lowerLetter"/>
      <w:start w:val="3"/>
    </w:lvl>
  </w:abstractNum>
  <w:abstractNum w:abstractNumId="156">
    <w:nsid w:val="3CA88ECF"/>
    <w:multiLevelType w:val="hybridMultilevel"/>
    <w:lvl w:ilvl="0">
      <w:lvlJc w:val="left"/>
      <w:lvlText w:val="(%1)"/>
      <w:numFmt w:val="lowerLetter"/>
      <w:start w:val="6"/>
    </w:lvl>
    <w:lvl w:ilvl="1">
      <w:lvlJc w:val="left"/>
      <w:lvlText w:val="(%2)"/>
      <w:numFmt w:val="decimal"/>
      <w:start w:val="1"/>
    </w:lvl>
  </w:abstractNum>
  <w:abstractNum w:abstractNumId="157">
    <w:nsid w:val="6EBE4208"/>
    <w:multiLevelType w:val="hybridMultilevel"/>
    <w:lvl w:ilvl="0">
      <w:lvlJc w:val="left"/>
      <w:lvlText w:val="(%1)"/>
      <w:numFmt w:val="decimal"/>
      <w:start w:val="1"/>
    </w:lvl>
  </w:abstractNum>
  <w:abstractNum w:abstractNumId="158">
    <w:nsid w:val="C058DF5"/>
    <w:multiLevelType w:val="hybridMultilevel"/>
    <w:lvl w:ilvl="0">
      <w:lvlJc w:val="left"/>
      <w:lvlText w:val="(%1)"/>
      <w:numFmt w:val="lowerLetter"/>
      <w:start w:val="1"/>
    </w:lvl>
  </w:abstractNum>
  <w:abstractNum w:abstractNumId="159">
    <w:nsid w:val="CBE5BE9"/>
    <w:multiLevelType w:val="hybridMultilevel"/>
    <w:lvl w:ilvl="0">
      <w:lvlJc w:val="left"/>
      <w:lvlText w:val="(%1)"/>
      <w:numFmt w:val="decimal"/>
      <w:start w:val="1"/>
    </w:lvl>
  </w:abstractNum>
  <w:abstractNum w:abstractNumId="160">
    <w:nsid w:val="3102BBE2"/>
    <w:multiLevelType w:val="hybridMultilevel"/>
    <w:lvl w:ilvl="0">
      <w:lvlJc w:val="left"/>
      <w:lvlText w:val="(%1)"/>
      <w:numFmt w:val="lowerLetter"/>
      <w:start w:val="2"/>
    </w:lvl>
  </w:abstractNum>
  <w:abstractNum w:abstractNumId="161">
    <w:nsid w:val="26A02C5E"/>
    <w:multiLevelType w:val="hybridMultilevel"/>
    <w:lvl w:ilvl="0">
      <w:lvlJc w:val="left"/>
      <w:lvlText w:val="(%1)"/>
      <w:numFmt w:val="lowerLetter"/>
      <w:start w:val="1"/>
    </w:lvl>
  </w:abstractNum>
  <w:abstractNum w:abstractNumId="162">
    <w:nsid w:val="541C8153"/>
    <w:multiLevelType w:val="hybridMultilevel"/>
    <w:lvl w:ilvl="0">
      <w:lvlJc w:val="left"/>
      <w:lvlText w:val="(%1)"/>
      <w:numFmt w:val="decimal"/>
      <w:start w:val="1"/>
    </w:lvl>
  </w:abstractNum>
  <w:abstractNum w:abstractNumId="163">
    <w:nsid w:val="67906F60"/>
    <w:multiLevelType w:val="hybridMultilevel"/>
    <w:lvl w:ilvl="0">
      <w:lvlJc w:val="left"/>
      <w:lvlText w:val="(%1)"/>
      <w:numFmt w:val="lowerLetter"/>
      <w:start w:val="2"/>
    </w:lvl>
    <w:lvl w:ilvl="1">
      <w:lvlJc w:val="left"/>
      <w:lvlText w:val="(%2)"/>
      <w:numFmt w:val="decimal"/>
      <w:start w:val="1"/>
    </w:lvl>
  </w:abstractNum>
  <w:abstractNum w:abstractNumId="164">
    <w:nsid w:val="10DB9DAA"/>
    <w:multiLevelType w:val="hybridMultilevel"/>
    <w:lvl w:ilvl="0">
      <w:lvlJc w:val="left"/>
      <w:lvlText w:val="(%1)"/>
      <w:numFmt w:val="lowerLetter"/>
      <w:start w:val="5"/>
    </w:lvl>
  </w:abstractNum>
  <w:abstractNum w:abstractNumId="165">
    <w:nsid w:val="697D2D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6">
    <w:nsid w:val="6D68AB2"/>
    <w:multiLevelType w:val="hybridMultilevel"/>
    <w:lvl w:ilvl="0">
      <w:lvlJc w:val="left"/>
      <w:lvlText w:val="(%1)"/>
      <w:numFmt w:val="upperLetter"/>
      <w:start w:val="7"/>
    </w:lvl>
  </w:abstractNum>
  <w:abstractNum w:abstractNumId="167">
    <w:nsid w:val="3A966CD0"/>
    <w:multiLevelType w:val="hybridMultilevel"/>
    <w:lvl w:ilvl="0">
      <w:lvlJc w:val="left"/>
      <w:lvlText w:val="(%1)"/>
      <w:numFmt w:val="decimal"/>
      <w:start w:val="4"/>
    </w:lvl>
    <w:lvl w:ilvl="1">
      <w:lvlJc w:val="left"/>
      <w:lvlText w:val="(%2)"/>
      <w:numFmt w:val="lowerLetter"/>
      <w:start w:val="2"/>
    </w:lvl>
  </w:abstractNum>
  <w:abstractNum w:abstractNumId="168">
    <w:nsid w:val="63F37E85"/>
    <w:multiLevelType w:val="hybridMultilevel"/>
    <w:lvl w:ilvl="0">
      <w:lvlJc w:val="left"/>
      <w:lvlText w:val="(%1)"/>
      <w:numFmt w:val="lowerLetter"/>
      <w:start w:val="3"/>
    </w:lvl>
  </w:abstractNum>
  <w:abstractNum w:abstractNumId="169">
    <w:nsid w:val="5895F5FA"/>
    <w:multiLevelType w:val="hybridMultilevel"/>
    <w:lvl w:ilvl="0">
      <w:lvlJc w:val="left"/>
      <w:lvlText w:val="(%1)"/>
      <w:numFmt w:val="lowerLetter"/>
      <w:start w:val="1"/>
    </w:lvl>
  </w:abstractNum>
  <w:abstractNum w:abstractNumId="170">
    <w:nsid w:val="38A5D054"/>
    <w:multiLevelType w:val="hybridMultilevel"/>
    <w:lvl w:ilvl="0">
      <w:lvlJc w:val="left"/>
      <w:lvlText w:val="(%1)"/>
      <w:numFmt w:val="lowerLetter"/>
      <w:start w:val="3"/>
    </w:lvl>
  </w:abstractNum>
  <w:abstractNum w:abstractNumId="171">
    <w:nsid w:val="F3F09D8"/>
    <w:multiLevelType w:val="hybridMultilevel"/>
    <w:lvl w:ilvl="0">
      <w:lvlJc w:val="left"/>
      <w:lvlText w:val="(%1)"/>
      <w:numFmt w:val="lowerLetter"/>
      <w:start w:val="1"/>
    </w:lvl>
  </w:abstractNum>
  <w:abstractNum w:abstractNumId="172">
    <w:nsid w:val="4B793735"/>
    <w:multiLevelType w:val="hybridMultilevel"/>
    <w:lvl w:ilvl="0">
      <w:lvlJc w:val="left"/>
      <w:lvlText w:val="(%1)"/>
      <w:numFmt w:val="lowerLetter"/>
      <w:start w:val="2"/>
    </w:lvl>
  </w:abstractNum>
  <w:abstractNum w:abstractNumId="173">
    <w:nsid w:val="4A10B4E8"/>
    <w:multiLevelType w:val="hybridMultilevel"/>
    <w:lvl w:ilvl="0">
      <w:lvlJc w:val="left"/>
      <w:lvlText w:val="(%1)"/>
      <w:numFmt w:val="lowerLetter"/>
      <w:start w:val="1"/>
    </w:lvl>
    <w:lvl w:ilvl="1">
      <w:lvlJc w:val="left"/>
      <w:lvlText w:val="(%2)"/>
      <w:numFmt w:val="decimal"/>
      <w:start w:val="1"/>
    </w:lvl>
  </w:abstractNum>
  <w:abstractNum w:abstractNumId="174">
    <w:nsid w:val="43D3BCD4"/>
    <w:multiLevelType w:val="hybridMultilevel"/>
    <w:lvl w:ilvl="0">
      <w:lvlJc w:val="left"/>
      <w:lvlText w:val="%1"/>
      <w:numFmt w:val="lowerLetter"/>
      <w:start w:val="1"/>
    </w:lvl>
    <w:lvl w:ilvl="1">
      <w:lvlJc w:val="left"/>
      <w:lvlText w:val="(%2)"/>
      <w:numFmt w:val="decimal"/>
      <w:start w:val="3"/>
    </w:lvl>
  </w:abstractNum>
  <w:abstractNum w:abstractNumId="175">
    <w:nsid w:val="4C2A7166"/>
    <w:multiLevelType w:val="hybridMultilevel"/>
    <w:lvl w:ilvl="0">
      <w:lvlJc w:val="left"/>
      <w:lvlText w:val="(%1)"/>
      <w:numFmt w:val="lowerLetter"/>
      <w:start w:val="2"/>
    </w:lvl>
    <w:lvl w:ilvl="1">
      <w:lvlJc w:val="left"/>
      <w:lvlText w:val="%2"/>
      <w:numFmt w:val="decimal"/>
      <w:start w:val="1"/>
    </w:lvl>
  </w:abstractNum>
  <w:abstractNum w:abstractNumId="176">
    <w:nsid w:val="2E534A82"/>
    <w:multiLevelType w:val="hybridMultilevel"/>
    <w:lvl w:ilvl="0">
      <w:lvlJc w:val="left"/>
      <w:lvlText w:val="(%1)"/>
      <w:numFmt w:val="lowerLetter"/>
      <w:start w:val="5"/>
    </w:lvl>
  </w:abstractNum>
  <w:abstractNum w:abstractNumId="177">
    <w:nsid w:val="26F2D364"/>
    <w:multiLevelType w:val="hybridMultilevel"/>
    <w:lvl w:ilvl="0">
      <w:lvlJc w:val="left"/>
      <w:lvlText w:val="(%1)"/>
      <w:numFmt w:val="decimal"/>
      <w:start w:val="1"/>
    </w:lvl>
  </w:abstractNum>
  <w:abstractNum w:abstractNumId="178">
    <w:nsid w:val="71C1AF98"/>
    <w:multiLevelType w:val="hybridMultilevel"/>
    <w:lvl w:ilvl="0">
      <w:lvlJc w:val="left"/>
      <w:lvlText w:val="(%1)"/>
      <w:numFmt w:val="decimal"/>
      <w:start w:val="1"/>
    </w:lvl>
  </w:abstractNum>
  <w:abstractNum w:abstractNumId="179">
    <w:nsid w:val="3D00B9D9"/>
    <w:multiLevelType w:val="hybridMultilevel"/>
    <w:lvl w:ilvl="0">
      <w:lvlJc w:val="left"/>
      <w:lvlText w:val="(%1)"/>
      <w:numFmt w:val="decimal"/>
      <w:start w:val="1"/>
    </w:lvl>
  </w:abstractNum>
  <w:abstractNum w:abstractNumId="180">
    <w:nsid w:val="15BCABA8"/>
    <w:multiLevelType w:val="hybridMultilevel"/>
    <w:lvl w:ilvl="0">
      <w:lvlJc w:val="left"/>
      <w:lvlText w:val="(%1)"/>
      <w:numFmt w:val="lowerLetter"/>
      <w:start w:val="1"/>
    </w:lvl>
  </w:abstractNum>
  <w:abstractNum w:abstractNumId="181">
    <w:nsid w:val="4E0B9A87"/>
    <w:multiLevelType w:val="hybridMultilevel"/>
    <w:lvl w:ilvl="0">
      <w:lvlJc w:val="left"/>
      <w:lvlText w:val="(%1)"/>
      <w:numFmt w:val="lowerLetter"/>
      <w:start w:val="2"/>
    </w:lvl>
  </w:abstractNum>
  <w:abstractNum w:abstractNumId="182">
    <w:nsid w:val="434BAE75"/>
    <w:multiLevelType w:val="hybridMultilevel"/>
    <w:lvl w:ilvl="0">
      <w:lvlJc w:val="left"/>
      <w:lvlText w:val="(%1)"/>
      <w:numFmt w:val="lowerLetter"/>
      <w:start w:val="5"/>
    </w:lvl>
  </w:abstractNum>
  <w:abstractNum w:abstractNumId="183">
    <w:nsid w:val="4F38F265"/>
    <w:multiLevelType w:val="hybridMultilevel"/>
    <w:lvl w:ilvl="0">
      <w:lvlJc w:val="left"/>
      <w:lvlText w:val="(%1)"/>
      <w:numFmt w:val="decimal"/>
      <w:start w:val="1"/>
    </w:lvl>
    <w:lvl w:ilvl="1">
      <w:lvlJc w:val="left"/>
      <w:lvlText w:val="(%2)"/>
      <w:numFmt w:val="upperLetter"/>
      <w:start w:val="1"/>
    </w:lvl>
  </w:abstractNum>
  <w:abstractNum w:abstractNumId="184">
    <w:nsid w:val="4C502870"/>
    <w:multiLevelType w:val="hybridMultilevel"/>
    <w:lvl w:ilvl="0">
      <w:lvlJc w:val="left"/>
      <w:lvlText w:val="(%1)"/>
      <w:numFmt w:val="decimal"/>
      <w:start w:val="5"/>
    </w:lvl>
    <w:lvl w:ilvl="1">
      <w:lvlJc w:val="left"/>
      <w:lvlText w:val="(%2)"/>
      <w:numFmt w:val="upperLetter"/>
      <w:start w:val="1"/>
    </w:lvl>
  </w:abstractNum>
  <w:abstractNum w:abstractNumId="185">
    <w:nsid w:val="1DE8725A"/>
    <w:multiLevelType w:val="hybridMultilevel"/>
    <w:lvl w:ilvl="0">
      <w:lvlJc w:val="left"/>
      <w:lvlText w:val="(%1)"/>
      <w:numFmt w:val="upperLetter"/>
      <w:start w:val="2"/>
    </w:lvl>
  </w:abstractNum>
  <w:abstractNum w:abstractNumId="186">
    <w:nsid w:val="6A37288A"/>
    <w:multiLevelType w:val="hybridMultilevel"/>
    <w:lvl w:ilvl="0">
      <w:lvlJc w:val="left"/>
      <w:lvlText w:val="(%1)"/>
      <w:numFmt w:val="decimal"/>
      <w:start w:val="1"/>
    </w:lvl>
  </w:abstractNum>
  <w:abstractNum w:abstractNumId="187">
    <w:nsid w:val="8F8B73F"/>
    <w:multiLevelType w:val="hybridMultilevel"/>
    <w:lvl w:ilvl="0">
      <w:lvlJc w:val="left"/>
      <w:lvlText w:val="(%1)"/>
      <w:numFmt w:val="decimal"/>
      <w:start w:val="1"/>
    </w:lvl>
  </w:abstractNum>
  <w:abstractNum w:abstractNumId="188">
    <w:nsid w:val="CA6B462"/>
    <w:multiLevelType w:val="hybridMultilevel"/>
    <w:lvl w:ilvl="0">
      <w:lvlJc w:val="left"/>
      <w:lvlText w:val="(%1)"/>
      <w:numFmt w:val="lowerLetter"/>
      <w:start w:val="1"/>
    </w:lvl>
  </w:abstractNum>
  <w:abstractNum w:abstractNumId="189">
    <w:nsid w:val="763CB680"/>
    <w:multiLevelType w:val="hybridMultilevel"/>
    <w:lvl w:ilvl="0">
      <w:lvlJc w:val="left"/>
      <w:lvlText w:val="(%1)"/>
      <w:numFmt w:val="lowerLetter"/>
      <w:start w:val="2"/>
    </w:lvl>
  </w:abstractNum>
  <w:abstractNum w:abstractNumId="190">
    <w:nsid w:val="15B71329"/>
    <w:multiLevelType w:val="hybridMultilevel"/>
    <w:lvl w:ilvl="0">
      <w:lvlJc w:val="left"/>
      <w:lvlText w:val="(%1)"/>
      <w:numFmt w:val="lowerLetter"/>
      <w:start w:val="1"/>
    </w:lvl>
    <w:lvl w:ilvl="1">
      <w:lvlJc w:val="left"/>
      <w:lvlText w:val="(%2)"/>
      <w:numFmt w:val="decimal"/>
      <w:start w:val="1"/>
    </w:lvl>
  </w:abstractNum>
  <w:abstractNum w:abstractNumId="191">
    <w:nsid w:val="3DA97044"/>
    <w:multiLevelType w:val="hybridMultilevel"/>
    <w:lvl w:ilvl="0">
      <w:lvlJc w:val="left"/>
      <w:lvlText w:val="(%1)"/>
      <w:numFmt w:val="lowerLetter"/>
      <w:start w:val="3"/>
    </w:lvl>
    <w:lvl w:ilvl="1">
      <w:lvlJc w:val="left"/>
      <w:lvlText w:val="(%2)"/>
      <w:numFmt w:val="decimal"/>
      <w:start w:val="1"/>
    </w:lvl>
  </w:abstractNum>
  <w:abstractNum w:abstractNumId="192">
    <w:nsid w:val="1CDCE2DE"/>
    <w:multiLevelType w:val="hybridMultilevel"/>
    <w:lvl w:ilvl="0">
      <w:lvlJc w:val="left"/>
      <w:lvlText w:val="(%1)"/>
      <w:numFmt w:val="lowerLetter"/>
      <w:start w:val="1"/>
    </w:lvl>
  </w:abstractNum>
  <w:abstractNum w:abstractNumId="193">
    <w:nsid w:val="69D3947C"/>
    <w:multiLevelType w:val="hybridMultilevel"/>
    <w:lvl w:ilvl="0">
      <w:lvlJc w:val="left"/>
      <w:lvlText w:val="(%1)"/>
      <w:numFmt w:val="lowerLetter"/>
      <w:start w:val="4"/>
    </w:lvl>
  </w:abstractNum>
  <w:abstractNum w:abstractNumId="194">
    <w:nsid w:val="2539DFA5"/>
    <w:multiLevelType w:val="hybridMultilevel"/>
    <w:lvl w:ilvl="0">
      <w:lvlJc w:val="left"/>
      <w:lvlText w:val="(%1)"/>
      <w:numFmt w:val="lowerLetter"/>
      <w:start w:val="13"/>
    </w:lvl>
  </w:abstractNum>
  <w:abstractNum w:abstractNumId="195">
    <w:nsid w:val="2DB88089"/>
    <w:multiLevelType w:val="hybridMultilevel"/>
    <w:lvl w:ilvl="0">
      <w:lvlJc w:val="left"/>
      <w:lvlText w:val="(%1)"/>
      <w:numFmt w:val="decimal"/>
      <w:start w:val="1"/>
    </w:lvl>
  </w:abstractNum>
  <w:abstractNum w:abstractNumId="196">
    <w:nsid w:val="706B674E"/>
    <w:multiLevelType w:val="hybridMultilevel"/>
    <w:lvl w:ilvl="0">
      <w:lvlJc w:val="left"/>
      <w:lvlText w:val="(%1)"/>
      <w:numFmt w:val="decimal"/>
      <w:start w:val="1"/>
    </w:lvl>
  </w:abstractNum>
  <w:abstractNum w:abstractNumId="197">
    <w:nsid w:val="2C106A57"/>
    <w:multiLevelType w:val="hybridMultilevel"/>
    <w:lvl w:ilvl="0">
      <w:lvlJc w:val="left"/>
      <w:lvlText w:val="(%1)"/>
      <w:numFmt w:val="decimal"/>
      <w:start w:val="1"/>
    </w:lvl>
  </w:abstractNum>
  <w:abstractNum w:abstractNumId="198">
    <w:nsid w:val="684EED59"/>
    <w:multiLevelType w:val="hybridMultilevel"/>
    <w:lvl w:ilvl="0">
      <w:lvlJc w:val="left"/>
      <w:lvlText w:val="(%1)"/>
      <w:numFmt w:val="decimal"/>
      <w:start w:val="2"/>
    </w:lvl>
    <w:lvl w:ilvl="1">
      <w:lvlJc w:val="left"/>
      <w:lvlText w:val="(%2)"/>
      <w:numFmt w:val="upperLetter"/>
      <w:start w:val="1"/>
    </w:lvl>
  </w:abstractNum>
  <w:abstractNum w:abstractNumId="199">
    <w:nsid w:val="545EE5D3"/>
    <w:multiLevelType w:val="hybridMultilevel"/>
    <w:lvl w:ilvl="0">
      <w:lvlJc w:val="left"/>
      <w:lvlText w:val="(%1)"/>
      <w:numFmt w:val="decimal"/>
      <w:start w:val="3"/>
    </w:lvl>
  </w:abstractNum>
  <w:abstractNum w:abstractNumId="200">
    <w:nsid w:val="4A66051"/>
    <w:multiLevelType w:val="hybridMultilevel"/>
    <w:lvl w:ilvl="0">
      <w:lvlJc w:val="left"/>
      <w:lvlText w:val="(%1)"/>
      <w:numFmt w:val="decimal"/>
      <w:start w:val="1"/>
    </w:lvl>
  </w:abstractNum>
  <w:abstractNum w:abstractNumId="201">
    <w:nsid w:val="20F4BDAD"/>
    <w:multiLevelType w:val="hybridMultilevel"/>
    <w:lvl w:ilvl="0">
      <w:lvlJc w:val="left"/>
      <w:lvlText w:val="(%1)"/>
      <w:numFmt w:val="decimal"/>
      <w:start w:val="1"/>
    </w:lvl>
  </w:abstractNum>
  <w:abstractNum w:abstractNumId="202">
    <w:nsid w:val="639DEFAC"/>
    <w:multiLevelType w:val="hybridMultilevel"/>
    <w:lvl w:ilvl="0">
      <w:lvlJc w:val="left"/>
      <w:lvlText w:val="(%1)"/>
      <w:numFmt w:val="decimal"/>
      <w:start w:val="5"/>
    </w:lvl>
  </w:abstractNum>
  <w:abstractNum w:abstractNumId="203">
    <w:nsid w:val="501F9786"/>
    <w:multiLevelType w:val="hybridMultilevel"/>
    <w:lvl w:ilvl="0">
      <w:lvlJc w:val="left"/>
      <w:lvlText w:val="(%1)"/>
      <w:numFmt w:val="lowerLetter"/>
      <w:start w:val="5"/>
    </w:lvl>
  </w:abstractNum>
  <w:abstractNum w:abstractNumId="204">
    <w:nsid w:val="6B057295"/>
    <w:multiLevelType w:val="hybridMultilevel"/>
    <w:lvl w:ilvl="0">
      <w:lvlJc w:val="left"/>
      <w:lvlText w:val="(%1)"/>
      <w:numFmt w:val="lowerLetter"/>
      <w:start w:val="1"/>
    </w:lvl>
    <w:lvl w:ilvl="1">
      <w:lvlJc w:val="left"/>
      <w:lvlText w:val="(%2)"/>
      <w:numFmt w:val="decimal"/>
      <w:start w:val="1"/>
    </w:lvl>
  </w:abstractNum>
  <w:abstractNum w:abstractNumId="205">
    <w:nsid w:val="2771AC80"/>
    <w:multiLevelType w:val="hybridMultilevel"/>
    <w:lvl w:ilvl="0">
      <w:lvlJc w:val="left"/>
      <w:lvlText w:val="(%1)"/>
      <w:numFmt w:val="decimal"/>
      <w:start w:val="6"/>
    </w:lvl>
  </w:abstractNum>
  <w:abstractNum w:abstractNumId="206">
    <w:nsid w:val="1C4A08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7">
    <w:nsid w:val="1958BD17"/>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208">
    <w:nsid w:val="4E647FE4"/>
    <w:multiLevelType w:val="hybridMultilevel"/>
    <w:lvl w:ilvl="0">
      <w:lvlJc w:val="left"/>
      <w:lvlText w:val="(%1)"/>
      <w:numFmt w:val="lowerLetter"/>
      <w:start w:val="3"/>
    </w:lvl>
  </w:abstractNum>
  <w:abstractNum w:abstractNumId="209">
    <w:nsid w:val="E0BB885"/>
    <w:multiLevelType w:val="hybridMultilevel"/>
    <w:lvl w:ilvl="0">
      <w:lvlJc w:val="left"/>
      <w:lvlText w:val="(%1)"/>
      <w:numFmt w:val="decimal"/>
      <w:start w:val="1"/>
    </w:lvl>
  </w:abstractNum>
  <w:abstractNum w:abstractNumId="210">
    <w:nsid w:val="565976F1"/>
    <w:multiLevelType w:val="hybridMultilevel"/>
    <w:lvl w:ilvl="0">
      <w:lvlJc w:val="left"/>
      <w:lvlText w:val="(%1)"/>
      <w:numFmt w:val="decimal"/>
      <w:start w:val="1"/>
    </w:lvl>
  </w:abstractNum>
  <w:abstractNum w:abstractNumId="211">
    <w:nsid w:val="64212B8C"/>
    <w:multiLevelType w:val="hybridMultilevel"/>
    <w:lvl w:ilvl="0">
      <w:lvlJc w:val="left"/>
      <w:lvlText w:val="["/>
      <w:numFmt w:val="bullet"/>
      <w:start w:val="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
      <w:numFmt w:val="bullet"/>
      <w:start w:val="1"/>
    </w:lvl>
  </w:abstractNum>
  <w:abstractNum w:abstractNumId="217">
    <w:nsid w:val="1D91467C"/>
    <w:multiLevelType w:val="hybridMultilevel"/>
    <w:lvl w:ilvl="0">
      <w:lvlJc w:val="left"/>
      <w:lvlText w:val="%1."/>
      <w:numFmt w:val="decimal"/>
      <w:start w:val="1"/>
    </w:lvl>
  </w:abstractNum>
  <w:abstractNum w:abstractNumId="218">
    <w:nsid w:val="316032BB"/>
    <w:multiLevelType w:val="hybridMultilevel"/>
    <w:lvl w:ilvl="0">
      <w:lvlJc w:val="left"/>
      <w:lvlText w:val="%1."/>
      <w:numFmt w:val="decimal"/>
      <w:start w:val="2"/>
    </w:lvl>
  </w:abstractNum>
  <w:abstractNum w:abstractNumId="219">
    <w:nsid w:val="44344C22"/>
    <w:multiLevelType w:val="hybridMultilevel"/>
    <w:lvl w:ilvl="0">
      <w:lvlJc w:val="left"/>
      <w:lvlText w:val="%1."/>
      <w:numFmt w:val="decimal"/>
      <w:start w:val="8"/>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abstractNum>
  <w:abstractNum w:abstractNumId="222">
    <w:nsid w:val="1DDBC66"/>
    <w:multiLevelType w:val="hybridMultilevel"/>
    <w:lvl w:ilvl="0">
      <w:lvlJc w:val="left"/>
      <w:lvlText w:val="["/>
      <w:numFmt w:val="bullet"/>
      <w:start w:val="1"/>
    </w:lvl>
  </w:abstractNum>
  <w:abstractNum w:abstractNumId="223">
    <w:nsid w:val="30AADFDA"/>
    <w:multiLevelType w:val="hybridMultilevel"/>
    <w:lvl w:ilvl="0">
      <w:lvlJc w:val="left"/>
      <w:lvlText w:val="["/>
      <w:numFmt w:val="bullet"/>
      <w:start w:val="1"/>
    </w:lvl>
  </w:abstractNum>
  <w:abstractNum w:abstractNumId="224">
    <w:nsid w:val="30EADA61"/>
    <w:multiLevelType w:val="hybridMultilevel"/>
    <w:lvl w:ilvl="0">
      <w:lvlJc w:val="left"/>
      <w:lvlText w:val="["/>
      <w:numFmt w:val="bullet"/>
      <w:start w:val="1"/>
    </w:lvl>
  </w:abstractNum>
  <w:abstractNum w:abstractNumId="225">
    <w:nsid w:val="27179C0B"/>
    <w:multiLevelType w:val="hybridMultilevel"/>
    <w:lvl w:ilvl="0">
      <w:lvlJc w:val="left"/>
      <w:lvlText w:val="["/>
      <w:numFmt w:val="bullet"/>
      <w:start w:val="1"/>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lvl w:ilvl="1">
      <w:lvlJc w:val="left"/>
      <w:lvlText w:val="%2)"/>
      <w:numFmt w:val="lowerLetter"/>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61" Type="http://schemas.openxmlformats.org/officeDocument/2006/relationships/hyperlink" Target="http://www.sec.gov/Archives/edgar/data/723612/000120677419001054/avis3494471-def14a.htm#d349447a045" TargetMode="External"/><Relationship Id="rId62" Type="http://schemas.openxmlformats.org/officeDocument/2006/relationships/hyperlink" Target="http://www.sec.gov/Archives/edgar/data/723612/000072361219000081/indenturesupplement.htm" TargetMode="External"/><Relationship Id="rId63" Type="http://schemas.openxmlformats.org/officeDocument/2006/relationships/hyperlink" Target="http://www.sec.gov/Archives/edgar/data/723612/000072361219000093/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2019-12-28T08:17:26Z</dcterms:created>
  <dcterms:modified xsi:type="dcterms:W3CDTF">2019-12-28T08:17:26Z</dcterms:modified>
</cp:coreProperties>
</file>