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SCHEDULE 14A</w:t>
      </w:r>
    </w:p>
    <w:p>
      <w:pPr>
        <w:spacing w:after="0" w:line="271" w:lineRule="exact"/>
        <w:rPr>
          <w:sz w:val="24"/>
          <w:szCs w:val="24"/>
          <w:color w:val="auto"/>
        </w:rPr>
      </w:pPr>
    </w:p>
    <w:p>
      <w:pPr>
        <w:jc w:val="center"/>
        <w:ind w:right="40"/>
        <w:spacing w:after="0"/>
        <w:rPr>
          <w:sz w:val="20"/>
          <w:szCs w:val="20"/>
          <w:color w:val="auto"/>
        </w:rPr>
      </w:pPr>
      <w:r>
        <w:rPr>
          <w:rFonts w:ascii="Arial" w:cs="Arial" w:eastAsia="Arial" w:hAnsi="Arial"/>
          <w:sz w:val="15"/>
          <w:szCs w:val="15"/>
          <w:color w:val="auto"/>
        </w:rPr>
        <w:t>Proxy Statement Pursuant to Section 14(a) of the Securities</w:t>
      </w:r>
    </w:p>
    <w:p>
      <w:pPr>
        <w:spacing w:after="0" w:line="50" w:lineRule="exact"/>
        <w:rPr>
          <w:sz w:val="24"/>
          <w:szCs w:val="24"/>
          <w:color w:val="auto"/>
        </w:rPr>
      </w:pPr>
    </w:p>
    <w:p>
      <w:pPr>
        <w:ind w:left="3920"/>
        <w:spacing w:after="0"/>
        <w:tabs>
          <w:tab w:leader="none" w:pos="7260" w:val="left"/>
        </w:tabs>
        <w:rPr>
          <w:sz w:val="20"/>
          <w:szCs w:val="20"/>
          <w:color w:val="auto"/>
        </w:rPr>
      </w:pPr>
      <w:r>
        <w:rPr>
          <w:rFonts w:ascii="Arial" w:cs="Arial" w:eastAsia="Arial" w:hAnsi="Arial"/>
          <w:sz w:val="18"/>
          <w:szCs w:val="18"/>
          <w:color w:val="auto"/>
        </w:rPr>
        <w:t>Exchange Act of 1934 (Amendment No.</w:t>
      </w:r>
      <w:r>
        <w:rPr>
          <w:sz w:val="20"/>
          <w:szCs w:val="20"/>
          <w:color w:val="auto"/>
        </w:rPr>
        <w:tab/>
      </w:r>
      <w:r>
        <w:rPr>
          <w:rFonts w:ascii="Arial" w:cs="Arial" w:eastAsia="Arial" w:hAnsi="Arial"/>
          <w:sz w:val="18"/>
          <w:szCs w:val="18"/>
          <w:color w:val="auto"/>
        </w:rPr>
        <w:t>)</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spacing w:after="0"/>
        <w:tabs>
          <w:tab w:leader="none" w:pos="3120" w:val="left"/>
        </w:tabs>
        <w:rPr>
          <w:sz w:val="20"/>
          <w:szCs w:val="20"/>
          <w:color w:val="auto"/>
        </w:rPr>
      </w:pPr>
      <w:r>
        <w:rPr>
          <w:rFonts w:ascii="Arial" w:cs="Arial" w:eastAsia="Arial" w:hAnsi="Arial"/>
          <w:sz w:val="16"/>
          <w:szCs w:val="16"/>
          <w:color w:val="auto"/>
        </w:rPr>
        <w:t>Filed by a Party other than the Registrant [</w:t>
      </w:r>
      <w:r>
        <w:rPr>
          <w:sz w:val="20"/>
          <w:szCs w:val="20"/>
          <w:color w:val="auto"/>
        </w:rPr>
        <w:tab/>
      </w:r>
      <w:r>
        <w:rPr>
          <w:rFonts w:ascii="Arial" w:cs="Arial" w:eastAsia="Arial" w:hAnsi="Arial"/>
          <w:sz w:val="18"/>
          <w:szCs w:val="18"/>
          <w:color w:val="auto"/>
        </w:rPr>
        <w: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79" w:lineRule="exact"/>
        <w:rPr>
          <w:sz w:val="24"/>
          <w:szCs w:val="24"/>
          <w:color w:val="auto"/>
        </w:rPr>
      </w:pPr>
    </w:p>
    <w:p>
      <w:pPr>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Preliminary Proxy Statement</w:t>
      </w:r>
    </w:p>
    <w:p>
      <w:pPr>
        <w:spacing w:after="0" w:line="17" w:lineRule="exact"/>
        <w:rPr>
          <w:sz w:val="24"/>
          <w:szCs w:val="24"/>
          <w:color w:val="auto"/>
        </w:rPr>
      </w:pPr>
    </w:p>
    <w:p>
      <w:pPr>
        <w:ind w:left="200" w:hanging="192"/>
        <w:spacing w:after="0"/>
        <w:tabs>
          <w:tab w:leader="none" w:pos="2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Confidential, for Use of the Commission Only (as permitted by Rule 14a-6(e)(2))</w:t>
      </w:r>
    </w:p>
    <w:p>
      <w:pPr>
        <w:spacing w:after="0" w:line="56" w:lineRule="exact"/>
        <w:rPr>
          <w:sz w:val="24"/>
          <w:szCs w:val="24"/>
          <w:color w:val="auto"/>
        </w:rPr>
      </w:pPr>
    </w:p>
    <w:p>
      <w:pPr>
        <w:ind w:left="540" w:hanging="532"/>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ectPr>
          <w:pgSz w:w="11900" w:h="16838" w:orient="portrait"/>
          <w:cols w:equalWidth="0" w:num="1">
            <w:col w:w="11240"/>
          </w:cols>
          <w:pgMar w:left="320" w:top="233" w:right="339" w:bottom="1440" w:gutter="0" w:footer="0" w:header="0"/>
        </w:sectPr>
      </w:pPr>
    </w:p>
    <w:p>
      <w:pPr>
        <w:spacing w:after="0" w:line="36"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36" w:lineRule="exact"/>
        <w:rPr>
          <w:sz w:val="24"/>
          <w:szCs w:val="24"/>
          <w:color w:val="auto"/>
        </w:rPr>
      </w:pPr>
    </w:p>
    <w:p>
      <w:pPr>
        <w:spacing w:after="0"/>
        <w:tabs>
          <w:tab w:leader="none" w:pos="180" w:val="left"/>
        </w:tabs>
        <w:rPr>
          <w:sz w:val="20"/>
          <w:szCs w:val="20"/>
          <w:color w:val="auto"/>
        </w:rPr>
      </w:pPr>
      <w:r>
        <w:rPr>
          <w:rFonts w:ascii="Arial" w:cs="Arial" w:eastAsia="Arial" w:hAnsi="Arial"/>
          <w:sz w:val="18"/>
          <w:szCs w:val="18"/>
          <w:color w:val="auto"/>
        </w:rPr>
        <w:t>[</w:t>
        <w:tab/>
        <w:t>]</w:t>
      </w:r>
    </w:p>
    <w:p>
      <w:pPr>
        <w:spacing w:after="0" w:line="20" w:lineRule="exact"/>
        <w:rPr>
          <w:sz w:val="24"/>
          <w:szCs w:val="24"/>
          <w:color w:val="auto"/>
        </w:rPr>
      </w:pPr>
      <w:r>
        <w:rPr>
          <w:sz w:val="24"/>
          <w:szCs w:val="24"/>
          <w:color w:val="auto"/>
        </w:rPr>
        <w:br w:type="column"/>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Definitive Additional Materials</w:t>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Pursuant to §240.14a-12</w:t>
      </w:r>
    </w:p>
    <w:p>
      <w:pPr>
        <w:spacing w:after="0" w:line="222" w:lineRule="exact"/>
        <w:rPr>
          <w:sz w:val="24"/>
          <w:szCs w:val="24"/>
          <w:color w:val="auto"/>
        </w:rPr>
      </w:pPr>
    </w:p>
    <w:p>
      <w:pPr>
        <w:sectPr>
          <w:pgSz w:w="11900" w:h="16838" w:orient="portrait"/>
          <w:cols w:equalWidth="0" w:num="2">
            <w:col w:w="260" w:space="280"/>
            <w:col w:w="10700"/>
          </w:cols>
          <w:pgMar w:left="320" w:top="233" w:right="339" w:bottom="1440" w:gutter="0" w:footer="0" w:header="0"/>
          <w:type w:val="continuous"/>
        </w:sectPr>
      </w:pP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36" w:lineRule="exact"/>
        <w:rPr>
          <w:sz w:val="24"/>
          <w:szCs w:val="24"/>
          <w:color w:val="auto"/>
        </w:rPr>
      </w:pPr>
    </w:p>
    <w:p>
      <w:pPr>
        <w:ind w:left="540" w:hanging="519"/>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36" w:lineRule="exact"/>
        <w:rPr>
          <w:sz w:val="24"/>
          <w:szCs w:val="24"/>
          <w:color w:val="auto"/>
        </w:rPr>
      </w:pPr>
    </w:p>
    <w:p>
      <w:pPr>
        <w:ind w:left="200" w:hanging="184"/>
        <w:spacing w:after="0"/>
        <w:tabs>
          <w:tab w:leader="none" w:pos="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14a-6(i)(1) and 0-11.</w:t>
      </w:r>
    </w:p>
    <w:p>
      <w:pPr>
        <w:spacing w:after="0" w:line="27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19"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000" w:hanging="463"/>
        <w:spacing w:after="0" w:line="299" w:lineRule="auto"/>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000" w:hanging="463"/>
        <w:spacing w:after="0"/>
        <w:tabs>
          <w:tab w:leader="none" w:pos="10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-1248410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ind w:left="20"/>
        <w:spacing w:after="0"/>
        <w:tabs>
          <w:tab w:leader="none" w:pos="180" w:val="left"/>
          <w:tab w:leader="none" w:pos="520" w:val="left"/>
        </w:tabs>
        <w:rPr>
          <w:sz w:val="20"/>
          <w:szCs w:val="20"/>
          <w:color w:val="auto"/>
        </w:rPr>
      </w:pPr>
      <w:r>
        <w:rPr>
          <w:rFonts w:ascii="Arial" w:cs="Arial" w:eastAsia="Arial" w:hAnsi="Arial"/>
          <w:sz w:val="18"/>
          <w:szCs w:val="18"/>
          <w:color w:val="auto"/>
        </w:rPr>
        <w:t>[</w:t>
        <w:tab/>
        <w:t>]</w:t>
      </w:r>
      <w:r>
        <w:rPr>
          <w:sz w:val="20"/>
          <w:szCs w:val="20"/>
          <w:color w:val="auto"/>
        </w:rPr>
        <w:tab/>
      </w:r>
      <w:r>
        <w:rPr>
          <w:rFonts w:ascii="Arial" w:cs="Arial" w:eastAsia="Arial" w:hAnsi="Arial"/>
          <w:sz w:val="16"/>
          <w:szCs w:val="16"/>
          <w:color w:val="auto"/>
        </w:rPr>
        <w:t>Fee paid previously with preliminary materials.</w:t>
      </w:r>
    </w:p>
    <w:p>
      <w:pPr>
        <w:spacing w:after="0" w:line="266" w:lineRule="exact"/>
        <w:rPr>
          <w:sz w:val="24"/>
          <w:szCs w:val="24"/>
          <w:color w:val="auto"/>
        </w:rPr>
      </w:pPr>
    </w:p>
    <w:p>
      <w:pPr>
        <w:ind w:left="540" w:hanging="524"/>
        <w:spacing w:after="0" w:line="268" w:lineRule="auto"/>
        <w:tabs>
          <w:tab w:leader="none" w:pos="212" w:val="left"/>
        </w:tabs>
        <w:numPr>
          <w:ilvl w:val="0"/>
          <w:numId w:val="5"/>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6"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73"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06"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06" w:lineRule="exact"/>
        <w:rPr>
          <w:rFonts w:ascii="Arial" w:cs="Arial" w:eastAsia="Arial" w:hAnsi="Arial"/>
          <w:sz w:val="18"/>
          <w:szCs w:val="18"/>
          <w:color w:val="auto"/>
        </w:rPr>
      </w:pPr>
    </w:p>
    <w:p>
      <w:pPr>
        <w:ind w:left="1000" w:hanging="466"/>
        <w:spacing w:after="0"/>
        <w:tabs>
          <w:tab w:leader="none" w:pos="10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1532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215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645160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146050</wp:posOffset>
            </wp:positionV>
            <wp:extent cx="282892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89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30,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Shareholder:</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past year proved to be the most challenging in our Company’s history as we navigated through the impacts of the COVID-19 pandemic. While 2020 started out very strong, we had to react quickly and decisively to respond to the impacts to our business from the pandemic by taking measures to align our costs with demand. At the same time, we prioritized the health and safety of our customers and employees through enhanced protocols at our locations and in our vehicles.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extremely proud of the efforts of all of our employees, which have enabled us to emerge as a stronger and more agile company. Despite the challenges we faced in 2020, we continued our work in the area of corporate social responsibility, including enhancements to our sustainability practices, diversity and inclusion initiatives and reporting. More information can be found in the Environmental, Social and Governance (“ESG”) section of our website, including our latest Corporate Social Responsibility Report.</w:t>
      </w:r>
    </w:p>
    <w:p>
      <w:pPr>
        <w:spacing w:after="0" w:line="20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It is our pleasure to invite you to attend the 2021 Annual Meeting of Shareholders of Avis Budget Group, Inc., which will be held virtually on May 26, 2021, at 9:00 a.m. Eastern Time. As part of our COVID-19 precautions, and to prioritize the health and well-being of our shareholders, employees and community, this year’s Annual Meeting will be held exclusively online.</w:t>
      </w:r>
    </w:p>
    <w:p>
      <w:pPr>
        <w:spacing w:after="0" w:line="20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This booklet includes the Notice of Annual Meeting and the Proxy Statement. The Proxy Statement describes the business to be conducted at the Annual Meeting and provides other information concerning our Company of which you should be aware when you vote your shares.</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behalf of the Board of Directors and the employees of Avis Budget Group, Inc., we would like to thank you for being a shareholder and express our appreciation for your ongoing support of our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68655" cy="420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86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Bernardo Hees</w:t>
      </w:r>
    </w:p>
    <w:p>
      <w:pPr>
        <w:spacing w:after="0"/>
        <w:rPr>
          <w:sz w:val="20"/>
          <w:szCs w:val="20"/>
          <w:color w:val="auto"/>
        </w:rPr>
      </w:pPr>
      <w:r>
        <w:rPr>
          <w:rFonts w:ascii="Arial" w:cs="Arial" w:eastAsia="Arial" w:hAnsi="Arial"/>
          <w:sz w:val="18"/>
          <w:szCs w:val="18"/>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61722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2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Joseph A. Ferraro</w:t>
      </w: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45"/>
          <w:szCs w:val="45"/>
          <w:color w:val="auto"/>
        </w:rPr>
        <w:t>Notice of 2021 Annual Meeting of Shareholders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NOTICE IS HEREBY GIVEN that the Annual Meeting of Shareholders of Avis Budget Group, Inc. (the “Company”) will be held online on</w:t>
      </w:r>
    </w:p>
    <w:p>
      <w:pPr>
        <w:spacing w:after="0"/>
        <w:rPr>
          <w:sz w:val="20"/>
          <w:szCs w:val="20"/>
          <w:color w:val="auto"/>
        </w:rPr>
      </w:pPr>
      <w:r>
        <w:rPr>
          <w:rFonts w:ascii="Arial" w:cs="Arial" w:eastAsia="Arial" w:hAnsi="Arial"/>
          <w:sz w:val="18"/>
          <w:szCs w:val="18"/>
          <w:color w:val="auto"/>
        </w:rPr>
        <w:t>Wednesday, May 26, at 9:00 a.m. Eastern Time, to consider and vote upon the following matters:</w:t>
      </w:r>
    </w:p>
    <w:p>
      <w:pPr>
        <w:spacing w:after="0" w:line="198" w:lineRule="exact"/>
        <w:rPr>
          <w:sz w:val="20"/>
          <w:szCs w:val="20"/>
          <w:color w:val="auto"/>
        </w:rPr>
      </w:pPr>
    </w:p>
    <w:p>
      <w:pPr>
        <w:ind w:left="340" w:hanging="332"/>
        <w:spacing w:after="0" w:line="246"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as directors the six nominees named in the accompanying proxy statement for a one-year term expiring in 2022 and until his or her successor is duly elected and qualified or until his or her earlier resignation or removal.</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the independent registered public accounting firm for fiscal year 2021.</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provide advisory approval of the compensation of our named executive officers.</w:t>
      </w:r>
    </w:p>
    <w:p>
      <w:pPr>
        <w:spacing w:after="0" w:line="21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This year’s Meeting will be held virtually due to the ongoing public health concerns resulting from the COVID-19 pandemic and to support the health and well-being of our employees, shareholders and community. You will be not be able to attend the Meeting physically in person. We have designed the format of the Meeting to provide shareholders the same ability to participate that they would have at an in-person meeting. Shareholders will be able to listen to the webcast live, submit questions and vote during the online Meeting. You can attend the Meeting by accessing </w:t>
      </w:r>
      <w:r>
        <w:rPr>
          <w:rFonts w:ascii="Arial" w:cs="Arial" w:eastAsia="Arial" w:hAnsi="Arial"/>
          <w:sz w:val="18"/>
          <w:szCs w:val="18"/>
          <w:i w:val="1"/>
          <w:iCs w:val="1"/>
          <w:color w:val="auto"/>
        </w:rPr>
        <w:t>www.meetingcenter.io/250990059</w:t>
      </w:r>
      <w:r>
        <w:rPr>
          <w:rFonts w:ascii="Arial" w:cs="Arial" w:eastAsia="Arial" w:hAnsi="Arial"/>
          <w:sz w:val="18"/>
          <w:szCs w:val="18"/>
          <w:color w:val="auto"/>
        </w:rPr>
        <w:t xml:space="preserve"> and entering the 15-digit control number found on the proxy card or notice and the meeting password, CAR2021.</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Board of Directors has fixed the close of business on March 29, 2021 as the record date for the Meeting. Only shareholders of record at that time are entitled to notice of, and to vote at, the Meeting and any adjournment or postponement thereof. A list of shareholders entitled to vote at the Meeting will be available for examination by any shareholder, for any purpose germane to the Meeting, for at least ten days prior to the Meeting by e-mailing </w:t>
      </w:r>
      <w:r>
        <w:rPr>
          <w:rFonts w:ascii="Arial" w:cs="Arial" w:eastAsia="Arial" w:hAnsi="Arial"/>
          <w:sz w:val="18"/>
          <w:szCs w:val="18"/>
          <w:i w:val="1"/>
          <w:iCs w:val="1"/>
          <w:color w:val="auto"/>
        </w:rPr>
        <w:t>chairman@avisbudget.com.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130810</wp:posOffset>
            </wp:positionV>
            <wp:extent cx="5700395" cy="874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0395" cy="874395"/>
                    </a:xfrm>
                    <a:prstGeom prst="rect">
                      <a:avLst/>
                    </a:prstGeom>
                    <a:noFill/>
                  </pic:spPr>
                </pic:pic>
              </a:graphicData>
            </a:graphic>
          </wp:anchor>
        </w:drawing>
      </w: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Shareholder Meeting to Be Held on May 26, 2021</w:t>
      </w:r>
    </w:p>
    <w:p>
      <w:pPr>
        <w:jc w:val="center"/>
        <w:ind w:right="-19"/>
        <w:spacing w:after="0" w:line="234" w:lineRule="auto"/>
        <w:rPr>
          <w:sz w:val="20"/>
          <w:szCs w:val="20"/>
          <w:color w:val="auto"/>
        </w:rPr>
      </w:pPr>
      <w:r>
        <w:rPr>
          <w:rFonts w:ascii="Arial" w:cs="Arial" w:eastAsia="Arial" w:hAnsi="Arial"/>
          <w:sz w:val="18"/>
          <w:szCs w:val="18"/>
          <w:b w:val="1"/>
          <w:bCs w:val="1"/>
          <w:color w:val="auto"/>
        </w:rPr>
        <w:t>The Company’s Proxy Statement on Schedule 14A,</w:t>
      </w:r>
    </w:p>
    <w:p>
      <w:pPr>
        <w:jc w:val="center"/>
        <w:ind w:right="-19"/>
        <w:spacing w:after="0" w:line="235" w:lineRule="auto"/>
        <w:rPr>
          <w:sz w:val="20"/>
          <w:szCs w:val="20"/>
          <w:color w:val="auto"/>
        </w:rPr>
      </w:pPr>
      <w:r>
        <w:rPr>
          <w:rFonts w:ascii="Arial" w:cs="Arial" w:eastAsia="Arial" w:hAnsi="Arial"/>
          <w:sz w:val="18"/>
          <w:szCs w:val="18"/>
          <w:b w:val="1"/>
          <w:bCs w:val="1"/>
          <w:color w:val="auto"/>
        </w:rPr>
        <w:t>form of proxy card and 2020 Annual Report on Form 10-K</w:t>
      </w:r>
    </w:p>
    <w:p>
      <w:pPr>
        <w:jc w:val="center"/>
        <w:ind w:right="-19"/>
        <w:spacing w:after="0" w:line="235" w:lineRule="auto"/>
        <w:rPr>
          <w:sz w:val="20"/>
          <w:szCs w:val="20"/>
          <w:color w:val="auto"/>
        </w:rPr>
      </w:pPr>
      <w:r>
        <w:rPr>
          <w:rFonts w:ascii="Arial" w:cs="Arial" w:eastAsia="Arial" w:hAnsi="Arial"/>
          <w:sz w:val="18"/>
          <w:szCs w:val="18"/>
          <w:b w:val="1"/>
          <w:bCs w:val="1"/>
          <w:color w:val="auto"/>
        </w:rPr>
        <w:t>are available at</w:t>
      </w:r>
    </w:p>
    <w:p>
      <w:pPr>
        <w:jc w:val="center"/>
        <w:ind w:right="-19"/>
        <w:spacing w:after="0"/>
        <w:rPr>
          <w:sz w:val="20"/>
          <w:szCs w:val="20"/>
          <w:color w:val="auto"/>
        </w:rPr>
      </w:pPr>
      <w:r>
        <w:rPr>
          <w:rFonts w:ascii="Arial" w:cs="Arial" w:eastAsia="Arial" w:hAnsi="Arial"/>
          <w:sz w:val="18"/>
          <w:szCs w:val="18"/>
          <w:b w:val="1"/>
          <w:bCs w:val="1"/>
          <w:u w:val="single" w:color="auto"/>
          <w:color w:val="auto"/>
        </w:rPr>
        <w:t>www.edocumentview.com/CAR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74470" cy="445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color w:val="auto"/>
        </w:rPr>
        <w:t>Jean M. Sera</w:t>
      </w:r>
    </w:p>
    <w:p>
      <w:pPr>
        <w:spacing w:after="0" w:line="234" w:lineRule="auto"/>
        <w:rPr>
          <w:sz w:val="20"/>
          <w:szCs w:val="20"/>
          <w:color w:val="auto"/>
        </w:rPr>
      </w:pPr>
      <w:r>
        <w:rPr>
          <w:rFonts w:ascii="Arial" w:cs="Arial" w:eastAsia="Arial" w:hAnsi="Arial"/>
          <w:sz w:val="18"/>
          <w:szCs w:val="18"/>
          <w:color w:val="auto"/>
        </w:rPr>
        <w:t>Senior Vice President, General Counsel,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Compliance Officer and Corporate Secretary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476"/>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60" w:type="dxa"/>
            <w:vAlign w:val="bottom"/>
            <w:gridSpan w:val="7"/>
          </w:tcPr>
          <w:p>
            <w:pPr>
              <w:ind w:left="60"/>
              <w:spacing w:after="0"/>
              <w:rPr>
                <w:sz w:val="20"/>
                <w:szCs w:val="20"/>
                <w:color w:val="auto"/>
              </w:rPr>
            </w:pPr>
            <w:r>
              <w:rPr>
                <w:rFonts w:ascii="Arial" w:cs="Arial" w:eastAsia="Arial" w:hAnsi="Arial"/>
                <w:sz w:val="40"/>
                <w:szCs w:val="40"/>
                <w:color w:val="auto"/>
              </w:rPr>
              <w:t>Proxy Statement</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624"/>
        </w:trPr>
        <w:tc>
          <w:tcPr>
            <w:tcW w:w="9060" w:type="dxa"/>
            <w:vAlign w:val="bottom"/>
            <w:gridSpan w:val="43"/>
          </w:tcPr>
          <w:p>
            <w:pPr>
              <w:spacing w:after="0"/>
              <w:rPr>
                <w:sz w:val="20"/>
                <w:szCs w:val="20"/>
                <w:color w:val="auto"/>
              </w:rPr>
            </w:pPr>
            <w:r>
              <w:rPr>
                <w:rFonts w:ascii="Arial" w:cs="Arial" w:eastAsia="Arial" w:hAnsi="Arial"/>
                <w:sz w:val="36"/>
                <w:szCs w:val="36"/>
                <w:color w:val="auto"/>
              </w:rPr>
              <w:t>Table of Contents</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9060" w:type="dxa"/>
            <w:vAlign w:val="bottom"/>
            <w:gridSpan w:val="4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2021 Proxy Statement Summary</w:t>
              </w:r>
            </w:hyperlink>
          </w:p>
        </w:tc>
        <w:tc>
          <w:tcPr>
            <w:tcW w:w="218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183"/>
        </w:trPr>
        <w:tc>
          <w:tcPr>
            <w:tcW w:w="224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b w:val="1"/>
                <w:bCs w:val="1"/>
                <w:color w:val="0000EE"/>
                <w:w w:val="99"/>
              </w:rPr>
            </w:pPr>
            <w:hyperlink w:anchor="page8">
              <w:r>
                <w:rPr>
                  <w:rFonts w:ascii="Arial" w:cs="Arial" w:eastAsia="Arial" w:hAnsi="Arial"/>
                  <w:sz w:val="18"/>
                  <w:szCs w:val="18"/>
                  <w:b w:val="1"/>
                  <w:bCs w:val="1"/>
                  <w:color w:val="0000EE"/>
                  <w:w w:val="99"/>
                </w:rPr>
                <w:t>About the Annual Meeting</w:t>
              </w:r>
            </w:hyperlink>
          </w:p>
        </w:tc>
        <w:tc>
          <w:tcPr>
            <w:tcW w:w="500" w:type="dxa"/>
            <w:vAlign w:val="bottom"/>
            <w:tcBorders>
              <w:top w:val="single" w:sz="8" w:color="0000EE"/>
            </w:tcBorders>
            <w:gridSpan w:val="9"/>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100" w:type="dxa"/>
            <w:vAlign w:val="bottom"/>
            <w:tcBorders>
              <w:top w:val="single" w:sz="8" w:color="0000EE"/>
              <w:bottom w:val="single" w:sz="8" w:color="0000EE"/>
            </w:tcBorders>
          </w:tcPr>
          <w:p>
            <w:pPr>
              <w:jc w:val="right"/>
              <w:spacing w:after="0" w:line="18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r>
      <w:tr>
        <w:trPr>
          <w:trHeight w:val="183"/>
        </w:trPr>
        <w:tc>
          <w:tcPr>
            <w:tcW w:w="2240" w:type="dxa"/>
            <w:vAlign w:val="bottom"/>
            <w:tcBorders>
              <w:bottom w:val="single" w:sz="8" w:color="0000EE"/>
            </w:tcBorders>
            <w:gridSpan w:val="14"/>
          </w:tcPr>
          <w:p>
            <w:pPr>
              <w:spacing w:after="0" w:line="182" w:lineRule="exact"/>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Proposals to Be Voted on</w:t>
              </w:r>
            </w:hyperlink>
          </w:p>
        </w:tc>
        <w:tc>
          <w:tcPr>
            <w:tcW w:w="900" w:type="dxa"/>
            <w:vAlign w:val="bottom"/>
            <w:tcBorders>
              <w:bottom w:val="single" w:sz="8" w:color="0000EE"/>
            </w:tcBorders>
            <w:gridSpan w:val="13"/>
          </w:tcPr>
          <w:p>
            <w:pPr>
              <w:spacing w:after="0" w:line="182" w:lineRule="exact"/>
              <w:rPr>
                <w:rFonts w:ascii="Arial" w:cs="Arial" w:eastAsia="Arial" w:hAnsi="Arial"/>
                <w:sz w:val="18"/>
                <w:szCs w:val="18"/>
                <w:b w:val="1"/>
                <w:bCs w:val="1"/>
                <w:color w:val="0000EE"/>
                <w:w w:val="98"/>
              </w:rPr>
            </w:pPr>
            <w:hyperlink w:anchor="page12">
              <w:r>
                <w:rPr>
                  <w:rFonts w:ascii="Arial" w:cs="Arial" w:eastAsia="Arial" w:hAnsi="Arial"/>
                  <w:sz w:val="18"/>
                  <w:szCs w:val="18"/>
                  <w:b w:val="1"/>
                  <w:bCs w:val="1"/>
                  <w:color w:val="0000EE"/>
                  <w:w w:val="98"/>
                </w:rPr>
                <w:t>at Meeting</w:t>
              </w:r>
            </w:hyperlink>
          </w:p>
        </w:tc>
        <w:tc>
          <w:tcPr>
            <w:tcW w:w="5920" w:type="dxa"/>
            <w:vAlign w:val="bottom"/>
            <w:gridSpan w:val="16"/>
          </w:tcPr>
          <w:p>
            <w:pPr>
              <w:spacing w:after="0"/>
              <w:rPr>
                <w:sz w:val="15"/>
                <w:szCs w:val="15"/>
                <w:color w:val="auto"/>
              </w:rPr>
            </w:pPr>
          </w:p>
        </w:tc>
        <w:tc>
          <w:tcPr>
            <w:tcW w:w="208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8</w:t>
              </w:r>
            </w:hyperlink>
          </w:p>
        </w:tc>
      </w:tr>
      <w:tr>
        <w:trPr>
          <w:trHeight w:val="183"/>
        </w:trPr>
        <w:tc>
          <w:tcPr>
            <w:tcW w:w="3080" w:type="dxa"/>
            <w:vAlign w:val="bottom"/>
            <w:tcBorders>
              <w:bottom w:val="single" w:sz="8" w:color="0000EE"/>
            </w:tcBorders>
            <w:gridSpan w:val="25"/>
          </w:tcPr>
          <w:p>
            <w:pPr>
              <w:spacing w:after="0" w:line="182"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Proposal No. 1 Election of Directors</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080" w:type="dxa"/>
            <w:vAlign w:val="bottom"/>
            <w:gridSpan w:val="2"/>
          </w:tcPr>
          <w:p>
            <w:pPr>
              <w:spacing w:after="0"/>
              <w:rPr>
                <w:sz w:val="15"/>
                <w:szCs w:val="15"/>
                <w:color w:val="auto"/>
              </w:rPr>
            </w:pPr>
          </w:p>
        </w:tc>
        <w:tc>
          <w:tcPr>
            <w:tcW w:w="100" w:type="dxa"/>
            <w:vAlign w:val="bottom"/>
            <w:tcBorders>
              <w:bottom w:val="single" w:sz="8" w:color="0000EE"/>
            </w:tcBorders>
          </w:tcPr>
          <w:p>
            <w:pPr>
              <w:jc w:val="right"/>
              <w:spacing w:after="0" w:line="18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8</w:t>
              </w:r>
            </w:hyperlink>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Biographical Information for Nominees</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8</w:t>
              </w:r>
            </w:hyperlink>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30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Director Nomination Process</w:t>
              </w:r>
            </w:hyperlink>
          </w:p>
        </w:tc>
        <w:tc>
          <w:tcPr>
            <w:tcW w:w="760" w:type="dxa"/>
            <w:vAlign w:val="bottom"/>
            <w:gridSpan w:val="10"/>
          </w:tcPr>
          <w:p>
            <w:pPr>
              <w:spacing w:after="0"/>
              <w:rPr>
                <w:sz w:val="15"/>
                <w:szCs w:val="15"/>
                <w:color w:val="auto"/>
              </w:rPr>
            </w:pPr>
          </w:p>
        </w:tc>
        <w:tc>
          <w:tcPr>
            <w:tcW w:w="5820" w:type="dxa"/>
            <w:vAlign w:val="bottom"/>
            <w:gridSpan w:val="14"/>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10</w:t>
              </w:r>
            </w:hyperlink>
          </w:p>
        </w:tc>
      </w:tr>
      <w:tr>
        <w:trPr>
          <w:trHeight w:val="183"/>
        </w:trPr>
        <w:tc>
          <w:tcPr>
            <w:tcW w:w="180" w:type="dxa"/>
            <w:vAlign w:val="bottom"/>
            <w:tcBorders>
              <w:bottom w:val="single" w:sz="8" w:color="0000EE"/>
            </w:tcBorders>
          </w:tcPr>
          <w:p>
            <w:pPr>
              <w:spacing w:after="0"/>
              <w:rPr>
                <w:sz w:val="15"/>
                <w:szCs w:val="15"/>
                <w:color w:val="auto"/>
              </w:rPr>
            </w:pPr>
          </w:p>
        </w:tc>
        <w:tc>
          <w:tcPr>
            <w:tcW w:w="1780" w:type="dxa"/>
            <w:vAlign w:val="bottom"/>
            <w:tcBorders>
              <w:bottom w:val="single" w:sz="8" w:color="0000EE"/>
            </w:tcBorders>
            <w:gridSpan w:val="9"/>
          </w:tcPr>
          <w:p>
            <w:pPr>
              <w:spacing w:after="0" w:line="182" w:lineRule="exact"/>
              <w:rPr>
                <w:rFonts w:ascii="Arial" w:cs="Arial" w:eastAsia="Arial" w:hAnsi="Arial"/>
                <w:sz w:val="18"/>
                <w:szCs w:val="18"/>
                <w:b w:val="1"/>
                <w:bCs w:val="1"/>
                <w:color w:val="0000EE"/>
                <w:w w:val="90"/>
              </w:rPr>
            </w:pPr>
            <w:hyperlink w:anchor="page15">
              <w:r>
                <w:rPr>
                  <w:rFonts w:ascii="Arial" w:cs="Arial" w:eastAsia="Arial" w:hAnsi="Arial"/>
                  <w:sz w:val="18"/>
                  <w:szCs w:val="18"/>
                  <w:b w:val="1"/>
                  <w:bCs w:val="1"/>
                  <w:color w:val="0000EE"/>
                  <w:w w:val="90"/>
                </w:rPr>
                <w:t>Corporate Governance</w:t>
              </w:r>
            </w:hyperlink>
          </w:p>
        </w:tc>
        <w:tc>
          <w:tcPr>
            <w:tcW w:w="520" w:type="dxa"/>
            <w:vAlign w:val="bottom"/>
            <w:gridSpan w:val="9"/>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11</w:t>
              </w:r>
            </w:hyperlink>
          </w:p>
        </w:tc>
      </w:tr>
      <w:tr>
        <w:trPr>
          <w:trHeight w:val="183"/>
        </w:trPr>
        <w:tc>
          <w:tcPr>
            <w:tcW w:w="180" w:type="dxa"/>
            <w:vAlign w:val="bottom"/>
          </w:tcPr>
          <w:p>
            <w:pPr>
              <w:spacing w:after="0"/>
              <w:rPr>
                <w:sz w:val="15"/>
                <w:szCs w:val="15"/>
                <w:color w:val="auto"/>
              </w:rPr>
            </w:pPr>
          </w:p>
        </w:tc>
        <w:tc>
          <w:tcPr>
            <w:tcW w:w="3920" w:type="dxa"/>
            <w:vAlign w:val="bottom"/>
            <w:tcBorders>
              <w:bottom w:val="single" w:sz="8" w:color="0000EE"/>
            </w:tcBorders>
            <w:gridSpan w:val="35"/>
          </w:tcPr>
          <w:p>
            <w:pPr>
              <w:spacing w:after="0" w:line="182" w:lineRule="exact"/>
              <w:rPr>
                <w:rFonts w:ascii="Arial" w:cs="Arial" w:eastAsia="Arial" w:hAnsi="Arial"/>
                <w:sz w:val="18"/>
                <w:szCs w:val="18"/>
                <w:color w:val="0000EE"/>
                <w:w w:val="99"/>
              </w:rPr>
            </w:pPr>
            <w:hyperlink w:anchor="page15">
              <w:r>
                <w:rPr>
                  <w:rFonts w:ascii="Arial" w:cs="Arial" w:eastAsia="Arial" w:hAnsi="Arial"/>
                  <w:sz w:val="18"/>
                  <w:szCs w:val="18"/>
                  <w:color w:val="0000EE"/>
                  <w:w w:val="99"/>
                </w:rPr>
                <w:t>Functions and Meetings of the Board of Directors</w:t>
              </w:r>
            </w:hyperlink>
          </w:p>
        </w:tc>
        <w:tc>
          <w:tcPr>
            <w:tcW w:w="4960" w:type="dxa"/>
            <w:vAlign w:val="bottom"/>
            <w:gridSpan w:val="7"/>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11</w:t>
              </w:r>
            </w:hyperlink>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00" w:type="dxa"/>
            <w:vAlign w:val="bottom"/>
            <w:gridSpan w:val="41"/>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Director Independence</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00" w:type="dxa"/>
            <w:vAlign w:val="bottom"/>
            <w:gridSpan w:val="41"/>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Board Leadership Structure</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4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Risk Management and Risk Assessment</w:t>
              </w:r>
            </w:hyperlink>
          </w:p>
        </w:tc>
        <w:tc>
          <w:tcPr>
            <w:tcW w:w="5460" w:type="dxa"/>
            <w:vAlign w:val="bottom"/>
            <w:gridSpan w:val="11"/>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12</w:t>
              </w:r>
            </w:hyperlink>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00" w:type="dxa"/>
            <w:vAlign w:val="bottom"/>
            <w:gridSpan w:val="41"/>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Communicating with the Board of Directors</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12</w:t>
              </w:r>
            </w:hyperlink>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Codes of Conduct</w:t>
              </w:r>
            </w:hyperlink>
          </w:p>
        </w:tc>
        <w:tc>
          <w:tcPr>
            <w:tcW w:w="5280" w:type="dxa"/>
            <w:vAlign w:val="bottom"/>
            <w:gridSpan w:val="9"/>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12</w:t>
              </w:r>
            </w:hyperlink>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2240" w:type="dxa"/>
            <w:vAlign w:val="bottom"/>
            <w:tcBorders>
              <w:bottom w:val="single" w:sz="8" w:color="0000EE"/>
            </w:tcBorders>
            <w:gridSpan w:val="16"/>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Board of Directors Meetings</w:t>
              </w:r>
            </w:hyperlink>
          </w:p>
        </w:tc>
        <w:tc>
          <w:tcPr>
            <w:tcW w:w="6640" w:type="dxa"/>
            <w:vAlign w:val="bottom"/>
            <w:gridSpan w:val="26"/>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13</w:t>
              </w:r>
            </w:hyperlink>
          </w:p>
        </w:tc>
      </w:tr>
      <w:tr>
        <w:trPr>
          <w:trHeight w:val="183"/>
        </w:trPr>
        <w:tc>
          <w:tcPr>
            <w:tcW w:w="180" w:type="dxa"/>
            <w:vAlign w:val="bottom"/>
          </w:tcPr>
          <w:p>
            <w:pPr>
              <w:spacing w:after="0"/>
              <w:rPr>
                <w:sz w:val="15"/>
                <w:szCs w:val="15"/>
                <w:color w:val="auto"/>
              </w:rPr>
            </w:pPr>
          </w:p>
        </w:tc>
        <w:tc>
          <w:tcPr>
            <w:tcW w:w="298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Committees of the Board of Directors</w:t>
              </w:r>
            </w:hyperlink>
          </w:p>
        </w:tc>
        <w:tc>
          <w:tcPr>
            <w:tcW w:w="5900" w:type="dxa"/>
            <w:vAlign w:val="bottom"/>
            <w:gridSpan w:val="15"/>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13</w:t>
              </w:r>
            </w:hyperlink>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0000EE"/>
            </w:tcBorders>
            <w:gridSpan w:val="4"/>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Audit Committee</w:t>
              </w:r>
            </w:hyperlink>
          </w:p>
        </w:tc>
        <w:tc>
          <w:tcPr>
            <w:tcW w:w="7360" w:type="dxa"/>
            <w:vAlign w:val="bottom"/>
            <w:gridSpan w:val="37"/>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13</w:t>
              </w:r>
            </w:hyperlink>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700" w:type="dxa"/>
            <w:vAlign w:val="bottom"/>
            <w:gridSpan w:val="41"/>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Compensation Committee</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tcBorders>
              <w:bottom w:val="single" w:sz="8" w:color="0000EE"/>
            </w:tcBorders>
            <w:gridSpan w:val="24"/>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Corporate Governance Committee</w:t>
              </w:r>
            </w:hyperlink>
          </w:p>
        </w:tc>
        <w:tc>
          <w:tcPr>
            <w:tcW w:w="5940" w:type="dxa"/>
            <w:vAlign w:val="bottom"/>
            <w:gridSpan w:val="17"/>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14</w:t>
              </w:r>
            </w:hyperlink>
          </w:p>
        </w:tc>
      </w:tr>
      <w:tr>
        <w:trPr>
          <w:trHeight w:val="183"/>
        </w:trPr>
        <w:tc>
          <w:tcPr>
            <w:tcW w:w="180" w:type="dxa"/>
            <w:vAlign w:val="bottom"/>
          </w:tcPr>
          <w:p>
            <w:pPr>
              <w:spacing w:after="0"/>
              <w:rPr>
                <w:sz w:val="15"/>
                <w:szCs w:val="15"/>
                <w:color w:val="auto"/>
              </w:rPr>
            </w:pPr>
          </w:p>
        </w:tc>
        <w:tc>
          <w:tcPr>
            <w:tcW w:w="1680" w:type="dxa"/>
            <w:vAlign w:val="bottom"/>
            <w:tcBorders>
              <w:bottom w:val="single" w:sz="8" w:color="0000EE"/>
            </w:tcBorders>
            <w:gridSpan w:val="7"/>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Succession Planning</w:t>
              </w:r>
            </w:hyperlink>
          </w:p>
        </w:tc>
        <w:tc>
          <w:tcPr>
            <w:tcW w:w="7200" w:type="dxa"/>
            <w:vAlign w:val="bottom"/>
            <w:gridSpan w:val="35"/>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16</w:t>
              </w:r>
            </w:hyperlink>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Related Person Transactions</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16</w:t>
              </w:r>
            </w:hyperlink>
          </w:p>
        </w:tc>
      </w:tr>
      <w:tr>
        <w:trPr>
          <w:trHeight w:val="183"/>
        </w:trPr>
        <w:tc>
          <w:tcPr>
            <w:tcW w:w="180" w:type="dxa"/>
            <w:vAlign w:val="bottom"/>
          </w:tcPr>
          <w:p>
            <w:pPr>
              <w:spacing w:after="0"/>
              <w:rPr>
                <w:sz w:val="15"/>
                <w:szCs w:val="15"/>
                <w:color w:val="auto"/>
              </w:rPr>
            </w:pPr>
          </w:p>
        </w:tc>
        <w:tc>
          <w:tcPr>
            <w:tcW w:w="208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Shareholder Engagement</w:t>
              </w:r>
            </w:hyperlink>
          </w:p>
        </w:tc>
        <w:tc>
          <w:tcPr>
            <w:tcW w:w="300" w:type="dxa"/>
            <w:vAlign w:val="bottom"/>
            <w:tcBorders>
              <w:top w:val="single" w:sz="8" w:color="0000EE"/>
            </w:tcBorders>
            <w:gridSpan w:val="5"/>
          </w:tcPr>
          <w:p>
            <w:pPr>
              <w:spacing w:after="0"/>
              <w:rPr>
                <w:sz w:val="15"/>
                <w:szCs w:val="15"/>
                <w:color w:val="auto"/>
              </w:rPr>
            </w:pPr>
          </w:p>
        </w:tc>
        <w:tc>
          <w:tcPr>
            <w:tcW w:w="6500" w:type="dxa"/>
            <w:vAlign w:val="bottom"/>
            <w:gridSpan w:val="23"/>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17</w:t>
              </w:r>
            </w:hyperlink>
          </w:p>
        </w:tc>
      </w:tr>
      <w:tr>
        <w:trPr>
          <w:trHeight w:val="183"/>
        </w:trPr>
        <w:tc>
          <w:tcPr>
            <w:tcW w:w="4200" w:type="dxa"/>
            <w:vAlign w:val="bottom"/>
            <w:tcBorders>
              <w:bottom w:val="single" w:sz="8" w:color="0000EE"/>
            </w:tcBorders>
            <w:gridSpan w:val="37"/>
          </w:tcPr>
          <w:p>
            <w:pPr>
              <w:spacing w:after="0" w:line="182" w:lineRule="exact"/>
              <w:rPr>
                <w:rFonts w:ascii="Arial" w:cs="Arial" w:eastAsia="Arial" w:hAnsi="Arial"/>
                <w:sz w:val="18"/>
                <w:szCs w:val="18"/>
                <w:b w:val="1"/>
                <w:bCs w:val="1"/>
                <w:color w:val="0000EE"/>
                <w:w w:val="99"/>
              </w:rPr>
            </w:pPr>
            <w:hyperlink w:anchor="page22">
              <w:r>
                <w:rPr>
                  <w:rFonts w:ascii="Arial" w:cs="Arial" w:eastAsia="Arial" w:hAnsi="Arial"/>
                  <w:sz w:val="18"/>
                  <w:szCs w:val="18"/>
                  <w:b w:val="1"/>
                  <w:bCs w:val="1"/>
                  <w:color w:val="0000EE"/>
                  <w:w w:val="99"/>
                </w:rPr>
                <w:t>Security Ownership of Certain Beneficial Owners</w:t>
              </w:r>
            </w:hyperlink>
          </w:p>
        </w:tc>
        <w:tc>
          <w:tcPr>
            <w:tcW w:w="4860" w:type="dxa"/>
            <w:vAlign w:val="bottom"/>
            <w:gridSpan w:val="6"/>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18</w:t>
              </w:r>
            </w:hyperlink>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Delinquent Section 16(a) Reports</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20</w:t>
              </w:r>
            </w:hyperlink>
          </w:p>
        </w:tc>
      </w:tr>
      <w:tr>
        <w:trPr>
          <w:trHeight w:val="183"/>
        </w:trPr>
        <w:tc>
          <w:tcPr>
            <w:tcW w:w="180" w:type="dxa"/>
            <w:vAlign w:val="bottom"/>
            <w:tcBorders>
              <w:bottom w:val="single" w:sz="8" w:color="0000EE"/>
            </w:tcBorders>
          </w:tcPr>
          <w:p>
            <w:pPr>
              <w:spacing w:after="0"/>
              <w:rPr>
                <w:sz w:val="15"/>
                <w:szCs w:val="15"/>
                <w:color w:val="auto"/>
              </w:rPr>
            </w:pPr>
          </w:p>
        </w:tc>
        <w:tc>
          <w:tcPr>
            <w:tcW w:w="14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b w:val="1"/>
                <w:bCs w:val="1"/>
                <w:color w:val="0000EE"/>
                <w:w w:val="87"/>
              </w:rPr>
            </w:pPr>
            <w:hyperlink w:anchor="page24">
              <w:r>
                <w:rPr>
                  <w:rFonts w:ascii="Arial" w:cs="Arial" w:eastAsia="Arial" w:hAnsi="Arial"/>
                  <w:sz w:val="18"/>
                  <w:szCs w:val="18"/>
                  <w:b w:val="1"/>
                  <w:bCs w:val="1"/>
                  <w:color w:val="0000EE"/>
                  <w:w w:val="87"/>
                </w:rPr>
                <w:t>Executive Officers</w:t>
              </w:r>
            </w:hyperlink>
          </w:p>
        </w:tc>
        <w:tc>
          <w:tcPr>
            <w:tcW w:w="1260" w:type="dxa"/>
            <w:vAlign w:val="bottom"/>
            <w:tcBorders>
              <w:top w:val="single" w:sz="8" w:color="0000EE"/>
            </w:tcBorders>
            <w:gridSpan w:val="19"/>
          </w:tcPr>
          <w:p>
            <w:pPr>
              <w:spacing w:after="0"/>
              <w:rPr>
                <w:sz w:val="15"/>
                <w:szCs w:val="15"/>
                <w:color w:val="auto"/>
              </w:rPr>
            </w:pPr>
          </w:p>
        </w:tc>
        <w:tc>
          <w:tcPr>
            <w:tcW w:w="500" w:type="dxa"/>
            <w:vAlign w:val="bottom"/>
            <w:gridSpan w:val="6"/>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20</w:t>
              </w:r>
            </w:hyperlink>
          </w:p>
        </w:tc>
      </w:tr>
      <w:tr>
        <w:trPr>
          <w:trHeight w:val="182"/>
        </w:trPr>
        <w:tc>
          <w:tcPr>
            <w:tcW w:w="9060" w:type="dxa"/>
            <w:vAlign w:val="bottom"/>
            <w:gridSpan w:val="43"/>
          </w:tcPr>
          <w:p>
            <w:pPr>
              <w:spacing w:after="0" w:line="182"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Executive Compensation</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26">
              <w:r>
                <w:rPr>
                  <w:rFonts w:ascii="Arial" w:cs="Arial" w:eastAsia="Arial" w:hAnsi="Arial"/>
                  <w:sz w:val="18"/>
                  <w:szCs w:val="18"/>
                  <w:color w:val="0000EE"/>
                </w:rPr>
                <w:t>22</w:t>
              </w:r>
            </w:hyperlink>
          </w:p>
        </w:tc>
      </w:tr>
      <w:tr>
        <w:trPr>
          <w:trHeight w:val="20"/>
        </w:trPr>
        <w:tc>
          <w:tcPr>
            <w:tcW w:w="18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316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Compensation Discussion and Analysis</w:t>
              </w:r>
            </w:hyperlink>
          </w:p>
        </w:tc>
        <w:tc>
          <w:tcPr>
            <w:tcW w:w="5720" w:type="dxa"/>
            <w:vAlign w:val="bottom"/>
            <w:gridSpan w:val="13"/>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22</w:t>
              </w:r>
            </w:hyperlink>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Summary Compensation Table</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34</w:t>
              </w:r>
            </w:hyperlink>
          </w:p>
        </w:tc>
      </w:tr>
      <w:tr>
        <w:trPr>
          <w:trHeight w:val="183"/>
        </w:trPr>
        <w:tc>
          <w:tcPr>
            <w:tcW w:w="180" w:type="dxa"/>
            <w:vAlign w:val="bottom"/>
          </w:tcPr>
          <w:p>
            <w:pPr>
              <w:spacing w:after="0"/>
              <w:rPr>
                <w:sz w:val="15"/>
                <w:szCs w:val="15"/>
                <w:color w:val="auto"/>
              </w:rPr>
            </w:pPr>
          </w:p>
        </w:tc>
        <w:tc>
          <w:tcPr>
            <w:tcW w:w="2400" w:type="dxa"/>
            <w:vAlign w:val="bottom"/>
            <w:tcBorders>
              <w:top w:val="single" w:sz="8" w:color="0000EE"/>
              <w:bottom w:val="single" w:sz="8" w:color="0000EE"/>
            </w:tcBorders>
            <w:gridSpan w:val="20"/>
          </w:tcPr>
          <w:p>
            <w:pPr>
              <w:spacing w:after="0" w:line="182" w:lineRule="exact"/>
              <w:rPr>
                <w:rFonts w:ascii="Arial" w:cs="Arial" w:eastAsia="Arial" w:hAnsi="Arial"/>
                <w:sz w:val="18"/>
                <w:szCs w:val="18"/>
                <w:color w:val="0000EE"/>
                <w:w w:val="98"/>
              </w:rPr>
            </w:pPr>
            <w:hyperlink w:anchor="page39">
              <w:r>
                <w:rPr>
                  <w:rFonts w:ascii="Arial" w:cs="Arial" w:eastAsia="Arial" w:hAnsi="Arial"/>
                  <w:sz w:val="18"/>
                  <w:szCs w:val="18"/>
                  <w:color w:val="0000EE"/>
                  <w:w w:val="98"/>
                </w:rPr>
                <w:t>All Other Compensation Table</w:t>
              </w:r>
            </w:hyperlink>
          </w:p>
        </w:tc>
        <w:tc>
          <w:tcPr>
            <w:tcW w:w="60" w:type="dxa"/>
            <w:vAlign w:val="bottom"/>
            <w:tcBorders>
              <w:top w:val="single" w:sz="8" w:color="0000EE"/>
            </w:tcBorders>
          </w:tcPr>
          <w:p>
            <w:pPr>
              <w:spacing w:after="0"/>
              <w:rPr>
                <w:sz w:val="15"/>
                <w:szCs w:val="15"/>
                <w:color w:val="auto"/>
              </w:rPr>
            </w:pPr>
          </w:p>
        </w:tc>
        <w:tc>
          <w:tcPr>
            <w:tcW w:w="6420" w:type="dxa"/>
            <w:vAlign w:val="bottom"/>
            <w:gridSpan w:val="21"/>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35</w:t>
              </w:r>
            </w:hyperlink>
          </w:p>
        </w:tc>
      </w:tr>
      <w:tr>
        <w:trPr>
          <w:trHeight w:val="183"/>
        </w:trPr>
        <w:tc>
          <w:tcPr>
            <w:tcW w:w="180" w:type="dxa"/>
            <w:vAlign w:val="bottom"/>
          </w:tcPr>
          <w:p>
            <w:pPr>
              <w:spacing w:after="0"/>
              <w:rPr>
                <w:sz w:val="15"/>
                <w:szCs w:val="15"/>
                <w:color w:val="auto"/>
              </w:rPr>
            </w:pPr>
          </w:p>
        </w:tc>
        <w:tc>
          <w:tcPr>
            <w:tcW w:w="1380" w:type="dxa"/>
            <w:vAlign w:val="bottom"/>
            <w:tcBorders>
              <w:bottom w:val="single" w:sz="8" w:color="0000EE"/>
            </w:tcBorders>
            <w:gridSpan w:val="3"/>
          </w:tcPr>
          <w:p>
            <w:pPr>
              <w:spacing w:after="0" w:line="182" w:lineRule="exact"/>
              <w:rPr>
                <w:rFonts w:ascii="Arial" w:cs="Arial" w:eastAsia="Arial" w:hAnsi="Arial"/>
                <w:sz w:val="18"/>
                <w:szCs w:val="18"/>
                <w:color w:val="0000EE"/>
                <w:w w:val="97"/>
              </w:rPr>
            </w:pPr>
            <w:hyperlink w:anchor="page40">
              <w:r>
                <w:rPr>
                  <w:rFonts w:ascii="Arial" w:cs="Arial" w:eastAsia="Arial" w:hAnsi="Arial"/>
                  <w:sz w:val="18"/>
                  <w:szCs w:val="18"/>
                  <w:color w:val="0000EE"/>
                  <w:w w:val="97"/>
                </w:rPr>
                <w:t>Perquisites Table</w:t>
              </w:r>
            </w:hyperlink>
          </w:p>
        </w:tc>
        <w:tc>
          <w:tcPr>
            <w:tcW w:w="7500" w:type="dxa"/>
            <w:vAlign w:val="bottom"/>
            <w:gridSpan w:val="39"/>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36</w:t>
              </w:r>
            </w:hyperlink>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CEO Pay Ratio</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36</w:t>
              </w:r>
            </w:hyperlink>
          </w:p>
        </w:tc>
      </w:tr>
      <w:tr>
        <w:trPr>
          <w:trHeight w:val="20"/>
        </w:trPr>
        <w:tc>
          <w:tcPr>
            <w:tcW w:w="180" w:type="dxa"/>
            <w:vAlign w:val="bottom"/>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180" w:type="dxa"/>
            <w:vAlign w:val="bottom"/>
            <w:gridSpan w:val="1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2020 Grants of Plan-Based Awards Table</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37</w:t>
              </w:r>
            </w:hyperlink>
          </w:p>
        </w:tc>
      </w:tr>
      <w:tr>
        <w:trPr>
          <w:trHeight w:val="20"/>
        </w:trPr>
        <w:tc>
          <w:tcPr>
            <w:tcW w:w="180" w:type="dxa"/>
            <w:vAlign w:val="bottom"/>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180" w:type="dxa"/>
            <w:vAlign w:val="bottom"/>
            <w:gridSpan w:val="1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Outstanding Equity Awards at Fiscal Year-End Table</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38</w:t>
              </w:r>
            </w:hyperlink>
          </w:p>
        </w:tc>
      </w:tr>
      <w:tr>
        <w:trPr>
          <w:trHeight w:val="183"/>
        </w:trPr>
        <w:tc>
          <w:tcPr>
            <w:tcW w:w="180" w:type="dxa"/>
            <w:vAlign w:val="bottom"/>
          </w:tcPr>
          <w:p>
            <w:pPr>
              <w:spacing w:after="0"/>
              <w:rPr>
                <w:sz w:val="15"/>
                <w:szCs w:val="15"/>
                <w:color w:val="auto"/>
              </w:rPr>
            </w:pPr>
          </w:p>
        </w:tc>
        <w:tc>
          <w:tcPr>
            <w:tcW w:w="416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2020 Option Exercises and Stock Vested Table</w:t>
              </w:r>
            </w:hyperlink>
          </w:p>
        </w:tc>
        <w:tc>
          <w:tcPr>
            <w:tcW w:w="4720" w:type="dxa"/>
            <w:vAlign w:val="bottom"/>
            <w:gridSpan w:val="4"/>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39</w:t>
              </w:r>
            </w:hyperlink>
          </w:p>
        </w:tc>
      </w:tr>
      <w:tr>
        <w:trPr>
          <w:trHeight w:val="183"/>
        </w:trPr>
        <w:tc>
          <w:tcPr>
            <w:tcW w:w="18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8"/>
              </w:rPr>
            </w:pPr>
            <w:hyperlink w:anchor="page43">
              <w:r>
                <w:rPr>
                  <w:rFonts w:ascii="Arial" w:cs="Arial" w:eastAsia="Arial" w:hAnsi="Arial"/>
                  <w:sz w:val="18"/>
                  <w:szCs w:val="18"/>
                  <w:color w:val="0000EE"/>
                  <w:w w:val="98"/>
                </w:rPr>
                <w:t>Pension Benefits Table</w:t>
              </w:r>
            </w:hyperlink>
          </w:p>
        </w:tc>
        <w:tc>
          <w:tcPr>
            <w:tcW w:w="1900" w:type="dxa"/>
            <w:vAlign w:val="bottom"/>
            <w:tcBorders>
              <w:top w:val="single" w:sz="8" w:color="0000EE"/>
            </w:tcBorders>
            <w:gridSpan w:val="23"/>
          </w:tcPr>
          <w:p>
            <w:pPr>
              <w:spacing w:after="0"/>
              <w:rPr>
                <w:sz w:val="15"/>
                <w:szCs w:val="15"/>
                <w:color w:val="auto"/>
              </w:rPr>
            </w:pPr>
          </w:p>
        </w:tc>
        <w:tc>
          <w:tcPr>
            <w:tcW w:w="5140" w:type="dxa"/>
            <w:vAlign w:val="bottom"/>
            <w:gridSpan w:val="8"/>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39</w:t>
              </w:r>
            </w:hyperlink>
          </w:p>
        </w:tc>
      </w:tr>
      <w:tr>
        <w:trPr>
          <w:trHeight w:val="183"/>
        </w:trPr>
        <w:tc>
          <w:tcPr>
            <w:tcW w:w="180" w:type="dxa"/>
            <w:vAlign w:val="bottom"/>
          </w:tcPr>
          <w:p>
            <w:pPr>
              <w:spacing w:after="0"/>
              <w:rPr>
                <w:sz w:val="15"/>
                <w:szCs w:val="15"/>
                <w:color w:val="auto"/>
              </w:rPr>
            </w:pPr>
          </w:p>
        </w:tc>
        <w:tc>
          <w:tcPr>
            <w:tcW w:w="8880" w:type="dxa"/>
            <w:vAlign w:val="bottom"/>
            <w:gridSpan w:val="42"/>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Non-qualified Deferred Compensation Table</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40</w:t>
              </w:r>
            </w:hyperlink>
          </w:p>
        </w:tc>
      </w:tr>
      <w:tr>
        <w:trPr>
          <w:trHeight w:val="20"/>
        </w:trPr>
        <w:tc>
          <w:tcPr>
            <w:tcW w:w="180" w:type="dxa"/>
            <w:vAlign w:val="bottom"/>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300" w:type="dxa"/>
            <w:vAlign w:val="bottom"/>
            <w:gridSpan w:val="5"/>
            <w:shd w:val="clear" w:color="auto" w:fill="0000EE"/>
          </w:tcPr>
          <w:p>
            <w:pPr>
              <w:spacing w:after="0" w:line="20" w:lineRule="exact"/>
              <w:rPr>
                <w:sz w:val="1"/>
                <w:szCs w:val="1"/>
                <w:color w:val="auto"/>
              </w:rPr>
            </w:pPr>
          </w:p>
        </w:tc>
        <w:tc>
          <w:tcPr>
            <w:tcW w:w="1380" w:type="dxa"/>
            <w:vAlign w:val="bottom"/>
            <w:gridSpan w:val="17"/>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4060" w:type="dxa"/>
            <w:vAlign w:val="bottom"/>
            <w:tcBorders>
              <w:bottom w:val="single" w:sz="8" w:color="0000EE"/>
            </w:tcBorders>
            <w:gridSpan w:val="37"/>
          </w:tcPr>
          <w:p>
            <w:pPr>
              <w:spacing w:after="0" w:line="182" w:lineRule="exact"/>
              <w:rPr>
                <w:rFonts w:ascii="Arial" w:cs="Arial" w:eastAsia="Arial" w:hAnsi="Arial"/>
                <w:sz w:val="18"/>
                <w:szCs w:val="18"/>
                <w:color w:val="0000EE"/>
                <w:w w:val="99"/>
              </w:rPr>
            </w:pPr>
            <w:hyperlink w:anchor="page44">
              <w:r>
                <w:rPr>
                  <w:rFonts w:ascii="Arial" w:cs="Arial" w:eastAsia="Arial" w:hAnsi="Arial"/>
                  <w:sz w:val="18"/>
                  <w:szCs w:val="18"/>
                  <w:color w:val="0000EE"/>
                  <w:w w:val="99"/>
                </w:rPr>
                <w:t>Employment Agreements and Other Arrangements</w:t>
              </w:r>
            </w:hyperlink>
          </w:p>
        </w:tc>
        <w:tc>
          <w:tcPr>
            <w:tcW w:w="4820" w:type="dxa"/>
            <w:vAlign w:val="bottom"/>
            <w:gridSpan w:val="5"/>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40</w:t>
              </w:r>
            </w:hyperlink>
          </w:p>
        </w:tc>
      </w:tr>
      <w:tr>
        <w:trPr>
          <w:trHeight w:val="183"/>
        </w:trPr>
        <w:tc>
          <w:tcPr>
            <w:tcW w:w="180" w:type="dxa"/>
            <w:vAlign w:val="bottom"/>
          </w:tcPr>
          <w:p>
            <w:pPr>
              <w:spacing w:after="0"/>
              <w:rPr>
                <w:sz w:val="15"/>
                <w:szCs w:val="15"/>
                <w:color w:val="auto"/>
              </w:rPr>
            </w:pPr>
          </w:p>
        </w:tc>
        <w:tc>
          <w:tcPr>
            <w:tcW w:w="4940" w:type="dxa"/>
            <w:vAlign w:val="bottom"/>
            <w:tcBorders>
              <w:bottom w:val="single" w:sz="8" w:color="0000EE"/>
            </w:tcBorders>
            <w:gridSpan w:val="40"/>
          </w:tcPr>
          <w:p>
            <w:pPr>
              <w:spacing w:after="0" w:line="182" w:lineRule="exact"/>
              <w:rPr>
                <w:rFonts w:ascii="Arial" w:cs="Arial" w:eastAsia="Arial" w:hAnsi="Arial"/>
                <w:sz w:val="18"/>
                <w:szCs w:val="18"/>
                <w:color w:val="0000EE"/>
                <w:w w:val="99"/>
              </w:rPr>
            </w:pPr>
            <w:hyperlink w:anchor="page46">
              <w:r>
                <w:rPr>
                  <w:rFonts w:ascii="Arial" w:cs="Arial" w:eastAsia="Arial" w:hAnsi="Arial"/>
                  <w:sz w:val="18"/>
                  <w:szCs w:val="18"/>
                  <w:color w:val="0000EE"/>
                  <w:w w:val="99"/>
                </w:rPr>
                <w:t>Termination, Severance and Change of Control Arrangements</w:t>
              </w:r>
            </w:hyperlink>
          </w:p>
        </w:tc>
        <w:tc>
          <w:tcPr>
            <w:tcW w:w="3940" w:type="dxa"/>
            <w:vAlign w:val="bottom"/>
            <w:gridSpan w:val="2"/>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42</w:t>
              </w:r>
            </w:hyperlink>
          </w:p>
        </w:tc>
      </w:tr>
      <w:tr>
        <w:trPr>
          <w:trHeight w:val="183"/>
        </w:trPr>
        <w:tc>
          <w:tcPr>
            <w:tcW w:w="2000" w:type="dxa"/>
            <w:vAlign w:val="bottom"/>
            <w:tcBorders>
              <w:bottom w:val="single" w:sz="8" w:color="0000EE"/>
            </w:tcBorders>
            <w:gridSpan w:val="11"/>
          </w:tcPr>
          <w:p>
            <w:pPr>
              <w:spacing w:after="0" w:line="182" w:lineRule="exact"/>
              <w:rPr>
                <w:rFonts w:ascii="Arial" w:cs="Arial" w:eastAsia="Arial" w:hAnsi="Arial"/>
                <w:sz w:val="18"/>
                <w:szCs w:val="18"/>
                <w:b w:val="1"/>
                <w:bCs w:val="1"/>
                <w:color w:val="0000EE"/>
                <w:w w:val="99"/>
              </w:rPr>
            </w:pPr>
            <w:hyperlink w:anchor="page48">
              <w:r>
                <w:rPr>
                  <w:rFonts w:ascii="Arial" w:cs="Arial" w:eastAsia="Arial" w:hAnsi="Arial"/>
                  <w:sz w:val="18"/>
                  <w:szCs w:val="18"/>
                  <w:b w:val="1"/>
                  <w:bCs w:val="1"/>
                  <w:color w:val="0000EE"/>
                  <w:w w:val="99"/>
                </w:rPr>
                <w:t>Director Compensation</w:t>
              </w:r>
            </w:hyperlink>
          </w:p>
        </w:tc>
        <w:tc>
          <w:tcPr>
            <w:tcW w:w="3120" w:type="dxa"/>
            <w:vAlign w:val="bottom"/>
            <w:gridSpan w:val="30"/>
          </w:tcPr>
          <w:p>
            <w:pPr>
              <w:spacing w:after="0"/>
              <w:rPr>
                <w:sz w:val="15"/>
                <w:szCs w:val="15"/>
                <w:color w:val="auto"/>
              </w:rPr>
            </w:pPr>
          </w:p>
        </w:tc>
        <w:tc>
          <w:tcPr>
            <w:tcW w:w="20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44</w:t>
              </w:r>
            </w:hyperlink>
          </w:p>
        </w:tc>
      </w:tr>
      <w:tr>
        <w:trPr>
          <w:trHeight w:val="183"/>
        </w:trPr>
        <w:tc>
          <w:tcPr>
            <w:tcW w:w="2300" w:type="dxa"/>
            <w:vAlign w:val="bottom"/>
            <w:tcBorders>
              <w:bottom w:val="single" w:sz="8" w:color="0000EE"/>
            </w:tcBorders>
            <w:gridSpan w:val="16"/>
          </w:tcPr>
          <w:p>
            <w:pPr>
              <w:spacing w:after="0" w:line="182" w:lineRule="exact"/>
              <w:rPr>
                <w:rFonts w:ascii="Arial" w:cs="Arial" w:eastAsia="Arial" w:hAnsi="Arial"/>
                <w:sz w:val="18"/>
                <w:szCs w:val="18"/>
                <w:b w:val="1"/>
                <w:bCs w:val="1"/>
                <w:color w:val="0000EE"/>
                <w:w w:val="99"/>
              </w:rPr>
            </w:pPr>
            <w:hyperlink w:anchor="page50">
              <w:r>
                <w:rPr>
                  <w:rFonts w:ascii="Arial" w:cs="Arial" w:eastAsia="Arial" w:hAnsi="Arial"/>
                  <w:sz w:val="18"/>
                  <w:szCs w:val="18"/>
                  <w:b w:val="1"/>
                  <w:bCs w:val="1"/>
                  <w:color w:val="0000EE"/>
                  <w:w w:val="99"/>
                </w:rPr>
                <w:t>Report of Audit Committee</w:t>
              </w:r>
            </w:hyperlink>
          </w:p>
        </w:tc>
        <w:tc>
          <w:tcPr>
            <w:tcW w:w="6760" w:type="dxa"/>
            <w:vAlign w:val="bottom"/>
            <w:gridSpan w:val="27"/>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46</w:t>
              </w:r>
            </w:hyperlink>
          </w:p>
        </w:tc>
      </w:tr>
      <w:tr>
        <w:trPr>
          <w:trHeight w:val="183"/>
        </w:trPr>
        <w:tc>
          <w:tcPr>
            <w:tcW w:w="2300" w:type="dxa"/>
            <w:vAlign w:val="bottom"/>
            <w:gridSpan w:val="16"/>
          </w:tcPr>
          <w:p>
            <w:pPr>
              <w:spacing w:after="0" w:line="182" w:lineRule="exact"/>
              <w:rPr>
                <w:rFonts w:ascii="Arial" w:cs="Arial" w:eastAsia="Arial" w:hAnsi="Arial"/>
                <w:sz w:val="18"/>
                <w:szCs w:val="18"/>
                <w:b w:val="1"/>
                <w:bCs w:val="1"/>
                <w:color w:val="0000EE"/>
                <w:w w:val="99"/>
              </w:rPr>
            </w:pPr>
            <w:hyperlink w:anchor="page51">
              <w:r>
                <w:rPr>
                  <w:rFonts w:ascii="Arial" w:cs="Arial" w:eastAsia="Arial" w:hAnsi="Arial"/>
                  <w:sz w:val="18"/>
                  <w:szCs w:val="18"/>
                  <w:b w:val="1"/>
                  <w:bCs w:val="1"/>
                  <w:color w:val="0000EE"/>
                  <w:w w:val="99"/>
                </w:rPr>
                <w:t>Proposal No. 2 Ratification</w:t>
              </w:r>
            </w:hyperlink>
          </w:p>
        </w:tc>
        <w:tc>
          <w:tcPr>
            <w:tcW w:w="6760" w:type="dxa"/>
            <w:vAlign w:val="bottom"/>
            <w:gridSpan w:val="27"/>
          </w:tcPr>
          <w:p>
            <w:pPr>
              <w:ind w:left="40"/>
              <w:spacing w:after="0" w:line="18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of Appointment of Auditors</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r>
      <w:tr>
        <w:trPr>
          <w:trHeight w:val="20"/>
        </w:trPr>
        <w:tc>
          <w:tcPr>
            <w:tcW w:w="1920" w:type="dxa"/>
            <w:vAlign w:val="bottom"/>
            <w:gridSpan w:val="9"/>
            <w:shd w:val="clear" w:color="auto" w:fill="0000EE"/>
          </w:tcPr>
          <w:p>
            <w:pPr>
              <w:spacing w:after="0" w:line="20" w:lineRule="exact"/>
              <w:rPr>
                <w:sz w:val="1"/>
                <w:szCs w:val="1"/>
                <w:color w:val="auto"/>
              </w:rPr>
            </w:pPr>
          </w:p>
        </w:tc>
        <w:tc>
          <w:tcPr>
            <w:tcW w:w="2180" w:type="dxa"/>
            <w:vAlign w:val="bottom"/>
            <w:gridSpan w:val="27"/>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9060" w:type="dxa"/>
            <w:vAlign w:val="bottom"/>
            <w:gridSpan w:val="43"/>
          </w:tcPr>
          <w:p>
            <w:pPr>
              <w:spacing w:after="0" w:line="182" w:lineRule="exact"/>
              <w:rPr>
                <w:rFonts w:ascii="Arial" w:cs="Arial" w:eastAsia="Arial" w:hAnsi="Arial"/>
                <w:sz w:val="18"/>
                <w:szCs w:val="18"/>
                <w:b w:val="1"/>
                <w:bCs w:val="1"/>
                <w:color w:val="0000EE"/>
              </w:rPr>
            </w:pPr>
            <w:hyperlink w:anchor="page53">
              <w:r>
                <w:rPr>
                  <w:rFonts w:ascii="Arial" w:cs="Arial" w:eastAsia="Arial" w:hAnsi="Arial"/>
                  <w:sz w:val="18"/>
                  <w:szCs w:val="18"/>
                  <w:b w:val="1"/>
                  <w:bCs w:val="1"/>
                  <w:color w:val="0000EE"/>
                </w:rPr>
                <w:t>Proposal No. 3 Advisory Approval of Executive Compensation</w:t>
              </w:r>
            </w:hyperlink>
          </w:p>
        </w:tc>
        <w:tc>
          <w:tcPr>
            <w:tcW w:w="2180" w:type="dxa"/>
            <w:vAlign w:val="bottom"/>
            <w:gridSpan w:val="3"/>
          </w:tcPr>
          <w:p>
            <w:pPr>
              <w:jc w:val="right"/>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r>
      <w:tr>
        <w:trPr>
          <w:trHeight w:val="183"/>
        </w:trPr>
        <w:tc>
          <w:tcPr>
            <w:tcW w:w="5320" w:type="dxa"/>
            <w:vAlign w:val="bottom"/>
            <w:tcBorders>
              <w:top w:val="single" w:sz="8" w:color="0000EE"/>
            </w:tcBorders>
            <w:gridSpan w:val="42"/>
          </w:tcPr>
          <w:p>
            <w:pPr>
              <w:spacing w:after="0" w:line="18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Shareholder Proposals for 2022 Annual Meeting</w:t>
              </w:r>
            </w:hyperlink>
          </w:p>
        </w:tc>
        <w:tc>
          <w:tcPr>
            <w:tcW w:w="37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50</w:t>
              </w:r>
            </w:hyperlink>
          </w:p>
        </w:tc>
      </w:tr>
      <w:tr>
        <w:trPr>
          <w:trHeight w:val="183"/>
        </w:trPr>
        <w:tc>
          <w:tcPr>
            <w:tcW w:w="4100" w:type="dxa"/>
            <w:vAlign w:val="bottom"/>
            <w:tcBorders>
              <w:top w:val="single" w:sz="8" w:color="0000EE"/>
            </w:tcBorders>
            <w:gridSpan w:val="36"/>
          </w:tcPr>
          <w:p>
            <w:pPr>
              <w:spacing w:after="0" w:line="18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Additional Information</w:t>
              </w:r>
            </w:hyperlink>
          </w:p>
        </w:tc>
        <w:tc>
          <w:tcPr>
            <w:tcW w:w="4960" w:type="dxa"/>
            <w:vAlign w:val="bottom"/>
            <w:gridSpan w:val="7"/>
          </w:tcPr>
          <w:p>
            <w:pPr>
              <w:spacing w:after="0"/>
              <w:rPr>
                <w:sz w:val="15"/>
                <w:szCs w:val="15"/>
                <w:color w:val="auto"/>
              </w:rPr>
            </w:pPr>
          </w:p>
        </w:tc>
        <w:tc>
          <w:tcPr>
            <w:tcW w:w="1980" w:type="dxa"/>
            <w:vAlign w:val="bottom"/>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50</w:t>
              </w:r>
            </w:hyperlink>
          </w:p>
        </w:tc>
      </w:tr>
      <w:tr>
        <w:trPr>
          <w:trHeight w:val="284"/>
        </w:trPr>
        <w:tc>
          <w:tcPr>
            <w:tcW w:w="180" w:type="dxa"/>
            <w:vAlign w:val="bottom"/>
            <w:tcBorders>
              <w:top w:val="single" w:sz="8" w:color="0000EE"/>
              <w:bottom w:val="single" w:sz="8" w:color="C0C0C0"/>
            </w:tcBorders>
          </w:tcPr>
          <w:p>
            <w:pPr>
              <w:spacing w:after="0"/>
              <w:rPr>
                <w:sz w:val="24"/>
                <w:szCs w:val="24"/>
                <w:color w:val="auto"/>
              </w:rPr>
            </w:pPr>
          </w:p>
        </w:tc>
        <w:tc>
          <w:tcPr>
            <w:tcW w:w="180" w:type="dxa"/>
            <w:vAlign w:val="bottom"/>
            <w:tcBorders>
              <w:top w:val="single" w:sz="8" w:color="0000EE"/>
              <w:bottom w:val="single" w:sz="8" w:color="C0C0C0"/>
            </w:tcBorders>
          </w:tcPr>
          <w:p>
            <w:pPr>
              <w:spacing w:after="0"/>
              <w:rPr>
                <w:sz w:val="24"/>
                <w:szCs w:val="24"/>
                <w:color w:val="auto"/>
              </w:rPr>
            </w:pPr>
          </w:p>
        </w:tc>
        <w:tc>
          <w:tcPr>
            <w:tcW w:w="1040" w:type="dxa"/>
            <w:vAlign w:val="bottom"/>
            <w:tcBorders>
              <w:top w:val="single" w:sz="8" w:color="0000EE"/>
              <w:bottom w:val="single" w:sz="8" w:color="C0C0C0"/>
            </w:tcBorders>
          </w:tcPr>
          <w:p>
            <w:pPr>
              <w:spacing w:after="0"/>
              <w:rPr>
                <w:sz w:val="24"/>
                <w:szCs w:val="24"/>
                <w:color w:val="auto"/>
              </w:rPr>
            </w:pPr>
          </w:p>
        </w:tc>
        <w:tc>
          <w:tcPr>
            <w:tcW w:w="160" w:type="dxa"/>
            <w:vAlign w:val="bottom"/>
            <w:tcBorders>
              <w:top w:val="single" w:sz="8" w:color="0000EE"/>
              <w:bottom w:val="single" w:sz="8" w:color="C0C0C0"/>
            </w:tcBorders>
          </w:tcPr>
          <w:p>
            <w:pPr>
              <w:spacing w:after="0"/>
              <w:rPr>
                <w:sz w:val="24"/>
                <w:szCs w:val="24"/>
                <w:color w:val="auto"/>
              </w:rPr>
            </w:pPr>
          </w:p>
        </w:tc>
        <w:tc>
          <w:tcPr>
            <w:tcW w:w="20" w:type="dxa"/>
            <w:vAlign w:val="bottom"/>
            <w:tcBorders>
              <w:top w:val="single" w:sz="8" w:color="0000EE"/>
              <w:bottom w:val="single" w:sz="8" w:color="C0C0C0"/>
            </w:tcBorders>
          </w:tcPr>
          <w:p>
            <w:pPr>
              <w:spacing w:after="0"/>
              <w:rPr>
                <w:sz w:val="24"/>
                <w:szCs w:val="24"/>
                <w:color w:val="auto"/>
              </w:rPr>
            </w:pPr>
          </w:p>
        </w:tc>
        <w:tc>
          <w:tcPr>
            <w:tcW w:w="12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60" w:type="dxa"/>
            <w:vAlign w:val="bottom"/>
            <w:tcBorders>
              <w:top w:val="single" w:sz="8" w:color="0000EE"/>
              <w:bottom w:val="single" w:sz="8" w:color="C0C0C0"/>
            </w:tcBorders>
          </w:tcPr>
          <w:p>
            <w:pPr>
              <w:spacing w:after="0"/>
              <w:rPr>
                <w:sz w:val="24"/>
                <w:szCs w:val="24"/>
                <w:color w:val="auto"/>
              </w:rPr>
            </w:pPr>
          </w:p>
        </w:tc>
        <w:tc>
          <w:tcPr>
            <w:tcW w:w="60" w:type="dxa"/>
            <w:vAlign w:val="bottom"/>
            <w:tcBorders>
              <w:top w:val="single" w:sz="8" w:color="0000EE"/>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6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24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2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120" w:type="dxa"/>
            <w:vAlign w:val="bottom"/>
            <w:tcBorders>
              <w:bottom w:val="single" w:sz="8" w:color="C0C0C0"/>
            </w:tcBorders>
          </w:tcPr>
          <w:p>
            <w:pPr>
              <w:spacing w:after="0"/>
              <w:rPr>
                <w:sz w:val="24"/>
                <w:szCs w:val="24"/>
                <w:color w:val="auto"/>
              </w:rPr>
            </w:pPr>
          </w:p>
        </w:tc>
        <w:tc>
          <w:tcPr>
            <w:tcW w:w="8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140" w:type="dxa"/>
            <w:vAlign w:val="bottom"/>
            <w:tcBorders>
              <w:bottom w:val="single" w:sz="8" w:color="C0C0C0"/>
            </w:tcBorders>
          </w:tcPr>
          <w:p>
            <w:pPr>
              <w:spacing w:after="0"/>
              <w:rPr>
                <w:sz w:val="24"/>
                <w:szCs w:val="24"/>
                <w:color w:val="auto"/>
              </w:rPr>
            </w:pPr>
          </w:p>
        </w:tc>
        <w:tc>
          <w:tcPr>
            <w:tcW w:w="18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40" w:type="dxa"/>
            <w:vAlign w:val="bottom"/>
            <w:tcBorders>
              <w:bottom w:val="single" w:sz="8" w:color="C0C0C0"/>
            </w:tcBorders>
          </w:tcPr>
          <w:p>
            <w:pPr>
              <w:spacing w:after="0"/>
              <w:rPr>
                <w:sz w:val="24"/>
                <w:szCs w:val="24"/>
                <w:color w:val="auto"/>
              </w:rPr>
            </w:pPr>
          </w:p>
        </w:tc>
        <w:tc>
          <w:tcPr>
            <w:tcW w:w="100" w:type="dxa"/>
            <w:vAlign w:val="bottom"/>
            <w:tcBorders>
              <w:bottom w:val="single" w:sz="8" w:color="C0C0C0"/>
            </w:tcBorders>
          </w:tcPr>
          <w:p>
            <w:pPr>
              <w:spacing w:after="0"/>
              <w:rPr>
                <w:sz w:val="24"/>
                <w:szCs w:val="24"/>
                <w:color w:val="auto"/>
              </w:rPr>
            </w:pPr>
          </w:p>
        </w:tc>
        <w:tc>
          <w:tcPr>
            <w:tcW w:w="340" w:type="dxa"/>
            <w:vAlign w:val="bottom"/>
            <w:tcBorders>
              <w:bottom w:val="single" w:sz="8" w:color="C0C0C0"/>
            </w:tcBorders>
          </w:tcPr>
          <w:p>
            <w:pPr>
              <w:spacing w:after="0"/>
              <w:rPr>
                <w:sz w:val="24"/>
                <w:szCs w:val="24"/>
                <w:color w:val="auto"/>
              </w:rPr>
            </w:pPr>
          </w:p>
        </w:tc>
        <w:tc>
          <w:tcPr>
            <w:tcW w:w="440" w:type="dxa"/>
            <w:vAlign w:val="bottom"/>
            <w:tcBorders>
              <w:bottom w:val="single" w:sz="8" w:color="C0C0C0"/>
            </w:tcBorders>
          </w:tcPr>
          <w:p>
            <w:pPr>
              <w:spacing w:after="0"/>
              <w:rPr>
                <w:sz w:val="24"/>
                <w:szCs w:val="24"/>
                <w:color w:val="auto"/>
              </w:rPr>
            </w:pPr>
          </w:p>
        </w:tc>
        <w:tc>
          <w:tcPr>
            <w:tcW w:w="200" w:type="dxa"/>
            <w:vAlign w:val="bottom"/>
            <w:tcBorders>
              <w:bottom w:val="single" w:sz="8" w:color="C0C0C0"/>
            </w:tcBorders>
          </w:tcPr>
          <w:p>
            <w:pPr>
              <w:spacing w:after="0"/>
              <w:rPr>
                <w:sz w:val="24"/>
                <w:szCs w:val="24"/>
                <w:color w:val="auto"/>
              </w:rPr>
            </w:pPr>
          </w:p>
        </w:tc>
        <w:tc>
          <w:tcPr>
            <w:tcW w:w="3740" w:type="dxa"/>
            <w:vAlign w:val="bottom"/>
            <w:tcBorders>
              <w:bottom w:val="single" w:sz="8" w:color="C0C0C0"/>
            </w:tcBorders>
          </w:tcPr>
          <w:p>
            <w:pPr>
              <w:spacing w:after="0"/>
              <w:rPr>
                <w:sz w:val="24"/>
                <w:szCs w:val="24"/>
                <w:color w:val="auto"/>
              </w:rPr>
            </w:pPr>
          </w:p>
        </w:tc>
        <w:tc>
          <w:tcPr>
            <w:tcW w:w="1980" w:type="dxa"/>
            <w:vAlign w:val="bottom"/>
            <w:tcBorders>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c>
          <w:tcPr>
            <w:tcW w:w="100" w:type="dxa"/>
            <w:vAlign w:val="bottom"/>
            <w:tcBorders>
              <w:top w:val="single" w:sz="8" w:color="0000EE"/>
              <w:bottom w:val="single" w:sz="8" w:color="C0C0C0"/>
            </w:tcBorders>
          </w:tcPr>
          <w:p>
            <w:pPr>
              <w:spacing w:after="0"/>
              <w:rPr>
                <w:sz w:val="24"/>
                <w:szCs w:val="24"/>
                <w:color w:val="auto"/>
              </w:rPr>
            </w:pPr>
          </w:p>
        </w:tc>
      </w:tr>
    </w:tbl>
    <w:p>
      <w:pPr>
        <w:sectPr>
          <w:pgSz w:w="11900" w:h="16838" w:orient="portrait"/>
          <w:cols w:equalWidth="0" w:num="1">
            <w:col w:w="11240"/>
          </w:cols>
          <w:pgMar w:left="320" w:top="445"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2021 Proxy Statement Summary</w:t>
      </w:r>
    </w:p>
    <w:p>
      <w:pPr>
        <w:spacing w:after="0" w:line="203" w:lineRule="exact"/>
        <w:rPr>
          <w:sz w:val="20"/>
          <w:szCs w:val="20"/>
          <w:color w:val="auto"/>
        </w:rPr>
      </w:pPr>
    </w:p>
    <w:p>
      <w:pPr>
        <w:spacing w:after="0" w:line="267"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including under “Executive Compensation.” This summary does not contain all of the information that you should consider and you should read the entire Proxy Statement carefully before voting.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of Shareholders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Date and Time</w:t>
            </w:r>
          </w:p>
        </w:tc>
        <w:tc>
          <w:tcPr>
            <w:tcW w:w="3740" w:type="dxa"/>
            <w:vAlign w:val="bottom"/>
          </w:tcPr>
          <w:p>
            <w:pPr>
              <w:ind w:left="540"/>
              <w:spacing w:after="0"/>
              <w:rPr>
                <w:sz w:val="20"/>
                <w:szCs w:val="20"/>
                <w:color w:val="auto"/>
              </w:rPr>
            </w:pPr>
            <w:r>
              <w:rPr>
                <w:rFonts w:ascii="Arial" w:cs="Arial" w:eastAsia="Arial" w:hAnsi="Arial"/>
                <w:sz w:val="18"/>
                <w:szCs w:val="18"/>
                <w:color w:val="auto"/>
                <w:w w:val="99"/>
              </w:rPr>
              <w:t>May 26, 2021 at 9:00 a.m. Eastern Time</w:t>
            </w:r>
          </w:p>
        </w:tc>
      </w:tr>
      <w:tr>
        <w:trPr>
          <w:trHeight w:val="297"/>
        </w:trPr>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Record Date</w:t>
            </w:r>
          </w:p>
        </w:tc>
        <w:tc>
          <w:tcPr>
            <w:tcW w:w="3740" w:type="dxa"/>
            <w:vAlign w:val="bottom"/>
          </w:tcPr>
          <w:p>
            <w:pPr>
              <w:ind w:left="540"/>
              <w:spacing w:after="0"/>
              <w:rPr>
                <w:sz w:val="20"/>
                <w:szCs w:val="20"/>
                <w:color w:val="auto"/>
              </w:rPr>
            </w:pPr>
            <w:r>
              <w:rPr>
                <w:rFonts w:ascii="Arial" w:cs="Arial" w:eastAsia="Arial" w:hAnsi="Arial"/>
                <w:sz w:val="18"/>
                <w:szCs w:val="18"/>
                <w:color w:val="auto"/>
              </w:rPr>
              <w:t>March 29, 2021</w:t>
            </w:r>
          </w:p>
        </w:tc>
      </w:tr>
      <w:tr>
        <w:trPr>
          <w:trHeight w:val="297"/>
        </w:trPr>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Format</w:t>
            </w:r>
          </w:p>
        </w:tc>
        <w:tc>
          <w:tcPr>
            <w:tcW w:w="3740" w:type="dxa"/>
            <w:vAlign w:val="bottom"/>
          </w:tcPr>
          <w:p>
            <w:pPr>
              <w:ind w:left="540"/>
              <w:spacing w:after="0"/>
              <w:rPr>
                <w:sz w:val="20"/>
                <w:szCs w:val="20"/>
                <w:color w:val="auto"/>
              </w:rPr>
            </w:pPr>
            <w:r>
              <w:rPr>
                <w:rFonts w:ascii="Arial" w:cs="Arial" w:eastAsia="Arial" w:hAnsi="Arial"/>
                <w:sz w:val="18"/>
                <w:szCs w:val="18"/>
                <w:color w:val="auto"/>
              </w:rPr>
              <w:t>Virtual</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60" w:type="dxa"/>
            <w:vAlign w:val="bottom"/>
          </w:tcPr>
          <w:p>
            <w:pPr>
              <w:spacing w:after="0"/>
              <w:rPr>
                <w:sz w:val="20"/>
                <w:szCs w:val="20"/>
                <w:color w:val="auto"/>
              </w:rPr>
            </w:pPr>
            <w:r>
              <w:rPr>
                <w:rFonts w:ascii="Arial" w:cs="Arial" w:eastAsia="Arial" w:hAnsi="Arial"/>
                <w:sz w:val="18"/>
                <w:szCs w:val="18"/>
                <w:b w:val="1"/>
                <w:bCs w:val="1"/>
                <w:color w:val="auto"/>
              </w:rPr>
              <w:t>Voting Matters and Voting Recommendations</w:t>
            </w:r>
          </w:p>
        </w:tc>
        <w:tc>
          <w:tcPr>
            <w:tcW w:w="168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382"/>
        </w:trPr>
        <w:tc>
          <w:tcPr>
            <w:tcW w:w="7260" w:type="dxa"/>
            <w:vAlign w:val="bottom"/>
          </w:tcPr>
          <w:p>
            <w:pPr>
              <w:spacing w:after="0"/>
              <w:rPr>
                <w:sz w:val="24"/>
                <w:szCs w:val="24"/>
                <w:color w:val="auto"/>
              </w:rPr>
            </w:pPr>
          </w:p>
        </w:tc>
        <w:tc>
          <w:tcPr>
            <w:tcW w:w="1680" w:type="dxa"/>
            <w:vAlign w:val="bottom"/>
          </w:tcPr>
          <w:p>
            <w:pPr>
              <w:jc w:val="center"/>
              <w:ind w:left="150"/>
              <w:spacing w:after="0"/>
              <w:rPr>
                <w:sz w:val="20"/>
                <w:szCs w:val="20"/>
                <w:color w:val="auto"/>
              </w:rPr>
            </w:pPr>
            <w:r>
              <w:rPr>
                <w:rFonts w:ascii="Arial" w:cs="Arial" w:eastAsia="Arial" w:hAnsi="Arial"/>
                <w:sz w:val="18"/>
                <w:szCs w:val="18"/>
                <w:b w:val="1"/>
                <w:bCs w:val="1"/>
                <w:color w:val="auto"/>
                <w:w w:val="98"/>
              </w:rPr>
              <w:t>Proposal</w:t>
            </w:r>
          </w:p>
        </w:tc>
        <w:tc>
          <w:tcPr>
            <w:tcW w:w="2300" w:type="dxa"/>
            <w:vAlign w:val="bottom"/>
          </w:tcPr>
          <w:p>
            <w:pPr>
              <w:jc w:val="center"/>
              <w:ind w:left="70"/>
              <w:spacing w:after="0"/>
              <w:rPr>
                <w:sz w:val="20"/>
                <w:szCs w:val="20"/>
                <w:color w:val="auto"/>
              </w:rPr>
            </w:pPr>
            <w:r>
              <w:rPr>
                <w:rFonts w:ascii="Arial" w:cs="Arial" w:eastAsia="Arial" w:hAnsi="Arial"/>
                <w:sz w:val="18"/>
                <w:szCs w:val="18"/>
                <w:b w:val="1"/>
                <w:bCs w:val="1"/>
                <w:color w:val="auto"/>
                <w:w w:val="98"/>
              </w:rPr>
              <w:t>Our Board’s Voting</w:t>
            </w:r>
          </w:p>
        </w:tc>
      </w:tr>
      <w:tr>
        <w:trPr>
          <w:trHeight w:val="232"/>
        </w:trPr>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Voting Matters</w:t>
            </w:r>
          </w:p>
        </w:tc>
        <w:tc>
          <w:tcPr>
            <w:tcW w:w="16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6"/>
              </w:rPr>
              <w:t>No.</w:t>
            </w:r>
          </w:p>
        </w:tc>
        <w:tc>
          <w:tcPr>
            <w:tcW w:w="2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99"/>
              </w:rPr>
              <w:t>Recommendation</w:t>
            </w:r>
          </w:p>
        </w:tc>
      </w:tr>
      <w:tr>
        <w:trPr>
          <w:trHeight w:val="216"/>
        </w:trPr>
        <w:tc>
          <w:tcPr>
            <w:tcW w:w="726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Election of Directors (page 8)</w:t>
            </w:r>
          </w:p>
        </w:tc>
        <w:tc>
          <w:tcPr>
            <w:tcW w:w="1680" w:type="dxa"/>
            <w:vAlign w:val="bottom"/>
            <w:tcBorders>
              <w:bottom w:val="single" w:sz="8" w:color="auto"/>
            </w:tcBorders>
            <w:shd w:val="clear" w:color="auto" w:fill="D2D3D5"/>
          </w:tcPr>
          <w:p>
            <w:pPr>
              <w:jc w:val="center"/>
              <w:ind w:left="130"/>
              <w:spacing w:after="0"/>
              <w:rPr>
                <w:sz w:val="20"/>
                <w:szCs w:val="20"/>
                <w:color w:val="auto"/>
              </w:rPr>
            </w:pPr>
            <w:r>
              <w:rPr>
                <w:rFonts w:ascii="Arial" w:cs="Arial" w:eastAsia="Arial" w:hAnsi="Arial"/>
                <w:sz w:val="18"/>
                <w:szCs w:val="18"/>
                <w:color w:val="auto"/>
                <w:w w:val="99"/>
              </w:rPr>
              <w:t>1</w:t>
            </w:r>
          </w:p>
        </w:tc>
        <w:tc>
          <w:tcPr>
            <w:tcW w:w="2300" w:type="dxa"/>
            <w:vAlign w:val="bottom"/>
            <w:tcBorders>
              <w:bottom w:val="single" w:sz="8" w:color="auto"/>
            </w:tcBorders>
            <w:shd w:val="clear" w:color="auto" w:fill="D2D3D5"/>
          </w:tcPr>
          <w:p>
            <w:pPr>
              <w:jc w:val="center"/>
              <w:ind w:left="90"/>
              <w:spacing w:after="0"/>
              <w:rPr>
                <w:sz w:val="20"/>
                <w:szCs w:val="20"/>
                <w:color w:val="auto"/>
              </w:rPr>
            </w:pPr>
            <w:r>
              <w:rPr>
                <w:rFonts w:ascii="Arial" w:cs="Arial" w:eastAsia="Arial" w:hAnsi="Arial"/>
                <w:sz w:val="18"/>
                <w:szCs w:val="18"/>
                <w:color w:val="auto"/>
                <w:w w:val="99"/>
              </w:rPr>
              <w:t>FOR ALL NOMINEES</w:t>
            </w:r>
          </w:p>
        </w:tc>
      </w:tr>
      <w:tr>
        <w:trPr>
          <w:trHeight w:val="209"/>
        </w:trPr>
        <w:tc>
          <w:tcPr>
            <w:tcW w:w="7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Ratification of Appointment of Auditors (pages 47-48)</w:t>
            </w:r>
          </w:p>
        </w:tc>
        <w:tc>
          <w:tcPr>
            <w:tcW w:w="16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2</w:t>
            </w:r>
          </w:p>
        </w:tc>
        <w:tc>
          <w:tcPr>
            <w:tcW w:w="230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FOR</w:t>
            </w:r>
          </w:p>
        </w:tc>
      </w:tr>
      <w:tr>
        <w:trPr>
          <w:trHeight w:val="217"/>
        </w:trPr>
        <w:tc>
          <w:tcPr>
            <w:tcW w:w="726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Advisory Approval of the Compensation of our Named Executive Officers (page 49)</w:t>
            </w:r>
          </w:p>
        </w:tc>
        <w:tc>
          <w:tcPr>
            <w:tcW w:w="1680" w:type="dxa"/>
            <w:vAlign w:val="bottom"/>
            <w:tcBorders>
              <w:bottom w:val="single" w:sz="8" w:color="auto"/>
            </w:tcBorders>
            <w:shd w:val="clear" w:color="auto" w:fill="D2D3D5"/>
          </w:tcPr>
          <w:p>
            <w:pPr>
              <w:jc w:val="center"/>
              <w:ind w:left="130"/>
              <w:spacing w:after="0"/>
              <w:rPr>
                <w:sz w:val="20"/>
                <w:szCs w:val="20"/>
                <w:color w:val="auto"/>
              </w:rPr>
            </w:pPr>
            <w:r>
              <w:rPr>
                <w:rFonts w:ascii="Arial" w:cs="Arial" w:eastAsia="Arial" w:hAnsi="Arial"/>
                <w:sz w:val="18"/>
                <w:szCs w:val="18"/>
                <w:color w:val="auto"/>
                <w:w w:val="99"/>
              </w:rPr>
              <w:t>3</w:t>
            </w:r>
          </w:p>
        </w:tc>
        <w:tc>
          <w:tcPr>
            <w:tcW w:w="2300" w:type="dxa"/>
            <w:vAlign w:val="bottom"/>
            <w:tcBorders>
              <w:bottom w:val="single" w:sz="8" w:color="auto"/>
            </w:tcBorders>
            <w:shd w:val="clear" w:color="auto" w:fill="D2D3D5"/>
          </w:tcPr>
          <w:p>
            <w:pPr>
              <w:jc w:val="center"/>
              <w:ind w:left="70"/>
              <w:spacing w:after="0"/>
              <w:rPr>
                <w:sz w:val="20"/>
                <w:szCs w:val="20"/>
                <w:color w:val="auto"/>
              </w:rPr>
            </w:pPr>
            <w:r>
              <w:rPr>
                <w:rFonts w:ascii="Arial" w:cs="Arial" w:eastAsia="Arial" w:hAnsi="Arial"/>
                <w:sz w:val="18"/>
                <w:szCs w:val="18"/>
                <w:color w:val="auto"/>
                <w:w w:val="99"/>
              </w:rPr>
              <w:t>FOR</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Highlights</w:t>
      </w:r>
    </w:p>
    <w:p>
      <w:pPr>
        <w:spacing w:after="0" w:line="234"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 of 6 (83%) of our directors are diverse by gender, ethnicity or race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Executive Chairman is the only management director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members of Compensation, Corporate Governance and Audit Committees are independent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election of all directors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Majority voting (of votes cast) with a director resignation policy for directors in uncontested elections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Robust executive and director stock ownership guidelines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director nominee attended at least 75% of Board and Committee meetings held in 2020 during such director’s period of service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Policy requiring annual performance evaluation of the Board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Performance</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Positive momentum from fourth quarter 2019 continued into January and February of 2020; however, reservations and revenue began to be negatively affected in March 2020 as travel restrictions were broadly implemented in response to the COVID-19 global pandemic. In response, we took numerous steps to protect our employees and customers, and proactively manage declining reservations and revenue by reducing fleet, matching staffing levels to demand, reducing operational costs, pausing capital spending, and reducing executive compensation. As a result of COVID-19, our 2020 revenue was approximately $5.4 billion, 41% lower compared to 2019; however, total expenses for 2020 were lower compared to 2019 by more than $2.5 billion due in part to our cost reduction efforts. Our closing stock price on December 31, 2020 of $37.30 reflected an increase of 15.7% compared to our closing stock price on December 31, 2019 as we effectively managed through the pandemic.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351905" cy="1431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519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Transition and Leadership Changes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we successfully transitioned to a new President and Chief Executive Officer. Joseph Ferraro became President and Chief Executive Officer (“CEO”) on an interim basis on January 1, 2020 and became the Company’s permanent CEO in June 2020. Mr. Ferraro was previously President of the Company’s Americas region and has had a distinguished career with the Company spanning four decades within the Company’s operations. With Mr. Ferraro’s appointment to CEO, Izzy Martins, previously the Company’s CFO for the Americas region, assumed many of Mr. Ferraro’s prior responsibilities and was appointed Executive Vice President, Americas, also initially on an interim basis.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also changes within our Board of Directors. Following the completion of the 2020 Annual Meeting when the size of the Board was reduced from eleven to seven members, Bernardo Hees was appointed as Executive Chairman at the time of Mr. Ferraro’s appointment to CEO. In August, Brian Choi, who had been a Board member since 2016 and a partner with SRS Investment Management, LLC (“SRS”), stepped down from the Board and resigned from SRS, and became the Company’s Chief Financial Officer, and the size of the Board was further reduced to six members. In addition to deep financial expertise, Mr. Choi has broad experience with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our Named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Programs for 2020</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paid to our Named Executive Officers (“NEOs”) for 2020 was substantially less than compensation paid for 2019, primarily as a result of the COVID-19 pandemic as well as the CEO transition and leadership changes described above.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860" w:type="dxa"/>
            <w:vAlign w:val="bottom"/>
            <w:tcBorders>
              <w:top w:val="single" w:sz="8" w:color="auto"/>
            </w:tcBorders>
            <w:shd w:val="clear" w:color="auto" w:fill="D2D3D5"/>
          </w:tcPr>
          <w:p>
            <w:pPr>
              <w:ind w:left="6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ASE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ALARY</w:t>
            </w:r>
          </w:p>
        </w:tc>
        <w:tc>
          <w:tcPr>
            <w:tcW w:w="8380" w:type="dxa"/>
            <w:vAlign w:val="bottom"/>
            <w:tcBorders>
              <w:top w:val="single" w:sz="8" w:color="auto"/>
            </w:tcBorders>
            <w:gridSpan w:val="2"/>
            <w:shd w:val="clear" w:color="auto" w:fill="D2D3D5"/>
          </w:tcPr>
          <w:p>
            <w:pPr>
              <w:ind w:left="520"/>
              <w:spacing w:after="0"/>
              <w:rPr>
                <w:sz w:val="20"/>
                <w:szCs w:val="20"/>
                <w:color w:val="auto"/>
              </w:rPr>
            </w:pPr>
            <w:r>
              <w:rPr>
                <w:rFonts w:ascii="Arial" w:cs="Arial" w:eastAsia="Arial" w:hAnsi="Arial"/>
                <w:sz w:val="18"/>
                <w:szCs w:val="18"/>
                <w:color w:val="auto"/>
              </w:rPr>
              <w:t>After approval in early 2020 of select initial increases to base salaries, such increases were</w:t>
            </w:r>
          </w:p>
        </w:tc>
      </w:tr>
      <w:tr>
        <w:trPr>
          <w:trHeight w:val="217"/>
        </w:trPr>
        <w:tc>
          <w:tcPr>
            <w:tcW w:w="2860" w:type="dxa"/>
            <w:vAlign w:val="bottom"/>
            <w:tcBorders>
              <w:bottom w:val="single" w:sz="8" w:color="auto"/>
            </w:tcBorders>
            <w:shd w:val="clear" w:color="auto" w:fill="D2D3D5"/>
          </w:tcPr>
          <w:p>
            <w:pPr>
              <w:spacing w:after="0"/>
              <w:rPr>
                <w:sz w:val="18"/>
                <w:szCs w:val="18"/>
                <w:color w:val="auto"/>
              </w:rPr>
            </w:pPr>
          </w:p>
        </w:tc>
        <w:tc>
          <w:tcPr>
            <w:tcW w:w="8380" w:type="dxa"/>
            <w:vAlign w:val="bottom"/>
            <w:tcBorders>
              <w:bottom w:val="single" w:sz="8" w:color="auto"/>
            </w:tcBorders>
            <w:gridSpan w:val="2"/>
            <w:shd w:val="clear" w:color="auto" w:fill="D2D3D5"/>
          </w:tcPr>
          <w:p>
            <w:pPr>
              <w:ind w:left="520"/>
              <w:spacing w:after="0"/>
              <w:rPr>
                <w:sz w:val="20"/>
                <w:szCs w:val="20"/>
                <w:color w:val="auto"/>
              </w:rPr>
            </w:pPr>
            <w:r>
              <w:rPr>
                <w:rFonts w:ascii="Arial" w:cs="Arial" w:eastAsia="Arial" w:hAnsi="Arial"/>
                <w:sz w:val="18"/>
                <w:szCs w:val="18"/>
                <w:color w:val="auto"/>
              </w:rPr>
              <w:t>revoked in April and a further 10% decrease applied through October.</w:t>
            </w:r>
          </w:p>
        </w:tc>
      </w:tr>
      <w:tr>
        <w:trPr>
          <w:trHeight w:val="209"/>
        </w:trPr>
        <w:tc>
          <w:tcPr>
            <w:tcW w:w="2860" w:type="dxa"/>
            <w:vAlign w:val="bottom"/>
          </w:tcPr>
          <w:p>
            <w:pPr>
              <w:ind w:left="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NNUAL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8380" w:type="dxa"/>
            <w:vAlign w:val="bottom"/>
            <w:gridSpan w:val="2"/>
          </w:tcPr>
          <w:p>
            <w:pPr>
              <w:ind w:left="520"/>
              <w:spacing w:after="0"/>
              <w:rPr>
                <w:sz w:val="20"/>
                <w:szCs w:val="20"/>
                <w:color w:val="auto"/>
              </w:rPr>
            </w:pPr>
            <w:r>
              <w:rPr>
                <w:rFonts w:ascii="Arial" w:cs="Arial" w:eastAsia="Arial" w:hAnsi="Arial"/>
                <w:sz w:val="18"/>
                <w:szCs w:val="18"/>
                <w:color w:val="auto"/>
              </w:rPr>
              <w:t>Based on the decline in 2020 revenue, no payments were made under the Annual Incentive</w:t>
            </w:r>
          </w:p>
        </w:tc>
      </w:tr>
      <w:tr>
        <w:trPr>
          <w:trHeight w:val="203"/>
        </w:trPr>
        <w:tc>
          <w:tcPr>
            <w:tcW w:w="2860" w:type="dxa"/>
            <w:vAlign w:val="bottom"/>
            <w:tcBorders>
              <w:bottom w:val="single" w:sz="8" w:color="auto"/>
            </w:tcBorders>
          </w:tcPr>
          <w:p>
            <w:pPr>
              <w:spacing w:after="0"/>
              <w:rPr>
                <w:sz w:val="17"/>
                <w:szCs w:val="17"/>
                <w:color w:val="auto"/>
              </w:rPr>
            </w:pPr>
          </w:p>
        </w:tc>
        <w:tc>
          <w:tcPr>
            <w:tcW w:w="8380" w:type="dxa"/>
            <w:vAlign w:val="bottom"/>
            <w:tcBorders>
              <w:bottom w:val="single" w:sz="8" w:color="auto"/>
            </w:tcBorders>
            <w:gridSpan w:val="2"/>
          </w:tcPr>
          <w:p>
            <w:pPr>
              <w:ind w:left="520"/>
              <w:spacing w:after="0" w:line="203" w:lineRule="exact"/>
              <w:rPr>
                <w:sz w:val="20"/>
                <w:szCs w:val="20"/>
                <w:color w:val="auto"/>
              </w:rPr>
            </w:pPr>
            <w:r>
              <w:rPr>
                <w:rFonts w:ascii="Arial" w:cs="Arial" w:eastAsia="Arial" w:hAnsi="Arial"/>
                <w:sz w:val="18"/>
                <w:szCs w:val="18"/>
                <w:color w:val="auto"/>
              </w:rPr>
              <w:t>Program.</w:t>
            </w:r>
          </w:p>
        </w:tc>
      </w:tr>
      <w:tr>
        <w:trPr>
          <w:trHeight w:val="232"/>
        </w:trPr>
        <w:tc>
          <w:tcPr>
            <w:tcW w:w="2860" w:type="dxa"/>
            <w:vAlign w:val="bottom"/>
            <w:shd w:val="clear" w:color="auto" w:fill="D2D3D5"/>
          </w:tcPr>
          <w:p>
            <w:pPr>
              <w:ind w:left="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8380" w:type="dxa"/>
            <w:vAlign w:val="bottom"/>
            <w:gridSpan w:val="2"/>
            <w:shd w:val="clear" w:color="auto" w:fill="D2D3D5"/>
          </w:tcPr>
          <w:p>
            <w:pPr>
              <w:ind w:left="520"/>
              <w:spacing w:after="0"/>
              <w:rPr>
                <w:sz w:val="20"/>
                <w:szCs w:val="20"/>
                <w:color w:val="auto"/>
              </w:rPr>
            </w:pPr>
            <w:r>
              <w:rPr>
                <w:rFonts w:ascii="Arial" w:cs="Arial" w:eastAsia="Arial" w:hAnsi="Arial"/>
                <w:sz w:val="18"/>
                <w:szCs w:val="18"/>
                <w:color w:val="auto"/>
              </w:rPr>
              <w:t>With limited exceptions:</w:t>
            </w:r>
          </w:p>
        </w:tc>
      </w:tr>
      <w:tr>
        <w:trPr>
          <w:trHeight w:val="273"/>
        </w:trPr>
        <w:tc>
          <w:tcPr>
            <w:tcW w:w="2860" w:type="dxa"/>
            <w:vAlign w:val="bottom"/>
            <w:shd w:val="clear" w:color="auto" w:fill="D2D3D5"/>
          </w:tcPr>
          <w:p>
            <w:pPr>
              <w:spacing w:after="0"/>
              <w:rPr>
                <w:sz w:val="23"/>
                <w:szCs w:val="23"/>
                <w:color w:val="auto"/>
              </w:rPr>
            </w:pPr>
          </w:p>
        </w:tc>
        <w:tc>
          <w:tcPr>
            <w:tcW w:w="620" w:type="dxa"/>
            <w:vAlign w:val="bottom"/>
            <w:shd w:val="clear" w:color="auto" w:fill="D2D3D5"/>
          </w:tcPr>
          <w:p>
            <w:pPr>
              <w:ind w:left="520"/>
              <w:spacing w:after="0"/>
              <w:rPr>
                <w:sz w:val="20"/>
                <w:szCs w:val="20"/>
                <w:color w:val="auto"/>
              </w:rPr>
            </w:pPr>
            <w:r>
              <w:rPr>
                <w:rFonts w:ascii="Arial" w:cs="Arial" w:eastAsia="Arial" w:hAnsi="Arial"/>
                <w:sz w:val="18"/>
                <w:szCs w:val="18"/>
                <w:color w:val="auto"/>
              </w:rPr>
              <w:t>·</w:t>
            </w:r>
          </w:p>
        </w:tc>
        <w:tc>
          <w:tcPr>
            <w:tcW w:w="7760" w:type="dxa"/>
            <w:vAlign w:val="bottom"/>
            <w:shd w:val="clear" w:color="auto" w:fill="D2D3D5"/>
          </w:tcPr>
          <w:p>
            <w:pPr>
              <w:jc w:val="right"/>
              <w:spacing w:after="0"/>
              <w:rPr>
                <w:sz w:val="20"/>
                <w:szCs w:val="20"/>
                <w:color w:val="auto"/>
              </w:rPr>
            </w:pPr>
            <w:r>
              <w:rPr>
                <w:rFonts w:ascii="Arial" w:cs="Arial" w:eastAsia="Arial" w:hAnsi="Arial"/>
                <w:sz w:val="18"/>
                <w:szCs w:val="18"/>
                <w:color w:val="auto"/>
              </w:rPr>
              <w:t>No performance-based restricted stock unit (“PSU”) awards granted to NEOs have vested since</w:t>
            </w:r>
          </w:p>
        </w:tc>
      </w:tr>
      <w:tr>
        <w:trPr>
          <w:trHeight w:val="216"/>
        </w:trPr>
        <w:tc>
          <w:tcPr>
            <w:tcW w:w="2860" w:type="dxa"/>
            <w:vAlign w:val="bottom"/>
            <w:shd w:val="clear" w:color="auto" w:fill="D2D3D5"/>
          </w:tcPr>
          <w:p>
            <w:pPr>
              <w:spacing w:after="0"/>
              <w:rPr>
                <w:sz w:val="18"/>
                <w:szCs w:val="18"/>
                <w:color w:val="auto"/>
              </w:rPr>
            </w:pPr>
          </w:p>
        </w:tc>
        <w:tc>
          <w:tcPr>
            <w:tcW w:w="620" w:type="dxa"/>
            <w:vAlign w:val="bottom"/>
            <w:shd w:val="clear" w:color="auto" w:fill="D2D3D5"/>
          </w:tcPr>
          <w:p>
            <w:pPr>
              <w:spacing w:after="0"/>
              <w:rPr>
                <w:sz w:val="18"/>
                <w:szCs w:val="18"/>
                <w:color w:val="auto"/>
              </w:rPr>
            </w:pPr>
          </w:p>
        </w:tc>
        <w:tc>
          <w:tcPr>
            <w:tcW w:w="7760" w:type="dxa"/>
            <w:vAlign w:val="bottom"/>
            <w:shd w:val="clear" w:color="auto" w:fill="D2D3D5"/>
          </w:tcPr>
          <w:p>
            <w:pPr>
              <w:jc w:val="right"/>
              <w:spacing w:after="0"/>
              <w:rPr>
                <w:sz w:val="20"/>
                <w:szCs w:val="20"/>
                <w:color w:val="auto"/>
              </w:rPr>
            </w:pPr>
            <w:r>
              <w:rPr>
                <w:rFonts w:ascii="Arial" w:cs="Arial" w:eastAsia="Arial" w:hAnsi="Arial"/>
                <w:sz w:val="18"/>
                <w:szCs w:val="18"/>
                <w:color w:val="auto"/>
              </w:rPr>
              <w:t>2017; accordingly, PSU awards granted in 2015, 2016, 2017 and 2018 have been forfeited</w:t>
            </w:r>
          </w:p>
        </w:tc>
      </w:tr>
      <w:tr>
        <w:trPr>
          <w:trHeight w:val="217"/>
        </w:trPr>
        <w:tc>
          <w:tcPr>
            <w:tcW w:w="2860" w:type="dxa"/>
            <w:vAlign w:val="bottom"/>
            <w:shd w:val="clear" w:color="auto" w:fill="D2D3D5"/>
          </w:tcPr>
          <w:p>
            <w:pPr>
              <w:spacing w:after="0"/>
              <w:rPr>
                <w:sz w:val="18"/>
                <w:szCs w:val="18"/>
                <w:color w:val="auto"/>
              </w:rPr>
            </w:pPr>
          </w:p>
        </w:tc>
        <w:tc>
          <w:tcPr>
            <w:tcW w:w="620" w:type="dxa"/>
            <w:vAlign w:val="bottom"/>
            <w:shd w:val="clear" w:color="auto" w:fill="D2D3D5"/>
          </w:tcPr>
          <w:p>
            <w:pPr>
              <w:spacing w:after="0"/>
              <w:rPr>
                <w:sz w:val="18"/>
                <w:szCs w:val="18"/>
                <w:color w:val="auto"/>
              </w:rPr>
            </w:pPr>
          </w:p>
        </w:tc>
        <w:tc>
          <w:tcPr>
            <w:tcW w:w="7760" w:type="dxa"/>
            <w:vAlign w:val="bottom"/>
            <w:shd w:val="clear" w:color="auto" w:fill="D2D3D5"/>
          </w:tcPr>
          <w:p>
            <w:pPr>
              <w:ind w:left="80"/>
              <w:spacing w:after="0"/>
              <w:rPr>
                <w:sz w:val="20"/>
                <w:szCs w:val="20"/>
                <w:color w:val="auto"/>
              </w:rPr>
            </w:pPr>
            <w:r>
              <w:rPr>
                <w:rFonts w:ascii="Arial" w:cs="Arial" w:eastAsia="Arial" w:hAnsi="Arial"/>
                <w:sz w:val="18"/>
                <w:szCs w:val="18"/>
                <w:color w:val="auto"/>
              </w:rPr>
              <w:t>without payout.</w:t>
            </w:r>
          </w:p>
        </w:tc>
      </w:tr>
      <w:tr>
        <w:trPr>
          <w:trHeight w:val="296"/>
        </w:trPr>
        <w:tc>
          <w:tcPr>
            <w:tcW w:w="2860" w:type="dxa"/>
            <w:vAlign w:val="bottom"/>
            <w:shd w:val="clear" w:color="auto" w:fill="D2D3D5"/>
          </w:tcPr>
          <w:p>
            <w:pPr>
              <w:spacing w:after="0"/>
              <w:rPr>
                <w:sz w:val="24"/>
                <w:szCs w:val="24"/>
                <w:color w:val="auto"/>
              </w:rPr>
            </w:pPr>
          </w:p>
        </w:tc>
        <w:tc>
          <w:tcPr>
            <w:tcW w:w="620" w:type="dxa"/>
            <w:vAlign w:val="bottom"/>
            <w:shd w:val="clear" w:color="auto" w:fill="D2D3D5"/>
          </w:tcPr>
          <w:p>
            <w:pPr>
              <w:ind w:left="520"/>
              <w:spacing w:after="0"/>
              <w:rPr>
                <w:sz w:val="20"/>
                <w:szCs w:val="20"/>
                <w:color w:val="auto"/>
              </w:rPr>
            </w:pPr>
            <w:r>
              <w:rPr>
                <w:rFonts w:ascii="Arial" w:cs="Arial" w:eastAsia="Arial" w:hAnsi="Arial"/>
                <w:sz w:val="18"/>
                <w:szCs w:val="18"/>
                <w:color w:val="auto"/>
              </w:rPr>
              <w:t>·</w:t>
            </w:r>
          </w:p>
        </w:tc>
        <w:tc>
          <w:tcPr>
            <w:tcW w:w="7760" w:type="dxa"/>
            <w:vAlign w:val="bottom"/>
            <w:shd w:val="clear" w:color="auto" w:fill="D2D3D5"/>
          </w:tcPr>
          <w:p>
            <w:pPr>
              <w:jc w:val="right"/>
              <w:spacing w:after="0"/>
              <w:rPr>
                <w:sz w:val="20"/>
                <w:szCs w:val="20"/>
                <w:color w:val="auto"/>
              </w:rPr>
            </w:pPr>
            <w:r>
              <w:rPr>
                <w:rFonts w:ascii="Arial" w:cs="Arial" w:eastAsia="Arial" w:hAnsi="Arial"/>
                <w:sz w:val="18"/>
                <w:szCs w:val="18"/>
                <w:color w:val="auto"/>
              </w:rPr>
              <w:t>Given the revenue declines experienced in 2020, the PSU awards granted in 2019 and 2020 are</w:t>
            </w:r>
          </w:p>
        </w:tc>
      </w:tr>
      <w:tr>
        <w:trPr>
          <w:trHeight w:val="210"/>
        </w:trPr>
        <w:tc>
          <w:tcPr>
            <w:tcW w:w="2860" w:type="dxa"/>
            <w:vAlign w:val="bottom"/>
            <w:tcBorders>
              <w:bottom w:val="single" w:sz="8" w:color="auto"/>
            </w:tcBorders>
            <w:shd w:val="clear" w:color="auto" w:fill="D2D3D5"/>
          </w:tcPr>
          <w:p>
            <w:pPr>
              <w:spacing w:after="0"/>
              <w:rPr>
                <w:sz w:val="18"/>
                <w:szCs w:val="18"/>
                <w:color w:val="auto"/>
              </w:rPr>
            </w:pPr>
          </w:p>
        </w:tc>
        <w:tc>
          <w:tcPr>
            <w:tcW w:w="620" w:type="dxa"/>
            <w:vAlign w:val="bottom"/>
            <w:tcBorders>
              <w:bottom w:val="single" w:sz="8" w:color="auto"/>
            </w:tcBorders>
            <w:shd w:val="clear" w:color="auto" w:fill="D2D3D5"/>
          </w:tcPr>
          <w:p>
            <w:pPr>
              <w:spacing w:after="0"/>
              <w:rPr>
                <w:sz w:val="18"/>
                <w:szCs w:val="18"/>
                <w:color w:val="auto"/>
              </w:rPr>
            </w:pPr>
          </w:p>
        </w:tc>
        <w:tc>
          <w:tcPr>
            <w:tcW w:w="7760" w:type="dxa"/>
            <w:vAlign w:val="bottom"/>
            <w:tcBorders>
              <w:bottom w:val="single" w:sz="8" w:color="auto"/>
            </w:tcBorders>
            <w:shd w:val="clear" w:color="auto" w:fill="D2D3D5"/>
          </w:tcPr>
          <w:p>
            <w:pPr>
              <w:ind w:left="80"/>
              <w:spacing w:after="0" w:line="203" w:lineRule="exact"/>
              <w:rPr>
                <w:sz w:val="20"/>
                <w:szCs w:val="20"/>
                <w:color w:val="auto"/>
              </w:rPr>
            </w:pPr>
            <w:r>
              <w:rPr>
                <w:rFonts w:ascii="Arial" w:cs="Arial" w:eastAsia="Arial" w:hAnsi="Arial"/>
                <w:sz w:val="18"/>
                <w:szCs w:val="18"/>
                <w:color w:val="auto"/>
              </w:rPr>
              <w:t>unlikely to vest.</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the steps we took to reduce executive compensation, we also suspended matching contributions under our deferred compensation and 401(k) plans for executives from April through November 2020. No other COVID-related adjustments were made to the Company’s compensation programs other than the suspension of these matching contributions and the reductions to base salaries described above.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4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Consistent with prior years, more than 50% of CEO pay opportunity, at target, was performance-based, excluding amounts contained in the Summary Compensation Table under “All Other Compensation.” Aggregate CEO pay was substantially lower for 2020 compared to 2019, as illustrated below.</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02020"/>
        </w:rPr>
        <w:t>CEO Compensation*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202020"/>
        </w:rPr>
        <w:t>(in millions)</w:t>
      </w:r>
    </w:p>
    <w:p>
      <w:pPr>
        <w:spacing w:after="0" w:line="189" w:lineRule="exact"/>
        <w:rPr>
          <w:sz w:val="20"/>
          <w:szCs w:val="20"/>
          <w:color w:val="auto"/>
        </w:rPr>
      </w:pPr>
    </w:p>
    <w:p>
      <w:pPr>
        <w:ind w:left="1940"/>
        <w:spacing w:after="0"/>
        <w:tabs>
          <w:tab w:leader="none" w:pos="7500" w:val="left"/>
        </w:tabs>
        <w:rPr>
          <w:sz w:val="20"/>
          <w:szCs w:val="20"/>
          <w:color w:val="auto"/>
        </w:rPr>
      </w:pPr>
      <w:r>
        <w:rPr>
          <w:rFonts w:ascii="Arial" w:cs="Arial" w:eastAsia="Arial" w:hAnsi="Arial"/>
          <w:sz w:val="18"/>
          <w:szCs w:val="18"/>
          <w:b w:val="1"/>
          <w:bCs w:val="1"/>
          <w:color w:val="202020"/>
        </w:rPr>
        <w:t>Including Severance</w:t>
      </w:r>
      <w:r>
        <w:rPr>
          <w:sz w:val="20"/>
          <w:szCs w:val="20"/>
          <w:color w:val="auto"/>
        </w:rPr>
        <w:tab/>
      </w:r>
      <w:r>
        <w:rPr>
          <w:rFonts w:ascii="Arial" w:cs="Arial" w:eastAsia="Arial" w:hAnsi="Arial"/>
          <w:sz w:val="18"/>
          <w:szCs w:val="18"/>
          <w:b w:val="1"/>
          <w:bCs w:val="1"/>
          <w:color w:val="202020"/>
        </w:rPr>
        <w:t>Excluding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148590</wp:posOffset>
            </wp:positionV>
            <wp:extent cx="1997075" cy="1139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97075" cy="113982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148590</wp:posOffset>
            </wp:positionV>
            <wp:extent cx="1800225" cy="1217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00225"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40" w:hanging="332"/>
        <w:spacing w:after="0" w:line="258"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disclosed in the Summary Compensation Table contained herein for our current CEO’s 2020 compensation and contained in the Company’s definitive Proxy Statement under Regulation 14A, filed with the Securities and Exchange Commission on March 27, 2020 for our former Chief Executive Officer’s 2019 compensation.</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About the Annual Meeting</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am I receiving proxy materials?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(the “Board”) of Avis Budget Group, Inc. (the “Company” or “Avis Budget”) is soliciting your vote at the 2021 Annual Meeting of Shareholders, and any adjournment or postponement thereof (the “Meeting”), to be held virtually on May 26, 2021 at 9:00 a.m. Eastern Time, for the purposes set forth in this Proxy Statement.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or about April 5, 2021, the Company will first mail to certain shareholders of record the Notice of Internet Availability of Proxy materials containing instructions on how to access this Proxy Statement online, or in the alternative, request a paper copy of the proxy materials and a proxy card, and also will first mail to certain other shareholders this Proxy Statement and the accompanying proxy card.</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and where will the Meeting be held?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Meeting is scheduled to be held in a virtual-only format at 9:00 a.m. Eastern Time, on May 26, 2021.</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attend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at the close of business on March 29, 2021 (the “Record Date”) are entitled to virtually attend the Meeting.</w:t>
      </w:r>
    </w:p>
    <w:p>
      <w:pPr>
        <w:spacing w:after="0" w:line="19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Registered Shareholders: </w:t>
      </w:r>
      <w:r>
        <w:rPr>
          <w:rFonts w:ascii="Arial" w:cs="Arial" w:eastAsia="Arial" w:hAnsi="Arial"/>
          <w:sz w:val="18"/>
          <w:szCs w:val="18"/>
          <w:color w:val="auto"/>
        </w:rPr>
        <w:t>If you were a holder of record of the Company’s common stock as of the Record Date (i.e., you held your shares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your own name as reflected in the records of our transfer agent, Computershare), you can attend the Meeting by accessing </w:t>
      </w:r>
      <w:r>
        <w:rPr>
          <w:rFonts w:ascii="Arial" w:cs="Arial" w:eastAsia="Arial" w:hAnsi="Arial"/>
          <w:sz w:val="18"/>
          <w:szCs w:val="18"/>
          <w:i w:val="1"/>
          <w:iCs w:val="1"/>
          <w:color w:val="auto"/>
        </w:rPr>
        <w:t xml:space="preserve">www.meetingcenter.io/250990059 </w:t>
      </w:r>
      <w:r>
        <w:rPr>
          <w:rFonts w:ascii="Arial" w:cs="Arial" w:eastAsia="Arial" w:hAnsi="Arial"/>
          <w:sz w:val="18"/>
          <w:szCs w:val="18"/>
          <w:color w:val="auto"/>
        </w:rPr>
        <w:t>and entering the 15-digit control number found on the proxy card or notice and the meeting password,</w:t>
      </w:r>
      <w:r>
        <w:rPr>
          <w:rFonts w:ascii="Arial" w:cs="Arial" w:eastAsia="Arial" w:hAnsi="Arial"/>
          <w:sz w:val="18"/>
          <w:szCs w:val="18"/>
          <w:i w:val="1"/>
          <w:iCs w:val="1"/>
          <w:color w:val="auto"/>
        </w:rPr>
        <w:t xml:space="preserve"> </w:t>
      </w:r>
      <w:r>
        <w:rPr>
          <w:rFonts w:ascii="Arial" w:cs="Arial" w:eastAsia="Arial" w:hAnsi="Arial"/>
          <w:sz w:val="18"/>
          <w:szCs w:val="18"/>
          <w:color w:val="auto"/>
        </w:rPr>
        <w:t>CAR2021, and you may also vote your shares during the Meeting by following the online instructions.</w:t>
      </w:r>
    </w:p>
    <w:p>
      <w:pPr>
        <w:spacing w:after="0" w:line="18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Beneficial Owners: </w:t>
      </w:r>
      <w:r>
        <w:rPr>
          <w:rFonts w:ascii="Arial" w:cs="Arial" w:eastAsia="Arial" w:hAnsi="Arial"/>
          <w:sz w:val="18"/>
          <w:szCs w:val="18"/>
          <w:color w:val="auto"/>
        </w:rPr>
        <w:t>If you hold your shares through an intermediary, such as a bank, broker or other agent, you must register in advance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attend the Meeting. To register, you must obtain and submit a legal proxy from the holder of record, reflecting the number of shares of the Company’s common stock you held as of the Record Date, along with your name and e-mail address, to Computershare. You must send an e-mail from your broker, bank or other agent, or an image of your legal proxy to </w:t>
      </w:r>
      <w:r>
        <w:rPr>
          <w:rFonts w:ascii="Arial" w:cs="Arial" w:eastAsia="Arial" w:hAnsi="Arial"/>
          <w:sz w:val="18"/>
          <w:szCs w:val="18"/>
          <w:i w:val="1"/>
          <w:iCs w:val="1"/>
          <w:color w:val="auto"/>
        </w:rPr>
        <w:t>legalproxy@computershare.com</w:t>
      </w:r>
      <w:r>
        <w:rPr>
          <w:rFonts w:ascii="Arial" w:cs="Arial" w:eastAsia="Arial" w:hAnsi="Arial"/>
          <w:sz w:val="18"/>
          <w:szCs w:val="18"/>
          <w:color w:val="auto"/>
        </w:rPr>
        <w:t>. Requests for registration must be labeled as “Legal Proxy” and be received no later than 5:00 p.m. (Eastern Time) on Friday, May 21, 2021. You will receive a confirmation e-mail directly from Computershare of your registration.</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Those without a control number or legal proxy may attend the Meeting as a guest but will not have the option to vote or ask questions at the Meeting. We encourage you to access the Meeting prior to the start time and allow sufficient time to log into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items will I be voting on and what are the Board’s voting recommendations?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tcPr>
          <w:p>
            <w:pPr>
              <w:spacing w:after="0"/>
              <w:rPr>
                <w:sz w:val="18"/>
                <w:szCs w:val="18"/>
                <w:color w:val="auto"/>
              </w:rPr>
            </w:pPr>
          </w:p>
        </w:tc>
        <w:tc>
          <w:tcPr>
            <w:tcW w:w="2920" w:type="dxa"/>
            <w:vAlign w:val="bottom"/>
          </w:tcPr>
          <w:p>
            <w:pPr>
              <w:jc w:val="center"/>
              <w:ind w:left="370"/>
              <w:spacing w:after="0"/>
              <w:rPr>
                <w:sz w:val="20"/>
                <w:szCs w:val="20"/>
                <w:color w:val="auto"/>
              </w:rPr>
            </w:pPr>
            <w:r>
              <w:rPr>
                <w:rFonts w:ascii="Arial" w:cs="Arial" w:eastAsia="Arial" w:hAnsi="Arial"/>
                <w:sz w:val="18"/>
                <w:szCs w:val="18"/>
                <w:b w:val="1"/>
                <w:bCs w:val="1"/>
                <w:color w:val="auto"/>
                <w:w w:val="98"/>
              </w:rPr>
              <w:t>Board’s Voting</w:t>
            </w:r>
          </w:p>
        </w:tc>
      </w:tr>
      <w:tr>
        <w:trPr>
          <w:trHeight w:val="232"/>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w:t>
            </w:r>
          </w:p>
        </w:tc>
        <w:tc>
          <w:tcPr>
            <w:tcW w:w="29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Recommendation</w:t>
            </w:r>
          </w:p>
        </w:tc>
      </w:tr>
      <w:tr>
        <w:trPr>
          <w:trHeight w:val="216"/>
        </w:trPr>
        <w:tc>
          <w:tcPr>
            <w:tcW w:w="832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8"/>
                <w:szCs w:val="18"/>
                <w:color w:val="auto"/>
              </w:rPr>
              <w:t>No. 1: Election of Directors (see page 8)</w:t>
            </w:r>
          </w:p>
        </w:tc>
        <w:tc>
          <w:tcPr>
            <w:tcW w:w="2920" w:type="dxa"/>
            <w:vAlign w:val="bottom"/>
            <w:tcBorders>
              <w:bottom w:val="single" w:sz="8" w:color="auto"/>
            </w:tcBorders>
            <w:shd w:val="clear" w:color="auto" w:fill="D2D3D5"/>
          </w:tcPr>
          <w:p>
            <w:pPr>
              <w:jc w:val="center"/>
              <w:ind w:left="350"/>
              <w:spacing w:after="0"/>
              <w:rPr>
                <w:sz w:val="20"/>
                <w:szCs w:val="20"/>
                <w:color w:val="auto"/>
              </w:rPr>
            </w:pPr>
            <w:r>
              <w:rPr>
                <w:rFonts w:ascii="Arial" w:cs="Arial" w:eastAsia="Arial" w:hAnsi="Arial"/>
                <w:sz w:val="18"/>
                <w:szCs w:val="18"/>
                <w:color w:val="auto"/>
                <w:w w:val="99"/>
              </w:rPr>
              <w:t>FOR ALL NOMINEES</w:t>
            </w:r>
          </w:p>
        </w:tc>
      </w:tr>
      <w:tr>
        <w:trPr>
          <w:trHeight w:val="210"/>
        </w:trPr>
        <w:tc>
          <w:tcPr>
            <w:tcW w:w="83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No. 2: Ratification of Appointment of Auditors (see pages 47-48)</w:t>
            </w:r>
          </w:p>
        </w:tc>
        <w:tc>
          <w:tcPr>
            <w:tcW w:w="29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9"/>
              </w:rPr>
              <w:t>FOR</w:t>
            </w:r>
          </w:p>
        </w:tc>
      </w:tr>
      <w:tr>
        <w:trPr>
          <w:trHeight w:val="217"/>
        </w:trPr>
        <w:tc>
          <w:tcPr>
            <w:tcW w:w="832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8"/>
                <w:szCs w:val="18"/>
                <w:color w:val="auto"/>
              </w:rPr>
              <w:t>No. 3: Advisory Approval of the Compensation of our Named Executive Officers (see page 49)</w:t>
            </w:r>
          </w:p>
        </w:tc>
        <w:tc>
          <w:tcPr>
            <w:tcW w:w="2920" w:type="dxa"/>
            <w:vAlign w:val="bottom"/>
            <w:tcBorders>
              <w:bottom w:val="single" w:sz="8" w:color="auto"/>
            </w:tcBorders>
            <w:shd w:val="clear" w:color="auto" w:fill="D2D3D5"/>
          </w:tcPr>
          <w:p>
            <w:pPr>
              <w:jc w:val="center"/>
              <w:ind w:left="370"/>
              <w:spacing w:after="0"/>
              <w:rPr>
                <w:sz w:val="20"/>
                <w:szCs w:val="20"/>
                <w:color w:val="auto"/>
              </w:rPr>
            </w:pPr>
            <w:r>
              <w:rPr>
                <w:rFonts w:ascii="Arial" w:cs="Arial" w:eastAsia="Arial" w:hAnsi="Arial"/>
                <w:sz w:val="18"/>
                <w:szCs w:val="18"/>
                <w:color w:val="auto"/>
                <w:w w:val="99"/>
              </w:rPr>
              <w:t>FOR</w:t>
            </w:r>
          </w:p>
        </w:tc>
      </w:tr>
      <w:tr>
        <w:trPr>
          <w:trHeight w:val="449"/>
        </w:trPr>
        <w:tc>
          <w:tcPr>
            <w:tcW w:w="8320" w:type="dxa"/>
            <w:vAlign w:val="bottom"/>
          </w:tcPr>
          <w:p>
            <w:pPr>
              <w:spacing w:after="0"/>
              <w:rPr>
                <w:sz w:val="20"/>
                <w:szCs w:val="20"/>
                <w:color w:val="auto"/>
              </w:rPr>
            </w:pPr>
            <w:r>
              <w:rPr>
                <w:rFonts w:ascii="Arial" w:cs="Arial" w:eastAsia="Arial" w:hAnsi="Arial"/>
                <w:sz w:val="20"/>
                <w:szCs w:val="20"/>
                <w:b w:val="1"/>
                <w:bCs w:val="1"/>
                <w:color w:val="auto"/>
              </w:rPr>
              <w:t>Could other matters be decided at the Meeting?</w:t>
            </w:r>
          </w:p>
        </w:tc>
        <w:tc>
          <w:tcPr>
            <w:tcW w:w="2920" w:type="dxa"/>
            <w:vAlign w:val="bottom"/>
          </w:tcPr>
          <w:p>
            <w:pPr>
              <w:spacing w:after="0"/>
              <w:rPr>
                <w:sz w:val="24"/>
                <w:szCs w:val="24"/>
                <w:color w:val="auto"/>
              </w:rPr>
            </w:pPr>
          </w:p>
        </w:tc>
      </w:tr>
    </w:tbl>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is not aware of any other matters to be brought before the Meeting. However, if any other matters properly come before the Meeting, the individuals named as proxies, or their duly constituted substitutes acting at the Meeting, will be authorized to vote or otherwise act thereon in accordance with their judgment on such matters.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do I have?</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the Record Date.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can be cast by all shareholders?</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69,858,812 votes, consisting of one vote for each share of Common Stock outstanding on the Record Date. There is no cumulative voting, and the holders of the Common Stock vote together as a single class.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must be present to hold the Meeting?</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One-third of the outstanding shares of Common Stock entitled to vote at the Meeting, or 23,286,271 votes, must be present, in person or by proxy, to constitute a quorum at the Meeting. Abstentions and broker non-votes, if any, will be counted for the purpose of determining whether a quorum is present.</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are required to elect directors and adopt the other proposals?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Proposal</w:t>
            </w:r>
          </w:p>
        </w:tc>
        <w:tc>
          <w:tcPr>
            <w:tcW w:w="44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rPr>
              <w:t>Vote Requirement</w:t>
            </w:r>
          </w:p>
        </w:tc>
        <w:tc>
          <w:tcPr>
            <w:tcW w:w="38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Impact of Abstentions</w:t>
            </w:r>
          </w:p>
        </w:tc>
      </w:tr>
      <w:tr>
        <w:trPr>
          <w:trHeight w:val="215"/>
        </w:trPr>
        <w:tc>
          <w:tcPr>
            <w:tcW w:w="3020" w:type="dxa"/>
            <w:vAlign w:val="bottom"/>
            <w:shd w:val="clear" w:color="auto" w:fill="D2D3D5"/>
          </w:tcPr>
          <w:p>
            <w:pPr>
              <w:ind w:left="40"/>
              <w:spacing w:after="0"/>
              <w:rPr>
                <w:sz w:val="20"/>
                <w:szCs w:val="20"/>
                <w:color w:val="auto"/>
              </w:rPr>
            </w:pPr>
            <w:r>
              <w:rPr>
                <w:rFonts w:ascii="Arial" w:cs="Arial" w:eastAsia="Arial" w:hAnsi="Arial"/>
                <w:sz w:val="18"/>
                <w:szCs w:val="18"/>
                <w:color w:val="auto"/>
              </w:rPr>
              <w:t>No. 1: Election of Directors</w:t>
            </w:r>
          </w:p>
        </w:tc>
        <w:tc>
          <w:tcPr>
            <w:tcW w:w="340" w:type="dxa"/>
            <w:vAlign w:val="bottom"/>
            <w:shd w:val="clear" w:color="auto" w:fill="D2D3D5"/>
          </w:tcPr>
          <w:p>
            <w:pPr>
              <w:ind w:left="220"/>
              <w:spacing w:after="0"/>
              <w:rPr>
                <w:sz w:val="20"/>
                <w:szCs w:val="20"/>
                <w:color w:val="auto"/>
              </w:rPr>
            </w:pPr>
            <w:r>
              <w:rPr>
                <w:rFonts w:ascii="Arial" w:cs="Arial" w:eastAsia="Arial" w:hAnsi="Arial"/>
                <w:sz w:val="18"/>
                <w:szCs w:val="18"/>
                <w:color w:val="auto"/>
              </w:rPr>
              <w:t>·</w:t>
            </w:r>
          </w:p>
        </w:tc>
        <w:tc>
          <w:tcPr>
            <w:tcW w:w="4080" w:type="dxa"/>
            <w:vAlign w:val="bottom"/>
            <w:shd w:val="clear" w:color="auto" w:fill="D2D3D5"/>
          </w:tcPr>
          <w:p>
            <w:pPr>
              <w:ind w:left="60"/>
              <w:spacing w:after="0"/>
              <w:rPr>
                <w:sz w:val="20"/>
                <w:szCs w:val="20"/>
                <w:color w:val="auto"/>
              </w:rPr>
            </w:pPr>
            <w:r>
              <w:rPr>
                <w:rFonts w:ascii="Arial" w:cs="Arial" w:eastAsia="Arial" w:hAnsi="Arial"/>
                <w:sz w:val="18"/>
                <w:szCs w:val="18"/>
                <w:color w:val="auto"/>
              </w:rPr>
              <w:t>Uncontested Election (applies to the Meeting):</w:t>
            </w:r>
          </w:p>
        </w:tc>
        <w:tc>
          <w:tcPr>
            <w:tcW w:w="3800" w:type="dxa"/>
            <w:vAlign w:val="bottom"/>
            <w:shd w:val="clear" w:color="auto" w:fill="D2D3D5"/>
          </w:tcPr>
          <w:p>
            <w:pPr>
              <w:ind w:left="120"/>
              <w:spacing w:after="0"/>
              <w:rPr>
                <w:sz w:val="20"/>
                <w:szCs w:val="20"/>
                <w:color w:val="auto"/>
              </w:rPr>
            </w:pPr>
            <w:r>
              <w:rPr>
                <w:rFonts w:ascii="Arial" w:cs="Arial" w:eastAsia="Arial" w:hAnsi="Arial"/>
                <w:sz w:val="18"/>
                <w:szCs w:val="18"/>
                <w:color w:val="auto"/>
              </w:rPr>
              <w:t>Will have no effect on the outcome</w:t>
            </w:r>
          </w:p>
        </w:tc>
      </w:tr>
      <w:tr>
        <w:trPr>
          <w:trHeight w:val="216"/>
        </w:trPr>
        <w:tc>
          <w:tcPr>
            <w:tcW w:w="3020" w:type="dxa"/>
            <w:vAlign w:val="bottom"/>
            <w:shd w:val="clear" w:color="auto" w:fill="D2D3D5"/>
          </w:tcPr>
          <w:p>
            <w:pPr>
              <w:spacing w:after="0"/>
              <w:rPr>
                <w:sz w:val="18"/>
                <w:szCs w:val="18"/>
                <w:color w:val="auto"/>
              </w:rPr>
            </w:pPr>
          </w:p>
        </w:tc>
        <w:tc>
          <w:tcPr>
            <w:tcW w:w="340" w:type="dxa"/>
            <w:vAlign w:val="bottom"/>
            <w:shd w:val="clear" w:color="auto" w:fill="D2D3D5"/>
          </w:tcPr>
          <w:p>
            <w:pPr>
              <w:spacing w:after="0"/>
              <w:rPr>
                <w:sz w:val="18"/>
                <w:szCs w:val="18"/>
                <w:color w:val="auto"/>
              </w:rPr>
            </w:pPr>
          </w:p>
        </w:tc>
        <w:tc>
          <w:tcPr>
            <w:tcW w:w="4080" w:type="dxa"/>
            <w:vAlign w:val="bottom"/>
            <w:shd w:val="clear" w:color="auto" w:fill="D2D3D5"/>
          </w:tcPr>
          <w:p>
            <w:pPr>
              <w:ind w:left="60"/>
              <w:spacing w:after="0"/>
              <w:rPr>
                <w:sz w:val="20"/>
                <w:szCs w:val="20"/>
                <w:color w:val="auto"/>
              </w:rPr>
            </w:pPr>
            <w:r>
              <w:rPr>
                <w:rFonts w:ascii="Arial" w:cs="Arial" w:eastAsia="Arial" w:hAnsi="Arial"/>
                <w:sz w:val="18"/>
                <w:szCs w:val="18"/>
                <w:color w:val="auto"/>
              </w:rPr>
              <w:t>Directors are elected by a majority of votes cast</w:t>
            </w:r>
          </w:p>
        </w:tc>
        <w:tc>
          <w:tcPr>
            <w:tcW w:w="3800" w:type="dxa"/>
            <w:vAlign w:val="bottom"/>
            <w:shd w:val="clear" w:color="auto" w:fill="D2D3D5"/>
          </w:tcPr>
          <w:p>
            <w:pPr>
              <w:spacing w:after="0"/>
              <w:rPr>
                <w:sz w:val="18"/>
                <w:szCs w:val="18"/>
                <w:color w:val="auto"/>
              </w:rPr>
            </w:pPr>
          </w:p>
        </w:tc>
      </w:tr>
      <w:tr>
        <w:trPr>
          <w:trHeight w:val="216"/>
        </w:trPr>
        <w:tc>
          <w:tcPr>
            <w:tcW w:w="3020" w:type="dxa"/>
            <w:vAlign w:val="bottom"/>
            <w:shd w:val="clear" w:color="auto" w:fill="D2D3D5"/>
          </w:tcPr>
          <w:p>
            <w:pPr>
              <w:spacing w:after="0"/>
              <w:rPr>
                <w:sz w:val="18"/>
                <w:szCs w:val="18"/>
                <w:color w:val="auto"/>
              </w:rPr>
            </w:pPr>
          </w:p>
        </w:tc>
        <w:tc>
          <w:tcPr>
            <w:tcW w:w="340" w:type="dxa"/>
            <w:vAlign w:val="bottom"/>
            <w:shd w:val="clear" w:color="auto" w:fill="D2D3D5"/>
          </w:tcPr>
          <w:p>
            <w:pPr>
              <w:spacing w:after="0"/>
              <w:rPr>
                <w:sz w:val="18"/>
                <w:szCs w:val="18"/>
                <w:color w:val="auto"/>
              </w:rPr>
            </w:pPr>
          </w:p>
        </w:tc>
        <w:tc>
          <w:tcPr>
            <w:tcW w:w="4080" w:type="dxa"/>
            <w:vAlign w:val="bottom"/>
            <w:shd w:val="clear" w:color="auto" w:fill="D2D3D5"/>
          </w:tcPr>
          <w:p>
            <w:pPr>
              <w:ind w:left="60"/>
              <w:spacing w:after="0"/>
              <w:rPr>
                <w:sz w:val="20"/>
                <w:szCs w:val="20"/>
                <w:color w:val="auto"/>
              </w:rPr>
            </w:pPr>
            <w:r>
              <w:rPr>
                <w:rFonts w:ascii="Arial" w:cs="Arial" w:eastAsia="Arial" w:hAnsi="Arial"/>
                <w:sz w:val="18"/>
                <w:szCs w:val="18"/>
                <w:color w:val="auto"/>
              </w:rPr>
              <w:t>(number of votes cast “for” each nominee must</w:t>
            </w:r>
          </w:p>
        </w:tc>
        <w:tc>
          <w:tcPr>
            <w:tcW w:w="3800" w:type="dxa"/>
            <w:vAlign w:val="bottom"/>
            <w:shd w:val="clear" w:color="auto" w:fill="D2D3D5"/>
          </w:tcPr>
          <w:p>
            <w:pPr>
              <w:spacing w:after="0"/>
              <w:rPr>
                <w:sz w:val="18"/>
                <w:szCs w:val="18"/>
                <w:color w:val="auto"/>
              </w:rPr>
            </w:pPr>
          </w:p>
        </w:tc>
      </w:tr>
      <w:tr>
        <w:trPr>
          <w:trHeight w:val="216"/>
        </w:trPr>
        <w:tc>
          <w:tcPr>
            <w:tcW w:w="3020" w:type="dxa"/>
            <w:vAlign w:val="bottom"/>
            <w:shd w:val="clear" w:color="auto" w:fill="D2D3D5"/>
          </w:tcPr>
          <w:p>
            <w:pPr>
              <w:spacing w:after="0"/>
              <w:rPr>
                <w:sz w:val="18"/>
                <w:szCs w:val="18"/>
                <w:color w:val="auto"/>
              </w:rPr>
            </w:pPr>
          </w:p>
        </w:tc>
        <w:tc>
          <w:tcPr>
            <w:tcW w:w="340" w:type="dxa"/>
            <w:vAlign w:val="bottom"/>
            <w:shd w:val="clear" w:color="auto" w:fill="D2D3D5"/>
          </w:tcPr>
          <w:p>
            <w:pPr>
              <w:spacing w:after="0"/>
              <w:rPr>
                <w:sz w:val="18"/>
                <w:szCs w:val="18"/>
                <w:color w:val="auto"/>
              </w:rPr>
            </w:pPr>
          </w:p>
        </w:tc>
        <w:tc>
          <w:tcPr>
            <w:tcW w:w="4080" w:type="dxa"/>
            <w:vAlign w:val="bottom"/>
            <w:shd w:val="clear" w:color="auto" w:fill="D2D3D5"/>
          </w:tcPr>
          <w:p>
            <w:pPr>
              <w:ind w:left="60"/>
              <w:spacing w:after="0"/>
              <w:rPr>
                <w:sz w:val="20"/>
                <w:szCs w:val="20"/>
                <w:color w:val="auto"/>
              </w:rPr>
            </w:pPr>
            <w:r>
              <w:rPr>
                <w:rFonts w:ascii="Arial" w:cs="Arial" w:eastAsia="Arial" w:hAnsi="Arial"/>
                <w:sz w:val="18"/>
                <w:szCs w:val="18"/>
                <w:color w:val="auto"/>
              </w:rPr>
              <w:t>exceed the number of votes cast “against” that</w:t>
            </w:r>
          </w:p>
        </w:tc>
        <w:tc>
          <w:tcPr>
            <w:tcW w:w="3800" w:type="dxa"/>
            <w:vAlign w:val="bottom"/>
            <w:shd w:val="clear" w:color="auto" w:fill="D2D3D5"/>
          </w:tcPr>
          <w:p>
            <w:pPr>
              <w:spacing w:after="0"/>
              <w:rPr>
                <w:sz w:val="18"/>
                <w:szCs w:val="18"/>
                <w:color w:val="auto"/>
              </w:rPr>
            </w:pPr>
          </w:p>
        </w:tc>
      </w:tr>
      <w:tr>
        <w:trPr>
          <w:trHeight w:val="203"/>
        </w:trPr>
        <w:tc>
          <w:tcPr>
            <w:tcW w:w="3020" w:type="dxa"/>
            <w:vAlign w:val="bottom"/>
            <w:shd w:val="clear" w:color="auto" w:fill="D2D3D5"/>
          </w:tcPr>
          <w:p>
            <w:pPr>
              <w:spacing w:after="0"/>
              <w:rPr>
                <w:sz w:val="17"/>
                <w:szCs w:val="17"/>
                <w:color w:val="auto"/>
              </w:rPr>
            </w:pPr>
          </w:p>
        </w:tc>
        <w:tc>
          <w:tcPr>
            <w:tcW w:w="340" w:type="dxa"/>
            <w:vAlign w:val="bottom"/>
            <w:shd w:val="clear" w:color="auto" w:fill="D2D3D5"/>
          </w:tcPr>
          <w:p>
            <w:pPr>
              <w:spacing w:after="0"/>
              <w:rPr>
                <w:sz w:val="17"/>
                <w:szCs w:val="17"/>
                <w:color w:val="auto"/>
              </w:rPr>
            </w:pPr>
          </w:p>
        </w:tc>
        <w:tc>
          <w:tcPr>
            <w:tcW w:w="4080" w:type="dxa"/>
            <w:vAlign w:val="bottom"/>
            <w:shd w:val="clear" w:color="auto" w:fill="D2D3D5"/>
          </w:tcPr>
          <w:p>
            <w:pPr>
              <w:ind w:left="60"/>
              <w:spacing w:after="0" w:line="203" w:lineRule="exact"/>
              <w:rPr>
                <w:sz w:val="20"/>
                <w:szCs w:val="20"/>
                <w:color w:val="auto"/>
              </w:rPr>
            </w:pPr>
            <w:r>
              <w:rPr>
                <w:rFonts w:ascii="Arial" w:cs="Arial" w:eastAsia="Arial" w:hAnsi="Arial"/>
                <w:sz w:val="18"/>
                <w:szCs w:val="18"/>
                <w:color w:val="auto"/>
              </w:rPr>
              <w:t>nominee)</w:t>
            </w:r>
          </w:p>
        </w:tc>
        <w:tc>
          <w:tcPr>
            <w:tcW w:w="3800" w:type="dxa"/>
            <w:vAlign w:val="bottom"/>
            <w:shd w:val="clear" w:color="auto" w:fill="D2D3D5"/>
          </w:tcPr>
          <w:p>
            <w:pPr>
              <w:spacing w:after="0"/>
              <w:rPr>
                <w:sz w:val="17"/>
                <w:szCs w:val="17"/>
                <w:color w:val="auto"/>
              </w:rPr>
            </w:pPr>
          </w:p>
        </w:tc>
      </w:tr>
      <w:tr>
        <w:trPr>
          <w:trHeight w:val="431"/>
        </w:trPr>
        <w:tc>
          <w:tcPr>
            <w:tcW w:w="3020" w:type="dxa"/>
            <w:vAlign w:val="bottom"/>
            <w:shd w:val="clear" w:color="auto" w:fill="D2D3D5"/>
          </w:tcPr>
          <w:p>
            <w:pPr>
              <w:spacing w:after="0"/>
              <w:rPr>
                <w:sz w:val="24"/>
                <w:szCs w:val="24"/>
                <w:color w:val="auto"/>
              </w:rPr>
            </w:pPr>
          </w:p>
        </w:tc>
        <w:tc>
          <w:tcPr>
            <w:tcW w:w="340" w:type="dxa"/>
            <w:vAlign w:val="bottom"/>
            <w:shd w:val="clear" w:color="auto" w:fill="D2D3D5"/>
          </w:tcPr>
          <w:p>
            <w:pPr>
              <w:ind w:left="220"/>
              <w:spacing w:after="0"/>
              <w:rPr>
                <w:sz w:val="20"/>
                <w:szCs w:val="20"/>
                <w:color w:val="auto"/>
              </w:rPr>
            </w:pPr>
            <w:r>
              <w:rPr>
                <w:rFonts w:ascii="Arial" w:cs="Arial" w:eastAsia="Arial" w:hAnsi="Arial"/>
                <w:sz w:val="18"/>
                <w:szCs w:val="18"/>
                <w:color w:val="auto"/>
              </w:rPr>
              <w:t>·</w:t>
            </w:r>
          </w:p>
        </w:tc>
        <w:tc>
          <w:tcPr>
            <w:tcW w:w="4080" w:type="dxa"/>
            <w:vAlign w:val="bottom"/>
            <w:shd w:val="clear" w:color="auto" w:fill="D2D3D5"/>
          </w:tcPr>
          <w:p>
            <w:pPr>
              <w:ind w:left="60"/>
              <w:spacing w:after="0"/>
              <w:rPr>
                <w:sz w:val="20"/>
                <w:szCs w:val="20"/>
                <w:color w:val="auto"/>
              </w:rPr>
            </w:pPr>
            <w:r>
              <w:rPr>
                <w:rFonts w:ascii="Arial" w:cs="Arial" w:eastAsia="Arial" w:hAnsi="Arial"/>
                <w:sz w:val="18"/>
                <w:szCs w:val="18"/>
                <w:color w:val="auto"/>
              </w:rPr>
              <w:t>Contested Election: Directors are elected by a</w:t>
            </w:r>
          </w:p>
        </w:tc>
        <w:tc>
          <w:tcPr>
            <w:tcW w:w="3800" w:type="dxa"/>
            <w:vAlign w:val="bottom"/>
            <w:shd w:val="clear" w:color="auto" w:fill="D2D3D5"/>
          </w:tcPr>
          <w:p>
            <w:pPr>
              <w:spacing w:after="0"/>
              <w:rPr>
                <w:sz w:val="24"/>
                <w:szCs w:val="24"/>
                <w:color w:val="auto"/>
              </w:rPr>
            </w:pPr>
          </w:p>
        </w:tc>
      </w:tr>
      <w:tr>
        <w:trPr>
          <w:trHeight w:val="216"/>
        </w:trPr>
        <w:tc>
          <w:tcPr>
            <w:tcW w:w="3020" w:type="dxa"/>
            <w:vAlign w:val="bottom"/>
            <w:shd w:val="clear" w:color="auto" w:fill="D2D3D5"/>
          </w:tcPr>
          <w:p>
            <w:pPr>
              <w:spacing w:after="0"/>
              <w:rPr>
                <w:sz w:val="18"/>
                <w:szCs w:val="18"/>
                <w:color w:val="auto"/>
              </w:rPr>
            </w:pPr>
          </w:p>
        </w:tc>
        <w:tc>
          <w:tcPr>
            <w:tcW w:w="340" w:type="dxa"/>
            <w:vAlign w:val="bottom"/>
            <w:shd w:val="clear" w:color="auto" w:fill="D2D3D5"/>
          </w:tcPr>
          <w:p>
            <w:pPr>
              <w:spacing w:after="0"/>
              <w:rPr>
                <w:sz w:val="18"/>
                <w:szCs w:val="18"/>
                <w:color w:val="auto"/>
              </w:rPr>
            </w:pPr>
          </w:p>
        </w:tc>
        <w:tc>
          <w:tcPr>
            <w:tcW w:w="4080" w:type="dxa"/>
            <w:vAlign w:val="bottom"/>
            <w:shd w:val="clear" w:color="auto" w:fill="D2D3D5"/>
          </w:tcPr>
          <w:p>
            <w:pPr>
              <w:ind w:left="60"/>
              <w:spacing w:after="0"/>
              <w:rPr>
                <w:sz w:val="20"/>
                <w:szCs w:val="20"/>
                <w:color w:val="auto"/>
              </w:rPr>
            </w:pPr>
            <w:r>
              <w:rPr>
                <w:rFonts w:ascii="Arial" w:cs="Arial" w:eastAsia="Arial" w:hAnsi="Arial"/>
                <w:sz w:val="18"/>
                <w:szCs w:val="18"/>
                <w:color w:val="auto"/>
              </w:rPr>
              <w:t>plurality of shares present, in person or by proxy,</w:t>
            </w:r>
          </w:p>
        </w:tc>
        <w:tc>
          <w:tcPr>
            <w:tcW w:w="3800" w:type="dxa"/>
            <w:vAlign w:val="bottom"/>
            <w:shd w:val="clear" w:color="auto" w:fill="D2D3D5"/>
          </w:tcPr>
          <w:p>
            <w:pPr>
              <w:spacing w:after="0"/>
              <w:rPr>
                <w:sz w:val="18"/>
                <w:szCs w:val="18"/>
                <w:color w:val="auto"/>
              </w:rPr>
            </w:pPr>
          </w:p>
        </w:tc>
      </w:tr>
      <w:tr>
        <w:trPr>
          <w:trHeight w:val="203"/>
        </w:trPr>
        <w:tc>
          <w:tcPr>
            <w:tcW w:w="3020" w:type="dxa"/>
            <w:vAlign w:val="bottom"/>
            <w:tcBorders>
              <w:bottom w:val="single" w:sz="8" w:color="auto"/>
            </w:tcBorders>
            <w:shd w:val="clear" w:color="auto" w:fill="D2D3D5"/>
          </w:tcPr>
          <w:p>
            <w:pPr>
              <w:spacing w:after="0"/>
              <w:rPr>
                <w:sz w:val="17"/>
                <w:szCs w:val="17"/>
                <w:color w:val="auto"/>
              </w:rPr>
            </w:pPr>
          </w:p>
        </w:tc>
        <w:tc>
          <w:tcPr>
            <w:tcW w:w="340" w:type="dxa"/>
            <w:vAlign w:val="bottom"/>
            <w:tcBorders>
              <w:bottom w:val="single" w:sz="8" w:color="auto"/>
            </w:tcBorders>
            <w:shd w:val="clear" w:color="auto" w:fill="D2D3D5"/>
          </w:tcPr>
          <w:p>
            <w:pPr>
              <w:spacing w:after="0"/>
              <w:rPr>
                <w:sz w:val="17"/>
                <w:szCs w:val="17"/>
                <w:color w:val="auto"/>
              </w:rPr>
            </w:pPr>
          </w:p>
        </w:tc>
        <w:tc>
          <w:tcPr>
            <w:tcW w:w="4080" w:type="dxa"/>
            <w:vAlign w:val="bottom"/>
            <w:tcBorders>
              <w:bottom w:val="single" w:sz="8" w:color="auto"/>
            </w:tcBorders>
            <w:shd w:val="clear" w:color="auto" w:fill="D2D3D5"/>
          </w:tcPr>
          <w:p>
            <w:pPr>
              <w:ind w:left="60"/>
              <w:spacing w:after="0" w:line="203" w:lineRule="exact"/>
              <w:rPr>
                <w:sz w:val="20"/>
                <w:szCs w:val="20"/>
                <w:color w:val="auto"/>
              </w:rPr>
            </w:pPr>
            <w:r>
              <w:rPr>
                <w:rFonts w:ascii="Arial" w:cs="Arial" w:eastAsia="Arial" w:hAnsi="Arial"/>
                <w:sz w:val="18"/>
                <w:szCs w:val="18"/>
                <w:color w:val="auto"/>
              </w:rPr>
              <w:t>and entitled to vote</w:t>
            </w:r>
          </w:p>
        </w:tc>
        <w:tc>
          <w:tcPr>
            <w:tcW w:w="3800" w:type="dxa"/>
            <w:vAlign w:val="bottom"/>
            <w:tcBorders>
              <w:bottom w:val="single" w:sz="8" w:color="auto"/>
            </w:tcBorders>
            <w:shd w:val="clear" w:color="auto" w:fill="D2D3D5"/>
          </w:tcPr>
          <w:p>
            <w:pPr>
              <w:spacing w:after="0"/>
              <w:rPr>
                <w:sz w:val="17"/>
                <w:szCs w:val="17"/>
                <w:color w:val="auto"/>
              </w:rPr>
            </w:pPr>
          </w:p>
        </w:tc>
      </w:tr>
      <w:tr>
        <w:trPr>
          <w:trHeight w:val="195"/>
        </w:trPr>
        <w:tc>
          <w:tcPr>
            <w:tcW w:w="3020" w:type="dxa"/>
            <w:vAlign w:val="bottom"/>
          </w:tcPr>
          <w:p>
            <w:pPr>
              <w:ind w:left="40"/>
              <w:spacing w:after="0" w:line="195" w:lineRule="exact"/>
              <w:rPr>
                <w:sz w:val="20"/>
                <w:szCs w:val="20"/>
                <w:color w:val="auto"/>
              </w:rPr>
            </w:pPr>
            <w:r>
              <w:rPr>
                <w:rFonts w:ascii="Arial" w:cs="Arial" w:eastAsia="Arial" w:hAnsi="Arial"/>
                <w:sz w:val="18"/>
                <w:szCs w:val="18"/>
                <w:color w:val="auto"/>
              </w:rPr>
              <w:t>No. 2: Ratification of Appointment of</w:t>
            </w:r>
          </w:p>
        </w:tc>
        <w:tc>
          <w:tcPr>
            <w:tcW w:w="340" w:type="dxa"/>
            <w:vAlign w:val="bottom"/>
          </w:tcPr>
          <w:p>
            <w:pPr>
              <w:spacing w:after="0"/>
              <w:rPr>
                <w:sz w:val="16"/>
                <w:szCs w:val="16"/>
                <w:color w:val="auto"/>
              </w:rPr>
            </w:pPr>
          </w:p>
        </w:tc>
        <w:tc>
          <w:tcPr>
            <w:tcW w:w="4080" w:type="dxa"/>
            <w:vAlign w:val="bottom"/>
          </w:tcPr>
          <w:p>
            <w:pPr>
              <w:ind w:left="60"/>
              <w:spacing w:after="0" w:line="195" w:lineRule="exact"/>
              <w:rPr>
                <w:sz w:val="20"/>
                <w:szCs w:val="20"/>
                <w:color w:val="auto"/>
              </w:rPr>
            </w:pPr>
            <w:r>
              <w:rPr>
                <w:rFonts w:ascii="Arial" w:cs="Arial" w:eastAsia="Arial" w:hAnsi="Arial"/>
                <w:sz w:val="18"/>
                <w:szCs w:val="18"/>
                <w:color w:val="auto"/>
              </w:rPr>
              <w:t>Majority of shares present, in person or by proxy,</w:t>
            </w:r>
          </w:p>
        </w:tc>
        <w:tc>
          <w:tcPr>
            <w:tcW w:w="3800" w:type="dxa"/>
            <w:vAlign w:val="bottom"/>
          </w:tcPr>
          <w:p>
            <w:pPr>
              <w:ind w:left="120"/>
              <w:spacing w:after="0" w:line="195" w:lineRule="exact"/>
              <w:rPr>
                <w:sz w:val="20"/>
                <w:szCs w:val="20"/>
                <w:color w:val="auto"/>
              </w:rPr>
            </w:pPr>
            <w:r>
              <w:rPr>
                <w:rFonts w:ascii="Arial" w:cs="Arial" w:eastAsia="Arial" w:hAnsi="Arial"/>
                <w:sz w:val="18"/>
                <w:szCs w:val="18"/>
                <w:color w:val="auto"/>
              </w:rPr>
              <w:t>Counted and will have the same effect as a</w:t>
            </w:r>
          </w:p>
        </w:tc>
      </w:tr>
      <w:tr>
        <w:trPr>
          <w:trHeight w:val="217"/>
        </w:trPr>
        <w:tc>
          <w:tcPr>
            <w:tcW w:w="3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Auditors</w:t>
            </w: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and entitled to vote</w:t>
            </w:r>
          </w:p>
        </w:tc>
        <w:tc>
          <w:tcPr>
            <w:tcW w:w="38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vote against such proposal</w:t>
            </w:r>
          </w:p>
        </w:tc>
      </w:tr>
      <w:tr>
        <w:trPr>
          <w:trHeight w:val="195"/>
        </w:trPr>
        <w:tc>
          <w:tcPr>
            <w:tcW w:w="3020" w:type="dxa"/>
            <w:vAlign w:val="bottom"/>
            <w:shd w:val="clear" w:color="auto" w:fill="D2D3D5"/>
          </w:tcPr>
          <w:p>
            <w:pPr>
              <w:ind w:left="40"/>
              <w:spacing w:after="0" w:line="195" w:lineRule="exact"/>
              <w:rPr>
                <w:sz w:val="20"/>
                <w:szCs w:val="20"/>
                <w:color w:val="auto"/>
              </w:rPr>
            </w:pPr>
            <w:r>
              <w:rPr>
                <w:rFonts w:ascii="Arial" w:cs="Arial" w:eastAsia="Arial" w:hAnsi="Arial"/>
                <w:sz w:val="18"/>
                <w:szCs w:val="18"/>
                <w:color w:val="auto"/>
              </w:rPr>
              <w:t>No. 3: Advisory Approval of the</w:t>
            </w:r>
          </w:p>
        </w:tc>
        <w:tc>
          <w:tcPr>
            <w:tcW w:w="340" w:type="dxa"/>
            <w:vAlign w:val="bottom"/>
            <w:shd w:val="clear" w:color="auto" w:fill="D2D3D5"/>
          </w:tcPr>
          <w:p>
            <w:pPr>
              <w:spacing w:after="0"/>
              <w:rPr>
                <w:sz w:val="16"/>
                <w:szCs w:val="16"/>
                <w:color w:val="auto"/>
              </w:rPr>
            </w:pPr>
          </w:p>
        </w:tc>
        <w:tc>
          <w:tcPr>
            <w:tcW w:w="4080" w:type="dxa"/>
            <w:vAlign w:val="bottom"/>
            <w:shd w:val="clear" w:color="auto" w:fill="D2D3D5"/>
          </w:tcPr>
          <w:p>
            <w:pPr>
              <w:ind w:left="60"/>
              <w:spacing w:after="0" w:line="195" w:lineRule="exact"/>
              <w:rPr>
                <w:sz w:val="20"/>
                <w:szCs w:val="20"/>
                <w:color w:val="auto"/>
              </w:rPr>
            </w:pPr>
            <w:r>
              <w:rPr>
                <w:rFonts w:ascii="Arial" w:cs="Arial" w:eastAsia="Arial" w:hAnsi="Arial"/>
                <w:sz w:val="18"/>
                <w:szCs w:val="18"/>
                <w:color w:val="auto"/>
              </w:rPr>
              <w:t>Majority of shares present, in person or by proxy,</w:t>
            </w:r>
          </w:p>
        </w:tc>
        <w:tc>
          <w:tcPr>
            <w:tcW w:w="3800" w:type="dxa"/>
            <w:vAlign w:val="bottom"/>
            <w:shd w:val="clear" w:color="auto" w:fill="D2D3D5"/>
          </w:tcPr>
          <w:p>
            <w:pPr>
              <w:ind w:left="120"/>
              <w:spacing w:after="0" w:line="195" w:lineRule="exact"/>
              <w:rPr>
                <w:sz w:val="20"/>
                <w:szCs w:val="20"/>
                <w:color w:val="auto"/>
              </w:rPr>
            </w:pPr>
            <w:r>
              <w:rPr>
                <w:rFonts w:ascii="Arial" w:cs="Arial" w:eastAsia="Arial" w:hAnsi="Arial"/>
                <w:sz w:val="18"/>
                <w:szCs w:val="18"/>
                <w:color w:val="auto"/>
              </w:rPr>
              <w:t>Counted and will have the same effect as a</w:t>
            </w:r>
          </w:p>
        </w:tc>
      </w:tr>
      <w:tr>
        <w:trPr>
          <w:trHeight w:val="202"/>
        </w:trPr>
        <w:tc>
          <w:tcPr>
            <w:tcW w:w="3020" w:type="dxa"/>
            <w:vAlign w:val="bottom"/>
            <w:shd w:val="clear" w:color="auto" w:fill="D2D3D5"/>
          </w:tcPr>
          <w:p>
            <w:pPr>
              <w:ind w:left="40"/>
              <w:spacing w:after="0" w:line="202" w:lineRule="exact"/>
              <w:rPr>
                <w:sz w:val="20"/>
                <w:szCs w:val="20"/>
                <w:color w:val="auto"/>
              </w:rPr>
            </w:pPr>
            <w:r>
              <w:rPr>
                <w:rFonts w:ascii="Arial" w:cs="Arial" w:eastAsia="Arial" w:hAnsi="Arial"/>
                <w:sz w:val="18"/>
                <w:szCs w:val="18"/>
                <w:color w:val="auto"/>
              </w:rPr>
              <w:t>Compensation of our Named</w:t>
            </w:r>
          </w:p>
        </w:tc>
        <w:tc>
          <w:tcPr>
            <w:tcW w:w="340" w:type="dxa"/>
            <w:vAlign w:val="bottom"/>
            <w:shd w:val="clear" w:color="auto" w:fill="D2D3D5"/>
          </w:tcPr>
          <w:p>
            <w:pPr>
              <w:spacing w:after="0"/>
              <w:rPr>
                <w:sz w:val="17"/>
                <w:szCs w:val="17"/>
                <w:color w:val="auto"/>
              </w:rPr>
            </w:pPr>
          </w:p>
        </w:tc>
        <w:tc>
          <w:tcPr>
            <w:tcW w:w="4080" w:type="dxa"/>
            <w:vAlign w:val="bottom"/>
            <w:shd w:val="clear" w:color="auto" w:fill="D2D3D5"/>
          </w:tcPr>
          <w:p>
            <w:pPr>
              <w:ind w:left="60"/>
              <w:spacing w:after="0" w:line="202" w:lineRule="exact"/>
              <w:rPr>
                <w:sz w:val="20"/>
                <w:szCs w:val="20"/>
                <w:color w:val="auto"/>
              </w:rPr>
            </w:pPr>
            <w:r>
              <w:rPr>
                <w:rFonts w:ascii="Arial" w:cs="Arial" w:eastAsia="Arial" w:hAnsi="Arial"/>
                <w:sz w:val="18"/>
                <w:szCs w:val="18"/>
                <w:color w:val="auto"/>
              </w:rPr>
              <w:t>and entitled to vote</w:t>
            </w:r>
          </w:p>
        </w:tc>
        <w:tc>
          <w:tcPr>
            <w:tcW w:w="3800" w:type="dxa"/>
            <w:vAlign w:val="bottom"/>
            <w:shd w:val="clear" w:color="auto" w:fill="D2D3D5"/>
          </w:tcPr>
          <w:p>
            <w:pPr>
              <w:ind w:left="120"/>
              <w:spacing w:after="0" w:line="202" w:lineRule="exact"/>
              <w:rPr>
                <w:sz w:val="20"/>
                <w:szCs w:val="20"/>
                <w:color w:val="auto"/>
              </w:rPr>
            </w:pPr>
            <w:r>
              <w:rPr>
                <w:rFonts w:ascii="Arial" w:cs="Arial" w:eastAsia="Arial" w:hAnsi="Arial"/>
                <w:sz w:val="18"/>
                <w:szCs w:val="18"/>
                <w:color w:val="auto"/>
              </w:rPr>
              <w:t>vote against such proposal</w:t>
            </w:r>
          </w:p>
        </w:tc>
      </w:tr>
      <w:tr>
        <w:trPr>
          <w:trHeight w:val="210"/>
        </w:trPr>
        <w:tc>
          <w:tcPr>
            <w:tcW w:w="3020" w:type="dxa"/>
            <w:vAlign w:val="bottom"/>
            <w:tcBorders>
              <w:bottom w:val="single" w:sz="8" w:color="auto"/>
            </w:tcBorders>
            <w:shd w:val="clear" w:color="auto" w:fill="D2D3D5"/>
          </w:tcPr>
          <w:p>
            <w:pPr>
              <w:ind w:left="40"/>
              <w:spacing w:after="0" w:line="203" w:lineRule="exact"/>
              <w:rPr>
                <w:sz w:val="20"/>
                <w:szCs w:val="20"/>
                <w:color w:val="auto"/>
              </w:rPr>
            </w:pPr>
            <w:r>
              <w:rPr>
                <w:rFonts w:ascii="Arial" w:cs="Arial" w:eastAsia="Arial" w:hAnsi="Arial"/>
                <w:sz w:val="18"/>
                <w:szCs w:val="18"/>
                <w:color w:val="auto"/>
              </w:rPr>
              <w:t>Executive Officers</w:t>
            </w:r>
          </w:p>
        </w:tc>
        <w:tc>
          <w:tcPr>
            <w:tcW w:w="340" w:type="dxa"/>
            <w:vAlign w:val="bottom"/>
            <w:tcBorders>
              <w:bottom w:val="single" w:sz="8" w:color="auto"/>
            </w:tcBorders>
            <w:shd w:val="clear" w:color="auto" w:fill="D2D3D5"/>
          </w:tcPr>
          <w:p>
            <w:pPr>
              <w:spacing w:after="0"/>
              <w:rPr>
                <w:sz w:val="18"/>
                <w:szCs w:val="18"/>
                <w:color w:val="auto"/>
              </w:rPr>
            </w:pPr>
          </w:p>
        </w:tc>
        <w:tc>
          <w:tcPr>
            <w:tcW w:w="4080" w:type="dxa"/>
            <w:vAlign w:val="bottom"/>
            <w:tcBorders>
              <w:bottom w:val="single" w:sz="8" w:color="auto"/>
            </w:tcBorders>
            <w:shd w:val="clear" w:color="auto" w:fill="D2D3D5"/>
          </w:tcPr>
          <w:p>
            <w:pPr>
              <w:spacing w:after="0"/>
              <w:rPr>
                <w:sz w:val="18"/>
                <w:szCs w:val="18"/>
                <w:color w:val="auto"/>
              </w:rPr>
            </w:pPr>
          </w:p>
        </w:tc>
        <w:tc>
          <w:tcPr>
            <w:tcW w:w="3800" w:type="dxa"/>
            <w:vAlign w:val="bottom"/>
            <w:tcBorders>
              <w:bottom w:val="single" w:sz="8" w:color="auto"/>
            </w:tcBorders>
            <w:shd w:val="clear" w:color="auto" w:fill="D2D3D5"/>
          </w:tcPr>
          <w:p>
            <w:pPr>
              <w:spacing w:after="0"/>
              <w:rPr>
                <w:sz w:val="18"/>
                <w:szCs w:val="18"/>
                <w:color w:val="auto"/>
              </w:rPr>
            </w:pPr>
          </w:p>
        </w:tc>
      </w:tr>
    </w:tbl>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Under the Company’s Amended and Restated By-laws (the “By-laws”), each incumbent director is required to submit a contingent, irrevocable resignation that the Board of Directors may accept if the director fails to receive the required vote for election or re-election in an uncontested election. The Corporate Governance Committee is required to make a recommendation to the Board as to the action to be taken with respect to the tendered resignation. The Board is required to act on the resignation within 90 days of the date of certification of election results.</w:t>
      </w:r>
    </w:p>
    <w:p>
      <w:pPr>
        <w:spacing w:after="0" w:line="20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for some reason any director nominee is unable to serve, or for good cause will not serve if elected, the persons named as proxies may vote for a substitute nominee recommended by the Board and, unless you indicate otherwise on the proxy card, your shares will be voted in favor of the remaining nominees. If any substitute nominees are designated prior to the Meeting, the Company will file an amended proxy statement, that, as applicable, identifies the substitute nominees, discloses that such nominees have consented to being named in the revised proxy statement and to serve if elected, and includes certain biographical and other information about such nominee as required by the rules of the Securities and Exchange Commission (the “SEC”). Alternatively, the Board may reduce the number of directors in accordance with the Company’s Amended and Restated Certificate of Incorporation and the By-laws, subject to the terms of the Third Amended and Restated Cooperation Agreement (as amended through the date hereof, the “Cooperation Agreement”), dated as of February 23, 2020, between the Company and SRS and certain of its affiliates.</w:t>
      </w:r>
    </w:p>
    <w:p>
      <w:pPr>
        <w:spacing w:after="0" w:line="20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Pursuant to the By-laws, written notice by shareholders of qualifying nominations for election to the Board must have been received by our Secretary by February 6,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broker non-vote?</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broker non-vote occurs when a broker does not have discretion to vote on a particular proposal and the broker has not received instructions from the beneficial owner of the shares of common stock as to how to vote on such proposal. If you hold your shares of Common Stock in “street name” and do not provide voting instructions to your broker within the required time frame before the Meeting, your shares of Common Stock will not be voted by the broker for Proposal Nos. 1 (Election of Directors), or 3 (Advisory Approval of Named Executive Officer Compensation), but the broker will have the discretion to vote your shares of Common Stock on Proposal No. 2 (Ratification of Appointment of Auditors). As a result, broker non-votes will have no effect on the outcome of Proposal Nos. 1 or 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b w:val="1"/>
          <w:bCs w:val="1"/>
          <w:color w:val="auto"/>
        </w:rPr>
        <w:t>Why did certain shareholders receive in the mail a one-page Notice regarding Internet availability of this Proxy Statement rather than a printed copy?</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sending to virtually all of our shareholders a Notice containing instructions on how to access this Proxy Statement online, as permitted by SEC rules. If you received a Notice of Internet Availability by mail, you will not receive a printed copy of this Proxy Statement in the mail. Instructions on how to access this Proxy Statement over the Internet or how to obtain printed copies, if you prefer, are set forth in such notice.</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You should submit your proxy card or voting instruction form as soon as possible. If you received or requested printed copies of the proxy materials by mail, the materials will include a proxy card for registered stockholders (that is, if you hold your stock directly in your name through our transfer agent), or a vote instruction form for beneficial owners (if your shares are held in “street name,” such as in a stock brokerage account or through a bank or other nominee). Whether you are a registered stockholder or hold any of your shares in “street name,” you may vote in the following ways: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6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By Phone</w:t>
            </w:r>
          </w:p>
        </w:tc>
        <w:tc>
          <w:tcPr>
            <w:tcW w:w="56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By Mail</w:t>
            </w:r>
          </w:p>
        </w:tc>
      </w:tr>
      <w:tr>
        <w:trPr>
          <w:trHeight w:val="215"/>
        </w:trPr>
        <w:tc>
          <w:tcPr>
            <w:tcW w:w="5600" w:type="dxa"/>
            <w:vAlign w:val="bottom"/>
            <w:shd w:val="clear" w:color="auto" w:fill="D2D3D5"/>
          </w:tcPr>
          <w:p>
            <w:pPr>
              <w:ind w:left="40"/>
              <w:spacing w:after="0"/>
              <w:rPr>
                <w:sz w:val="20"/>
                <w:szCs w:val="20"/>
                <w:color w:val="auto"/>
              </w:rPr>
            </w:pPr>
            <w:r>
              <w:rPr>
                <w:rFonts w:ascii="Arial" w:cs="Arial" w:eastAsia="Arial" w:hAnsi="Arial"/>
                <w:sz w:val="18"/>
                <w:szCs w:val="18"/>
                <w:color w:val="auto"/>
              </w:rPr>
              <w:t>If you received or requested printed copies of the proxy materials by</w:t>
            </w:r>
          </w:p>
        </w:tc>
        <w:tc>
          <w:tcPr>
            <w:tcW w:w="5640" w:type="dxa"/>
            <w:vAlign w:val="bottom"/>
            <w:shd w:val="clear" w:color="auto" w:fill="D2D3D5"/>
          </w:tcPr>
          <w:p>
            <w:pPr>
              <w:ind w:left="140"/>
              <w:spacing w:after="0"/>
              <w:rPr>
                <w:sz w:val="20"/>
                <w:szCs w:val="20"/>
                <w:color w:val="auto"/>
              </w:rPr>
            </w:pPr>
            <w:r>
              <w:rPr>
                <w:rFonts w:ascii="Arial" w:cs="Arial" w:eastAsia="Arial" w:hAnsi="Arial"/>
                <w:sz w:val="18"/>
                <w:szCs w:val="18"/>
                <w:color w:val="auto"/>
              </w:rPr>
              <w:t>If you received or requested printed copies of the proxy materials by</w:t>
            </w:r>
          </w:p>
        </w:tc>
      </w:tr>
      <w:tr>
        <w:trPr>
          <w:trHeight w:val="216"/>
        </w:trPr>
        <w:tc>
          <w:tcPr>
            <w:tcW w:w="5600" w:type="dxa"/>
            <w:vAlign w:val="bottom"/>
            <w:shd w:val="clear" w:color="auto" w:fill="D2D3D5"/>
          </w:tcPr>
          <w:p>
            <w:pPr>
              <w:ind w:left="40"/>
              <w:spacing w:after="0"/>
              <w:rPr>
                <w:sz w:val="20"/>
                <w:szCs w:val="20"/>
                <w:color w:val="auto"/>
              </w:rPr>
            </w:pPr>
            <w:r>
              <w:rPr>
                <w:rFonts w:ascii="Arial" w:cs="Arial" w:eastAsia="Arial" w:hAnsi="Arial"/>
                <w:sz w:val="18"/>
                <w:szCs w:val="18"/>
                <w:color w:val="auto"/>
              </w:rPr>
              <w:t>mail, vote by dialing the number on the proxy card/voting instruction</w:t>
            </w:r>
          </w:p>
        </w:tc>
        <w:tc>
          <w:tcPr>
            <w:tcW w:w="5640" w:type="dxa"/>
            <w:vAlign w:val="bottom"/>
            <w:shd w:val="clear" w:color="auto" w:fill="D2D3D5"/>
          </w:tcPr>
          <w:p>
            <w:pPr>
              <w:ind w:left="140"/>
              <w:spacing w:after="0"/>
              <w:rPr>
                <w:sz w:val="20"/>
                <w:szCs w:val="20"/>
                <w:color w:val="auto"/>
              </w:rPr>
            </w:pPr>
            <w:r>
              <w:rPr>
                <w:rFonts w:ascii="Arial" w:cs="Arial" w:eastAsia="Arial" w:hAnsi="Arial"/>
                <w:sz w:val="18"/>
                <w:szCs w:val="18"/>
                <w:color w:val="auto"/>
              </w:rPr>
              <w:t>mail, vote by marking, signing and dating the proxy card/voting</w:t>
            </w:r>
          </w:p>
        </w:tc>
      </w:tr>
      <w:tr>
        <w:trPr>
          <w:trHeight w:val="217"/>
        </w:trPr>
        <w:tc>
          <w:tcPr>
            <w:tcW w:w="560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8"/>
                <w:szCs w:val="18"/>
                <w:color w:val="auto"/>
              </w:rPr>
              <w:t>form and following the easy voice prompts</w:t>
            </w:r>
          </w:p>
        </w:tc>
        <w:tc>
          <w:tcPr>
            <w:tcW w:w="5640" w:type="dxa"/>
            <w:vAlign w:val="bottom"/>
            <w:tcBorders>
              <w:bottom w:val="single" w:sz="8" w:color="auto"/>
            </w:tcBorders>
            <w:shd w:val="clear" w:color="auto" w:fill="D2D3D5"/>
          </w:tcPr>
          <w:p>
            <w:pPr>
              <w:ind w:left="140"/>
              <w:spacing w:after="0"/>
              <w:rPr>
                <w:sz w:val="20"/>
                <w:szCs w:val="20"/>
                <w:color w:val="auto"/>
              </w:rPr>
            </w:pPr>
            <w:r>
              <w:rPr>
                <w:rFonts w:ascii="Arial" w:cs="Arial" w:eastAsia="Arial" w:hAnsi="Arial"/>
                <w:sz w:val="18"/>
                <w:szCs w:val="18"/>
                <w:color w:val="auto"/>
              </w:rPr>
              <w:t>instruction form and returning it promptly in the envelope provided</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By Internet Before the Meeting</w:t>
            </w:r>
          </w:p>
        </w:tc>
        <w:tc>
          <w:tcPr>
            <w:tcW w:w="56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By Internet During the Meeting</w:t>
            </w:r>
          </w:p>
        </w:tc>
      </w:tr>
      <w:tr>
        <w:trPr>
          <w:trHeight w:val="209"/>
        </w:trPr>
        <w:tc>
          <w:tcPr>
            <w:tcW w:w="5560" w:type="dxa"/>
            <w:vAlign w:val="bottom"/>
            <w:shd w:val="clear" w:color="auto" w:fill="D2D3D5"/>
          </w:tcPr>
          <w:p>
            <w:pPr>
              <w:ind w:left="40"/>
              <w:spacing w:after="0"/>
              <w:rPr>
                <w:sz w:val="20"/>
                <w:szCs w:val="20"/>
                <w:color w:val="auto"/>
              </w:rPr>
            </w:pPr>
            <w:r>
              <w:rPr>
                <w:rFonts w:ascii="Arial" w:cs="Arial" w:eastAsia="Arial" w:hAnsi="Arial"/>
                <w:sz w:val="18"/>
                <w:szCs w:val="18"/>
                <w:color w:val="auto"/>
              </w:rPr>
              <w:t>Follow the instructions included on the proxy card/voting instruction</w:t>
            </w:r>
          </w:p>
        </w:tc>
        <w:tc>
          <w:tcPr>
            <w:tcW w:w="5680" w:type="dxa"/>
            <w:vAlign w:val="bottom"/>
            <w:shd w:val="clear" w:color="auto" w:fill="D2D3D5"/>
          </w:tcPr>
          <w:p>
            <w:pPr>
              <w:ind w:left="180"/>
              <w:spacing w:after="0"/>
              <w:rPr>
                <w:sz w:val="20"/>
                <w:szCs w:val="20"/>
                <w:color w:val="auto"/>
              </w:rPr>
            </w:pPr>
            <w:r>
              <w:rPr>
                <w:rFonts w:ascii="Arial" w:cs="Arial" w:eastAsia="Arial" w:hAnsi="Arial"/>
                <w:sz w:val="18"/>
                <w:szCs w:val="18"/>
                <w:color w:val="auto"/>
              </w:rPr>
              <w:t>Vote during the virtual Meeting while the polls remain open by</w:t>
            </w:r>
          </w:p>
        </w:tc>
      </w:tr>
      <w:tr>
        <w:trPr>
          <w:trHeight w:val="210"/>
        </w:trPr>
        <w:tc>
          <w:tcPr>
            <w:tcW w:w="5560" w:type="dxa"/>
            <w:vAlign w:val="bottom"/>
            <w:tcBorders>
              <w:bottom w:val="single" w:sz="8" w:color="auto"/>
            </w:tcBorders>
            <w:shd w:val="clear" w:color="auto" w:fill="D2D3D5"/>
          </w:tcPr>
          <w:p>
            <w:pPr>
              <w:ind w:left="40"/>
              <w:spacing w:after="0" w:line="203" w:lineRule="exact"/>
              <w:rPr>
                <w:sz w:val="20"/>
                <w:szCs w:val="20"/>
                <w:color w:val="auto"/>
              </w:rPr>
            </w:pPr>
            <w:r>
              <w:rPr>
                <w:rFonts w:ascii="Arial" w:cs="Arial" w:eastAsia="Arial" w:hAnsi="Arial"/>
                <w:sz w:val="18"/>
                <w:szCs w:val="18"/>
                <w:color w:val="auto"/>
              </w:rPr>
              <w:t>form or Notice of Internet Availability</w:t>
            </w:r>
          </w:p>
        </w:tc>
        <w:tc>
          <w:tcPr>
            <w:tcW w:w="5680" w:type="dxa"/>
            <w:vAlign w:val="bottom"/>
            <w:tcBorders>
              <w:bottom w:val="single" w:sz="8" w:color="auto"/>
            </w:tcBorders>
            <w:shd w:val="clear" w:color="auto" w:fill="D2D3D5"/>
          </w:tcPr>
          <w:p>
            <w:pPr>
              <w:ind w:left="180"/>
              <w:spacing w:after="0" w:line="203" w:lineRule="exact"/>
              <w:rPr>
                <w:sz w:val="20"/>
                <w:szCs w:val="20"/>
                <w:color w:val="auto"/>
              </w:rPr>
            </w:pPr>
            <w:r>
              <w:rPr>
                <w:rFonts w:ascii="Arial" w:cs="Arial" w:eastAsia="Arial" w:hAnsi="Arial"/>
                <w:sz w:val="18"/>
                <w:szCs w:val="18"/>
                <w:color w:val="auto"/>
              </w:rPr>
              <w:t>following the online instructions</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deadline for voting by telephone or by Internet will vary depending upon how you vote your shares—please follow the instructions shown on your proxy card/voting instruction form or Notice of Internet Availability. If you are not the shareholder of record, please refer to the voting instructions provided by your bank, broker or other nominee to direct it how to vote your shares. Your vote is important.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of our shareholders hold their shares in more than one account and may receive separate proxy cards/voting instruction forms or Notices of Internet Availability for each of those accounts. To ensure that all of your shares are represented at the Meeting, we recommend that you follow the instructions included on each proxy card/voting instruction form or Notice of Internet Availability you receive.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Yes. You may revoke your proxy at any time prior to the voting at the Meeting if, in accordance with the voting procedures described above, you:</w:t>
      </w:r>
    </w:p>
    <w:p>
      <w:pPr>
        <w:spacing w:after="0" w:line="183"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again (including by phone or Internet by the applicable deadline);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complete, sign, date and return a new proxy card or voting instruction form with a later date;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give timely written notice of such revocation to our Corporate Secretary at 6 Sylvan Way, Parsippany, N.J. 07054; 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vote during the virtual Meeting while the polls remain open.</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your shares are held in “street name” (i.e., the shares are held of record by a broker, bank or other nominee) and you wish to revoke a proxy, you should contact your bank, broker or nominee and follow its procedures for changing your voting instructions. You also may vote during the virtual Meeting if you obtain a legal proxy from your bank, broker or other nominee.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Only the latest validly executed proxy that you submit will be counted.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do not vote with respect to some of the proposals?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Shares of Common Stock represented by proxies received by the Company (whether through the return of a proxy card or voting instruction form) that do not contain voting instructions (or if you vote by telephone or electronically via the Internet without indicating how you want to vote) will be voted in accordance with the recommendations of the Board, including:</w:t>
      </w:r>
    </w:p>
    <w:p>
      <w:pPr>
        <w:spacing w:after="0" w:line="18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ALL” of the nominees recommended by the Board (Proposal No. 1);</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ratification of the appointment of auditors (Proposal No. 2);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the proposal regarding advisory approval of the compensation of our named executive officers (Proposal No. 3).</w:t>
      </w:r>
    </w:p>
    <w:p>
      <w:pPr>
        <w:sectPr>
          <w:pgSz w:w="11900" w:h="16838" w:orient="portrait"/>
          <w:cols w:equalWidth="0" w:num="1">
            <w:col w:w="11240"/>
          </w:cols>
          <w:pgMar w:left="320" w:top="44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participants in savings plans vote?</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If you hold shares of Common Stock in the “Avis Budget Group, Inc. Employee Savings Plan” or the “AB Car Rental Services Retirement Savings Plan for Bargaining Hourly Employees” (collectively, the “Savings Plans”), you will receive a proxy card that covers shares of Common Stock held for you in the Savings Plans. In accordance with the provisions of the Savings Plans, the respective trustees will vote your shares of Common Stock as you have directed. To the extent such instructions are not received prior to noon Eastern Time on May 19, 2021, the trustees of the Savings Plans will vote the shares of Common Stock with respect to which they have not received instructions proportionately in accordance with the shares of Common Stock for which they have received instructions. Instructions given with respect to shares of Common Stock in accounts of the Savings Plans may be changed or revoked only in writing, and no such instructions may be revoked after noon Eastern Time on May 19, 2021. Participants in the Savings Plans are not entitled to vote in person at the Meeting.</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How do I vote my shares that were purchased under the former Avis Budget Group, Inc. Employee Stock Purchase Plan (“ESPP”)?</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you hold shares of Common Stock that were purchased through the Company’s former ESPP, which was terminated effective December 1, 2020, you will receive a proxy card or notice that covers shares of Common Stock held for you in your Computershare account. You may vote your shares of Common Stock via the Internet, by telephone or mail in the same manner as described above for registered stockholders. If you vote your ESPP shares by noon Eastern Time, on May 19, 2021, Computershare will vote the shares as you have directed. If voting instructions are not received in time, Computershare will not vote your shares for any proposal.</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find the voting results of the Annual Meeting?</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Voting results will be tallied by the inspector of election. The Company will report the results in a Current Report on Form 8-K, to be filed with the SEC within four business days following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access the Company’s proxy materials and annual report electronically?</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This Proxy Statement and the Company’s 2020 Annual Report may be viewed online at </w:t>
      </w:r>
      <w:r>
        <w:rPr>
          <w:rFonts w:ascii="Arial" w:cs="Arial" w:eastAsia="Arial" w:hAnsi="Arial"/>
          <w:sz w:val="18"/>
          <w:szCs w:val="18"/>
          <w:i w:val="1"/>
          <w:iCs w:val="1"/>
          <w:color w:val="auto"/>
        </w:rPr>
        <w:t>www.edocumentview.com/CAR</w:t>
      </w:r>
      <w:r>
        <w:rPr>
          <w:rFonts w:ascii="Arial" w:cs="Arial" w:eastAsia="Arial" w:hAnsi="Arial"/>
          <w:sz w:val="18"/>
          <w:szCs w:val="18"/>
          <w:color w:val="auto"/>
        </w:rPr>
        <w:t xml:space="preserve">. If you are a shareholder of record, you can elect to receive future annual reports and proxy statements electronically by enrolling at </w:t>
      </w:r>
      <w:r>
        <w:rPr>
          <w:rFonts w:ascii="Arial" w:cs="Arial" w:eastAsia="Arial" w:hAnsi="Arial"/>
          <w:sz w:val="18"/>
          <w:szCs w:val="18"/>
          <w:i w:val="1"/>
          <w:iCs w:val="1"/>
          <w:color w:val="auto"/>
        </w:rPr>
        <w:t>www.envisionreports.com/CAR</w:t>
      </w:r>
      <w:r>
        <w:rPr>
          <w:rFonts w:ascii="Arial" w:cs="Arial" w:eastAsia="Arial" w:hAnsi="Arial"/>
          <w:sz w:val="18"/>
          <w:szCs w:val="18"/>
          <w:color w:val="auto"/>
        </w:rPr>
        <w:t>. If you choose this option, you will receive a proxy form in April 2022 listing the website locations where proxy</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will be posted,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a shareholder nominate someone to be a director?</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Director nominations may be made by a shareholder so long as the qualifying shareholder follows the procedures outlined in the By-laws. Pursuant to the By-laws, for a nomination to be made by a shareholder, such shareholder must have given the proper notice within the specific time limits set forth in the relevant provision therein. For the 2022 annual meeting, the Company must receive this notice on or before February 25, 2022. Such notice and nomination should be submitted in writing to the Corporate Secretary of the Company and should include the information required for shareholder nominations set forth in the By-laws.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A copy of the full text of the provision of the By-laws describing the procedure for shareholder nominations may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Nothing contained in any section of the Company’s website is incorporated by reference into this Proxy Statement.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color w:val="auto"/>
        </w:rPr>
        <w:t>Proposals to Be Voted on at Meeting</w:t>
      </w:r>
    </w:p>
    <w:p>
      <w:pPr>
        <w:spacing w:after="0" w:line="10" w:lineRule="exact"/>
        <w:rPr>
          <w:sz w:val="20"/>
          <w:szCs w:val="20"/>
          <w:color w:val="auto"/>
        </w:rPr>
      </w:pPr>
    </w:p>
    <w:p>
      <w:pPr>
        <w:spacing w:after="0"/>
        <w:rPr>
          <w:sz w:val="20"/>
          <w:szCs w:val="20"/>
          <w:color w:val="auto"/>
        </w:rPr>
      </w:pPr>
      <w:r>
        <w:rPr>
          <w:rFonts w:ascii="Arial" w:cs="Arial" w:eastAsia="Arial" w:hAnsi="Arial"/>
          <w:sz w:val="32"/>
          <w:szCs w:val="32"/>
          <w:color w:val="auto"/>
        </w:rPr>
        <w:t>Proposal No. 1</w:t>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Election of Directors</w:t>
      </w:r>
    </w:p>
    <w:p>
      <w:pPr>
        <w:spacing w:after="0" w:line="2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(the “Board”) has nominated Bernardo Hees, Jagdeep Pahwa, Lynn Krominga, Glenn Lurie, Karthik Sarma and Carl Sparks to be elected at the 2021 Annual Meeting of Shareholders (the “Meeting”) to serve as directors for a one-year term ending at the 2022 annual meeting of shareholders and until his or her successor is duly elected and qualified or until his or her earlier resignation or removal. The nominations of Mr. Pahwa and Mr. Sarma are in accordance with the terms of the Cooperation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Biographical Information for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following material contains information concerning the Board’s nominees, including their period of service as a director, their recent employment, other directorships, including those held during the past five years with a public company or registered investment company, and age as of the Meeting.</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BERNARDO HEES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Chairman of the Board</w:t>
      </w:r>
    </w:p>
    <w:p>
      <w:pPr>
        <w:spacing w:after="0" w:line="21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Mr. Hees</w:t>
      </w:r>
      <w:r>
        <w:rPr>
          <w:rFonts w:ascii="Arial" w:cs="Arial" w:eastAsia="Arial" w:hAnsi="Arial"/>
          <w:sz w:val="18"/>
          <w:szCs w:val="18"/>
          <w:color w:val="auto"/>
        </w:rPr>
        <w:t>, age 51, has been a director since February 2020. Previously, Mr. Hees served as Chief Executive Officer of The Kraft Heinz</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2015 to June 2019. He served as Chief Executive Officer of H.J. Heinz Holding Corporation from 2013 until its merger with Kraft Foods Group in 2015. From 2010 to 2013, Mr. Hees served as Chief Executive Officer of Burger King Worldwide Holdings, Inc., a global fast food restaurant chain, and Burger King Worldwide, Inc. from 2012 to 2013. From 2005 to 2010, he was Chief Executive Officer of América Latina Logística, a Brazilian logistics company. Mr. Hees was also a partner at 3G Capital, a global investment firm, from 2010 to 2019. Mr. Hees is also a director of Bunge Limited, which files reports pursuant to the Exchange Act.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3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JAGDEEP PAHWA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of the Board</w:t>
      </w:r>
    </w:p>
    <w:p>
      <w:pPr>
        <w:spacing w:after="0" w:line="21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Mr. Pahwa</w:t>
      </w:r>
      <w:r>
        <w:rPr>
          <w:rFonts w:ascii="Arial" w:cs="Arial" w:eastAsia="Arial" w:hAnsi="Arial"/>
          <w:sz w:val="18"/>
          <w:szCs w:val="18"/>
          <w:color w:val="auto"/>
        </w:rPr>
        <w:t>, age 47, has been a director since April 2018. Mr. Pahwa has been the President of SRS Investment Management, LLC since</w:t>
      </w:r>
      <w:r>
        <w:rPr>
          <w:rFonts w:ascii="Arial" w:cs="Arial" w:eastAsia="Arial" w:hAnsi="Arial"/>
          <w:sz w:val="18"/>
          <w:szCs w:val="18"/>
          <w:b w:val="1"/>
          <w:bCs w:val="1"/>
          <w:color w:val="auto"/>
        </w:rPr>
        <w:t xml:space="preserve"> </w:t>
      </w:r>
      <w:r>
        <w:rPr>
          <w:rFonts w:ascii="Arial" w:cs="Arial" w:eastAsia="Arial" w:hAnsi="Arial"/>
          <w:sz w:val="18"/>
          <w:szCs w:val="18"/>
          <w:color w:val="auto"/>
        </w:rPr>
        <w:t>2017 and has led SRS’s private equity business since 2006. Previously, Mr. Pahwa worked at McKinsey &amp; Company in the U.S. and India, where he led client engagements in the telecom, technology and real estate sectors. Prior thereto, Mr. Pahwa worked in the Mergers &amp; Acquisitions group of Lehman Brothers in New York.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34"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Advisory experience in business strategy and growth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 international experience and understanding of the technology sector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LYNN KROMINGA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Compensation, Corporate Governance (Chair)</w:t>
      </w:r>
    </w:p>
    <w:p>
      <w:pPr>
        <w:spacing w:after="0" w:line="2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Ms. Krominga</w:t>
      </w:r>
      <w:r>
        <w:rPr>
          <w:rFonts w:ascii="Arial" w:cs="Arial" w:eastAsia="Arial" w:hAnsi="Arial"/>
          <w:sz w:val="18"/>
          <w:szCs w:val="18"/>
          <w:color w:val="auto"/>
        </w:rPr>
        <w:t>, age 70, has been a director since October 2006. Ms. Krominga is an attorney, management consultant and former senior</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 global businesses. Ms. Krominga has served on the boards of directors of public, private and not-for-profit companies, as well as advisory boards of start-up and early stage technology and personal care businesses in the U.S. and abroad. Since 1999, she has been a consultant to private equity, venture capital, hedge funds and angel investors, in which capacity she served in a number of operating and board roles, including Chief Executive Officer of Fashion Wire Daily, Inc.; director and audit committee member of AHAVA Dead Sea Laboratories, Ltd. (a global cosmeceuticals business); advisor to London-based Apax Partners for acquisitions in Israel and the United States; director of StructuredWeb, Inc; board of advisors of Makeover Studios, Inc.; General Manager-North America of Electric Fuel, Inc. (an early stage fuel cell-based technology business); and Internet Consultant for private websites in the U.S. and Europe. From 2007 until January 2013, Ms. Krominga served as a director of publicly traded Sunrise Senior Living, Inc., one of the world’s largest assisted living companies, with operations in the U.S., Canada, the U.K. and Germany. From March through November 2008, she served as Chairman of the Board of Sunrise Senior Living and as Lead Director thereafter until January 2013 (when the company was sold). She also served as Chairman of the Compensation Committee (2008-2011), and as a member of the Audit, Compensation and Governance Committees from 2007-2013. Ms. Krominga is the former President of the Revlon and Coleman Worldwide Licensing Divisions, and previously served as General Counsel and International Counsel for Revlon’s global operations. Prior to joining Revlon, she was Senior Counsel at American Express Company and an associate at Cleary, Gottlieb, Steen &amp; Hamilton.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3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legal, governance, licensing, technology and regulatory expertise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experience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Executive management experience and financial expertise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Compensation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Mr. Lurie</w:t>
      </w:r>
      <w:r>
        <w:rPr>
          <w:rFonts w:ascii="Arial" w:cs="Arial" w:eastAsia="Arial" w:hAnsi="Arial"/>
          <w:sz w:val="18"/>
          <w:szCs w:val="18"/>
          <w:color w:val="auto"/>
        </w:rPr>
        <w:t>, age 55, has been a director since May 2018. Mr. Lurie was the President and Chief Executive Officer of Synchronoss</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Inc. from 2017 to 2020. Prior to joining Synchronoss, Mr. Lurie was employed by AT&amp;T for 27 years and was President and Chief Executive Officer of AT&amp;T Mobility and Consumer Operations when he retired in September of 2017. Mr. Lurie helped usher in the smartphone era by leading negotiations for AT&amp;T with Apple for the first iPhone and then for the first iPad. He built three groundbreaking businesses at AT&amp;T: IoT (Internet of Things) business – bringing wireless connectivity to tablets, cars, connected cities and consumer electronics; Digital Life – AT&amp;T’s home automation and security business; and the launch of Aio Wireless – now Cricket Wireless, the company’s industry-leading prepaid flanker brand. At AT&amp;T, Mr. Lurie served in a variety of leadership roles, including as President and Chief Executive Officer of Mobility and Consumer Operations from 2016 to 2017, President and Chief Executive Officer of AT&amp;T Mobility from 2014 to 2016, President of Emerging Enterprises and Partnerships Organization from 2011 to 2014 and President of Emerging Devices Organization (now IoT Organization) from 2008 to 2011. Mr. Lurie previously served as a director of Synchronoss, which files reports pursuant to the Exchange Act. Mr. Lurie also serves as a director of Pivotal Commware, Inc., which develops communications platforms, systems and applications.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34"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Chief Executive Officer experience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Technology, operations, strategy, and business development experience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KARTHIK SARMA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Compensation (Chair), Corporate Governance</w:t>
      </w:r>
    </w:p>
    <w:p>
      <w:pPr>
        <w:spacing w:after="0" w:line="212"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Mr. Sarma</w:t>
      </w:r>
      <w:r>
        <w:rPr>
          <w:rFonts w:ascii="Arial" w:cs="Arial" w:eastAsia="Arial" w:hAnsi="Arial"/>
          <w:sz w:val="18"/>
          <w:szCs w:val="18"/>
          <w:color w:val="auto"/>
        </w:rPr>
        <w:t>, age 46, has been a director since May 2020. Mr. Sarma is the Managing Partner at SRS, which he founded in 2006.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founding SRS, Mr. Sarma was a Managing Director at Tiger Global Management, LLC, which he joined within a few months of its launch in 2001. Prior to joining Tiger Global, Mr. Sarma worked as a consultant at McKinsey &amp; Company in its New York office.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34"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in the technology sector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and investment expertise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providing strategic and operational advice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CARL SPARKS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Audit (Chair), Corporate Governance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color w:val="auto"/>
        </w:rPr>
        <w:t>Mr. Sparks</w:t>
      </w:r>
      <w:r>
        <w:rPr>
          <w:rFonts w:ascii="Arial" w:cs="Arial" w:eastAsia="Arial" w:hAnsi="Arial"/>
          <w:sz w:val="17"/>
          <w:szCs w:val="17"/>
          <w:color w:val="auto"/>
        </w:rPr>
        <w:t>, age 53, has been a director since April 2018. Since October 2020, Mr. Sparks has been a General Partner at Interlock, a venture</w:t>
      </w:r>
      <w:r>
        <w:rPr>
          <w:rFonts w:ascii="Arial" w:cs="Arial" w:eastAsia="Arial" w:hAnsi="Arial"/>
          <w:sz w:val="17"/>
          <w:szCs w:val="17"/>
          <w:b w:val="1"/>
          <w:bCs w:val="1"/>
          <w:color w:val="auto"/>
        </w:rPr>
        <w:t xml:space="preserve"> </w:t>
      </w:r>
      <w:r>
        <w:rPr>
          <w:rFonts w:ascii="Arial" w:cs="Arial" w:eastAsia="Arial" w:hAnsi="Arial"/>
          <w:sz w:val="17"/>
          <w:szCs w:val="17"/>
          <w:color w:val="auto"/>
        </w:rPr>
        <w:t>capital firm investing in technology start-ups. Mr. Sparks was the Chief Executive Officer and a director of Academic Partnerships, an online service provider for higher education, from 2016 to 2017. From 2011 to 2014, Mr. Sparks was the Chief Executive Officer of Travelocity Global. Mr. Sparks was also employed by Gilt Groupe, serving as its Chief Marketing Officer in 2009 and its President from 2010 to 2011. Prior to joining Gilt Groupe, Mr. Sparks served in a variety of leadership roles at Expedia Inc. from 2004 to 2009, including as Senior Vice President, Marketing and Retail Operations at Hotels.com from 2004 to 2006, Chief Marketing Officer at Expedia.com from 2006 to 2007, and General Manager at Hotels.com USA, Latin America &amp; Canada from 2008 to 2009. Earlier, Mr. Sparks served as Vice President of Direct Business and Brand at Capital One Financial Corp., and also served in senior marketing and strategy roles at Guinness &amp; Co., PepsiCo Inc., and The Boston Consulting Group. Mr. Sparks previously served on the board of Vonage Holdings Corp., which files reports pursuant to the Exchange Act. Mr. Sparks previously served on the board of Dunkin’ Brands Group, Inc. Mr. Sparks is also currently serving as a director of ActionIQ, Inc., an enterprise software company; Blue Nile, an online jewelry retailer; and Lucid, LLC, a market research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Specific Qualifications, Attributes, Skills and Experience:</w:t>
      </w:r>
    </w:p>
    <w:p>
      <w:pPr>
        <w:spacing w:after="0" w:line="234"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Chief Executive Officer and Chief Marketing Officer experience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Technology, operations, strategy, marketing and business development experience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Public company board experience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Diverse personal background</w:t>
      </w:r>
    </w:p>
    <w:p>
      <w:pPr>
        <w:spacing w:after="0" w:line="19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For additional information regarding the director nomination process, please see the section titled “Director Nomination Procedures” on page 14 of this Proxy Statement.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BOARD OF DIRECTORS RECOMMENDS A VOTE “FOR ALL” OF THE NOMINEES.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Corporate Governance</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Functions and Meetings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4"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Director Independence</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To determine director independence, our Board of Directors reviews, among other things, commercial and charitable relationships of each director to evaluate such director’s independence in accordance with the listing standards of the NASDAQ Stock Market LLC (“NASDAQ”) and pursuant to our own director independence criteria, which are consistent with NASDAQ listing standards and can be accessed on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In conducting its review, the Board of Directors considers a number of factors, including the director’s and his or her family members’ relationships with the Company and its subsidiaries, affiliates, executive officers and auditors and his or her relationships with foundations, universities and other non-profit organizations to which the Company has made a certain level of contributions during the past three years.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Nominees</w:t>
      </w:r>
    </w:p>
    <w:p>
      <w:pPr>
        <w:spacing w:after="0" w:line="23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After evaluating the factors described above, the Board of Directors has affirmatively determined that each of the following director nominees is independent in accordance with NASDAQ rules and our own director independence criteria.</w:t>
      </w:r>
    </w:p>
    <w:p>
      <w:pPr>
        <w:spacing w:after="0" w:line="192" w:lineRule="exact"/>
        <w:rPr>
          <w:sz w:val="20"/>
          <w:szCs w:val="20"/>
          <w:color w:val="auto"/>
        </w:rPr>
      </w:pPr>
    </w:p>
    <w:p>
      <w:pPr>
        <w:ind w:left="2220"/>
        <w:spacing w:after="0"/>
        <w:tabs>
          <w:tab w:leader="none" w:pos="7840" w:val="left"/>
        </w:tabs>
        <w:rPr>
          <w:sz w:val="20"/>
          <w:szCs w:val="20"/>
          <w:color w:val="auto"/>
        </w:rPr>
      </w:pPr>
      <w:r>
        <w:rPr>
          <w:rFonts w:ascii="Arial" w:cs="Arial" w:eastAsia="Arial" w:hAnsi="Arial"/>
          <w:sz w:val="18"/>
          <w:szCs w:val="18"/>
          <w:color w:val="auto"/>
        </w:rPr>
        <w:t>Lynn Krominga</w:t>
      </w:r>
      <w:r>
        <w:rPr>
          <w:sz w:val="20"/>
          <w:szCs w:val="20"/>
          <w:color w:val="auto"/>
        </w:rPr>
        <w:tab/>
      </w:r>
      <w:r>
        <w:rPr>
          <w:rFonts w:ascii="Arial" w:cs="Arial" w:eastAsia="Arial" w:hAnsi="Arial"/>
          <w:sz w:val="17"/>
          <w:szCs w:val="17"/>
          <w:color w:val="auto"/>
        </w:rPr>
        <w:t>Karthik Sarma</w:t>
      </w:r>
    </w:p>
    <w:p>
      <w:pPr>
        <w:ind w:left="2360"/>
        <w:spacing w:after="0"/>
        <w:tabs>
          <w:tab w:leader="none" w:pos="7940" w:val="left"/>
        </w:tabs>
        <w:rPr>
          <w:sz w:val="20"/>
          <w:szCs w:val="20"/>
          <w:color w:val="auto"/>
        </w:rPr>
      </w:pPr>
      <w:r>
        <w:rPr>
          <w:rFonts w:ascii="Arial" w:cs="Arial" w:eastAsia="Arial" w:hAnsi="Arial"/>
          <w:sz w:val="18"/>
          <w:szCs w:val="18"/>
          <w:color w:val="auto"/>
        </w:rPr>
        <w:t>Glenn Lurie</w:t>
      </w:r>
      <w:r>
        <w:rPr>
          <w:sz w:val="20"/>
          <w:szCs w:val="20"/>
          <w:color w:val="auto"/>
        </w:rPr>
        <w:tab/>
      </w:r>
      <w:r>
        <w:rPr>
          <w:rFonts w:ascii="Arial" w:cs="Arial" w:eastAsia="Arial" w:hAnsi="Arial"/>
          <w:sz w:val="17"/>
          <w:szCs w:val="17"/>
          <w:color w:val="auto"/>
        </w:rPr>
        <w:t>Carl Sparks</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has determined that Mr. Hees is not independent because of his status as Executive Chairman of the Board and that Mr. Pahwa is not independent because his brother-in-law is a partner at Deloitte India, which is affiliated with Deloitte &amp; Touche, LLP, our independent auditor. All of the directors currently serving on our Corporate Governance Committee, Compensation Committee, and Audit Committee are independent based upon NASDAQ corporate governance listing standards and our own director independence criteria.</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Board Leadership Structure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Our current Board leadership structure consists of:</w:t>
      </w:r>
    </w:p>
    <w:p>
      <w:pPr>
        <w:spacing w:after="0" w:line="198"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Chairman of the Board: Bernardo Hees;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Vice Chairman of the Board: Jagdeep Pahwa;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Fully independent Compensation, Corporate Governance and Audit Committees.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is responsible for establishing and maintaining the most effective leadership structure for the Company. The Board regularly reviews its leadership structure to determine the most appropriate arrangement. The Board, which is comprised of individuals who have extensive experience with board processes, has determined that the current leadership structure, as described above, best serves the Company and its shareholders at this time.</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roles of Chief Executive Officer and Chairman were separated in 2015. In connection with the appointment of Mr. Ferraro as President and Chief Executive Officer, on a non-interim basis, Mr. Hees was named Executive Chairman of the Board, effective July 1, 2020, after having joined the Board as independent Board Chair in February 2020. Under the Company’s by-laws, the Board may elect one or more Vice Chairmen to preside at Board and stockholder meetings, in the absence of the Chairman of the Board, and to perform such other duties as may be delegated by the Board. The Board believes that Board leadership is enhanced by the appointment of a Vice Chairman, and appointed Mr. Pahwa as Vice Chairman in 2020.</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maintain flexibility in carrying out its responsibility with respect to leadership structure, the Board does not currently have a requirement that the roles of Chief Executive Officer and Chairman of the Board be separated, or if separated, that the Chairman be independent. Under the Company’s corporate governance guidelines, if the Chairman of the Board is not an independent director, the Board may, but is not required to, designate an independent lead director. The Board believes it is in the best interest of our Company to make these determinations based on the position and direction of our Company and the constitution of the Board and management team from time to time.</w:t>
      </w:r>
    </w:p>
    <w:p>
      <w:pPr>
        <w:sectPr>
          <w:pgSz w:w="11900" w:h="16838" w:orient="portrait"/>
          <w:cols w:equalWidth="0" w:num="1">
            <w:col w:w="11240"/>
          </w:cols>
          <w:pgMar w:left="320" w:top="445"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 Management and Risk Assessment</w:t>
      </w:r>
    </w:p>
    <w:p>
      <w:pPr>
        <w:spacing w:after="0" w:line="23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Management is responsible for assessing risk and for day-to-day risk management activities. The Board executes its oversight responsibility for risk assessment and risk management, acting directly and through its Committees,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Board/Committee</w:t>
            </w:r>
          </w:p>
        </w:tc>
        <w:tc>
          <w:tcPr>
            <w:tcW w:w="83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Responsibility/Role</w:t>
            </w:r>
          </w:p>
        </w:tc>
      </w:tr>
      <w:tr>
        <w:trPr>
          <w:trHeight w:val="215"/>
        </w:trPr>
        <w:tc>
          <w:tcPr>
            <w:tcW w:w="2940" w:type="dxa"/>
            <w:vAlign w:val="bottom"/>
            <w:shd w:val="clear" w:color="auto" w:fill="D2D3D5"/>
          </w:tcPr>
          <w:p>
            <w:pPr>
              <w:ind w:left="40"/>
              <w:spacing w:after="0"/>
              <w:rPr>
                <w:sz w:val="20"/>
                <w:szCs w:val="20"/>
                <w:color w:val="auto"/>
              </w:rPr>
            </w:pPr>
            <w:r>
              <w:rPr>
                <w:rFonts w:ascii="Arial" w:cs="Arial" w:eastAsia="Arial" w:hAnsi="Arial"/>
                <w:sz w:val="18"/>
                <w:szCs w:val="18"/>
                <w:color w:val="auto"/>
              </w:rPr>
              <w:t>Audit Committee</w:t>
            </w:r>
          </w:p>
        </w:tc>
        <w:tc>
          <w:tcPr>
            <w:tcW w:w="8300" w:type="dxa"/>
            <w:vAlign w:val="bottom"/>
            <w:gridSpan w:val="4"/>
            <w:shd w:val="clear" w:color="auto" w:fill="D2D3D5"/>
          </w:tcPr>
          <w:p>
            <w:pPr>
              <w:ind w:left="120"/>
              <w:spacing w:after="0"/>
              <w:rPr>
                <w:sz w:val="20"/>
                <w:szCs w:val="20"/>
                <w:color w:val="auto"/>
              </w:rPr>
            </w:pPr>
            <w:r>
              <w:rPr>
                <w:rFonts w:ascii="Arial" w:cs="Arial" w:eastAsia="Arial" w:hAnsi="Arial"/>
                <w:sz w:val="18"/>
                <w:szCs w:val="18"/>
                <w:color w:val="auto"/>
              </w:rPr>
              <w:t>·  Assists in the Board’s oversight of the Company’s:</w:t>
            </w:r>
          </w:p>
        </w:tc>
      </w:tr>
      <w:tr>
        <w:trPr>
          <w:trHeight w:val="203"/>
        </w:trPr>
        <w:tc>
          <w:tcPr>
            <w:tcW w:w="2940" w:type="dxa"/>
            <w:vAlign w:val="bottom"/>
            <w:shd w:val="clear" w:color="auto" w:fill="D2D3D5"/>
          </w:tcPr>
          <w:p>
            <w:pPr>
              <w:spacing w:after="0"/>
              <w:rPr>
                <w:sz w:val="17"/>
                <w:szCs w:val="17"/>
                <w:color w:val="auto"/>
              </w:rPr>
            </w:pPr>
          </w:p>
        </w:tc>
        <w:tc>
          <w:tcPr>
            <w:tcW w:w="600" w:type="dxa"/>
            <w:vAlign w:val="bottom"/>
            <w:gridSpan w:val="2"/>
            <w:shd w:val="clear" w:color="auto" w:fill="D2D3D5"/>
          </w:tcPr>
          <w:p>
            <w:pPr>
              <w:ind w:left="340"/>
              <w:spacing w:after="0" w:line="202" w:lineRule="exact"/>
              <w:rPr>
                <w:sz w:val="20"/>
                <w:szCs w:val="20"/>
                <w:color w:val="auto"/>
              </w:rPr>
            </w:pPr>
            <w:r>
              <w:rPr>
                <w:rFonts w:ascii="Arial" w:cs="Arial" w:eastAsia="Arial" w:hAnsi="Arial"/>
                <w:sz w:val="18"/>
                <w:szCs w:val="18"/>
                <w:color w:val="auto"/>
              </w:rPr>
              <w:t>►</w:t>
            </w:r>
          </w:p>
        </w:tc>
        <w:tc>
          <w:tcPr>
            <w:tcW w:w="7700" w:type="dxa"/>
            <w:vAlign w:val="bottom"/>
            <w:gridSpan w:val="2"/>
            <w:shd w:val="clear" w:color="auto" w:fill="D2D3D5"/>
          </w:tcPr>
          <w:p>
            <w:pPr>
              <w:ind w:left="80"/>
              <w:spacing w:after="0" w:line="202" w:lineRule="exact"/>
              <w:rPr>
                <w:sz w:val="20"/>
                <w:szCs w:val="20"/>
                <w:color w:val="auto"/>
              </w:rPr>
            </w:pPr>
            <w:r>
              <w:rPr>
                <w:rFonts w:ascii="Arial" w:cs="Arial" w:eastAsia="Arial" w:hAnsi="Arial"/>
                <w:sz w:val="18"/>
                <w:szCs w:val="18"/>
                <w:color w:val="auto"/>
              </w:rPr>
              <w:t>major financial risk exposures and the steps management has undertaken to control such</w:t>
            </w:r>
          </w:p>
        </w:tc>
      </w:tr>
      <w:tr>
        <w:trPr>
          <w:trHeight w:val="203"/>
        </w:trPr>
        <w:tc>
          <w:tcPr>
            <w:tcW w:w="2940" w:type="dxa"/>
            <w:vAlign w:val="bottom"/>
            <w:shd w:val="clear" w:color="auto" w:fill="D2D3D5"/>
          </w:tcPr>
          <w:p>
            <w:pPr>
              <w:spacing w:after="0"/>
              <w:rPr>
                <w:sz w:val="17"/>
                <w:szCs w:val="17"/>
                <w:color w:val="auto"/>
              </w:rPr>
            </w:pPr>
          </w:p>
        </w:tc>
        <w:tc>
          <w:tcPr>
            <w:tcW w:w="340" w:type="dxa"/>
            <w:vAlign w:val="bottom"/>
            <w:shd w:val="clear" w:color="auto" w:fill="D2D3D5"/>
          </w:tcPr>
          <w:p>
            <w:pPr>
              <w:spacing w:after="0"/>
              <w:rPr>
                <w:sz w:val="17"/>
                <w:szCs w:val="17"/>
                <w:color w:val="auto"/>
              </w:rPr>
            </w:pPr>
          </w:p>
        </w:tc>
        <w:tc>
          <w:tcPr>
            <w:tcW w:w="260" w:type="dxa"/>
            <w:vAlign w:val="bottom"/>
            <w:shd w:val="clear" w:color="auto" w:fill="D2D3D5"/>
          </w:tcPr>
          <w:p>
            <w:pPr>
              <w:spacing w:after="0"/>
              <w:rPr>
                <w:sz w:val="17"/>
                <w:szCs w:val="17"/>
                <w:color w:val="auto"/>
              </w:rPr>
            </w:pPr>
          </w:p>
        </w:tc>
        <w:tc>
          <w:tcPr>
            <w:tcW w:w="7700" w:type="dxa"/>
            <w:vAlign w:val="bottom"/>
            <w:gridSpan w:val="2"/>
            <w:shd w:val="clear" w:color="auto" w:fill="D2D3D5"/>
          </w:tcPr>
          <w:p>
            <w:pPr>
              <w:ind w:left="80"/>
              <w:spacing w:after="0" w:line="203" w:lineRule="exact"/>
              <w:rPr>
                <w:sz w:val="20"/>
                <w:szCs w:val="20"/>
                <w:color w:val="auto"/>
              </w:rPr>
            </w:pPr>
            <w:r>
              <w:rPr>
                <w:rFonts w:ascii="Arial" w:cs="Arial" w:eastAsia="Arial" w:hAnsi="Arial"/>
                <w:sz w:val="18"/>
                <w:szCs w:val="18"/>
                <w:color w:val="auto"/>
              </w:rPr>
              <w:t>risks;</w:t>
            </w:r>
          </w:p>
        </w:tc>
      </w:tr>
      <w:tr>
        <w:trPr>
          <w:trHeight w:val="418"/>
        </w:trPr>
        <w:tc>
          <w:tcPr>
            <w:tcW w:w="2940" w:type="dxa"/>
            <w:vAlign w:val="bottom"/>
            <w:shd w:val="clear" w:color="auto" w:fill="D2D3D5"/>
          </w:tcPr>
          <w:p>
            <w:pPr>
              <w:spacing w:after="0"/>
              <w:rPr>
                <w:sz w:val="24"/>
                <w:szCs w:val="24"/>
                <w:color w:val="auto"/>
              </w:rPr>
            </w:pPr>
          </w:p>
        </w:tc>
        <w:tc>
          <w:tcPr>
            <w:tcW w:w="340" w:type="dxa"/>
            <w:vAlign w:val="bottom"/>
            <w:shd w:val="clear" w:color="auto" w:fill="D2D3D5"/>
          </w:tcPr>
          <w:p>
            <w:pPr>
              <w:spacing w:after="0"/>
              <w:rPr>
                <w:sz w:val="24"/>
                <w:szCs w:val="24"/>
                <w:color w:val="auto"/>
              </w:rPr>
            </w:pPr>
          </w:p>
        </w:tc>
        <w:tc>
          <w:tcPr>
            <w:tcW w:w="260" w:type="dxa"/>
            <w:vAlign w:val="bottom"/>
            <w:shd w:val="clear" w:color="auto" w:fill="D2D3D5"/>
          </w:tcPr>
          <w:p>
            <w:pPr>
              <w:spacing w:after="0"/>
              <w:rPr>
                <w:sz w:val="20"/>
                <w:szCs w:val="20"/>
                <w:color w:val="auto"/>
              </w:rPr>
            </w:pPr>
            <w:r>
              <w:rPr>
                <w:rFonts w:ascii="Arial" w:cs="Arial" w:eastAsia="Arial" w:hAnsi="Arial"/>
                <w:sz w:val="18"/>
                <w:szCs w:val="18"/>
                <w:color w:val="auto"/>
              </w:rPr>
              <w:t>►</w:t>
            </w:r>
          </w:p>
        </w:tc>
        <w:tc>
          <w:tcPr>
            <w:tcW w:w="80" w:type="dxa"/>
            <w:vAlign w:val="bottom"/>
            <w:shd w:val="clear" w:color="auto" w:fill="D2D3D5"/>
          </w:tcPr>
          <w:p>
            <w:pPr>
              <w:spacing w:after="0"/>
              <w:rPr>
                <w:sz w:val="24"/>
                <w:szCs w:val="24"/>
                <w:color w:val="auto"/>
              </w:rPr>
            </w:pPr>
          </w:p>
        </w:tc>
        <w:tc>
          <w:tcPr>
            <w:tcW w:w="7620" w:type="dxa"/>
            <w:vAlign w:val="bottom"/>
            <w:shd w:val="clear" w:color="auto" w:fill="D2D3D5"/>
          </w:tcPr>
          <w:p>
            <w:pPr>
              <w:spacing w:after="0"/>
              <w:rPr>
                <w:sz w:val="20"/>
                <w:szCs w:val="20"/>
                <w:color w:val="auto"/>
              </w:rPr>
            </w:pPr>
            <w:r>
              <w:rPr>
                <w:rFonts w:ascii="Arial" w:cs="Arial" w:eastAsia="Arial" w:hAnsi="Arial"/>
                <w:sz w:val="18"/>
                <w:szCs w:val="18"/>
                <w:color w:val="auto"/>
              </w:rPr>
              <w:t>risks associated with information technology and cybersecurity, and the Audit Committee</w:t>
            </w:r>
          </w:p>
        </w:tc>
      </w:tr>
      <w:tr>
        <w:trPr>
          <w:trHeight w:val="203"/>
        </w:trPr>
        <w:tc>
          <w:tcPr>
            <w:tcW w:w="2940" w:type="dxa"/>
            <w:vAlign w:val="bottom"/>
            <w:shd w:val="clear" w:color="auto" w:fill="D2D3D5"/>
          </w:tcPr>
          <w:p>
            <w:pPr>
              <w:spacing w:after="0"/>
              <w:rPr>
                <w:sz w:val="17"/>
                <w:szCs w:val="17"/>
                <w:color w:val="auto"/>
              </w:rPr>
            </w:pPr>
          </w:p>
        </w:tc>
        <w:tc>
          <w:tcPr>
            <w:tcW w:w="340" w:type="dxa"/>
            <w:vAlign w:val="bottom"/>
            <w:shd w:val="clear" w:color="auto" w:fill="D2D3D5"/>
          </w:tcPr>
          <w:p>
            <w:pPr>
              <w:spacing w:after="0"/>
              <w:rPr>
                <w:sz w:val="17"/>
                <w:szCs w:val="17"/>
                <w:color w:val="auto"/>
              </w:rPr>
            </w:pPr>
          </w:p>
        </w:tc>
        <w:tc>
          <w:tcPr>
            <w:tcW w:w="260" w:type="dxa"/>
            <w:vAlign w:val="bottom"/>
            <w:shd w:val="clear" w:color="auto" w:fill="D2D3D5"/>
          </w:tcPr>
          <w:p>
            <w:pPr>
              <w:spacing w:after="0"/>
              <w:rPr>
                <w:sz w:val="17"/>
                <w:szCs w:val="17"/>
                <w:color w:val="auto"/>
              </w:rPr>
            </w:pPr>
          </w:p>
        </w:tc>
        <w:tc>
          <w:tcPr>
            <w:tcW w:w="80" w:type="dxa"/>
            <w:vAlign w:val="bottom"/>
            <w:shd w:val="clear" w:color="auto" w:fill="D2D3D5"/>
          </w:tcPr>
          <w:p>
            <w:pPr>
              <w:spacing w:after="0"/>
              <w:rPr>
                <w:sz w:val="17"/>
                <w:szCs w:val="17"/>
                <w:color w:val="auto"/>
              </w:rPr>
            </w:pPr>
          </w:p>
        </w:tc>
        <w:tc>
          <w:tcPr>
            <w:tcW w:w="7620" w:type="dxa"/>
            <w:vAlign w:val="bottom"/>
            <w:shd w:val="clear" w:color="auto" w:fill="D2D3D5"/>
          </w:tcPr>
          <w:p>
            <w:pPr>
              <w:spacing w:after="0" w:line="202" w:lineRule="exact"/>
              <w:rPr>
                <w:sz w:val="20"/>
                <w:szCs w:val="20"/>
                <w:color w:val="auto"/>
              </w:rPr>
            </w:pPr>
            <w:r>
              <w:rPr>
                <w:rFonts w:ascii="Arial" w:cs="Arial" w:eastAsia="Arial" w:hAnsi="Arial"/>
                <w:sz w:val="18"/>
                <w:szCs w:val="18"/>
                <w:color w:val="auto"/>
              </w:rPr>
              <w:t>receives regular quarterly reports on these matters from the Company’s Chief Information</w:t>
            </w:r>
          </w:p>
        </w:tc>
      </w:tr>
      <w:tr>
        <w:trPr>
          <w:trHeight w:val="203"/>
        </w:trPr>
        <w:tc>
          <w:tcPr>
            <w:tcW w:w="2940" w:type="dxa"/>
            <w:vAlign w:val="bottom"/>
            <w:shd w:val="clear" w:color="auto" w:fill="D2D3D5"/>
          </w:tcPr>
          <w:p>
            <w:pPr>
              <w:spacing w:after="0"/>
              <w:rPr>
                <w:sz w:val="17"/>
                <w:szCs w:val="17"/>
                <w:color w:val="auto"/>
              </w:rPr>
            </w:pPr>
          </w:p>
        </w:tc>
        <w:tc>
          <w:tcPr>
            <w:tcW w:w="340" w:type="dxa"/>
            <w:vAlign w:val="bottom"/>
            <w:shd w:val="clear" w:color="auto" w:fill="D2D3D5"/>
          </w:tcPr>
          <w:p>
            <w:pPr>
              <w:spacing w:after="0"/>
              <w:rPr>
                <w:sz w:val="17"/>
                <w:szCs w:val="17"/>
                <w:color w:val="auto"/>
              </w:rPr>
            </w:pPr>
          </w:p>
        </w:tc>
        <w:tc>
          <w:tcPr>
            <w:tcW w:w="260" w:type="dxa"/>
            <w:vAlign w:val="bottom"/>
            <w:shd w:val="clear" w:color="auto" w:fill="D2D3D5"/>
          </w:tcPr>
          <w:p>
            <w:pPr>
              <w:spacing w:after="0"/>
              <w:rPr>
                <w:sz w:val="17"/>
                <w:szCs w:val="17"/>
                <w:color w:val="auto"/>
              </w:rPr>
            </w:pPr>
          </w:p>
        </w:tc>
        <w:tc>
          <w:tcPr>
            <w:tcW w:w="80" w:type="dxa"/>
            <w:vAlign w:val="bottom"/>
            <w:shd w:val="clear" w:color="auto" w:fill="D2D3D5"/>
          </w:tcPr>
          <w:p>
            <w:pPr>
              <w:spacing w:after="0"/>
              <w:rPr>
                <w:sz w:val="17"/>
                <w:szCs w:val="17"/>
                <w:color w:val="auto"/>
              </w:rPr>
            </w:pPr>
          </w:p>
        </w:tc>
        <w:tc>
          <w:tcPr>
            <w:tcW w:w="7620" w:type="dxa"/>
            <w:vAlign w:val="bottom"/>
            <w:shd w:val="clear" w:color="auto" w:fill="D2D3D5"/>
          </w:tcPr>
          <w:p>
            <w:pPr>
              <w:spacing w:after="0" w:line="203" w:lineRule="exact"/>
              <w:rPr>
                <w:sz w:val="20"/>
                <w:szCs w:val="20"/>
                <w:color w:val="auto"/>
              </w:rPr>
            </w:pPr>
            <w:r>
              <w:rPr>
                <w:rFonts w:ascii="Arial" w:cs="Arial" w:eastAsia="Arial" w:hAnsi="Arial"/>
                <w:sz w:val="18"/>
                <w:szCs w:val="18"/>
                <w:color w:val="auto"/>
              </w:rPr>
              <w:t>Officer; and</w:t>
            </w:r>
          </w:p>
        </w:tc>
      </w:tr>
      <w:tr>
        <w:trPr>
          <w:trHeight w:val="432"/>
        </w:trPr>
        <w:tc>
          <w:tcPr>
            <w:tcW w:w="2940" w:type="dxa"/>
            <w:vAlign w:val="bottom"/>
            <w:tcBorders>
              <w:bottom w:val="single" w:sz="8" w:color="auto"/>
            </w:tcBorders>
            <w:shd w:val="clear" w:color="auto" w:fill="D2D3D5"/>
          </w:tcPr>
          <w:p>
            <w:pPr>
              <w:spacing w:after="0"/>
              <w:rPr>
                <w:sz w:val="24"/>
                <w:szCs w:val="24"/>
                <w:color w:val="auto"/>
              </w:rPr>
            </w:pPr>
          </w:p>
        </w:tc>
        <w:tc>
          <w:tcPr>
            <w:tcW w:w="340" w:type="dxa"/>
            <w:vAlign w:val="bottom"/>
            <w:tcBorders>
              <w:bottom w:val="single" w:sz="8" w:color="auto"/>
            </w:tcBorders>
            <w:shd w:val="clear" w:color="auto" w:fill="D2D3D5"/>
          </w:tcPr>
          <w:p>
            <w:pPr>
              <w:spacing w:after="0"/>
              <w:rPr>
                <w:sz w:val="24"/>
                <w:szCs w:val="24"/>
                <w:color w:val="auto"/>
              </w:rPr>
            </w:pPr>
          </w:p>
        </w:tc>
        <w:tc>
          <w:tcPr>
            <w:tcW w:w="340" w:type="dxa"/>
            <w:vAlign w:val="bottom"/>
            <w:tcBorders>
              <w:bottom w:val="single" w:sz="8" w:color="auto"/>
            </w:tcBorders>
            <w:gridSpan w:val="2"/>
            <w:shd w:val="clear" w:color="auto" w:fill="D2D3D5"/>
          </w:tcPr>
          <w:p>
            <w:pPr>
              <w:spacing w:after="0"/>
              <w:rPr>
                <w:sz w:val="20"/>
                <w:szCs w:val="20"/>
                <w:color w:val="auto"/>
              </w:rPr>
            </w:pPr>
            <w:r>
              <w:rPr>
                <w:rFonts w:ascii="Arial" w:cs="Arial" w:eastAsia="Arial" w:hAnsi="Arial"/>
                <w:sz w:val="18"/>
                <w:szCs w:val="18"/>
                <w:color w:val="auto"/>
              </w:rPr>
              <w:t>►</w:t>
            </w:r>
          </w:p>
        </w:tc>
        <w:tc>
          <w:tcPr>
            <w:tcW w:w="7620" w:type="dxa"/>
            <w:vAlign w:val="bottom"/>
            <w:tcBorders>
              <w:bottom w:val="single" w:sz="8" w:color="auto"/>
            </w:tcBorders>
            <w:shd w:val="clear" w:color="auto" w:fill="D2D3D5"/>
          </w:tcPr>
          <w:p>
            <w:pPr>
              <w:spacing w:after="0"/>
              <w:rPr>
                <w:sz w:val="20"/>
                <w:szCs w:val="20"/>
                <w:color w:val="auto"/>
              </w:rPr>
            </w:pPr>
            <w:r>
              <w:rPr>
                <w:rFonts w:ascii="Arial" w:cs="Arial" w:eastAsia="Arial" w:hAnsi="Arial"/>
                <w:sz w:val="18"/>
                <w:szCs w:val="18"/>
                <w:color w:val="auto"/>
              </w:rPr>
              <w:t>compliance with legal and regulatory requirements.</w:t>
            </w:r>
          </w:p>
        </w:tc>
      </w:tr>
      <w:tr>
        <w:trPr>
          <w:trHeight w:val="195"/>
        </w:trPr>
        <w:tc>
          <w:tcPr>
            <w:tcW w:w="2940" w:type="dxa"/>
            <w:vAlign w:val="bottom"/>
          </w:tcPr>
          <w:p>
            <w:pPr>
              <w:ind w:left="40"/>
              <w:spacing w:after="0" w:line="195" w:lineRule="exact"/>
              <w:rPr>
                <w:sz w:val="20"/>
                <w:szCs w:val="20"/>
                <w:color w:val="auto"/>
              </w:rPr>
            </w:pPr>
            <w:r>
              <w:rPr>
                <w:rFonts w:ascii="Arial" w:cs="Arial" w:eastAsia="Arial" w:hAnsi="Arial"/>
                <w:sz w:val="18"/>
                <w:szCs w:val="18"/>
                <w:color w:val="auto"/>
              </w:rPr>
              <w:t>Compensation Committee</w:t>
            </w:r>
          </w:p>
        </w:tc>
        <w:tc>
          <w:tcPr>
            <w:tcW w:w="340" w:type="dxa"/>
            <w:vAlign w:val="bottom"/>
          </w:tcPr>
          <w:p>
            <w:pPr>
              <w:ind w:left="120"/>
              <w:spacing w:after="0" w:line="195" w:lineRule="exact"/>
              <w:rPr>
                <w:sz w:val="20"/>
                <w:szCs w:val="20"/>
                <w:color w:val="auto"/>
              </w:rPr>
            </w:pPr>
            <w:r>
              <w:rPr>
                <w:rFonts w:ascii="Arial" w:cs="Arial" w:eastAsia="Arial" w:hAnsi="Arial"/>
                <w:sz w:val="18"/>
                <w:szCs w:val="18"/>
                <w:color w:val="auto"/>
              </w:rPr>
              <w:t>·</w:t>
            </w:r>
          </w:p>
        </w:tc>
        <w:tc>
          <w:tcPr>
            <w:tcW w:w="7960" w:type="dxa"/>
            <w:vAlign w:val="bottom"/>
            <w:gridSpan w:val="3"/>
          </w:tcPr>
          <w:p>
            <w:pPr>
              <w:spacing w:after="0" w:line="195" w:lineRule="exact"/>
              <w:rPr>
                <w:sz w:val="20"/>
                <w:szCs w:val="20"/>
                <w:color w:val="auto"/>
              </w:rPr>
            </w:pPr>
            <w:r>
              <w:rPr>
                <w:rFonts w:ascii="Arial" w:cs="Arial" w:eastAsia="Arial" w:hAnsi="Arial"/>
                <w:sz w:val="18"/>
                <w:szCs w:val="18"/>
                <w:color w:val="auto"/>
              </w:rPr>
              <w:t>Oversees risks associated with our compensation policies and practices with respect to executive</w:t>
            </w:r>
          </w:p>
        </w:tc>
      </w:tr>
      <w:tr>
        <w:trPr>
          <w:trHeight w:val="203"/>
        </w:trPr>
        <w:tc>
          <w:tcPr>
            <w:tcW w:w="2940" w:type="dxa"/>
            <w:vAlign w:val="bottom"/>
            <w:tcBorders>
              <w:bottom w:val="single" w:sz="8" w:color="auto"/>
            </w:tcBorders>
          </w:tcPr>
          <w:p>
            <w:pPr>
              <w:spacing w:after="0"/>
              <w:rPr>
                <w:sz w:val="17"/>
                <w:szCs w:val="17"/>
                <w:color w:val="auto"/>
              </w:rPr>
            </w:pPr>
          </w:p>
        </w:tc>
        <w:tc>
          <w:tcPr>
            <w:tcW w:w="8300" w:type="dxa"/>
            <w:vAlign w:val="bottom"/>
            <w:tcBorders>
              <w:bottom w:val="single" w:sz="8" w:color="auto"/>
            </w:tcBorders>
            <w:gridSpan w:val="4"/>
          </w:tcPr>
          <w:p>
            <w:pPr>
              <w:ind w:left="340"/>
              <w:spacing w:after="0" w:line="203" w:lineRule="exact"/>
              <w:rPr>
                <w:sz w:val="20"/>
                <w:szCs w:val="20"/>
                <w:color w:val="auto"/>
              </w:rPr>
            </w:pPr>
            <w:r>
              <w:rPr>
                <w:rFonts w:ascii="Arial" w:cs="Arial" w:eastAsia="Arial" w:hAnsi="Arial"/>
                <w:sz w:val="18"/>
                <w:szCs w:val="18"/>
                <w:color w:val="auto"/>
              </w:rPr>
              <w:t>compensation.</w:t>
            </w:r>
          </w:p>
        </w:tc>
      </w:tr>
      <w:tr>
        <w:trPr>
          <w:trHeight w:val="209"/>
        </w:trPr>
        <w:tc>
          <w:tcPr>
            <w:tcW w:w="294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8"/>
                <w:szCs w:val="18"/>
                <w:color w:val="auto"/>
              </w:rPr>
              <w:t>Corporate Governance Committee</w:t>
            </w:r>
          </w:p>
        </w:tc>
        <w:tc>
          <w:tcPr>
            <w:tcW w:w="8300" w:type="dxa"/>
            <w:vAlign w:val="bottom"/>
            <w:tcBorders>
              <w:bottom w:val="single" w:sz="8" w:color="auto"/>
            </w:tcBorders>
            <w:gridSpan w:val="4"/>
            <w:shd w:val="clear" w:color="auto" w:fill="D2D3D5"/>
          </w:tcPr>
          <w:p>
            <w:pPr>
              <w:ind w:left="120"/>
              <w:spacing w:after="0"/>
              <w:rPr>
                <w:sz w:val="20"/>
                <w:szCs w:val="20"/>
                <w:color w:val="auto"/>
              </w:rPr>
            </w:pPr>
            <w:r>
              <w:rPr>
                <w:rFonts w:ascii="Arial" w:cs="Arial" w:eastAsia="Arial" w:hAnsi="Arial"/>
                <w:sz w:val="18"/>
                <w:szCs w:val="18"/>
                <w:color w:val="auto"/>
              </w:rPr>
              <w:t>·  Oversees risks associated with corporate governance, including ESG risks.</w:t>
            </w:r>
          </w:p>
        </w:tc>
      </w:tr>
      <w:tr>
        <w:trPr>
          <w:trHeight w:val="224"/>
        </w:trPr>
        <w:tc>
          <w:tcPr>
            <w:tcW w:w="2940" w:type="dxa"/>
            <w:vAlign w:val="bottom"/>
          </w:tcPr>
          <w:p>
            <w:pPr>
              <w:ind w:left="40"/>
              <w:spacing w:after="0"/>
              <w:rPr>
                <w:sz w:val="20"/>
                <w:szCs w:val="20"/>
                <w:color w:val="auto"/>
              </w:rPr>
            </w:pPr>
            <w:r>
              <w:rPr>
                <w:rFonts w:ascii="Arial" w:cs="Arial" w:eastAsia="Arial" w:hAnsi="Arial"/>
                <w:sz w:val="18"/>
                <w:szCs w:val="18"/>
                <w:color w:val="auto"/>
              </w:rPr>
              <w:t>Full Board</w:t>
            </w:r>
          </w:p>
        </w:tc>
        <w:tc>
          <w:tcPr>
            <w:tcW w:w="8300" w:type="dxa"/>
            <w:vAlign w:val="bottom"/>
            <w:gridSpan w:val="4"/>
          </w:tcPr>
          <w:p>
            <w:pPr>
              <w:ind w:left="120"/>
              <w:spacing w:after="0"/>
              <w:rPr>
                <w:sz w:val="20"/>
                <w:szCs w:val="20"/>
                <w:color w:val="auto"/>
              </w:rPr>
            </w:pPr>
            <w:r>
              <w:rPr>
                <w:rFonts w:ascii="Arial" w:cs="Arial" w:eastAsia="Arial" w:hAnsi="Arial"/>
                <w:sz w:val="18"/>
                <w:szCs w:val="18"/>
                <w:color w:val="auto"/>
              </w:rPr>
              <w:t>·  Receives reports from the Committees at every regular Board meeting.</w:t>
            </w:r>
          </w:p>
        </w:tc>
      </w:tr>
    </w:tbl>
    <w:p>
      <w:pPr>
        <w:spacing w:after="0" w:line="187" w:lineRule="exact"/>
        <w:rPr>
          <w:sz w:val="20"/>
          <w:szCs w:val="20"/>
          <w:color w:val="auto"/>
        </w:rPr>
      </w:pPr>
    </w:p>
    <w:p>
      <w:pPr>
        <w:ind w:left="3060"/>
        <w:spacing w:after="0"/>
        <w:tabs>
          <w:tab w:leader="none" w:pos="3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Considers specific risk topics.</w:t>
      </w:r>
    </w:p>
    <w:p>
      <w:pPr>
        <w:spacing w:after="0" w:line="225" w:lineRule="exact"/>
        <w:rPr>
          <w:sz w:val="20"/>
          <w:szCs w:val="20"/>
          <w:color w:val="auto"/>
        </w:rPr>
      </w:pPr>
    </w:p>
    <w:p>
      <w:pPr>
        <w:jc w:val="both"/>
        <w:ind w:left="3280" w:right="60" w:hanging="219"/>
        <w:spacing w:after="0"/>
        <w:tabs>
          <w:tab w:leader="none" w:pos="3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Receives regular reports from members of senior management that include discussion of the risks and exposures involved in their respective areas of responsibility. Such reports are provided in connection with and discussed at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Management annually reviews the Company’s compensation policies and practices for employees generally as they relate to risk management. As part of this process, management reviews the Company’s incentive compensation programs applicable to all employees with the Compensation Committee and the compensation consultant engaged by the Compensation Committee to determine whether such programs create incentives that might motivate inappropriate or excessive risk-taking. In the course of such review, mitigating features of the Company’s incentive compensation programs are considered, including: (1) the Company’s recoupment policies; (2) that virtually all of the Company’s annual incentive programs allow for “downward discretion,” which permits the Company to reduce incentive compensation payouts; and (3) that executive officers are subject to share ownership and retention guidelines. As a result of this process, there have been no recommended changes to the Company’s incentive compensation programs.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Communicating with the Board of Directors</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Shareholders and other interested parties may send communications directly to the Board of Directors by writing to the Board of Directors, c/o the Corporate Secretary, Avis Budget Group, Inc., 6 Sylvan Way, Parsippany, N.J. 07054. In addition, all parties interested in communicating directly with the Chairman of the Board or with any other independent director may do so by writing to Avis Budget Group, Inc. at the same address, Attention: Chairman of the Board, c/o the Corporate Secretary or via e-mail at </w:t>
      </w:r>
      <w:r>
        <w:rPr>
          <w:rFonts w:ascii="Arial" w:cs="Arial" w:eastAsia="Arial" w:hAnsi="Arial"/>
          <w:sz w:val="18"/>
          <w:szCs w:val="18"/>
          <w:i w:val="1"/>
          <w:iCs w:val="1"/>
          <w:color w:val="auto"/>
        </w:rPr>
        <w:t>chairman@avisbudget.com</w:t>
      </w:r>
      <w:r>
        <w:rPr>
          <w:rFonts w:ascii="Arial" w:cs="Arial" w:eastAsia="Arial" w:hAnsi="Arial"/>
          <w:sz w:val="18"/>
          <w:szCs w:val="18"/>
          <w:color w:val="auto"/>
        </w:rPr>
        <w:t>. The Chairman is responsible for reviewing and distributing all interested parties’ communications received to the intended recipients and/or to the full Board of Directors, as appropriate.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Codes of Conduct</w:t>
      </w:r>
    </w:p>
    <w:p>
      <w:pPr>
        <w:spacing w:after="0" w:line="23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of Directors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held nine meetings during 2020. In 2020, all directors attended at least 75% of the meetings of the Board of Directors and committees of the Board of Directors on which they served during such director’s period of service. We expect all directors to attend each regularly scheduled Board of Directors meeting. All directors are welcome to attend the Company’s annual meeting of shareholders, and while there is no formal policy regarding attendance at annual meetings, we encourage at least one representative of each of the Audit Committee, Compensation Committee and Corporate Governance Committee to be present at each annual meeting. The 2020 Annual Meeting of Shareholders was attended by all six of our director nominees.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standing committees of the Board include the Audit Committee, the Compensation Committee and the Corporate Governance Committee.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9"/>
              </w:rPr>
              <w:t>Corporate</w:t>
            </w:r>
          </w:p>
        </w:tc>
      </w:tr>
      <w:tr>
        <w:trPr>
          <w:trHeight w:val="232"/>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Name</w:t>
            </w:r>
          </w:p>
        </w:tc>
        <w:tc>
          <w:tcPr>
            <w:tcW w:w="262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b w:val="1"/>
                <w:bCs w:val="1"/>
                <w:color w:val="auto"/>
                <w:w w:val="99"/>
              </w:rPr>
              <w:t>Audit</w:t>
            </w:r>
          </w:p>
        </w:tc>
        <w:tc>
          <w:tcPr>
            <w:tcW w:w="22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rPr>
              <w:t>Compensation</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Governance</w:t>
            </w:r>
          </w:p>
        </w:tc>
      </w:tr>
      <w:tr>
        <w:trPr>
          <w:trHeight w:val="216"/>
        </w:trPr>
        <w:tc>
          <w:tcPr>
            <w:tcW w:w="450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Bernardo Hees</w:t>
            </w:r>
          </w:p>
        </w:tc>
        <w:tc>
          <w:tcPr>
            <w:tcW w:w="2620" w:type="dxa"/>
            <w:vAlign w:val="bottom"/>
            <w:tcBorders>
              <w:bottom w:val="single" w:sz="8" w:color="auto"/>
            </w:tcBorders>
            <w:shd w:val="clear" w:color="auto" w:fill="D2D3D5"/>
          </w:tcPr>
          <w:p>
            <w:pPr>
              <w:spacing w:after="0"/>
              <w:rPr>
                <w:sz w:val="18"/>
                <w:szCs w:val="18"/>
                <w:color w:val="auto"/>
              </w:rPr>
            </w:pPr>
          </w:p>
        </w:tc>
        <w:tc>
          <w:tcPr>
            <w:tcW w:w="2260" w:type="dxa"/>
            <w:vAlign w:val="bottom"/>
            <w:tcBorders>
              <w:bottom w:val="single" w:sz="8" w:color="auto"/>
            </w:tcBorders>
            <w:shd w:val="clear" w:color="auto" w:fill="D2D3D5"/>
          </w:tcPr>
          <w:p>
            <w:pPr>
              <w:spacing w:after="0"/>
              <w:rPr>
                <w:sz w:val="18"/>
                <w:szCs w:val="18"/>
                <w:color w:val="auto"/>
              </w:rPr>
            </w:pPr>
          </w:p>
        </w:tc>
        <w:tc>
          <w:tcPr>
            <w:tcW w:w="1860" w:type="dxa"/>
            <w:vAlign w:val="bottom"/>
            <w:tcBorders>
              <w:bottom w:val="single" w:sz="8" w:color="auto"/>
            </w:tcBorders>
            <w:shd w:val="clear" w:color="auto" w:fill="D2D3D5"/>
          </w:tcPr>
          <w:p>
            <w:pPr>
              <w:spacing w:after="0"/>
              <w:rPr>
                <w:sz w:val="18"/>
                <w:szCs w:val="18"/>
                <w:color w:val="auto"/>
              </w:rPr>
            </w:pPr>
          </w:p>
        </w:tc>
      </w:tr>
      <w:tr>
        <w:trPr>
          <w:trHeight w:val="210"/>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Lynn Krominga</w:t>
            </w:r>
          </w:p>
        </w:tc>
        <w:tc>
          <w:tcPr>
            <w:tcW w:w="262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9"/>
              </w:rPr>
              <w:t>ü</w:t>
            </w:r>
          </w:p>
        </w:tc>
        <w:tc>
          <w:tcPr>
            <w:tcW w:w="226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9"/>
              </w:rPr>
              <w:t>ü</w:t>
            </w: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Chair</w:t>
            </w:r>
          </w:p>
        </w:tc>
      </w:tr>
      <w:tr>
        <w:trPr>
          <w:trHeight w:val="209"/>
        </w:trPr>
        <w:tc>
          <w:tcPr>
            <w:tcW w:w="450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Glenn Lurie</w:t>
            </w:r>
          </w:p>
        </w:tc>
        <w:tc>
          <w:tcPr>
            <w:tcW w:w="2620" w:type="dxa"/>
            <w:vAlign w:val="bottom"/>
            <w:tcBorders>
              <w:bottom w:val="single" w:sz="8" w:color="auto"/>
            </w:tcBorders>
            <w:shd w:val="clear" w:color="auto" w:fill="D2D3D5"/>
          </w:tcPr>
          <w:p>
            <w:pPr>
              <w:jc w:val="center"/>
              <w:ind w:left="910"/>
              <w:spacing w:after="0"/>
              <w:rPr>
                <w:sz w:val="20"/>
                <w:szCs w:val="20"/>
                <w:color w:val="auto"/>
              </w:rPr>
            </w:pPr>
            <w:r>
              <w:rPr>
                <w:rFonts w:ascii="Arial" w:cs="Arial" w:eastAsia="Arial" w:hAnsi="Arial"/>
                <w:sz w:val="18"/>
                <w:szCs w:val="18"/>
                <w:color w:val="auto"/>
                <w:w w:val="99"/>
              </w:rPr>
              <w:t>ü</w:t>
            </w:r>
          </w:p>
        </w:tc>
        <w:tc>
          <w:tcPr>
            <w:tcW w:w="2260" w:type="dxa"/>
            <w:vAlign w:val="bottom"/>
            <w:tcBorders>
              <w:bottom w:val="single" w:sz="8" w:color="auto"/>
            </w:tcBorders>
            <w:shd w:val="clear" w:color="auto" w:fill="D2D3D5"/>
          </w:tcPr>
          <w:p>
            <w:pPr>
              <w:jc w:val="center"/>
              <w:ind w:left="70"/>
              <w:spacing w:after="0"/>
              <w:rPr>
                <w:sz w:val="20"/>
                <w:szCs w:val="20"/>
                <w:color w:val="auto"/>
              </w:rPr>
            </w:pPr>
            <w:r>
              <w:rPr>
                <w:rFonts w:ascii="Arial" w:cs="Arial" w:eastAsia="Arial" w:hAnsi="Arial"/>
                <w:sz w:val="18"/>
                <w:szCs w:val="18"/>
                <w:color w:val="auto"/>
                <w:w w:val="99"/>
              </w:rPr>
              <w:t>ü</w:t>
            </w:r>
          </w:p>
        </w:tc>
        <w:tc>
          <w:tcPr>
            <w:tcW w:w="1860" w:type="dxa"/>
            <w:vAlign w:val="bottom"/>
            <w:tcBorders>
              <w:bottom w:val="single" w:sz="8" w:color="auto"/>
            </w:tcBorders>
            <w:shd w:val="clear" w:color="auto" w:fill="D2D3D5"/>
          </w:tcPr>
          <w:p>
            <w:pPr>
              <w:spacing w:after="0"/>
              <w:rPr>
                <w:sz w:val="18"/>
                <w:szCs w:val="18"/>
                <w:color w:val="auto"/>
              </w:rPr>
            </w:pPr>
          </w:p>
        </w:tc>
      </w:tr>
      <w:tr>
        <w:trPr>
          <w:trHeight w:val="209"/>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Jagdeep Pahwa</w:t>
            </w:r>
          </w:p>
        </w:tc>
        <w:tc>
          <w:tcPr>
            <w:tcW w:w="26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r>
      <w:tr>
        <w:trPr>
          <w:trHeight w:val="210"/>
        </w:trPr>
        <w:tc>
          <w:tcPr>
            <w:tcW w:w="450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Karthik Sarma</w:t>
            </w:r>
          </w:p>
        </w:tc>
        <w:tc>
          <w:tcPr>
            <w:tcW w:w="2620" w:type="dxa"/>
            <w:vAlign w:val="bottom"/>
            <w:tcBorders>
              <w:bottom w:val="single" w:sz="8" w:color="auto"/>
            </w:tcBorders>
            <w:shd w:val="clear" w:color="auto" w:fill="D2D3D5"/>
          </w:tcPr>
          <w:p>
            <w:pPr>
              <w:spacing w:after="0"/>
              <w:rPr>
                <w:sz w:val="18"/>
                <w:szCs w:val="18"/>
                <w:color w:val="auto"/>
              </w:rPr>
            </w:pPr>
          </w:p>
        </w:tc>
        <w:tc>
          <w:tcPr>
            <w:tcW w:w="2260" w:type="dxa"/>
            <w:vAlign w:val="bottom"/>
            <w:tcBorders>
              <w:bottom w:val="single" w:sz="8" w:color="auto"/>
            </w:tcBorders>
            <w:shd w:val="clear" w:color="auto" w:fill="D2D3D5"/>
          </w:tcPr>
          <w:p>
            <w:pPr>
              <w:jc w:val="center"/>
              <w:ind w:left="70"/>
              <w:spacing w:after="0"/>
              <w:rPr>
                <w:sz w:val="20"/>
                <w:szCs w:val="20"/>
                <w:color w:val="auto"/>
              </w:rPr>
            </w:pPr>
            <w:r>
              <w:rPr>
                <w:rFonts w:ascii="Arial" w:cs="Arial" w:eastAsia="Arial" w:hAnsi="Arial"/>
                <w:sz w:val="18"/>
                <w:szCs w:val="18"/>
                <w:color w:val="auto"/>
                <w:w w:val="97"/>
              </w:rPr>
              <w:t>Chair</w:t>
            </w:r>
          </w:p>
        </w:tc>
        <w:tc>
          <w:tcPr>
            <w:tcW w:w="186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79"/>
              </w:rPr>
              <w:t>ü</w:t>
            </w:r>
          </w:p>
        </w:tc>
      </w:tr>
      <w:tr>
        <w:trPr>
          <w:trHeight w:val="209"/>
        </w:trPr>
        <w:tc>
          <w:tcPr>
            <w:tcW w:w="45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Carl Sparks</w:t>
            </w:r>
          </w:p>
        </w:tc>
        <w:tc>
          <w:tcPr>
            <w:tcW w:w="262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97"/>
              </w:rPr>
              <w:t>Chair</w:t>
            </w:r>
          </w:p>
        </w:tc>
        <w:tc>
          <w:tcPr>
            <w:tcW w:w="22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ü</w:t>
            </w:r>
          </w:p>
        </w:tc>
      </w:tr>
      <w:tr>
        <w:trPr>
          <w:trHeight w:val="217"/>
        </w:trPr>
        <w:tc>
          <w:tcPr>
            <w:tcW w:w="450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b w:val="1"/>
                <w:bCs w:val="1"/>
                <w:color w:val="auto"/>
              </w:rPr>
              <w:t>Committee Meetings Held in 2020</w:t>
            </w:r>
          </w:p>
        </w:tc>
        <w:tc>
          <w:tcPr>
            <w:tcW w:w="2620" w:type="dxa"/>
            <w:vAlign w:val="bottom"/>
            <w:tcBorders>
              <w:bottom w:val="single" w:sz="8" w:color="auto"/>
            </w:tcBorders>
            <w:shd w:val="clear" w:color="auto" w:fill="D2D3D5"/>
          </w:tcPr>
          <w:p>
            <w:pPr>
              <w:jc w:val="center"/>
              <w:ind w:left="910"/>
              <w:spacing w:after="0"/>
              <w:rPr>
                <w:sz w:val="20"/>
                <w:szCs w:val="20"/>
                <w:color w:val="auto"/>
              </w:rPr>
            </w:pPr>
            <w:r>
              <w:rPr>
                <w:rFonts w:ascii="Arial" w:cs="Arial" w:eastAsia="Arial" w:hAnsi="Arial"/>
                <w:sz w:val="18"/>
                <w:szCs w:val="18"/>
                <w:color w:val="auto"/>
                <w:w w:val="99"/>
              </w:rPr>
              <w:t>7</w:t>
            </w:r>
          </w:p>
        </w:tc>
        <w:tc>
          <w:tcPr>
            <w:tcW w:w="2260" w:type="dxa"/>
            <w:vAlign w:val="bottom"/>
            <w:tcBorders>
              <w:bottom w:val="single" w:sz="8" w:color="auto"/>
            </w:tcBorders>
            <w:shd w:val="clear" w:color="auto" w:fill="D2D3D5"/>
          </w:tcPr>
          <w:p>
            <w:pPr>
              <w:jc w:val="center"/>
              <w:ind w:left="70"/>
              <w:spacing w:after="0"/>
              <w:rPr>
                <w:sz w:val="20"/>
                <w:szCs w:val="20"/>
                <w:color w:val="auto"/>
              </w:rPr>
            </w:pPr>
            <w:r>
              <w:rPr>
                <w:rFonts w:ascii="Arial" w:cs="Arial" w:eastAsia="Arial" w:hAnsi="Arial"/>
                <w:sz w:val="18"/>
                <w:szCs w:val="18"/>
                <w:color w:val="auto"/>
                <w:w w:val="99"/>
              </w:rPr>
              <w:t>5</w:t>
            </w:r>
          </w:p>
        </w:tc>
        <w:tc>
          <w:tcPr>
            <w:tcW w:w="186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3</w:t>
            </w: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charters of each of the Audit, Compensation and Corporate Governance Committees, respectively, can be found in the “Investor Relations-Corporate Governance” section of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Audit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 assists in the Board’s oversight of:</w:t>
      </w:r>
    </w:p>
    <w:p>
      <w:pPr>
        <w:spacing w:after="0" w:line="212"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integrity of the Company’s consolidated financial statements;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independent auditors’ qualifications and independence;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the Company’s independent auditors and the Company’s internal audit function;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compliance with legal and regulatory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systems of disclosure controls and procedures, and internal controls over financial reporting;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major financial risk exposures and the steps management has undertaken to control such risks.</w:t>
      </w:r>
    </w:p>
    <w:p>
      <w:pPr>
        <w:spacing w:after="0" w:line="22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has determined that all members of the Audit Committee are independent directors under the Company’s Director Independence Criteria and within the meaning of applicable NASDAQ rules, and that each member of the Audit Committee has the ability to read and understand fundamental financial statements. The Board of Directors has determined that each member of the Audit Committee qualifies as an “audit committee financial expert” as defined by the rules of the SEC, thereby satisfying NASDAQ’s “financial sophistication” requirement.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primary responsibilities of the Compensation Committee include to:</w:t>
      </w:r>
    </w:p>
    <w:p>
      <w:pPr>
        <w:spacing w:after="0" w:line="212" w:lineRule="exact"/>
        <w:rPr>
          <w:sz w:val="20"/>
          <w:szCs w:val="20"/>
          <w:color w:val="auto"/>
        </w:rPr>
      </w:pPr>
    </w:p>
    <w:p>
      <w:pPr>
        <w:ind w:left="340" w:hanging="332"/>
        <w:spacing w:after="0" w:line="246"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compensation of the Chief Executive Officer and determine and approve the Chief Executive Officer’s compensation;</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approve individual elements of total compensation for our other executive officers;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 and approve our annual and long-term incentive compensation programs and plans;</w:t>
      </w:r>
    </w:p>
    <w:p>
      <w:pPr>
        <w:sectPr>
          <w:pgSz w:w="11900" w:h="16838" w:orient="portrait"/>
          <w:cols w:equalWidth="0" w:num="1">
            <w:col w:w="11240"/>
          </w:cols>
          <w:pgMar w:left="320" w:top="445"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 and approve all stock option and other equity awards;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assess the results of the Company’s most recent advisory vote on executive compensation;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 whether compensation arrangements for executive officers incentivize unnecessary risk-taking.</w:t>
      </w:r>
    </w:p>
    <w:p>
      <w:pPr>
        <w:spacing w:after="0" w:line="22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refer you to “Executive Compensation” below for additional information regarding the Compensation Committee’s processes and procedures.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of Directors has determined that each member of the Compensation Committee is an independent director in accordance with NASDAQ rules and the Company’s Director Independence Criteria and a non-employee director for purposes of Section 16 of the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Governance Committee</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responsibilities of the Corporate Governance Committee include identifying and recommending to the Board of Directors appropriate director nominee candidates and providing oversight with respect to corporate governance matters. The Board of Directors has determined that each of the current members of the Corporate Governance Committee qualifies as an independent director under applicable NASDAQ rules and the Company’s Director Independence Criteria.</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 Procedures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Corporate Governance Committee considers the appropriate balance of experience, skills and characteristics required of members of the Board of Directors.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 will consider written proposals from shareholders for candidates to be nominees for director positions. In considering candidates submitted by shareholders, the Corporate Governance Committee will take into consideration the needs of the Board of Directors and the qualifications of the candidate. Any such proposal should be submitted to the Corporate Governance Committee, c/o the Corporate Secretary of the Company, at Avis Budget Group, Inc., 6 Sylvan Way, Parsippany, N.J. 07054, and should include the following: (a) the name of the shareholder and evidence of such shareholder’s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and consistent with the requirements described in the Company’s By-laws and under the caption “Shareholder Proposals for 2022 Annual Meeting” below.</w:t>
      </w:r>
    </w:p>
    <w:p>
      <w:pPr>
        <w:spacing w:after="0" w:line="20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Corporate Governance Committee’s process for identifying and evaluating candidates to be nominees to the Board of Directors is typically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which would help the Board to identify candidates. As part of the search process, the Corporate Governance Committee includes women and minorities in the pool of candidates and instructs any search firm the Committee engages to do so (often called a “Rooney Rule”). These candidates are evaluated by the Corporate Governance Committee by reviewing such candidates’ biographical information and qualifications and checking the candidates’ references. Certain qualified candidates are interviewed by members of the Corporate Governance Committee as well as other members of the Board, as appropriate. Using the input from this interview process and other information, the Corporate Governance Committee evaluates whether the candidate is qualified to serve as a director and whether the Corporate Governance Committee should recommend to the Board of Directors that the Board nominate the candidate or elect the candidate to fill a vacancy on the Board of Directors. Candidates recommended by the Corporate Governance Committee are presented to the Board of Directors for selection as nominees to be presented for the approval of the shareholders or for election to fill a vacancy.</w:t>
      </w:r>
    </w:p>
    <w:p>
      <w:pPr>
        <w:spacing w:after="0" w:line="20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general, the Corporate Governance Committee expects that a similar evaluation process would be used to evaluate director candidates recommended by shareholders.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Diversity</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set forth in its charter and the Company’s corporate governance guidelines, the Corporate Governance Committee believes it is important that nominees for the Board represent diverse viewpoints and backgrounds. The Corporate Governance Committee is committed to advancing Board diversity, defined to include differences of viewpoint, professional experience, education, skill, race, gender and national origin. The Company’s corporate governance guidelines affirm the Committee’s commitment to diversity to include, and shall have any search firm it engages include, women and minority candidates in the pool from which the Corporate Governance Committee selects director candidates. The Corporate Governance Committee implements that policy by actively considering diversity in the mix of qualifications, experience, attributes or skills included in its process of identifying and evaluating candidates to be nominees to the Board in accordance with its charter. The Company believes that its nominees further its commitment to enhancing diversity at the Board level.</w:t>
      </w:r>
    </w:p>
    <w:p>
      <w:pPr>
        <w:spacing w:after="0" w:line="18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Board Diversity</w:t>
      </w:r>
    </w:p>
    <w:p>
      <w:pPr>
        <w:spacing w:after="0" w:line="1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5 of 6 (83%)</w:t>
      </w:r>
    </w:p>
    <w:p>
      <w:pPr>
        <w:jc w:val="center"/>
        <w:spacing w:after="0"/>
        <w:rPr>
          <w:sz w:val="20"/>
          <w:szCs w:val="20"/>
          <w:color w:val="auto"/>
        </w:rPr>
      </w:pPr>
      <w:r>
        <w:rPr>
          <w:rFonts w:ascii="Arial" w:cs="Arial" w:eastAsia="Arial" w:hAnsi="Arial"/>
          <w:sz w:val="18"/>
          <w:szCs w:val="18"/>
          <w:b w:val="1"/>
          <w:bCs w:val="1"/>
          <w:color w:val="auto"/>
        </w:rPr>
        <w:t>Of Our Board Are Diverse by Gender, Ethnicity or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134620</wp:posOffset>
            </wp:positionV>
            <wp:extent cx="2614295" cy="1345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1429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of Environmental, Social and Governance (“ESG”) Matters</w:t>
      </w:r>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Board and our management recognize the importance of oversight of ESG matters. Oversight responsibilities of the Corporate Governance Committee for ESG matters for the Company were memorialized in 2020 by an amendment to the Committee’s charter to specify its responsibility to:</w:t>
      </w:r>
    </w:p>
    <w:p>
      <w:pPr>
        <w:spacing w:after="0" w:line="18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 and discuss emerging best practices, trends and key issues related to ESG matters;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 the Company’s strategy and governance of ESG matters and to advise the Board on such matters.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Corporate Governance Committee also oversees the Company’s risks and disclosure related to ESG and annual ESG reporting, which cover matters such as the environment, human rights, labor, health and safety, workforce diversity, supply chain, governance and similar matters affecting our stakeholders, and causes a briefing on ESG matters to be provided to the Board on at least an annual basis.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Corporate Governance Committee conducts periodic reviews of the Company’s programs, policies and procedures in the area of ESG. This includes, among other things, directing senior management to report to the Corporate Governance Committee, on a periodic basis, assessments and progress against both longer- and shorter-term key objectives, metrics and program enhancements set by senior management and reviewed by the Committee.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Succession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Board of Directors is responsible for the development, implementation and periodic review of a succession plan for the Chief Executive Officer and for overseeing the development, implementation and periodic review of a succession plan for senior executives. Our Board of Directors believes that effective succession planning and talent management and development play a critical role in safeguarding business capabilities, developing strong leadership quality and executive bench strength, and optimizing overall business development, operating performance, profitability and shareholder value.</w:t>
      </w:r>
    </w:p>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2019, the Company announced the planned departure of its then Chief Executive Officer. A search process was conducted both externally and internally, during which the Board established a list of critical attributes and implemented a formal assessment process employing an external search firm to identify and assess successor candidates. The Board announced the selection of Mr. Ferraro, the Company’s then President, Americas, to become the Company’s next Chief Executive Officer, initially on an interim basis. At the time of Mr. Ferraro’s appointment, the Board also announced that Mr. Hees would transition from independent Chairman of the Board to Executive Chairman of the Board and that Ms. Martins, the Company’s then Chief Financial Officer for the Americas region, would assume many of Mr. Ferraro’s prior responsibilities and the role of Executive Vice President, Americas.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Board of Directors views succession planning as a continual process and intends to continue to engage in succession planning consistent with the process described above. In order to ensure that qualified candidates are available for senior executive positions, the Board of Directors oversees the development of internal candidates, maintenance of talent development plans to strengthen the skills and qualifications of such candidates and is responsible, if necessary, for the identification of suitable external successor candidates. The Board of Directors also maintains an “emergency” succession plan in the event of an unexpected disability or inability of our senior executives to perform his or her duties.</w:t>
      </w:r>
    </w:p>
    <w:p>
      <w:pPr>
        <w:spacing w:after="0" w:line="17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are no related person transactions that require reporting under SEC rules. The Company has adopted written procedures for the review, approval or ratification of transactions with related persons that apply to any transaction, arrangement or relationship in which:</w:t>
      </w:r>
    </w:p>
    <w:p>
      <w:pPr>
        <w:spacing w:after="0" w:line="18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(including any of its subsidiaries) was, is or will be a participant; and</w:t>
      </w:r>
    </w:p>
    <w:p>
      <w:pPr>
        <w:spacing w:after="0" w:line="225" w:lineRule="exact"/>
        <w:rPr>
          <w:rFonts w:ascii="Arial" w:cs="Arial" w:eastAsia="Arial" w:hAnsi="Arial"/>
          <w:sz w:val="18"/>
          <w:szCs w:val="18"/>
          <w:color w:val="auto"/>
        </w:rPr>
      </w:pPr>
    </w:p>
    <w:p>
      <w:pPr>
        <w:jc w:val="both"/>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related person (i.e., a director, executive officer, director nominee, or any greater than 5% beneficial owner, or any immediate family member of the foregoing, or any entity in which any of the foregoing persons is employed, or is a partner, principal or in a similar position, or has any greater than 5% beneficial interest) had, has or will have a direct or indirect interest.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Under the Company’s related persons policy, transactions with related persons are reviewed in advance by the General Counsel and Chief Compliance Officer and the Corporate Secretary of the Company, or in certain circumstances, as soon as possible thereafter. If it is determined by such officers that the transaction is a related person transaction and the amount involved exceeds $120,000:</w:t>
      </w:r>
    </w:p>
    <w:p>
      <w:pPr>
        <w:spacing w:after="0" w:line="189" w:lineRule="exact"/>
        <w:rPr>
          <w:sz w:val="20"/>
          <w:szCs w:val="20"/>
          <w:color w:val="auto"/>
        </w:rPr>
      </w:pPr>
    </w:p>
    <w:p>
      <w:pPr>
        <w:ind w:left="340" w:hanging="332"/>
        <w:spacing w:after="0" w:line="24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transaction will be submitted for review to the Audit Committee, or, under certain circumstances, to the Chairman of the Audit Committee.</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or its Chairman will then consider all relevant facts and circumstances available.</w:t>
      </w:r>
    </w:p>
    <w:p>
      <w:pPr>
        <w:spacing w:after="0" w:line="225" w:lineRule="exact"/>
        <w:rPr>
          <w:rFonts w:ascii="Arial" w:cs="Arial" w:eastAsia="Arial" w:hAnsi="Arial"/>
          <w:sz w:val="18"/>
          <w:szCs w:val="18"/>
          <w:color w:val="auto"/>
        </w:rPr>
      </w:pPr>
    </w:p>
    <w:p>
      <w:pPr>
        <w:ind w:left="340" w:right="20" w:hanging="332"/>
        <w:spacing w:after="0" w:line="24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Audit Committee or its Chairman will approve only those transactions, determined in good faith to be in, or not inconsistent with, the best interests of the Company and its shareholders.</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reviews on an annual basis contributions by the Company in excess of $1,000, in the aggregate (other than contributions made pursuant to the Company’s matching contribution program for employees and directors), to a charitable organization at which a related person is actively involved with fund-raising or serves as a director, trustee or in a similar capacity.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regularly conduct engagement and outreach efforts in order to communicate with existing and prospective shareholders, lenders, research analysts, rating agencies, governance firms and others. In 2020, our key engagement activities included numerous group and one-on-one investor meetings, conference calls accessible to all shareholders following each of our quarterly earnings releases, presentations at various investor conferences, and our 2020 Annual Meeting of Shareholders. Members of management, in addition to our Chief Executive Officer and Chief Financial Officer, participated in these activities, each of which contained opportunities for shareholders and other constituents to provide feedback to management. We value the input and insights of our shareholders and are committed to continued engagement with investors. Key topics of focus in 2020 included our strategy and results, and our COVID-19 response.</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From time to time, certain of our independent Board members attend investor meetings, in addition to attending the Annual Meeting of Shareholders.</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investor relations department is the key point of contact for shareholder interaction with the Company. Shareholders and other interested parties may access investor information about our Company through our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The investor relations department coordinates institutional investor meetings with management, appearances at investor conferences and our quarterly earnings calls. We consider shareholder requests to meet with members of our Board of Directors on a case-by-case basis.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Security Ownership of Certain Beneficial Owners</w:t>
      </w:r>
    </w:p>
    <w:p>
      <w:pPr>
        <w:spacing w:after="0" w:line="221" w:lineRule="exact"/>
        <w:rPr>
          <w:sz w:val="20"/>
          <w:szCs w:val="20"/>
          <w:color w:val="auto"/>
        </w:rPr>
      </w:pPr>
    </w:p>
    <w:p>
      <w:pPr>
        <w:ind w:right="460"/>
        <w:spacing w:after="0" w:line="236" w:lineRule="auto"/>
        <w:rPr>
          <w:sz w:val="20"/>
          <w:szCs w:val="20"/>
          <w:color w:val="auto"/>
        </w:rPr>
      </w:pPr>
      <w:r>
        <w:rPr>
          <w:rFonts w:ascii="Arial" w:cs="Arial" w:eastAsia="Arial" w:hAnsi="Arial"/>
          <w:sz w:val="18"/>
          <w:szCs w:val="18"/>
          <w:color w:val="auto"/>
        </w:rPr>
        <w:t>The following table sets forth information regarding beneficial ownership of shares of Common Stock as of March 12, 2021, by (i) each person who is known by us to beneficially own more than 5% of the outstanding shares of Common Stock, (ii) each of the Company’s directors and each of its named executive officers, and (iii) all of the Company’s directors, nominees and current executive officers, as a group.</w:t>
      </w:r>
    </w:p>
    <w:tbl>
      <w:tblPr>
        <w:tblLayout w:type="fixed"/>
        <w:tblInd w:w="0" w:type="dxa"/>
        <w:tblCellMar>
          <w:top w:w="0" w:type="dxa"/>
          <w:left w:w="0" w:type="dxa"/>
          <w:bottom w:w="0" w:type="dxa"/>
          <w:right w:w="0" w:type="dxa"/>
        </w:tblCellMar>
      </w:tblPr>
      <w:tr>
        <w:trPr>
          <w:trHeight w:val="145"/>
        </w:trPr>
        <w:tc>
          <w:tcPr>
            <w:tcW w:w="37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940" w:type="dxa"/>
            <w:vAlign w:val="bottom"/>
          </w:tcPr>
          <w:p>
            <w:pPr>
              <w:jc w:val="center"/>
              <w:ind w:left="68"/>
              <w:spacing w:after="0" w:line="145" w:lineRule="exact"/>
              <w:rPr>
                <w:sz w:val="20"/>
                <w:szCs w:val="20"/>
                <w:color w:val="auto"/>
              </w:rPr>
            </w:pPr>
            <w:r>
              <w:rPr>
                <w:rFonts w:ascii="Arial" w:cs="Arial" w:eastAsia="Arial" w:hAnsi="Arial"/>
                <w:sz w:val="14"/>
                <w:szCs w:val="14"/>
                <w:b w:val="1"/>
                <w:bCs w:val="1"/>
                <w:color w:val="auto"/>
              </w:rPr>
              <w:t>Of the Total Number of Shares</w:t>
            </w:r>
          </w:p>
        </w:tc>
      </w:tr>
      <w:tr>
        <w:trPr>
          <w:trHeight w:val="162"/>
        </w:trPr>
        <w:tc>
          <w:tcPr>
            <w:tcW w:w="37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Percent of</w:t>
            </w:r>
          </w:p>
        </w:tc>
        <w:tc>
          <w:tcPr>
            <w:tcW w:w="2940" w:type="dxa"/>
            <w:vAlign w:val="bottom"/>
          </w:tcPr>
          <w:p>
            <w:pPr>
              <w:jc w:val="center"/>
              <w:ind w:left="68"/>
              <w:spacing w:after="0"/>
              <w:rPr>
                <w:sz w:val="20"/>
                <w:szCs w:val="20"/>
                <w:color w:val="auto"/>
              </w:rPr>
            </w:pPr>
            <w:r>
              <w:rPr>
                <w:rFonts w:ascii="Arial" w:cs="Arial" w:eastAsia="Arial" w:hAnsi="Arial"/>
                <w:sz w:val="14"/>
                <w:szCs w:val="14"/>
                <w:b w:val="1"/>
                <w:bCs w:val="1"/>
                <w:color w:val="auto"/>
              </w:rPr>
              <w:t>Beneficially Owned, Shares</w:t>
            </w:r>
          </w:p>
        </w:tc>
      </w:tr>
      <w:tr>
        <w:trPr>
          <w:trHeight w:val="161"/>
        </w:trPr>
        <w:tc>
          <w:tcPr>
            <w:tcW w:w="3720" w:type="dxa"/>
            <w:vAlign w:val="bottom"/>
          </w:tcPr>
          <w:p>
            <w:pPr>
              <w:spacing w:after="0"/>
              <w:rPr>
                <w:sz w:val="13"/>
                <w:szCs w:val="13"/>
                <w:color w:val="auto"/>
              </w:rPr>
            </w:pPr>
          </w:p>
        </w:tc>
        <w:tc>
          <w:tcPr>
            <w:tcW w:w="250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 Amount of Shares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rPr>
              <w:t>Common Stock</w:t>
            </w:r>
          </w:p>
        </w:tc>
        <w:tc>
          <w:tcPr>
            <w:tcW w:w="2940" w:type="dxa"/>
            <w:vAlign w:val="bottom"/>
          </w:tcPr>
          <w:p>
            <w:pPr>
              <w:jc w:val="center"/>
              <w:ind w:left="88"/>
              <w:spacing w:after="0"/>
              <w:rPr>
                <w:sz w:val="20"/>
                <w:szCs w:val="20"/>
                <w:color w:val="auto"/>
              </w:rPr>
            </w:pPr>
            <w:r>
              <w:rPr>
                <w:rFonts w:ascii="Arial" w:cs="Arial" w:eastAsia="Arial" w:hAnsi="Arial"/>
                <w:sz w:val="14"/>
                <w:szCs w:val="14"/>
                <w:b w:val="1"/>
                <w:bCs w:val="1"/>
                <w:color w:val="auto"/>
              </w:rPr>
              <w:t>which May be Acquired within</w:t>
            </w:r>
          </w:p>
        </w:tc>
      </w:tr>
      <w:tr>
        <w:trPr>
          <w:trHeight w:val="210"/>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2500" w:type="dxa"/>
            <w:vAlign w:val="bottom"/>
            <w:tcBorders>
              <w:bottom w:val="single" w:sz="8" w:color="auto"/>
            </w:tcBorders>
          </w:tcPr>
          <w:p>
            <w:pPr>
              <w:jc w:val="right"/>
              <w:ind w:right="508"/>
              <w:spacing w:after="0" w:line="203" w:lineRule="exact"/>
              <w:rPr>
                <w:sz w:val="20"/>
                <w:szCs w:val="20"/>
                <w:color w:val="auto"/>
              </w:rPr>
            </w:pPr>
            <w:r>
              <w:rPr>
                <w:rFonts w:ascii="Arial" w:cs="Arial" w:eastAsia="Arial" w:hAnsi="Arial"/>
                <w:sz w:val="14"/>
                <w:szCs w:val="14"/>
                <w:b w:val="1"/>
                <w:bCs w:val="1"/>
                <w:color w:val="auto"/>
              </w:rPr>
              <w:t>Beneficially Owned</w:t>
            </w:r>
            <w:r>
              <w:rPr>
                <w:rFonts w:ascii="Arial" w:cs="Arial" w:eastAsia="Arial" w:hAnsi="Arial"/>
                <w:sz w:val="23"/>
                <w:szCs w:val="23"/>
                <w:b w:val="1"/>
                <w:bCs w:val="1"/>
                <w:color w:val="auto"/>
                <w:vertAlign w:val="superscript"/>
              </w:rPr>
              <w:t>(1)</w:t>
            </w:r>
          </w:p>
        </w:tc>
        <w:tc>
          <w:tcPr>
            <w:tcW w:w="20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23"/>
                <w:szCs w:val="23"/>
                <w:b w:val="1"/>
                <w:bCs w:val="1"/>
                <w:color w:val="auto"/>
                <w:w w:val="94"/>
                <w:vertAlign w:val="superscript"/>
              </w:rPr>
              <w:t>(2)</w:t>
            </w:r>
          </w:p>
        </w:tc>
        <w:tc>
          <w:tcPr>
            <w:tcW w:w="2940" w:type="dxa"/>
            <w:vAlign w:val="bottom"/>
            <w:tcBorders>
              <w:bottom w:val="single" w:sz="8" w:color="auto"/>
            </w:tcBorders>
          </w:tcPr>
          <w:p>
            <w:pPr>
              <w:jc w:val="center"/>
              <w:ind w:left="68"/>
              <w:spacing w:after="0" w:line="203" w:lineRule="exact"/>
              <w:rPr>
                <w:sz w:val="20"/>
                <w:szCs w:val="20"/>
                <w:color w:val="auto"/>
              </w:rPr>
            </w:pPr>
            <w:r>
              <w:rPr>
                <w:rFonts w:ascii="Arial" w:cs="Arial" w:eastAsia="Arial" w:hAnsi="Arial"/>
                <w:sz w:val="14"/>
                <w:szCs w:val="14"/>
                <w:b w:val="1"/>
                <w:bCs w:val="1"/>
                <w:color w:val="auto"/>
                <w:w w:val="94"/>
              </w:rPr>
              <w:t>60 Days</w:t>
            </w:r>
            <w:r>
              <w:rPr>
                <w:rFonts w:ascii="Arial" w:cs="Arial" w:eastAsia="Arial" w:hAnsi="Arial"/>
                <w:sz w:val="23"/>
                <w:szCs w:val="23"/>
                <w:b w:val="1"/>
                <w:bCs w:val="1"/>
                <w:color w:val="auto"/>
                <w:w w:val="94"/>
                <w:vertAlign w:val="superscript"/>
              </w:rPr>
              <w:t>(3)</w:t>
            </w:r>
          </w:p>
        </w:tc>
      </w:tr>
      <w:tr>
        <w:trPr>
          <w:trHeight w:val="162"/>
        </w:trPr>
        <w:tc>
          <w:tcPr>
            <w:tcW w:w="372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4"/>
                <w:szCs w:val="14"/>
                <w:b w:val="1"/>
                <w:bCs w:val="1"/>
                <w:color w:val="auto"/>
              </w:rPr>
              <w:t>Principal Shareholders:**</w:t>
            </w:r>
          </w:p>
        </w:tc>
        <w:tc>
          <w:tcPr>
            <w:tcW w:w="2500" w:type="dxa"/>
            <w:vAlign w:val="bottom"/>
            <w:tcBorders>
              <w:bottom w:val="single" w:sz="8" w:color="auto"/>
            </w:tcBorders>
            <w:shd w:val="clear" w:color="auto" w:fill="D2D3D5"/>
          </w:tcPr>
          <w:p>
            <w:pPr>
              <w:spacing w:after="0"/>
              <w:rPr>
                <w:sz w:val="14"/>
                <w:szCs w:val="14"/>
                <w:color w:val="auto"/>
              </w:rPr>
            </w:pPr>
          </w:p>
        </w:tc>
        <w:tc>
          <w:tcPr>
            <w:tcW w:w="2080" w:type="dxa"/>
            <w:vAlign w:val="bottom"/>
            <w:tcBorders>
              <w:bottom w:val="single" w:sz="8" w:color="auto"/>
            </w:tcBorders>
            <w:shd w:val="clear" w:color="auto" w:fill="D2D3D5"/>
          </w:tcPr>
          <w:p>
            <w:pPr>
              <w:spacing w:after="0"/>
              <w:rPr>
                <w:sz w:val="14"/>
                <w:szCs w:val="14"/>
                <w:color w:val="auto"/>
              </w:rPr>
            </w:pPr>
          </w:p>
        </w:tc>
        <w:tc>
          <w:tcPr>
            <w:tcW w:w="2940" w:type="dxa"/>
            <w:vAlign w:val="bottom"/>
            <w:tcBorders>
              <w:bottom w:val="single" w:sz="8" w:color="auto"/>
            </w:tcBorders>
            <w:shd w:val="clear" w:color="auto" w:fill="D2D3D5"/>
          </w:tcPr>
          <w:p>
            <w:pPr>
              <w:spacing w:after="0"/>
              <w:rPr>
                <w:sz w:val="14"/>
                <w:szCs w:val="14"/>
                <w:color w:val="auto"/>
              </w:rPr>
            </w:pPr>
          </w:p>
        </w:tc>
      </w:tr>
      <w:tr>
        <w:trPr>
          <w:trHeight w:val="196"/>
        </w:trPr>
        <w:tc>
          <w:tcPr>
            <w:tcW w:w="3720" w:type="dxa"/>
            <w:vAlign w:val="bottom"/>
          </w:tcPr>
          <w:p>
            <w:pPr>
              <w:ind w:left="40"/>
              <w:spacing w:after="0" w:line="195" w:lineRule="exact"/>
              <w:rPr>
                <w:sz w:val="20"/>
                <w:szCs w:val="20"/>
                <w:color w:val="auto"/>
              </w:rPr>
            </w:pPr>
            <w:r>
              <w:rPr>
                <w:rFonts w:ascii="Arial" w:cs="Arial" w:eastAsia="Arial" w:hAnsi="Arial"/>
                <w:sz w:val="14"/>
                <w:szCs w:val="14"/>
                <w:color w:val="auto"/>
              </w:rPr>
              <w:t>SRS Investment Management, LLC</w:t>
            </w:r>
            <w:r>
              <w:rPr>
                <w:rFonts w:ascii="Arial" w:cs="Arial" w:eastAsia="Arial" w:hAnsi="Arial"/>
                <w:sz w:val="22"/>
                <w:szCs w:val="22"/>
                <w:color w:val="auto"/>
                <w:vertAlign w:val="superscript"/>
              </w:rPr>
              <w:t>(4)</w:t>
            </w:r>
          </w:p>
        </w:tc>
        <w:tc>
          <w:tcPr>
            <w:tcW w:w="2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208"/>
        </w:trPr>
        <w:tc>
          <w:tcPr>
            <w:tcW w:w="3720" w:type="dxa"/>
            <w:vAlign w:val="bottom"/>
          </w:tcPr>
          <w:p>
            <w:pPr>
              <w:ind w:left="40"/>
              <w:spacing w:after="0" w:line="208" w:lineRule="exact"/>
              <w:rPr>
                <w:sz w:val="20"/>
                <w:szCs w:val="20"/>
                <w:color w:val="auto"/>
              </w:rPr>
            </w:pPr>
            <w:r>
              <w:rPr>
                <w:rFonts w:ascii="Arial" w:cs="Arial" w:eastAsia="Arial" w:hAnsi="Arial"/>
                <w:sz w:val="14"/>
                <w:szCs w:val="14"/>
                <w:color w:val="auto"/>
              </w:rPr>
              <w:t>1 Bryant Park, 39</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Floor</w:t>
            </w:r>
          </w:p>
        </w:tc>
        <w:tc>
          <w:tcPr>
            <w:tcW w:w="25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157"/>
        </w:trPr>
        <w:tc>
          <w:tcPr>
            <w:tcW w:w="3720" w:type="dxa"/>
            <w:vAlign w:val="bottom"/>
            <w:tcBorders>
              <w:bottom w:val="single" w:sz="8" w:color="auto"/>
            </w:tcBorders>
          </w:tcPr>
          <w:p>
            <w:pPr>
              <w:ind w:left="40"/>
              <w:spacing w:after="0" w:line="157" w:lineRule="exact"/>
              <w:rPr>
                <w:sz w:val="20"/>
                <w:szCs w:val="20"/>
                <w:color w:val="auto"/>
              </w:rPr>
            </w:pPr>
            <w:r>
              <w:rPr>
                <w:rFonts w:ascii="Arial" w:cs="Arial" w:eastAsia="Arial" w:hAnsi="Arial"/>
                <w:sz w:val="14"/>
                <w:szCs w:val="14"/>
                <w:color w:val="auto"/>
              </w:rPr>
              <w:t>New York, NY 10036</w:t>
            </w:r>
          </w:p>
        </w:tc>
        <w:tc>
          <w:tcPr>
            <w:tcW w:w="2500" w:type="dxa"/>
            <w:vAlign w:val="bottom"/>
            <w:tcBorders>
              <w:bottom w:val="single" w:sz="8" w:color="auto"/>
            </w:tcBorders>
          </w:tcPr>
          <w:p>
            <w:pPr>
              <w:jc w:val="right"/>
              <w:ind w:right="748"/>
              <w:spacing w:after="0" w:line="157" w:lineRule="exact"/>
              <w:rPr>
                <w:sz w:val="20"/>
                <w:szCs w:val="20"/>
                <w:color w:val="auto"/>
              </w:rPr>
            </w:pPr>
            <w:r>
              <w:rPr>
                <w:rFonts w:ascii="Arial" w:cs="Arial" w:eastAsia="Arial" w:hAnsi="Arial"/>
                <w:sz w:val="14"/>
                <w:szCs w:val="14"/>
                <w:color w:val="auto"/>
              </w:rPr>
              <w:t>18,430,882</w:t>
            </w:r>
          </w:p>
        </w:tc>
        <w:tc>
          <w:tcPr>
            <w:tcW w:w="2080" w:type="dxa"/>
            <w:vAlign w:val="bottom"/>
            <w:tcBorders>
              <w:bottom w:val="single" w:sz="8" w:color="auto"/>
            </w:tcBorders>
          </w:tcPr>
          <w:p>
            <w:pPr>
              <w:jc w:val="right"/>
              <w:ind w:right="649"/>
              <w:spacing w:after="0" w:line="157" w:lineRule="exact"/>
              <w:rPr>
                <w:sz w:val="20"/>
                <w:szCs w:val="20"/>
                <w:color w:val="auto"/>
              </w:rPr>
            </w:pPr>
            <w:r>
              <w:rPr>
                <w:rFonts w:ascii="Arial" w:cs="Arial" w:eastAsia="Arial" w:hAnsi="Arial"/>
                <w:sz w:val="14"/>
                <w:szCs w:val="14"/>
                <w:color w:val="auto"/>
              </w:rPr>
              <w:t>26.4%</w:t>
            </w:r>
          </w:p>
        </w:tc>
        <w:tc>
          <w:tcPr>
            <w:tcW w:w="2940" w:type="dxa"/>
            <w:vAlign w:val="bottom"/>
            <w:tcBorders>
              <w:bottom w:val="single" w:sz="8" w:color="auto"/>
            </w:tcBorders>
          </w:tcPr>
          <w:p>
            <w:pPr>
              <w:jc w:val="right"/>
              <w:ind w:right="1048"/>
              <w:spacing w:after="0" w:line="157" w:lineRule="exact"/>
              <w:rPr>
                <w:sz w:val="20"/>
                <w:szCs w:val="20"/>
                <w:color w:val="auto"/>
              </w:rPr>
            </w:pPr>
            <w:r>
              <w:rPr>
                <w:rFonts w:ascii="Arial" w:cs="Arial" w:eastAsia="Arial" w:hAnsi="Arial"/>
                <w:sz w:val="14"/>
                <w:szCs w:val="14"/>
                <w:color w:val="auto"/>
              </w:rPr>
              <w:t>—</w:t>
            </w:r>
          </w:p>
        </w:tc>
      </w:tr>
      <w:tr>
        <w:trPr>
          <w:trHeight w:val="196"/>
        </w:trPr>
        <w:tc>
          <w:tcPr>
            <w:tcW w:w="3720" w:type="dxa"/>
            <w:vAlign w:val="bottom"/>
            <w:shd w:val="clear" w:color="auto" w:fill="D2D3D5"/>
          </w:tcPr>
          <w:p>
            <w:pPr>
              <w:ind w:left="40"/>
              <w:spacing w:after="0" w:line="195" w:lineRule="exact"/>
              <w:rPr>
                <w:sz w:val="20"/>
                <w:szCs w:val="20"/>
                <w:color w:val="auto"/>
              </w:rPr>
            </w:pPr>
            <w:r>
              <w:rPr>
                <w:rFonts w:ascii="Arial" w:cs="Arial" w:eastAsia="Arial" w:hAnsi="Arial"/>
                <w:sz w:val="14"/>
                <w:szCs w:val="14"/>
                <w:color w:val="auto"/>
              </w:rPr>
              <w:t>BlackRock, Inc.</w:t>
            </w:r>
            <w:r>
              <w:rPr>
                <w:rFonts w:ascii="Arial" w:cs="Arial" w:eastAsia="Arial" w:hAnsi="Arial"/>
                <w:sz w:val="22"/>
                <w:szCs w:val="22"/>
                <w:color w:val="auto"/>
                <w:vertAlign w:val="superscript"/>
              </w:rPr>
              <w:t>(5)</w:t>
            </w:r>
          </w:p>
        </w:tc>
        <w:tc>
          <w:tcPr>
            <w:tcW w:w="2500" w:type="dxa"/>
            <w:vAlign w:val="bottom"/>
            <w:shd w:val="clear" w:color="auto" w:fill="D2D3D5"/>
          </w:tcPr>
          <w:p>
            <w:pPr>
              <w:spacing w:after="0"/>
              <w:rPr>
                <w:sz w:val="17"/>
                <w:szCs w:val="17"/>
                <w:color w:val="auto"/>
              </w:rPr>
            </w:pPr>
          </w:p>
        </w:tc>
        <w:tc>
          <w:tcPr>
            <w:tcW w:w="2080" w:type="dxa"/>
            <w:vAlign w:val="bottom"/>
            <w:shd w:val="clear" w:color="auto" w:fill="D2D3D5"/>
          </w:tcPr>
          <w:p>
            <w:pPr>
              <w:spacing w:after="0"/>
              <w:rPr>
                <w:sz w:val="17"/>
                <w:szCs w:val="17"/>
                <w:color w:val="auto"/>
              </w:rPr>
            </w:pPr>
          </w:p>
        </w:tc>
        <w:tc>
          <w:tcPr>
            <w:tcW w:w="2940" w:type="dxa"/>
            <w:vAlign w:val="bottom"/>
            <w:shd w:val="clear" w:color="auto" w:fill="D2D3D5"/>
          </w:tcPr>
          <w:p>
            <w:pPr>
              <w:spacing w:after="0"/>
              <w:rPr>
                <w:sz w:val="17"/>
                <w:szCs w:val="17"/>
                <w:color w:val="auto"/>
              </w:rPr>
            </w:pPr>
          </w:p>
        </w:tc>
      </w:tr>
      <w:tr>
        <w:trPr>
          <w:trHeight w:val="203"/>
        </w:trPr>
        <w:tc>
          <w:tcPr>
            <w:tcW w:w="3720" w:type="dxa"/>
            <w:vAlign w:val="bottom"/>
            <w:shd w:val="clear" w:color="auto" w:fill="D2D3D5"/>
          </w:tcPr>
          <w:p>
            <w:pPr>
              <w:ind w:left="40"/>
              <w:spacing w:after="0" w:line="203" w:lineRule="exact"/>
              <w:rPr>
                <w:sz w:val="20"/>
                <w:szCs w:val="20"/>
                <w:color w:val="auto"/>
              </w:rPr>
            </w:pPr>
            <w:r>
              <w:rPr>
                <w:rFonts w:ascii="Arial" w:cs="Arial" w:eastAsia="Arial" w:hAnsi="Arial"/>
                <w:sz w:val="14"/>
                <w:szCs w:val="14"/>
                <w:color w:val="auto"/>
              </w:rPr>
              <w:t>55 East 52</w:t>
            </w:r>
            <w:r>
              <w:rPr>
                <w:rFonts w:ascii="Arial" w:cs="Arial" w:eastAsia="Arial" w:hAnsi="Arial"/>
                <w:sz w:val="23"/>
                <w:szCs w:val="23"/>
                <w:color w:val="auto"/>
                <w:vertAlign w:val="superscript"/>
              </w:rPr>
              <w:t>nd</w:t>
            </w:r>
            <w:r>
              <w:rPr>
                <w:rFonts w:ascii="Arial" w:cs="Arial" w:eastAsia="Arial" w:hAnsi="Arial"/>
                <w:sz w:val="14"/>
                <w:szCs w:val="14"/>
                <w:color w:val="auto"/>
              </w:rPr>
              <w:t xml:space="preserve"> Street</w:t>
            </w:r>
          </w:p>
        </w:tc>
        <w:tc>
          <w:tcPr>
            <w:tcW w:w="2500" w:type="dxa"/>
            <w:vAlign w:val="bottom"/>
            <w:shd w:val="clear" w:color="auto" w:fill="D2D3D5"/>
          </w:tcPr>
          <w:p>
            <w:pPr>
              <w:spacing w:after="0"/>
              <w:rPr>
                <w:sz w:val="17"/>
                <w:szCs w:val="17"/>
                <w:color w:val="auto"/>
              </w:rPr>
            </w:pPr>
          </w:p>
        </w:tc>
        <w:tc>
          <w:tcPr>
            <w:tcW w:w="2080" w:type="dxa"/>
            <w:vAlign w:val="bottom"/>
            <w:shd w:val="clear" w:color="auto" w:fill="D2D3D5"/>
          </w:tcPr>
          <w:p>
            <w:pPr>
              <w:spacing w:after="0"/>
              <w:rPr>
                <w:sz w:val="17"/>
                <w:szCs w:val="17"/>
                <w:color w:val="auto"/>
              </w:rPr>
            </w:pPr>
          </w:p>
        </w:tc>
        <w:tc>
          <w:tcPr>
            <w:tcW w:w="2940" w:type="dxa"/>
            <w:vAlign w:val="bottom"/>
            <w:shd w:val="clear" w:color="auto" w:fill="D2D3D5"/>
          </w:tcPr>
          <w:p>
            <w:pPr>
              <w:spacing w:after="0"/>
              <w:rPr>
                <w:sz w:val="17"/>
                <w:szCs w:val="17"/>
                <w:color w:val="auto"/>
              </w:rPr>
            </w:pPr>
          </w:p>
        </w:tc>
      </w:tr>
      <w:tr>
        <w:trPr>
          <w:trHeight w:val="162"/>
        </w:trPr>
        <w:tc>
          <w:tcPr>
            <w:tcW w:w="372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4"/>
                <w:szCs w:val="14"/>
                <w:color w:val="auto"/>
              </w:rPr>
              <w:t>New York, NY 10055</w:t>
            </w:r>
          </w:p>
        </w:tc>
        <w:tc>
          <w:tcPr>
            <w:tcW w:w="2500" w:type="dxa"/>
            <w:vAlign w:val="bottom"/>
            <w:tcBorders>
              <w:bottom w:val="single" w:sz="8" w:color="auto"/>
            </w:tcBorders>
            <w:shd w:val="clear" w:color="auto" w:fill="D2D3D5"/>
          </w:tcPr>
          <w:p>
            <w:pPr>
              <w:jc w:val="right"/>
              <w:ind w:right="748"/>
              <w:spacing w:after="0"/>
              <w:rPr>
                <w:sz w:val="20"/>
                <w:szCs w:val="20"/>
                <w:color w:val="auto"/>
              </w:rPr>
            </w:pPr>
            <w:r>
              <w:rPr>
                <w:rFonts w:ascii="Arial" w:cs="Arial" w:eastAsia="Arial" w:hAnsi="Arial"/>
                <w:sz w:val="14"/>
                <w:szCs w:val="14"/>
                <w:color w:val="auto"/>
              </w:rPr>
              <w:t>6,559,396</w:t>
            </w:r>
          </w:p>
        </w:tc>
        <w:tc>
          <w:tcPr>
            <w:tcW w:w="2080" w:type="dxa"/>
            <w:vAlign w:val="bottom"/>
            <w:tcBorders>
              <w:bottom w:val="single" w:sz="8" w:color="auto"/>
            </w:tcBorders>
            <w:shd w:val="clear" w:color="auto" w:fill="D2D3D5"/>
          </w:tcPr>
          <w:p>
            <w:pPr>
              <w:jc w:val="right"/>
              <w:ind w:right="649"/>
              <w:spacing w:after="0"/>
              <w:rPr>
                <w:sz w:val="20"/>
                <w:szCs w:val="20"/>
                <w:color w:val="auto"/>
              </w:rPr>
            </w:pPr>
            <w:r>
              <w:rPr>
                <w:rFonts w:ascii="Arial" w:cs="Arial" w:eastAsia="Arial" w:hAnsi="Arial"/>
                <w:sz w:val="14"/>
                <w:szCs w:val="14"/>
                <w:color w:val="auto"/>
              </w:rPr>
              <w:t>9.4%</w:t>
            </w:r>
          </w:p>
        </w:tc>
        <w:tc>
          <w:tcPr>
            <w:tcW w:w="2940" w:type="dxa"/>
            <w:vAlign w:val="bottom"/>
            <w:tcBorders>
              <w:bottom w:val="single" w:sz="8" w:color="auto"/>
            </w:tcBorders>
            <w:shd w:val="clear" w:color="auto" w:fill="D2D3D5"/>
          </w:tcPr>
          <w:p>
            <w:pPr>
              <w:jc w:val="right"/>
              <w:ind w:right="1048"/>
              <w:spacing w:after="0"/>
              <w:rPr>
                <w:sz w:val="20"/>
                <w:szCs w:val="20"/>
                <w:color w:val="auto"/>
              </w:rPr>
            </w:pPr>
            <w:r>
              <w:rPr>
                <w:rFonts w:ascii="Arial" w:cs="Arial" w:eastAsia="Arial" w:hAnsi="Arial"/>
                <w:sz w:val="14"/>
                <w:szCs w:val="14"/>
                <w:color w:val="auto"/>
              </w:rPr>
              <w:t>—</w:t>
            </w:r>
          </w:p>
        </w:tc>
      </w:tr>
      <w:tr>
        <w:trPr>
          <w:trHeight w:val="201"/>
        </w:trPr>
        <w:tc>
          <w:tcPr>
            <w:tcW w:w="3720" w:type="dxa"/>
            <w:vAlign w:val="bottom"/>
          </w:tcPr>
          <w:p>
            <w:pPr>
              <w:ind w:left="40"/>
              <w:spacing w:after="0" w:line="201" w:lineRule="exact"/>
              <w:rPr>
                <w:sz w:val="20"/>
                <w:szCs w:val="20"/>
                <w:color w:val="auto"/>
              </w:rPr>
            </w:pPr>
            <w:r>
              <w:rPr>
                <w:rFonts w:ascii="Arial" w:cs="Arial" w:eastAsia="Arial" w:hAnsi="Arial"/>
                <w:sz w:val="14"/>
                <w:szCs w:val="14"/>
                <w:color w:val="auto"/>
              </w:rPr>
              <w:t>Nomura Holdings, Inc.</w:t>
            </w:r>
            <w:r>
              <w:rPr>
                <w:rFonts w:ascii="Arial" w:cs="Arial" w:eastAsia="Arial" w:hAnsi="Arial"/>
                <w:sz w:val="23"/>
                <w:szCs w:val="23"/>
                <w:color w:val="auto"/>
                <w:vertAlign w:val="superscript"/>
              </w:rPr>
              <w:t>(6)</w:t>
            </w:r>
          </w:p>
        </w:tc>
        <w:tc>
          <w:tcPr>
            <w:tcW w:w="25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940" w:type="dxa"/>
            <w:vAlign w:val="bottom"/>
          </w:tcPr>
          <w:p>
            <w:pPr>
              <w:spacing w:after="0"/>
              <w:rPr>
                <w:sz w:val="17"/>
                <w:szCs w:val="17"/>
                <w:color w:val="auto"/>
              </w:rPr>
            </w:pPr>
          </w:p>
        </w:tc>
      </w:tr>
      <w:tr>
        <w:trPr>
          <w:trHeight w:val="172"/>
        </w:trPr>
        <w:tc>
          <w:tcPr>
            <w:tcW w:w="3720" w:type="dxa"/>
            <w:vAlign w:val="bottom"/>
          </w:tcPr>
          <w:p>
            <w:pPr>
              <w:ind w:left="40"/>
              <w:spacing w:after="0"/>
              <w:rPr>
                <w:sz w:val="20"/>
                <w:szCs w:val="20"/>
                <w:color w:val="auto"/>
              </w:rPr>
            </w:pPr>
            <w:r>
              <w:rPr>
                <w:rFonts w:ascii="Arial" w:cs="Arial" w:eastAsia="Arial" w:hAnsi="Arial"/>
                <w:sz w:val="14"/>
                <w:szCs w:val="14"/>
                <w:color w:val="auto"/>
              </w:rPr>
              <w:t>13-1, Nohonbashi 1-chome</w:t>
            </w:r>
          </w:p>
        </w:tc>
        <w:tc>
          <w:tcPr>
            <w:tcW w:w="2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940" w:type="dxa"/>
            <w:vAlign w:val="bottom"/>
          </w:tcPr>
          <w:p>
            <w:pPr>
              <w:spacing w:after="0"/>
              <w:rPr>
                <w:sz w:val="14"/>
                <w:szCs w:val="14"/>
                <w:color w:val="auto"/>
              </w:rPr>
            </w:pPr>
          </w:p>
        </w:tc>
      </w:tr>
      <w:tr>
        <w:trPr>
          <w:trHeight w:val="161"/>
        </w:trPr>
        <w:tc>
          <w:tcPr>
            <w:tcW w:w="3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Chuo-ku, Tokyo 103-8645, Japan</w:t>
            </w:r>
          </w:p>
        </w:tc>
        <w:tc>
          <w:tcPr>
            <w:tcW w:w="25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5,147,059</w:t>
            </w:r>
          </w:p>
        </w:tc>
        <w:tc>
          <w:tcPr>
            <w:tcW w:w="2080" w:type="dxa"/>
            <w:vAlign w:val="bottom"/>
            <w:tcBorders>
              <w:bottom w:val="single" w:sz="8" w:color="auto"/>
            </w:tcBorders>
          </w:tcPr>
          <w:p>
            <w:pPr>
              <w:jc w:val="right"/>
              <w:ind w:right="649"/>
              <w:spacing w:after="0"/>
              <w:rPr>
                <w:sz w:val="20"/>
                <w:szCs w:val="20"/>
                <w:color w:val="auto"/>
              </w:rPr>
            </w:pPr>
            <w:r>
              <w:rPr>
                <w:rFonts w:ascii="Arial" w:cs="Arial" w:eastAsia="Arial" w:hAnsi="Arial"/>
                <w:sz w:val="14"/>
                <w:szCs w:val="14"/>
                <w:color w:val="auto"/>
              </w:rPr>
              <w:t>7.4%</w:t>
            </w:r>
          </w:p>
        </w:tc>
        <w:tc>
          <w:tcPr>
            <w:tcW w:w="294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rPr>
              <w:t>—</w:t>
            </w:r>
          </w:p>
        </w:tc>
      </w:tr>
      <w:tr>
        <w:trPr>
          <w:trHeight w:val="196"/>
        </w:trPr>
        <w:tc>
          <w:tcPr>
            <w:tcW w:w="3720" w:type="dxa"/>
            <w:vAlign w:val="bottom"/>
            <w:shd w:val="clear" w:color="auto" w:fill="D2D3D5"/>
          </w:tcPr>
          <w:p>
            <w:pPr>
              <w:ind w:left="40"/>
              <w:spacing w:after="0" w:line="195" w:lineRule="exact"/>
              <w:rPr>
                <w:sz w:val="20"/>
                <w:szCs w:val="20"/>
                <w:color w:val="auto"/>
              </w:rPr>
            </w:pPr>
            <w:r>
              <w:rPr>
                <w:rFonts w:ascii="Arial" w:cs="Arial" w:eastAsia="Arial" w:hAnsi="Arial"/>
                <w:sz w:val="14"/>
                <w:szCs w:val="14"/>
                <w:color w:val="auto"/>
              </w:rPr>
              <w:t>Vanguard Group, Inc.</w:t>
            </w:r>
            <w:r>
              <w:rPr>
                <w:rFonts w:ascii="Arial" w:cs="Arial" w:eastAsia="Arial" w:hAnsi="Arial"/>
                <w:sz w:val="22"/>
                <w:szCs w:val="22"/>
                <w:color w:val="auto"/>
                <w:vertAlign w:val="superscript"/>
              </w:rPr>
              <w:t>(7)</w:t>
            </w:r>
          </w:p>
        </w:tc>
        <w:tc>
          <w:tcPr>
            <w:tcW w:w="2500" w:type="dxa"/>
            <w:vAlign w:val="bottom"/>
            <w:shd w:val="clear" w:color="auto" w:fill="D2D3D5"/>
          </w:tcPr>
          <w:p>
            <w:pPr>
              <w:spacing w:after="0"/>
              <w:rPr>
                <w:sz w:val="17"/>
                <w:szCs w:val="17"/>
                <w:color w:val="auto"/>
              </w:rPr>
            </w:pPr>
          </w:p>
        </w:tc>
        <w:tc>
          <w:tcPr>
            <w:tcW w:w="2080" w:type="dxa"/>
            <w:vAlign w:val="bottom"/>
            <w:shd w:val="clear" w:color="auto" w:fill="D2D3D5"/>
          </w:tcPr>
          <w:p>
            <w:pPr>
              <w:spacing w:after="0"/>
              <w:rPr>
                <w:sz w:val="17"/>
                <w:szCs w:val="17"/>
                <w:color w:val="auto"/>
              </w:rPr>
            </w:pPr>
          </w:p>
        </w:tc>
        <w:tc>
          <w:tcPr>
            <w:tcW w:w="2940" w:type="dxa"/>
            <w:vAlign w:val="bottom"/>
            <w:shd w:val="clear" w:color="auto" w:fill="D2D3D5"/>
          </w:tcPr>
          <w:p>
            <w:pPr>
              <w:spacing w:after="0"/>
              <w:rPr>
                <w:sz w:val="17"/>
                <w:szCs w:val="17"/>
                <w:color w:val="auto"/>
              </w:rPr>
            </w:pPr>
          </w:p>
        </w:tc>
      </w:tr>
      <w:tr>
        <w:trPr>
          <w:trHeight w:val="176"/>
        </w:trPr>
        <w:tc>
          <w:tcPr>
            <w:tcW w:w="3720" w:type="dxa"/>
            <w:vAlign w:val="bottom"/>
            <w:shd w:val="clear" w:color="auto" w:fill="D2D3D5"/>
          </w:tcPr>
          <w:p>
            <w:pPr>
              <w:ind w:left="40"/>
              <w:spacing w:after="0"/>
              <w:rPr>
                <w:sz w:val="20"/>
                <w:szCs w:val="20"/>
                <w:color w:val="auto"/>
              </w:rPr>
            </w:pPr>
            <w:r>
              <w:rPr>
                <w:rFonts w:ascii="Arial" w:cs="Arial" w:eastAsia="Arial" w:hAnsi="Arial"/>
                <w:sz w:val="14"/>
                <w:szCs w:val="14"/>
                <w:color w:val="auto"/>
              </w:rPr>
              <w:t>100 Vanguard Blvd.</w:t>
            </w:r>
          </w:p>
        </w:tc>
        <w:tc>
          <w:tcPr>
            <w:tcW w:w="2500" w:type="dxa"/>
            <w:vAlign w:val="bottom"/>
            <w:shd w:val="clear" w:color="auto" w:fill="D2D3D5"/>
          </w:tcPr>
          <w:p>
            <w:pPr>
              <w:spacing w:after="0"/>
              <w:rPr>
                <w:sz w:val="15"/>
                <w:szCs w:val="15"/>
                <w:color w:val="auto"/>
              </w:rPr>
            </w:pPr>
          </w:p>
        </w:tc>
        <w:tc>
          <w:tcPr>
            <w:tcW w:w="2080" w:type="dxa"/>
            <w:vAlign w:val="bottom"/>
            <w:shd w:val="clear" w:color="auto" w:fill="D2D3D5"/>
          </w:tcPr>
          <w:p>
            <w:pPr>
              <w:spacing w:after="0"/>
              <w:rPr>
                <w:sz w:val="15"/>
                <w:szCs w:val="15"/>
                <w:color w:val="auto"/>
              </w:rPr>
            </w:pPr>
          </w:p>
        </w:tc>
        <w:tc>
          <w:tcPr>
            <w:tcW w:w="2940" w:type="dxa"/>
            <w:vAlign w:val="bottom"/>
            <w:shd w:val="clear" w:color="auto" w:fill="D2D3D5"/>
          </w:tcPr>
          <w:p>
            <w:pPr>
              <w:spacing w:after="0"/>
              <w:rPr>
                <w:sz w:val="15"/>
                <w:szCs w:val="15"/>
                <w:color w:val="auto"/>
              </w:rPr>
            </w:pPr>
          </w:p>
        </w:tc>
      </w:tr>
      <w:tr>
        <w:trPr>
          <w:trHeight w:val="162"/>
        </w:trPr>
        <w:tc>
          <w:tcPr>
            <w:tcW w:w="372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4"/>
                <w:szCs w:val="14"/>
                <w:color w:val="auto"/>
              </w:rPr>
              <w:t>Malvern, PA 19355</w:t>
            </w:r>
          </w:p>
        </w:tc>
        <w:tc>
          <w:tcPr>
            <w:tcW w:w="2500" w:type="dxa"/>
            <w:vAlign w:val="bottom"/>
            <w:tcBorders>
              <w:bottom w:val="single" w:sz="8" w:color="auto"/>
            </w:tcBorders>
            <w:shd w:val="clear" w:color="auto" w:fill="D2D3D5"/>
          </w:tcPr>
          <w:p>
            <w:pPr>
              <w:jc w:val="right"/>
              <w:ind w:right="748"/>
              <w:spacing w:after="0"/>
              <w:rPr>
                <w:sz w:val="20"/>
                <w:szCs w:val="20"/>
                <w:color w:val="auto"/>
              </w:rPr>
            </w:pPr>
            <w:r>
              <w:rPr>
                <w:rFonts w:ascii="Arial" w:cs="Arial" w:eastAsia="Arial" w:hAnsi="Arial"/>
                <w:sz w:val="14"/>
                <w:szCs w:val="14"/>
                <w:color w:val="auto"/>
              </w:rPr>
              <w:t>4,654,577</w:t>
            </w:r>
          </w:p>
        </w:tc>
        <w:tc>
          <w:tcPr>
            <w:tcW w:w="2080" w:type="dxa"/>
            <w:vAlign w:val="bottom"/>
            <w:tcBorders>
              <w:bottom w:val="single" w:sz="8" w:color="auto"/>
            </w:tcBorders>
            <w:shd w:val="clear" w:color="auto" w:fill="D2D3D5"/>
          </w:tcPr>
          <w:p>
            <w:pPr>
              <w:jc w:val="right"/>
              <w:ind w:right="649"/>
              <w:spacing w:after="0"/>
              <w:rPr>
                <w:sz w:val="20"/>
                <w:szCs w:val="20"/>
                <w:color w:val="auto"/>
              </w:rPr>
            </w:pPr>
            <w:r>
              <w:rPr>
                <w:rFonts w:ascii="Arial" w:cs="Arial" w:eastAsia="Arial" w:hAnsi="Arial"/>
                <w:sz w:val="14"/>
                <w:szCs w:val="14"/>
                <w:color w:val="auto"/>
              </w:rPr>
              <w:t>6.7%</w:t>
            </w:r>
          </w:p>
        </w:tc>
        <w:tc>
          <w:tcPr>
            <w:tcW w:w="2940" w:type="dxa"/>
            <w:vAlign w:val="bottom"/>
            <w:tcBorders>
              <w:bottom w:val="single" w:sz="8" w:color="auto"/>
            </w:tcBorders>
            <w:shd w:val="clear" w:color="auto" w:fill="D2D3D5"/>
          </w:tcPr>
          <w:p>
            <w:pPr>
              <w:jc w:val="right"/>
              <w:ind w:right="1048"/>
              <w:spacing w:after="0"/>
              <w:rPr>
                <w:sz w:val="20"/>
                <w:szCs w:val="20"/>
                <w:color w:val="auto"/>
              </w:rPr>
            </w:pPr>
            <w:r>
              <w:rPr>
                <w:rFonts w:ascii="Arial" w:cs="Arial" w:eastAsia="Arial" w:hAnsi="Arial"/>
                <w:sz w:val="14"/>
                <w:szCs w:val="14"/>
                <w:color w:val="auto"/>
              </w:rPr>
              <w:t>—</w:t>
            </w:r>
          </w:p>
        </w:tc>
      </w:tr>
      <w:tr>
        <w:trPr>
          <w:trHeight w:val="156"/>
        </w:trPr>
        <w:tc>
          <w:tcPr>
            <w:tcW w:w="3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Directors, Nominees and Named Executive Officers:</w:t>
            </w:r>
          </w:p>
        </w:tc>
        <w:tc>
          <w:tcPr>
            <w:tcW w:w="25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r>
      <w:tr>
        <w:trPr>
          <w:trHeight w:val="155"/>
        </w:trPr>
        <w:tc>
          <w:tcPr>
            <w:tcW w:w="3720" w:type="dxa"/>
            <w:vAlign w:val="bottom"/>
            <w:tcBorders>
              <w:bottom w:val="single" w:sz="8" w:color="auto"/>
            </w:tcBorders>
            <w:shd w:val="clear" w:color="auto" w:fill="D2D3D5"/>
          </w:tcPr>
          <w:p>
            <w:pPr>
              <w:ind w:left="40"/>
              <w:spacing w:after="0" w:line="155" w:lineRule="exact"/>
              <w:rPr>
                <w:sz w:val="20"/>
                <w:szCs w:val="20"/>
                <w:color w:val="auto"/>
              </w:rPr>
            </w:pPr>
            <w:r>
              <w:rPr>
                <w:rFonts w:ascii="Arial" w:cs="Arial" w:eastAsia="Arial" w:hAnsi="Arial"/>
                <w:sz w:val="14"/>
                <w:szCs w:val="14"/>
                <w:color w:val="auto"/>
              </w:rPr>
              <w:t>Bernardo Hees</w:t>
            </w:r>
          </w:p>
        </w:tc>
        <w:tc>
          <w:tcPr>
            <w:tcW w:w="2500" w:type="dxa"/>
            <w:vAlign w:val="bottom"/>
            <w:tcBorders>
              <w:bottom w:val="single" w:sz="8" w:color="auto"/>
            </w:tcBorders>
            <w:shd w:val="clear" w:color="auto" w:fill="D2D3D5"/>
          </w:tcPr>
          <w:p>
            <w:pPr>
              <w:jc w:val="right"/>
              <w:ind w:right="748"/>
              <w:spacing w:after="0" w:line="155" w:lineRule="exact"/>
              <w:rPr>
                <w:sz w:val="20"/>
                <w:szCs w:val="20"/>
                <w:color w:val="auto"/>
              </w:rPr>
            </w:pPr>
            <w:r>
              <w:rPr>
                <w:rFonts w:ascii="Arial" w:cs="Arial" w:eastAsia="Arial" w:hAnsi="Arial"/>
                <w:sz w:val="14"/>
                <w:szCs w:val="14"/>
                <w:color w:val="auto"/>
              </w:rPr>
              <w:t>431,694</w:t>
            </w:r>
          </w:p>
        </w:tc>
        <w:tc>
          <w:tcPr>
            <w:tcW w:w="2080" w:type="dxa"/>
            <w:vAlign w:val="bottom"/>
            <w:tcBorders>
              <w:bottom w:val="single" w:sz="8" w:color="auto"/>
            </w:tcBorders>
            <w:shd w:val="clear" w:color="auto" w:fill="D2D3D5"/>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shd w:val="clear" w:color="auto" w:fill="D2D3D5"/>
          </w:tcPr>
          <w:p>
            <w:pPr>
              <w:jc w:val="right"/>
              <w:ind w:right="1048"/>
              <w:spacing w:after="0" w:line="155" w:lineRule="exact"/>
              <w:rPr>
                <w:sz w:val="20"/>
                <w:szCs w:val="20"/>
                <w:color w:val="auto"/>
              </w:rPr>
            </w:pPr>
            <w:r>
              <w:rPr>
                <w:rFonts w:ascii="Arial" w:cs="Arial" w:eastAsia="Arial" w:hAnsi="Arial"/>
                <w:sz w:val="14"/>
                <w:szCs w:val="14"/>
                <w:color w:val="auto"/>
              </w:rPr>
              <w:t>1,525</w:t>
            </w:r>
          </w:p>
        </w:tc>
      </w:tr>
      <w:tr>
        <w:trPr>
          <w:trHeight w:val="156"/>
        </w:trPr>
        <w:tc>
          <w:tcPr>
            <w:tcW w:w="3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Lynn Krominga</w:t>
            </w:r>
          </w:p>
        </w:tc>
        <w:tc>
          <w:tcPr>
            <w:tcW w:w="25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24,508</w:t>
            </w:r>
          </w:p>
        </w:tc>
        <w:tc>
          <w:tcPr>
            <w:tcW w:w="2080" w:type="dxa"/>
            <w:vAlign w:val="bottom"/>
            <w:tcBorders>
              <w:bottom w:val="single" w:sz="8" w:color="auto"/>
            </w:tcBorders>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jc w:val="right"/>
              <w:ind w:right="1048"/>
              <w:spacing w:after="0" w:line="155" w:lineRule="exact"/>
              <w:rPr>
                <w:sz w:val="20"/>
                <w:szCs w:val="20"/>
                <w:color w:val="auto"/>
              </w:rPr>
            </w:pPr>
            <w:r>
              <w:rPr>
                <w:rFonts w:ascii="Arial" w:cs="Arial" w:eastAsia="Arial" w:hAnsi="Arial"/>
                <w:sz w:val="14"/>
                <w:szCs w:val="14"/>
                <w:color w:val="auto"/>
              </w:rPr>
              <w:t>15,967</w:t>
            </w:r>
          </w:p>
        </w:tc>
      </w:tr>
      <w:tr>
        <w:trPr>
          <w:trHeight w:val="155"/>
        </w:trPr>
        <w:tc>
          <w:tcPr>
            <w:tcW w:w="3720" w:type="dxa"/>
            <w:vAlign w:val="bottom"/>
            <w:tcBorders>
              <w:bottom w:val="single" w:sz="8" w:color="auto"/>
            </w:tcBorders>
            <w:shd w:val="clear" w:color="auto" w:fill="D2D3D5"/>
          </w:tcPr>
          <w:p>
            <w:pPr>
              <w:ind w:left="40"/>
              <w:spacing w:after="0" w:line="155" w:lineRule="exact"/>
              <w:rPr>
                <w:sz w:val="20"/>
                <w:szCs w:val="20"/>
                <w:color w:val="auto"/>
              </w:rPr>
            </w:pPr>
            <w:r>
              <w:rPr>
                <w:rFonts w:ascii="Arial" w:cs="Arial" w:eastAsia="Arial" w:hAnsi="Arial"/>
                <w:sz w:val="14"/>
                <w:szCs w:val="14"/>
                <w:color w:val="auto"/>
              </w:rPr>
              <w:t>Glenn Lurie</w:t>
            </w:r>
          </w:p>
        </w:tc>
        <w:tc>
          <w:tcPr>
            <w:tcW w:w="2500" w:type="dxa"/>
            <w:vAlign w:val="bottom"/>
            <w:tcBorders>
              <w:bottom w:val="single" w:sz="8" w:color="auto"/>
            </w:tcBorders>
            <w:shd w:val="clear" w:color="auto" w:fill="D2D3D5"/>
          </w:tcPr>
          <w:p>
            <w:pPr>
              <w:jc w:val="right"/>
              <w:ind w:right="748"/>
              <w:spacing w:after="0" w:line="155" w:lineRule="exact"/>
              <w:rPr>
                <w:sz w:val="20"/>
                <w:szCs w:val="20"/>
                <w:color w:val="auto"/>
              </w:rPr>
            </w:pPr>
            <w:r>
              <w:rPr>
                <w:rFonts w:ascii="Arial" w:cs="Arial" w:eastAsia="Arial" w:hAnsi="Arial"/>
                <w:sz w:val="14"/>
                <w:szCs w:val="14"/>
                <w:color w:val="auto"/>
              </w:rPr>
              <w:t>8,102</w:t>
            </w:r>
          </w:p>
        </w:tc>
        <w:tc>
          <w:tcPr>
            <w:tcW w:w="2080" w:type="dxa"/>
            <w:vAlign w:val="bottom"/>
            <w:tcBorders>
              <w:bottom w:val="single" w:sz="8" w:color="auto"/>
            </w:tcBorders>
            <w:shd w:val="clear" w:color="auto" w:fill="D2D3D5"/>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shd w:val="clear" w:color="auto" w:fill="D2D3D5"/>
          </w:tcPr>
          <w:p>
            <w:pPr>
              <w:jc w:val="right"/>
              <w:ind w:right="1048"/>
              <w:spacing w:after="0" w:line="155" w:lineRule="exact"/>
              <w:rPr>
                <w:sz w:val="20"/>
                <w:szCs w:val="20"/>
                <w:color w:val="auto"/>
              </w:rPr>
            </w:pPr>
            <w:r>
              <w:rPr>
                <w:rFonts w:ascii="Arial" w:cs="Arial" w:eastAsia="Arial" w:hAnsi="Arial"/>
                <w:sz w:val="14"/>
                <w:szCs w:val="14"/>
                <w:color w:val="auto"/>
              </w:rPr>
              <w:t>8,102</w:t>
            </w:r>
          </w:p>
        </w:tc>
      </w:tr>
      <w:tr>
        <w:trPr>
          <w:trHeight w:val="156"/>
        </w:trPr>
        <w:tc>
          <w:tcPr>
            <w:tcW w:w="3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Jagdeep Pahwa</w:t>
            </w:r>
          </w:p>
        </w:tc>
        <w:tc>
          <w:tcPr>
            <w:tcW w:w="25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w:t>
            </w:r>
          </w:p>
        </w:tc>
        <w:tc>
          <w:tcPr>
            <w:tcW w:w="2080" w:type="dxa"/>
            <w:vAlign w:val="bottom"/>
            <w:tcBorders>
              <w:bottom w:val="single" w:sz="8" w:color="auto"/>
            </w:tcBorders>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jc w:val="right"/>
              <w:ind w:right="1048"/>
              <w:spacing w:after="0" w:line="155" w:lineRule="exact"/>
              <w:rPr>
                <w:sz w:val="20"/>
                <w:szCs w:val="20"/>
                <w:color w:val="auto"/>
              </w:rPr>
            </w:pPr>
            <w:r>
              <w:rPr>
                <w:rFonts w:ascii="Arial" w:cs="Arial" w:eastAsia="Arial" w:hAnsi="Arial"/>
                <w:sz w:val="14"/>
                <w:szCs w:val="14"/>
                <w:color w:val="auto"/>
              </w:rPr>
              <w:t>—</w:t>
            </w:r>
          </w:p>
        </w:tc>
      </w:tr>
      <w:tr>
        <w:trPr>
          <w:trHeight w:val="183"/>
        </w:trPr>
        <w:tc>
          <w:tcPr>
            <w:tcW w:w="3720" w:type="dxa"/>
            <w:vAlign w:val="bottom"/>
            <w:tcBorders>
              <w:bottom w:val="single" w:sz="8" w:color="auto"/>
            </w:tcBorders>
            <w:shd w:val="clear" w:color="auto" w:fill="D2D3D5"/>
          </w:tcPr>
          <w:p>
            <w:pPr>
              <w:ind w:left="40"/>
              <w:spacing w:after="0" w:line="183" w:lineRule="exact"/>
              <w:rPr>
                <w:sz w:val="20"/>
                <w:szCs w:val="20"/>
                <w:color w:val="auto"/>
              </w:rPr>
            </w:pPr>
            <w:r>
              <w:rPr>
                <w:rFonts w:ascii="Arial" w:cs="Arial" w:eastAsia="Arial" w:hAnsi="Arial"/>
                <w:sz w:val="13"/>
                <w:szCs w:val="13"/>
                <w:color w:val="auto"/>
              </w:rPr>
              <w:t>Karthik Sarma</w:t>
            </w:r>
            <w:r>
              <w:rPr>
                <w:rFonts w:ascii="Arial" w:cs="Arial" w:eastAsia="Arial" w:hAnsi="Arial"/>
                <w:sz w:val="21"/>
                <w:szCs w:val="21"/>
                <w:color w:val="auto"/>
                <w:vertAlign w:val="superscript"/>
              </w:rPr>
              <w:t>(8)</w:t>
            </w:r>
          </w:p>
        </w:tc>
        <w:tc>
          <w:tcPr>
            <w:tcW w:w="2500" w:type="dxa"/>
            <w:vAlign w:val="bottom"/>
            <w:tcBorders>
              <w:bottom w:val="single" w:sz="8" w:color="auto"/>
            </w:tcBorders>
            <w:shd w:val="clear" w:color="auto" w:fill="D2D3D5"/>
          </w:tcPr>
          <w:p>
            <w:pPr>
              <w:jc w:val="right"/>
              <w:ind w:right="748"/>
              <w:spacing w:after="0"/>
              <w:rPr>
                <w:sz w:val="20"/>
                <w:szCs w:val="20"/>
                <w:color w:val="auto"/>
              </w:rPr>
            </w:pPr>
            <w:r>
              <w:rPr>
                <w:rFonts w:ascii="Arial" w:cs="Arial" w:eastAsia="Arial" w:hAnsi="Arial"/>
                <w:sz w:val="14"/>
                <w:szCs w:val="14"/>
                <w:color w:val="auto"/>
              </w:rPr>
              <w:t>18,430,882</w:t>
            </w:r>
          </w:p>
        </w:tc>
        <w:tc>
          <w:tcPr>
            <w:tcW w:w="2080" w:type="dxa"/>
            <w:vAlign w:val="bottom"/>
            <w:tcBorders>
              <w:bottom w:val="single" w:sz="8" w:color="auto"/>
            </w:tcBorders>
            <w:shd w:val="clear" w:color="auto" w:fill="D2D3D5"/>
          </w:tcPr>
          <w:p>
            <w:pPr>
              <w:jc w:val="right"/>
              <w:ind w:right="649"/>
              <w:spacing w:after="0" w:line="183" w:lineRule="exact"/>
              <w:rPr>
                <w:sz w:val="20"/>
                <w:szCs w:val="20"/>
                <w:color w:val="auto"/>
              </w:rPr>
            </w:pPr>
            <w:r>
              <w:rPr>
                <w:rFonts w:ascii="Arial" w:cs="Arial" w:eastAsia="Arial" w:hAnsi="Arial"/>
                <w:sz w:val="12"/>
                <w:szCs w:val="12"/>
                <w:color w:val="auto"/>
              </w:rPr>
              <w:t>26.4</w:t>
            </w:r>
            <w:r>
              <w:rPr>
                <w:rFonts w:ascii="Arial" w:cs="Arial" w:eastAsia="Arial" w:hAnsi="Arial"/>
                <w:sz w:val="21"/>
                <w:szCs w:val="21"/>
                <w:color w:val="auto"/>
                <w:vertAlign w:val="superscript"/>
              </w:rPr>
              <w:t>%</w:t>
            </w:r>
          </w:p>
        </w:tc>
        <w:tc>
          <w:tcPr>
            <w:tcW w:w="2940" w:type="dxa"/>
            <w:vAlign w:val="bottom"/>
            <w:tcBorders>
              <w:bottom w:val="single" w:sz="8" w:color="auto"/>
            </w:tcBorders>
            <w:shd w:val="clear" w:color="auto" w:fill="D2D3D5"/>
          </w:tcPr>
          <w:p>
            <w:pPr>
              <w:jc w:val="right"/>
              <w:ind w:right="1048"/>
              <w:spacing w:after="0"/>
              <w:rPr>
                <w:sz w:val="20"/>
                <w:szCs w:val="20"/>
                <w:color w:val="auto"/>
              </w:rPr>
            </w:pPr>
            <w:r>
              <w:rPr>
                <w:rFonts w:ascii="Arial" w:cs="Arial" w:eastAsia="Arial" w:hAnsi="Arial"/>
                <w:sz w:val="14"/>
                <w:szCs w:val="14"/>
                <w:color w:val="auto"/>
              </w:rPr>
              <w:t>—</w:t>
            </w:r>
          </w:p>
        </w:tc>
      </w:tr>
      <w:tr>
        <w:trPr>
          <w:trHeight w:val="155"/>
        </w:trPr>
        <w:tc>
          <w:tcPr>
            <w:tcW w:w="3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Carl Sparks</w:t>
            </w:r>
          </w:p>
        </w:tc>
        <w:tc>
          <w:tcPr>
            <w:tcW w:w="25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8,466</w:t>
            </w:r>
          </w:p>
        </w:tc>
        <w:tc>
          <w:tcPr>
            <w:tcW w:w="2080" w:type="dxa"/>
            <w:vAlign w:val="bottom"/>
            <w:tcBorders>
              <w:bottom w:val="single" w:sz="8" w:color="auto"/>
            </w:tcBorders>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jc w:val="right"/>
              <w:ind w:right="1048"/>
              <w:spacing w:after="0" w:line="155" w:lineRule="exact"/>
              <w:rPr>
                <w:sz w:val="20"/>
                <w:szCs w:val="20"/>
                <w:color w:val="auto"/>
              </w:rPr>
            </w:pPr>
            <w:r>
              <w:rPr>
                <w:rFonts w:ascii="Arial" w:cs="Arial" w:eastAsia="Arial" w:hAnsi="Arial"/>
                <w:sz w:val="14"/>
                <w:szCs w:val="14"/>
                <w:color w:val="auto"/>
              </w:rPr>
              <w:t>8,466</w:t>
            </w:r>
          </w:p>
        </w:tc>
      </w:tr>
      <w:tr>
        <w:trPr>
          <w:trHeight w:val="155"/>
        </w:trPr>
        <w:tc>
          <w:tcPr>
            <w:tcW w:w="3720" w:type="dxa"/>
            <w:vAlign w:val="bottom"/>
            <w:tcBorders>
              <w:bottom w:val="single" w:sz="8" w:color="auto"/>
            </w:tcBorders>
            <w:shd w:val="clear" w:color="auto" w:fill="D2D3D5"/>
          </w:tcPr>
          <w:p>
            <w:pPr>
              <w:ind w:left="40"/>
              <w:spacing w:after="0" w:line="155" w:lineRule="exact"/>
              <w:rPr>
                <w:sz w:val="20"/>
                <w:szCs w:val="20"/>
                <w:color w:val="auto"/>
              </w:rPr>
            </w:pPr>
            <w:r>
              <w:rPr>
                <w:rFonts w:ascii="Arial" w:cs="Arial" w:eastAsia="Arial" w:hAnsi="Arial"/>
                <w:sz w:val="14"/>
                <w:szCs w:val="14"/>
                <w:color w:val="auto"/>
              </w:rPr>
              <w:t>Joseph A. Ferraro</w:t>
            </w:r>
          </w:p>
        </w:tc>
        <w:tc>
          <w:tcPr>
            <w:tcW w:w="2500" w:type="dxa"/>
            <w:vAlign w:val="bottom"/>
            <w:tcBorders>
              <w:bottom w:val="single" w:sz="8" w:color="auto"/>
            </w:tcBorders>
            <w:shd w:val="clear" w:color="auto" w:fill="D2D3D5"/>
          </w:tcPr>
          <w:p>
            <w:pPr>
              <w:jc w:val="right"/>
              <w:ind w:right="748"/>
              <w:spacing w:after="0" w:line="155" w:lineRule="exact"/>
              <w:rPr>
                <w:sz w:val="20"/>
                <w:szCs w:val="20"/>
                <w:color w:val="auto"/>
              </w:rPr>
            </w:pPr>
            <w:r>
              <w:rPr>
                <w:rFonts w:ascii="Arial" w:cs="Arial" w:eastAsia="Arial" w:hAnsi="Arial"/>
                <w:sz w:val="14"/>
                <w:szCs w:val="14"/>
                <w:color w:val="auto"/>
              </w:rPr>
              <w:t>136,968</w:t>
            </w:r>
          </w:p>
        </w:tc>
        <w:tc>
          <w:tcPr>
            <w:tcW w:w="2080" w:type="dxa"/>
            <w:vAlign w:val="bottom"/>
            <w:tcBorders>
              <w:bottom w:val="single" w:sz="8" w:color="auto"/>
            </w:tcBorders>
            <w:shd w:val="clear" w:color="auto" w:fill="D2D3D5"/>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shd w:val="clear" w:color="auto" w:fill="D2D3D5"/>
          </w:tcPr>
          <w:p>
            <w:pPr>
              <w:jc w:val="right"/>
              <w:ind w:right="1048"/>
              <w:spacing w:after="0" w:line="155" w:lineRule="exact"/>
              <w:rPr>
                <w:sz w:val="20"/>
                <w:szCs w:val="20"/>
                <w:color w:val="auto"/>
              </w:rPr>
            </w:pPr>
            <w:r>
              <w:rPr>
                <w:rFonts w:ascii="Arial" w:cs="Arial" w:eastAsia="Arial" w:hAnsi="Arial"/>
                <w:sz w:val="14"/>
                <w:szCs w:val="14"/>
                <w:color w:val="auto"/>
              </w:rPr>
              <w:t>11,285</w:t>
            </w:r>
          </w:p>
        </w:tc>
      </w:tr>
      <w:tr>
        <w:trPr>
          <w:trHeight w:val="155"/>
        </w:trPr>
        <w:tc>
          <w:tcPr>
            <w:tcW w:w="3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Brian J. Choi</w:t>
            </w:r>
          </w:p>
        </w:tc>
        <w:tc>
          <w:tcPr>
            <w:tcW w:w="25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33,735</w:t>
            </w:r>
          </w:p>
        </w:tc>
        <w:tc>
          <w:tcPr>
            <w:tcW w:w="2080" w:type="dxa"/>
            <w:vAlign w:val="bottom"/>
            <w:tcBorders>
              <w:bottom w:val="single" w:sz="8" w:color="auto"/>
            </w:tcBorders>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jc w:val="right"/>
              <w:ind w:right="1048"/>
              <w:spacing w:after="0" w:line="155" w:lineRule="exact"/>
              <w:rPr>
                <w:sz w:val="20"/>
                <w:szCs w:val="20"/>
                <w:color w:val="auto"/>
              </w:rPr>
            </w:pPr>
            <w:r>
              <w:rPr>
                <w:rFonts w:ascii="Arial" w:cs="Arial" w:eastAsia="Arial" w:hAnsi="Arial"/>
                <w:sz w:val="14"/>
                <w:szCs w:val="14"/>
                <w:color w:val="auto"/>
              </w:rPr>
              <w:t>—</w:t>
            </w:r>
          </w:p>
        </w:tc>
      </w:tr>
      <w:tr>
        <w:trPr>
          <w:trHeight w:val="156"/>
        </w:trPr>
        <w:tc>
          <w:tcPr>
            <w:tcW w:w="3720" w:type="dxa"/>
            <w:vAlign w:val="bottom"/>
            <w:tcBorders>
              <w:bottom w:val="single" w:sz="8" w:color="auto"/>
            </w:tcBorders>
            <w:shd w:val="clear" w:color="auto" w:fill="D2D3D5"/>
          </w:tcPr>
          <w:p>
            <w:pPr>
              <w:ind w:left="40"/>
              <w:spacing w:after="0" w:line="155" w:lineRule="exact"/>
              <w:rPr>
                <w:sz w:val="20"/>
                <w:szCs w:val="20"/>
                <w:color w:val="auto"/>
              </w:rPr>
            </w:pPr>
            <w:r>
              <w:rPr>
                <w:rFonts w:ascii="Arial" w:cs="Arial" w:eastAsia="Arial" w:hAnsi="Arial"/>
                <w:sz w:val="14"/>
                <w:szCs w:val="14"/>
                <w:color w:val="auto"/>
              </w:rPr>
              <w:t>Patrick “Keith” Rankin</w:t>
            </w:r>
          </w:p>
        </w:tc>
        <w:tc>
          <w:tcPr>
            <w:tcW w:w="2500" w:type="dxa"/>
            <w:vAlign w:val="bottom"/>
            <w:tcBorders>
              <w:bottom w:val="single" w:sz="8" w:color="auto"/>
            </w:tcBorders>
            <w:shd w:val="clear" w:color="auto" w:fill="D2D3D5"/>
          </w:tcPr>
          <w:p>
            <w:pPr>
              <w:jc w:val="right"/>
              <w:ind w:right="748"/>
              <w:spacing w:after="0" w:line="155" w:lineRule="exact"/>
              <w:rPr>
                <w:sz w:val="20"/>
                <w:szCs w:val="20"/>
                <w:color w:val="auto"/>
              </w:rPr>
            </w:pPr>
            <w:r>
              <w:rPr>
                <w:rFonts w:ascii="Arial" w:cs="Arial" w:eastAsia="Arial" w:hAnsi="Arial"/>
                <w:sz w:val="14"/>
                <w:szCs w:val="14"/>
                <w:color w:val="auto"/>
              </w:rPr>
              <w:t>8,642</w:t>
            </w:r>
          </w:p>
        </w:tc>
        <w:tc>
          <w:tcPr>
            <w:tcW w:w="2080" w:type="dxa"/>
            <w:vAlign w:val="bottom"/>
            <w:tcBorders>
              <w:bottom w:val="single" w:sz="8" w:color="auto"/>
            </w:tcBorders>
            <w:shd w:val="clear" w:color="auto" w:fill="D2D3D5"/>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shd w:val="clear" w:color="auto" w:fill="D2D3D5"/>
          </w:tcPr>
          <w:p>
            <w:pPr>
              <w:jc w:val="right"/>
              <w:ind w:right="1048"/>
              <w:spacing w:after="0" w:line="155" w:lineRule="exact"/>
              <w:rPr>
                <w:sz w:val="20"/>
                <w:szCs w:val="20"/>
                <w:color w:val="auto"/>
              </w:rPr>
            </w:pPr>
            <w:r>
              <w:rPr>
                <w:rFonts w:ascii="Arial" w:cs="Arial" w:eastAsia="Arial" w:hAnsi="Arial"/>
                <w:sz w:val="14"/>
                <w:szCs w:val="14"/>
                <w:color w:val="auto"/>
              </w:rPr>
              <w:t>—</w:t>
            </w:r>
          </w:p>
        </w:tc>
      </w:tr>
      <w:tr>
        <w:trPr>
          <w:trHeight w:val="155"/>
        </w:trPr>
        <w:tc>
          <w:tcPr>
            <w:tcW w:w="3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Izilda P. Martins</w:t>
            </w:r>
          </w:p>
        </w:tc>
        <w:tc>
          <w:tcPr>
            <w:tcW w:w="25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14,100</w:t>
            </w:r>
          </w:p>
        </w:tc>
        <w:tc>
          <w:tcPr>
            <w:tcW w:w="2080" w:type="dxa"/>
            <w:vAlign w:val="bottom"/>
            <w:tcBorders>
              <w:bottom w:val="single" w:sz="8" w:color="auto"/>
            </w:tcBorders>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jc w:val="right"/>
              <w:ind w:right="1048"/>
              <w:spacing w:after="0" w:line="155" w:lineRule="exact"/>
              <w:rPr>
                <w:sz w:val="20"/>
                <w:szCs w:val="20"/>
                <w:color w:val="auto"/>
              </w:rPr>
            </w:pPr>
            <w:r>
              <w:rPr>
                <w:rFonts w:ascii="Arial" w:cs="Arial" w:eastAsia="Arial" w:hAnsi="Arial"/>
                <w:sz w:val="14"/>
                <w:szCs w:val="14"/>
                <w:color w:val="auto"/>
              </w:rPr>
              <w:t>3,495</w:t>
            </w:r>
          </w:p>
        </w:tc>
      </w:tr>
      <w:tr>
        <w:trPr>
          <w:trHeight w:val="155"/>
        </w:trPr>
        <w:tc>
          <w:tcPr>
            <w:tcW w:w="3720" w:type="dxa"/>
            <w:vAlign w:val="bottom"/>
            <w:tcBorders>
              <w:bottom w:val="single" w:sz="8" w:color="auto"/>
            </w:tcBorders>
            <w:shd w:val="clear" w:color="auto" w:fill="D2D3D5"/>
          </w:tcPr>
          <w:p>
            <w:pPr>
              <w:ind w:left="40"/>
              <w:spacing w:after="0" w:line="155" w:lineRule="exact"/>
              <w:rPr>
                <w:sz w:val="20"/>
                <w:szCs w:val="20"/>
                <w:color w:val="auto"/>
              </w:rPr>
            </w:pPr>
            <w:r>
              <w:rPr>
                <w:rFonts w:ascii="Arial" w:cs="Arial" w:eastAsia="Arial" w:hAnsi="Arial"/>
                <w:sz w:val="14"/>
                <w:szCs w:val="14"/>
                <w:color w:val="auto"/>
              </w:rPr>
              <w:t>John F. North, III</w:t>
            </w:r>
          </w:p>
        </w:tc>
        <w:tc>
          <w:tcPr>
            <w:tcW w:w="2500" w:type="dxa"/>
            <w:vAlign w:val="bottom"/>
            <w:tcBorders>
              <w:bottom w:val="single" w:sz="8" w:color="auto"/>
            </w:tcBorders>
            <w:shd w:val="clear" w:color="auto" w:fill="D2D3D5"/>
          </w:tcPr>
          <w:p>
            <w:pPr>
              <w:jc w:val="right"/>
              <w:ind w:right="748"/>
              <w:spacing w:after="0" w:line="155" w:lineRule="exact"/>
              <w:rPr>
                <w:sz w:val="20"/>
                <w:szCs w:val="20"/>
                <w:color w:val="auto"/>
              </w:rPr>
            </w:pPr>
            <w:r>
              <w:rPr>
                <w:rFonts w:ascii="Arial" w:cs="Arial" w:eastAsia="Arial" w:hAnsi="Arial"/>
                <w:sz w:val="14"/>
                <w:szCs w:val="14"/>
                <w:color w:val="auto"/>
              </w:rPr>
              <w:t>68,649</w:t>
            </w:r>
          </w:p>
        </w:tc>
        <w:tc>
          <w:tcPr>
            <w:tcW w:w="2080" w:type="dxa"/>
            <w:vAlign w:val="bottom"/>
            <w:tcBorders>
              <w:bottom w:val="single" w:sz="8" w:color="auto"/>
            </w:tcBorders>
            <w:shd w:val="clear" w:color="auto" w:fill="D2D3D5"/>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shd w:val="clear" w:color="auto" w:fill="D2D3D5"/>
          </w:tcPr>
          <w:p>
            <w:pPr>
              <w:jc w:val="right"/>
              <w:ind w:right="1048"/>
              <w:spacing w:after="0" w:line="155" w:lineRule="exact"/>
              <w:rPr>
                <w:sz w:val="20"/>
                <w:szCs w:val="20"/>
                <w:color w:val="auto"/>
              </w:rPr>
            </w:pPr>
            <w:r>
              <w:rPr>
                <w:rFonts w:ascii="Arial" w:cs="Arial" w:eastAsia="Arial" w:hAnsi="Arial"/>
                <w:sz w:val="14"/>
                <w:szCs w:val="14"/>
                <w:color w:val="auto"/>
              </w:rPr>
              <w:t>—</w:t>
            </w:r>
          </w:p>
        </w:tc>
      </w:tr>
      <w:tr>
        <w:trPr>
          <w:trHeight w:val="155"/>
        </w:trPr>
        <w:tc>
          <w:tcPr>
            <w:tcW w:w="372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color w:val="auto"/>
              </w:rPr>
              <w:t>Michael K. Tucker</w:t>
            </w:r>
          </w:p>
        </w:tc>
        <w:tc>
          <w:tcPr>
            <w:tcW w:w="250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color w:val="auto"/>
              </w:rPr>
              <w:t>9,697</w:t>
            </w:r>
          </w:p>
        </w:tc>
        <w:tc>
          <w:tcPr>
            <w:tcW w:w="2080" w:type="dxa"/>
            <w:vAlign w:val="bottom"/>
            <w:tcBorders>
              <w:bottom w:val="single" w:sz="8" w:color="auto"/>
            </w:tcBorders>
          </w:tcPr>
          <w:p>
            <w:pPr>
              <w:jc w:val="right"/>
              <w:ind w:right="789"/>
              <w:spacing w:after="0" w:line="155" w:lineRule="exact"/>
              <w:rPr>
                <w:sz w:val="20"/>
                <w:szCs w:val="20"/>
                <w:color w:val="auto"/>
              </w:rPr>
            </w:pPr>
            <w:r>
              <w:rPr>
                <w:rFonts w:ascii="Arial" w:cs="Arial" w:eastAsia="Arial" w:hAnsi="Arial"/>
                <w:sz w:val="14"/>
                <w:szCs w:val="14"/>
                <w:color w:val="auto"/>
              </w:rPr>
              <w:t>*</w:t>
            </w:r>
          </w:p>
        </w:tc>
        <w:tc>
          <w:tcPr>
            <w:tcW w:w="2940" w:type="dxa"/>
            <w:vAlign w:val="bottom"/>
            <w:tcBorders>
              <w:bottom w:val="single" w:sz="8" w:color="auto"/>
            </w:tcBorders>
          </w:tcPr>
          <w:p>
            <w:pPr>
              <w:jc w:val="right"/>
              <w:ind w:right="1048"/>
              <w:spacing w:after="0" w:line="155" w:lineRule="exact"/>
              <w:rPr>
                <w:sz w:val="20"/>
                <w:szCs w:val="20"/>
                <w:color w:val="auto"/>
              </w:rPr>
            </w:pPr>
            <w:r>
              <w:rPr>
                <w:rFonts w:ascii="Arial" w:cs="Arial" w:eastAsia="Arial" w:hAnsi="Arial"/>
                <w:sz w:val="14"/>
                <w:szCs w:val="14"/>
                <w:color w:val="auto"/>
              </w:rPr>
              <w:t>—</w:t>
            </w:r>
          </w:p>
        </w:tc>
      </w:tr>
      <w:tr>
        <w:trPr>
          <w:trHeight w:val="141"/>
        </w:trPr>
        <w:tc>
          <w:tcPr>
            <w:tcW w:w="3720" w:type="dxa"/>
            <w:vAlign w:val="bottom"/>
            <w:shd w:val="clear" w:color="auto" w:fill="D2D3D5"/>
          </w:tcPr>
          <w:p>
            <w:pPr>
              <w:ind w:left="40"/>
              <w:spacing w:after="0" w:line="141" w:lineRule="exact"/>
              <w:rPr>
                <w:sz w:val="20"/>
                <w:szCs w:val="20"/>
                <w:color w:val="auto"/>
              </w:rPr>
            </w:pPr>
            <w:r>
              <w:rPr>
                <w:rFonts w:ascii="Arial" w:cs="Arial" w:eastAsia="Arial" w:hAnsi="Arial"/>
                <w:sz w:val="14"/>
                <w:szCs w:val="14"/>
                <w:b w:val="1"/>
                <w:bCs w:val="1"/>
                <w:color w:val="auto"/>
              </w:rPr>
              <w:t>All Directors, Nominees and Executive Officers as a</w:t>
            </w:r>
          </w:p>
        </w:tc>
        <w:tc>
          <w:tcPr>
            <w:tcW w:w="2500" w:type="dxa"/>
            <w:vAlign w:val="bottom"/>
            <w:shd w:val="clear" w:color="auto" w:fill="D2D3D5"/>
          </w:tcPr>
          <w:p>
            <w:pPr>
              <w:spacing w:after="0"/>
              <w:rPr>
                <w:sz w:val="12"/>
                <w:szCs w:val="12"/>
                <w:color w:val="auto"/>
              </w:rPr>
            </w:pPr>
          </w:p>
        </w:tc>
        <w:tc>
          <w:tcPr>
            <w:tcW w:w="2080" w:type="dxa"/>
            <w:vAlign w:val="bottom"/>
            <w:shd w:val="clear" w:color="auto" w:fill="D2D3D5"/>
          </w:tcPr>
          <w:p>
            <w:pPr>
              <w:spacing w:after="0"/>
              <w:rPr>
                <w:sz w:val="12"/>
                <w:szCs w:val="12"/>
                <w:color w:val="auto"/>
              </w:rPr>
            </w:pPr>
          </w:p>
        </w:tc>
        <w:tc>
          <w:tcPr>
            <w:tcW w:w="2940" w:type="dxa"/>
            <w:vAlign w:val="bottom"/>
            <w:shd w:val="clear" w:color="auto" w:fill="D2D3D5"/>
          </w:tcPr>
          <w:p>
            <w:pPr>
              <w:spacing w:after="0"/>
              <w:rPr>
                <w:sz w:val="12"/>
                <w:szCs w:val="12"/>
                <w:color w:val="auto"/>
              </w:rPr>
            </w:pPr>
          </w:p>
        </w:tc>
      </w:tr>
      <w:tr>
        <w:trPr>
          <w:trHeight w:val="210"/>
        </w:trPr>
        <w:tc>
          <w:tcPr>
            <w:tcW w:w="3720" w:type="dxa"/>
            <w:vAlign w:val="bottom"/>
            <w:tcBorders>
              <w:bottom w:val="single" w:sz="8" w:color="auto"/>
            </w:tcBorders>
            <w:shd w:val="clear" w:color="auto" w:fill="D2D3D5"/>
          </w:tcPr>
          <w:p>
            <w:pPr>
              <w:ind w:left="220"/>
              <w:spacing w:after="0" w:line="203" w:lineRule="exact"/>
              <w:rPr>
                <w:sz w:val="20"/>
                <w:szCs w:val="20"/>
                <w:color w:val="auto"/>
              </w:rPr>
            </w:pPr>
            <w:r>
              <w:rPr>
                <w:rFonts w:ascii="Arial" w:cs="Arial" w:eastAsia="Arial" w:hAnsi="Arial"/>
                <w:sz w:val="14"/>
                <w:szCs w:val="14"/>
                <w:b w:val="1"/>
                <w:bCs w:val="1"/>
                <w:color w:val="auto"/>
              </w:rPr>
              <w:t>group (14 persons)</w:t>
            </w:r>
            <w:r>
              <w:rPr>
                <w:rFonts w:ascii="Arial" w:cs="Arial" w:eastAsia="Arial" w:hAnsi="Arial"/>
                <w:sz w:val="23"/>
                <w:szCs w:val="23"/>
                <w:b w:val="1"/>
                <w:bCs w:val="1"/>
                <w:color w:val="auto"/>
                <w:vertAlign w:val="superscript"/>
              </w:rPr>
              <w:t>(9)</w:t>
            </w:r>
          </w:p>
        </w:tc>
        <w:tc>
          <w:tcPr>
            <w:tcW w:w="2500" w:type="dxa"/>
            <w:vAlign w:val="bottom"/>
            <w:tcBorders>
              <w:bottom w:val="single" w:sz="8" w:color="auto"/>
            </w:tcBorders>
            <w:shd w:val="clear" w:color="auto" w:fill="D2D3D5"/>
          </w:tcPr>
          <w:p>
            <w:pPr>
              <w:jc w:val="right"/>
              <w:ind w:right="748"/>
              <w:spacing w:after="0"/>
              <w:rPr>
                <w:sz w:val="20"/>
                <w:szCs w:val="20"/>
                <w:color w:val="auto"/>
              </w:rPr>
            </w:pPr>
            <w:r>
              <w:rPr>
                <w:rFonts w:ascii="Arial" w:cs="Arial" w:eastAsia="Arial" w:hAnsi="Arial"/>
                <w:sz w:val="14"/>
                <w:szCs w:val="14"/>
                <w:b w:val="1"/>
                <w:bCs w:val="1"/>
                <w:color w:val="auto"/>
              </w:rPr>
              <w:t>19,170,928</w:t>
            </w:r>
          </w:p>
        </w:tc>
        <w:tc>
          <w:tcPr>
            <w:tcW w:w="2080" w:type="dxa"/>
            <w:vAlign w:val="bottom"/>
            <w:tcBorders>
              <w:bottom w:val="single" w:sz="8" w:color="auto"/>
            </w:tcBorders>
            <w:shd w:val="clear" w:color="auto" w:fill="D2D3D5"/>
          </w:tcPr>
          <w:p>
            <w:pPr>
              <w:jc w:val="right"/>
              <w:ind w:right="649"/>
              <w:spacing w:after="0"/>
              <w:rPr>
                <w:sz w:val="20"/>
                <w:szCs w:val="20"/>
                <w:color w:val="auto"/>
              </w:rPr>
            </w:pPr>
            <w:r>
              <w:rPr>
                <w:rFonts w:ascii="Arial" w:cs="Arial" w:eastAsia="Arial" w:hAnsi="Arial"/>
                <w:sz w:val="14"/>
                <w:szCs w:val="14"/>
                <w:b w:val="1"/>
                <w:bCs w:val="1"/>
                <w:color w:val="auto"/>
              </w:rPr>
              <w:t>27.4</w:t>
            </w:r>
            <w:r>
              <w:rPr>
                <w:rFonts w:ascii="Arial" w:cs="Arial" w:eastAsia="Arial" w:hAnsi="Arial"/>
                <w:sz w:val="14"/>
                <w:szCs w:val="14"/>
                <w:color w:val="auto"/>
              </w:rPr>
              <w:t>%</w:t>
            </w:r>
          </w:p>
        </w:tc>
        <w:tc>
          <w:tcPr>
            <w:tcW w:w="2940" w:type="dxa"/>
            <w:vAlign w:val="bottom"/>
            <w:tcBorders>
              <w:bottom w:val="single" w:sz="8" w:color="auto"/>
            </w:tcBorders>
            <w:shd w:val="clear" w:color="auto" w:fill="D2D3D5"/>
          </w:tcPr>
          <w:p>
            <w:pPr>
              <w:jc w:val="right"/>
              <w:ind w:right="828"/>
              <w:spacing w:after="0" w:line="203" w:lineRule="exact"/>
              <w:rPr>
                <w:sz w:val="20"/>
                <w:szCs w:val="20"/>
                <w:color w:val="auto"/>
              </w:rPr>
            </w:pPr>
            <w:r>
              <w:rPr>
                <w:rFonts w:ascii="Arial" w:cs="Arial" w:eastAsia="Arial" w:hAnsi="Arial"/>
                <w:sz w:val="14"/>
                <w:szCs w:val="14"/>
                <w:b w:val="1"/>
                <w:bCs w:val="1"/>
                <w:color w:val="auto"/>
              </w:rPr>
              <w:t>58,943</w:t>
            </w:r>
            <w:r>
              <w:rPr>
                <w:rFonts w:ascii="Arial" w:cs="Arial" w:eastAsia="Arial" w:hAnsi="Arial"/>
                <w:sz w:val="23"/>
                <w:szCs w:val="23"/>
                <w:color w:val="auto"/>
                <w:vertAlign w:val="superscript"/>
              </w:rPr>
              <w:t>(10)</w:t>
            </w:r>
          </w:p>
        </w:tc>
      </w:tr>
    </w:tbl>
    <w:p>
      <w:pPr>
        <w:spacing w:after="0" w:line="7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Amount represents less than 1% of outstanding Common Stock.</w:t>
      </w:r>
    </w:p>
    <w:p>
      <w:pPr>
        <w:spacing w:after="0" w:line="55" w:lineRule="exact"/>
        <w:rPr>
          <w:sz w:val="20"/>
          <w:szCs w:val="20"/>
          <w:color w:val="auto"/>
        </w:rPr>
      </w:pPr>
    </w:p>
    <w:p>
      <w:pPr>
        <w:ind w:left="340" w:hanging="332"/>
        <w:spacing w:after="0" w:line="258" w:lineRule="auto"/>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Information is based upon the assumption that there was no change in the beneficial ownership of such shares of Common Stock from the publicly filed information through March 12, 2021.</w:t>
      </w:r>
    </w:p>
    <w:p>
      <w:pPr>
        <w:spacing w:after="0" w:line="32" w:lineRule="exact"/>
        <w:rPr>
          <w:sz w:val="20"/>
          <w:szCs w:val="20"/>
          <w:color w:val="auto"/>
        </w:rPr>
      </w:pPr>
    </w:p>
    <w:p>
      <w:pPr>
        <w:ind w:left="340" w:hanging="332"/>
        <w:spacing w:after="0" w:line="25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Shares beneficially owned include (i) direct and indirect ownership of shares, (ii) restricted stock units held by executive officers that may vest within 60 days of March 12, 2021, and (iii) restricted stock units held by directors that may be settled within 60 days of March 12, 2021.</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on 69,844,960 of Common Stock outstanding on March 12, 2021.</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(i) restricted stock units held by executive officers that may vest within 60 days of March 12, 2021 and (ii) restricted stock units held by directors that may be settled within 60 days of March 12, 2021.</w:t>
      </w:r>
    </w:p>
    <w:p>
      <w:pPr>
        <w:spacing w:after="0" w:line="31"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beneficial ownership of 18,430,882 shares of Common Stock by SRS and Karthik R. Sarma (the “Reporting Persons”), as derived solely from information reported on Schedule 13D/A under the Exchange Act, as filed with the SEC on December 8, 2020, and a statement of changes in beneficial ownership on a Form 4 dated December 14, 2020. Such Schedule 13D/A indicates that SRS and Mr. Sarma share voting and dispositive power over the shares of Common Stock. The Reporting Persons have economic exposure to, and may be deemed to beneficially own, an additional 11,354,508 notional shares of Common Stock pursuant to cash-settled equity swaps, as derived solely from information reported on such Schedule 13D/A. Such notional shares represent approximately 16.3% of the shares of Common Stock outstanding on March 12, 2021. Such Schedule 13D/A indicates that the Reporting Persons do not have voting power or dispositive power with respect to the shares referenced in such swaps, and disclaim beneficial ownership of the shares underlying such swaps.</w:t>
      </w:r>
    </w:p>
    <w:p>
      <w:pPr>
        <w:spacing w:after="0" w:line="42"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Reflects beneficial ownership of 6,559,396 shares of Common Stock by BlackRock, Inc. (“BlackRock”), as derived solely from information in a Schedule 13G/A under the Exchange Act, filed with the SEC on February January 29, 2021. Such Schedule 13G/A indicates that BlackRock has sole voting power over 6,477,449 shares of Common Stock and sole dispositive power over 6,559,396 shares of Common Stock.</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5" w:lineRule="exact"/>
        <w:rPr>
          <w:sz w:val="20"/>
          <w:szCs w:val="20"/>
          <w:color w:val="auto"/>
        </w:rPr>
      </w:pPr>
    </w:p>
    <w:p>
      <w:pPr>
        <w:jc w:val="both"/>
        <w:ind w:left="340" w:hanging="332"/>
        <w:spacing w:after="0" w:line="24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beneficial ownership of 5,147,059 shares of Common Stock by Nomura Holdings, Inc. (“Nomura”), as derived solely from information in a Schedule 13G/A under the Exchange Act, filed with the SEC on February 16, 2021. Such Schedule 13G/A indicates that Nomura has shared voting power over 5,147,059 shares of Common Stock and shared dispositive power over 5,147,059 shares of Common Stock.</w:t>
      </w:r>
    </w:p>
    <w:p>
      <w:pPr>
        <w:spacing w:after="0" w:line="38"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beneficial ownership of 4,654,577 shares of Common Stock by The Vanguard Group, Inc., as derived solely from information reported in a Schedule 13G/A under the Exchange Act, filed with the SEC on February 10, 2021. Such Schedule 13G/A indicates that The Vanguard Group, Inc. has shared voting power over 124,676 shares of Common Stock, sole dispositive power over 4,484,227 shares of Common Stock, and shared dispositive power over 170,350 shares of Common Stock.</w:t>
      </w:r>
    </w:p>
    <w:p>
      <w:pPr>
        <w:spacing w:after="0" w:line="38"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Reflects shared beneficial ownership of 18,430,882 shares of Common Stock by SRS and Mr. Sarma, as described above in footnote (4). All of these shares are included in the 19,170,928 shares of Common Stock deemed to be beneficially owned by all directors, nominees and executive officers as a group.</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Excludes Mr. North and Mr. Tucker, as they are not currently executive officers of the Company.</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34,060 restricted stock units held by directors that may be settled within 60 days of March 12, 2021 and 24,883 restricted stock units held by executive officers that are scheduled to vest within 60 days of March 12, 2021.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36"/>
          <w:szCs w:val="36"/>
          <w:color w:val="auto"/>
        </w:rPr>
        <w:t>Delinquent Section 16(a) Reports</w:t>
      </w:r>
    </w:p>
    <w:p>
      <w:pPr>
        <w:spacing w:after="0" w:line="2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Company believes that all filings required to be made under Section 16(a) of the Exchange Act during 2020 were timely made except for one Form 3 that was inadvertently filed late on behalf of Karthik Sarma relating to his appointment to the Board.</w:t>
      </w:r>
    </w:p>
    <w:p>
      <w:pPr>
        <w:spacing w:after="0" w:line="196" w:lineRule="exact"/>
        <w:rPr>
          <w:sz w:val="20"/>
          <w:szCs w:val="20"/>
          <w:color w:val="auto"/>
        </w:rPr>
      </w:pPr>
    </w:p>
    <w:p>
      <w:pPr>
        <w:spacing w:after="0"/>
        <w:rPr>
          <w:sz w:val="20"/>
          <w:szCs w:val="20"/>
          <w:color w:val="auto"/>
        </w:rPr>
      </w:pPr>
      <w:r>
        <w:rPr>
          <w:rFonts w:ascii="Arial" w:cs="Arial" w:eastAsia="Arial" w:hAnsi="Arial"/>
          <w:sz w:val="36"/>
          <w:szCs w:val="36"/>
          <w:color w:val="auto"/>
        </w:rPr>
        <w:t>Executive Officers</w:t>
      </w:r>
    </w:p>
    <w:p>
      <w:pPr>
        <w:spacing w:after="0" w:line="221"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Executive officers of the Company are set forth below. Each executive officer is appointed to hold office at the discretion of the Board of Directors and may be removed at any time by the Board of Directors with or without cause.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91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Offices or Positions To be Held</w:t>
            </w:r>
          </w:p>
        </w:tc>
      </w:tr>
      <w:tr>
        <w:trPr>
          <w:trHeight w:val="203"/>
        </w:trPr>
        <w:tc>
          <w:tcPr>
            <w:tcW w:w="2140" w:type="dxa"/>
            <w:vAlign w:val="bottom"/>
            <w:tcBorders>
              <w:bottom w:val="single" w:sz="8" w:color="auto"/>
            </w:tcBorders>
            <w:shd w:val="clear" w:color="auto" w:fill="D2D3D5"/>
          </w:tcPr>
          <w:p>
            <w:pPr>
              <w:ind w:left="40"/>
              <w:spacing w:after="0" w:line="202" w:lineRule="exact"/>
              <w:rPr>
                <w:sz w:val="20"/>
                <w:szCs w:val="20"/>
                <w:color w:val="auto"/>
              </w:rPr>
            </w:pPr>
            <w:r>
              <w:rPr>
                <w:rFonts w:ascii="Arial" w:cs="Arial" w:eastAsia="Arial" w:hAnsi="Arial"/>
                <w:sz w:val="18"/>
                <w:szCs w:val="18"/>
                <w:color w:val="auto"/>
              </w:rPr>
              <w:t>Bernardo Hees</w:t>
            </w:r>
          </w:p>
        </w:tc>
        <w:tc>
          <w:tcPr>
            <w:tcW w:w="9100" w:type="dxa"/>
            <w:vAlign w:val="bottom"/>
            <w:tcBorders>
              <w:bottom w:val="single" w:sz="8" w:color="auto"/>
            </w:tcBorders>
            <w:shd w:val="clear" w:color="auto" w:fill="D2D3D5"/>
          </w:tcPr>
          <w:p>
            <w:pPr>
              <w:ind w:left="360"/>
              <w:spacing w:after="0" w:line="202" w:lineRule="exact"/>
              <w:rPr>
                <w:sz w:val="20"/>
                <w:szCs w:val="20"/>
                <w:color w:val="auto"/>
              </w:rPr>
            </w:pPr>
            <w:r>
              <w:rPr>
                <w:rFonts w:ascii="Arial" w:cs="Arial" w:eastAsia="Arial" w:hAnsi="Arial"/>
                <w:sz w:val="18"/>
                <w:szCs w:val="18"/>
                <w:color w:val="auto"/>
              </w:rPr>
              <w:t>Executive Chairman of the Board</w:t>
            </w:r>
          </w:p>
        </w:tc>
      </w:tr>
      <w:tr>
        <w:trPr>
          <w:trHeight w:val="196"/>
        </w:trPr>
        <w:tc>
          <w:tcPr>
            <w:tcW w:w="21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Joseph A. Ferraro</w:t>
            </w:r>
          </w:p>
        </w:tc>
        <w:tc>
          <w:tcPr>
            <w:tcW w:w="910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President and Chief Executive Officer</w:t>
            </w:r>
          </w:p>
        </w:tc>
      </w:tr>
      <w:tr>
        <w:trPr>
          <w:trHeight w:val="196"/>
        </w:trPr>
        <w:tc>
          <w:tcPr>
            <w:tcW w:w="2140" w:type="dxa"/>
            <w:vAlign w:val="bottom"/>
            <w:tcBorders>
              <w:bottom w:val="single" w:sz="8" w:color="auto"/>
            </w:tcBorders>
            <w:shd w:val="clear" w:color="auto" w:fill="D2D3D5"/>
          </w:tcPr>
          <w:p>
            <w:pPr>
              <w:ind w:left="40"/>
              <w:spacing w:after="0" w:line="196" w:lineRule="exact"/>
              <w:rPr>
                <w:sz w:val="20"/>
                <w:szCs w:val="20"/>
                <w:color w:val="auto"/>
              </w:rPr>
            </w:pPr>
            <w:r>
              <w:rPr>
                <w:rFonts w:ascii="Arial" w:cs="Arial" w:eastAsia="Arial" w:hAnsi="Arial"/>
                <w:sz w:val="18"/>
                <w:szCs w:val="18"/>
                <w:color w:val="auto"/>
              </w:rPr>
              <w:t>Brian J. Choi</w:t>
            </w:r>
          </w:p>
        </w:tc>
        <w:tc>
          <w:tcPr>
            <w:tcW w:w="9100" w:type="dxa"/>
            <w:vAlign w:val="bottom"/>
            <w:tcBorders>
              <w:bottom w:val="single" w:sz="8" w:color="auto"/>
            </w:tcBorders>
            <w:shd w:val="clear" w:color="auto" w:fill="D2D3D5"/>
          </w:tcPr>
          <w:p>
            <w:pPr>
              <w:ind w:left="360"/>
              <w:spacing w:after="0" w:line="196" w:lineRule="exact"/>
              <w:rPr>
                <w:sz w:val="20"/>
                <w:szCs w:val="20"/>
                <w:color w:val="auto"/>
              </w:rPr>
            </w:pPr>
            <w:r>
              <w:rPr>
                <w:rFonts w:ascii="Arial" w:cs="Arial" w:eastAsia="Arial" w:hAnsi="Arial"/>
                <w:sz w:val="18"/>
                <w:szCs w:val="18"/>
                <w:color w:val="auto"/>
              </w:rPr>
              <w:t>Executive Vice President and Chief Financial Officer</w:t>
            </w:r>
          </w:p>
        </w:tc>
      </w:tr>
      <w:tr>
        <w:trPr>
          <w:trHeight w:val="196"/>
        </w:trPr>
        <w:tc>
          <w:tcPr>
            <w:tcW w:w="21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Patrick “Keith” Rankin</w:t>
            </w:r>
          </w:p>
        </w:tc>
        <w:tc>
          <w:tcPr>
            <w:tcW w:w="910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President, International</w:t>
            </w:r>
          </w:p>
        </w:tc>
      </w:tr>
      <w:tr>
        <w:trPr>
          <w:trHeight w:val="196"/>
        </w:trPr>
        <w:tc>
          <w:tcPr>
            <w:tcW w:w="2140" w:type="dxa"/>
            <w:vAlign w:val="bottom"/>
            <w:tcBorders>
              <w:bottom w:val="single" w:sz="8" w:color="auto"/>
            </w:tcBorders>
            <w:shd w:val="clear" w:color="auto" w:fill="D2D3D5"/>
          </w:tcPr>
          <w:p>
            <w:pPr>
              <w:ind w:left="40"/>
              <w:spacing w:after="0" w:line="196" w:lineRule="exact"/>
              <w:rPr>
                <w:sz w:val="20"/>
                <w:szCs w:val="20"/>
                <w:color w:val="auto"/>
              </w:rPr>
            </w:pPr>
            <w:r>
              <w:rPr>
                <w:rFonts w:ascii="Arial" w:cs="Arial" w:eastAsia="Arial" w:hAnsi="Arial"/>
                <w:sz w:val="18"/>
                <w:szCs w:val="18"/>
                <w:color w:val="auto"/>
              </w:rPr>
              <w:t>Izilda P. Martins</w:t>
            </w:r>
          </w:p>
        </w:tc>
        <w:tc>
          <w:tcPr>
            <w:tcW w:w="9100" w:type="dxa"/>
            <w:vAlign w:val="bottom"/>
            <w:tcBorders>
              <w:bottom w:val="single" w:sz="8" w:color="auto"/>
            </w:tcBorders>
            <w:shd w:val="clear" w:color="auto" w:fill="D2D3D5"/>
          </w:tcPr>
          <w:p>
            <w:pPr>
              <w:ind w:left="360"/>
              <w:spacing w:after="0" w:line="196" w:lineRule="exact"/>
              <w:rPr>
                <w:sz w:val="20"/>
                <w:szCs w:val="20"/>
                <w:color w:val="auto"/>
              </w:rPr>
            </w:pPr>
            <w:r>
              <w:rPr>
                <w:rFonts w:ascii="Arial" w:cs="Arial" w:eastAsia="Arial" w:hAnsi="Arial"/>
                <w:sz w:val="18"/>
                <w:szCs w:val="18"/>
                <w:color w:val="auto"/>
              </w:rPr>
              <w:t>Executive Vice President, Americas</w:t>
            </w:r>
          </w:p>
        </w:tc>
      </w:tr>
      <w:tr>
        <w:trPr>
          <w:trHeight w:val="196"/>
        </w:trPr>
        <w:tc>
          <w:tcPr>
            <w:tcW w:w="21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Edward P. Linnen</w:t>
            </w:r>
          </w:p>
        </w:tc>
        <w:tc>
          <w:tcPr>
            <w:tcW w:w="910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Executive Vice President, Chief Human Resources Officer</w:t>
            </w:r>
          </w:p>
        </w:tc>
      </w:tr>
      <w:tr>
        <w:trPr>
          <w:trHeight w:val="196"/>
        </w:trPr>
        <w:tc>
          <w:tcPr>
            <w:tcW w:w="2140" w:type="dxa"/>
            <w:vAlign w:val="bottom"/>
            <w:tcBorders>
              <w:bottom w:val="single" w:sz="8" w:color="auto"/>
            </w:tcBorders>
            <w:shd w:val="clear" w:color="auto" w:fill="D2D3D5"/>
          </w:tcPr>
          <w:p>
            <w:pPr>
              <w:ind w:left="40"/>
              <w:spacing w:after="0" w:line="196" w:lineRule="exact"/>
              <w:rPr>
                <w:sz w:val="20"/>
                <w:szCs w:val="20"/>
                <w:color w:val="auto"/>
              </w:rPr>
            </w:pPr>
            <w:r>
              <w:rPr>
                <w:rFonts w:ascii="Arial" w:cs="Arial" w:eastAsia="Arial" w:hAnsi="Arial"/>
                <w:sz w:val="18"/>
                <w:szCs w:val="18"/>
                <w:color w:val="auto"/>
              </w:rPr>
              <w:t>Veresh Sita</w:t>
            </w:r>
          </w:p>
        </w:tc>
        <w:tc>
          <w:tcPr>
            <w:tcW w:w="9100" w:type="dxa"/>
            <w:vAlign w:val="bottom"/>
            <w:tcBorders>
              <w:bottom w:val="single" w:sz="8" w:color="auto"/>
            </w:tcBorders>
            <w:shd w:val="clear" w:color="auto" w:fill="D2D3D5"/>
          </w:tcPr>
          <w:p>
            <w:pPr>
              <w:ind w:left="360"/>
              <w:spacing w:after="0" w:line="196" w:lineRule="exact"/>
              <w:rPr>
                <w:sz w:val="20"/>
                <w:szCs w:val="20"/>
                <w:color w:val="auto"/>
              </w:rPr>
            </w:pPr>
            <w:r>
              <w:rPr>
                <w:rFonts w:ascii="Arial" w:cs="Arial" w:eastAsia="Arial" w:hAnsi="Arial"/>
                <w:sz w:val="18"/>
                <w:szCs w:val="18"/>
                <w:color w:val="auto"/>
              </w:rPr>
              <w:t>Executive Vice President, Chief Digital and Innovation Officer</w:t>
            </w:r>
          </w:p>
        </w:tc>
      </w:tr>
      <w:tr>
        <w:trPr>
          <w:trHeight w:val="196"/>
        </w:trPr>
        <w:tc>
          <w:tcPr>
            <w:tcW w:w="2140" w:type="dxa"/>
            <w:vAlign w:val="bottom"/>
            <w:tcBorders>
              <w:bottom w:val="single" w:sz="8" w:color="auto"/>
            </w:tcBorders>
          </w:tcPr>
          <w:p>
            <w:pPr>
              <w:ind w:left="40"/>
              <w:spacing w:after="0" w:line="196" w:lineRule="exact"/>
              <w:rPr>
                <w:sz w:val="20"/>
                <w:szCs w:val="20"/>
                <w:color w:val="auto"/>
              </w:rPr>
            </w:pPr>
            <w:r>
              <w:rPr>
                <w:rFonts w:ascii="Arial" w:cs="Arial" w:eastAsia="Arial" w:hAnsi="Arial"/>
                <w:sz w:val="18"/>
                <w:szCs w:val="18"/>
                <w:color w:val="auto"/>
              </w:rPr>
              <w:t>Jean M. Sera</w:t>
            </w:r>
          </w:p>
        </w:tc>
        <w:tc>
          <w:tcPr>
            <w:tcW w:w="910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Senior Vice President, General Counsel, Chief Compliance Officer and Corporate Secretary</w:t>
            </w:r>
          </w:p>
        </w:tc>
      </w:tr>
      <w:tr>
        <w:trPr>
          <w:trHeight w:val="203"/>
        </w:trPr>
        <w:tc>
          <w:tcPr>
            <w:tcW w:w="2140" w:type="dxa"/>
            <w:vAlign w:val="bottom"/>
            <w:tcBorders>
              <w:bottom w:val="single" w:sz="8" w:color="auto"/>
            </w:tcBorders>
            <w:shd w:val="clear" w:color="auto" w:fill="D2D3D5"/>
          </w:tcPr>
          <w:p>
            <w:pPr>
              <w:ind w:left="40"/>
              <w:spacing w:after="0" w:line="196" w:lineRule="exact"/>
              <w:rPr>
                <w:sz w:val="20"/>
                <w:szCs w:val="20"/>
                <w:color w:val="auto"/>
              </w:rPr>
            </w:pPr>
            <w:r>
              <w:rPr>
                <w:rFonts w:ascii="Arial" w:cs="Arial" w:eastAsia="Arial" w:hAnsi="Arial"/>
                <w:sz w:val="18"/>
                <w:szCs w:val="18"/>
                <w:color w:val="auto"/>
              </w:rPr>
              <w:t>Cathleen DeGenova</w:t>
            </w:r>
          </w:p>
        </w:tc>
        <w:tc>
          <w:tcPr>
            <w:tcW w:w="9100" w:type="dxa"/>
            <w:vAlign w:val="bottom"/>
            <w:tcBorders>
              <w:bottom w:val="single" w:sz="8" w:color="auto"/>
            </w:tcBorders>
            <w:shd w:val="clear" w:color="auto" w:fill="D2D3D5"/>
          </w:tcPr>
          <w:p>
            <w:pPr>
              <w:ind w:left="360"/>
              <w:spacing w:after="0" w:line="196" w:lineRule="exact"/>
              <w:rPr>
                <w:sz w:val="20"/>
                <w:szCs w:val="20"/>
                <w:color w:val="auto"/>
              </w:rPr>
            </w:pPr>
            <w:r>
              <w:rPr>
                <w:rFonts w:ascii="Arial" w:cs="Arial" w:eastAsia="Arial" w:hAnsi="Arial"/>
                <w:sz w:val="18"/>
                <w:szCs w:val="18"/>
                <w:color w:val="auto"/>
              </w:rPr>
              <w:t>Vice President and Chief Accounting Officer</w:t>
            </w:r>
          </w:p>
        </w:tc>
      </w:tr>
    </w:tbl>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Biographical information for our Executive Chairman is set forth above under “Board of Directors—Biographical Information for Nominees.” Biographical information for all other present executive officers is set forth below.</w:t>
      </w:r>
    </w:p>
    <w:p>
      <w:pPr>
        <w:spacing w:after="0" w:line="184" w:lineRule="exact"/>
        <w:rPr>
          <w:sz w:val="20"/>
          <w:szCs w:val="20"/>
          <w:color w:val="auto"/>
        </w:rPr>
      </w:pPr>
    </w:p>
    <w:p>
      <w:pPr>
        <w:ind w:left="40"/>
        <w:spacing w:after="0"/>
        <w:tabs>
          <w:tab w:leader="none" w:pos="190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Biographical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694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7" w:lineRule="exact"/>
        <w:rPr>
          <w:sz w:val="20"/>
          <w:szCs w:val="20"/>
          <w:color w:val="auto"/>
        </w:rPr>
      </w:pPr>
    </w:p>
    <w:p>
      <w:pPr>
        <w:jc w:val="both"/>
        <w:ind w:left="1920" w:hanging="1880"/>
        <w:spacing w:after="0" w:line="250" w:lineRule="auto"/>
        <w:tabs>
          <w:tab w:leader="none" w:pos="1900" w:val="left"/>
        </w:tabs>
        <w:rPr>
          <w:sz w:val="20"/>
          <w:szCs w:val="20"/>
          <w:color w:val="auto"/>
        </w:rPr>
      </w:pPr>
      <w:r>
        <w:rPr>
          <w:rFonts w:ascii="Arial" w:cs="Arial" w:eastAsia="Arial" w:hAnsi="Arial"/>
          <w:sz w:val="18"/>
          <w:szCs w:val="18"/>
          <w:color w:val="auto"/>
        </w:rPr>
        <w:t>Joseph A. Ferraro</w:t>
      </w:r>
      <w:r>
        <w:rPr>
          <w:sz w:val="20"/>
          <w:szCs w:val="20"/>
          <w:color w:val="auto"/>
        </w:rPr>
        <w:tab/>
      </w:r>
      <w:r>
        <w:rPr>
          <w:rFonts w:ascii="Arial" w:cs="Arial" w:eastAsia="Arial" w:hAnsi="Arial"/>
          <w:sz w:val="18"/>
          <w:szCs w:val="18"/>
          <w:b w:val="1"/>
          <w:bCs w:val="1"/>
          <w:color w:val="auto"/>
        </w:rPr>
        <w:t>Mr. Ferraro</w:t>
      </w:r>
      <w:r>
        <w:rPr>
          <w:rFonts w:ascii="Arial" w:cs="Arial" w:eastAsia="Arial" w:hAnsi="Arial"/>
          <w:sz w:val="18"/>
          <w:szCs w:val="18"/>
          <w:color w:val="auto"/>
        </w:rPr>
        <w:t>, age 64, was appointed President and Chief Executive Officer effective June 12, 2020. Previously, Mr.</w:t>
      </w:r>
      <w:r>
        <w:rPr>
          <w:rFonts w:ascii="Arial" w:cs="Arial" w:eastAsia="Arial" w:hAnsi="Arial"/>
          <w:sz w:val="18"/>
          <w:szCs w:val="18"/>
          <w:b w:val="1"/>
          <w:bCs w:val="1"/>
          <w:color w:val="auto"/>
        </w:rPr>
        <w:t xml:space="preserve"> </w:t>
      </w:r>
      <w:r>
        <w:rPr>
          <w:rFonts w:ascii="Arial" w:cs="Arial" w:eastAsia="Arial" w:hAnsi="Arial"/>
          <w:sz w:val="18"/>
          <w:szCs w:val="18"/>
          <w:color w:val="auto"/>
        </w:rPr>
        <w:t>Ferraro held various roles with the Company, including Interim President and Chief Executive Officer from January 2020 through June 12, 2020, President, Americas from January 2015 through December 2019 and Senior Vice President, North America Operations from October 2011 to December 2014. Mr. Ferraro joined the Company in 1979, and served in various positions of increasing responsibility in the Company’s North American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1920" w:hanging="1880"/>
        <w:spacing w:after="0" w:line="253" w:lineRule="auto"/>
        <w:tabs>
          <w:tab w:leader="none" w:pos="1900" w:val="left"/>
        </w:tabs>
        <w:rPr>
          <w:sz w:val="20"/>
          <w:szCs w:val="20"/>
          <w:color w:val="auto"/>
        </w:rPr>
      </w:pPr>
      <w:r>
        <w:rPr>
          <w:rFonts w:ascii="Arial" w:cs="Arial" w:eastAsia="Arial" w:hAnsi="Arial"/>
          <w:sz w:val="18"/>
          <w:szCs w:val="18"/>
          <w:color w:val="auto"/>
        </w:rPr>
        <w:t>Brian J. Choi</w:t>
      </w:r>
      <w:r>
        <w:rPr>
          <w:sz w:val="20"/>
          <w:szCs w:val="20"/>
          <w:color w:val="auto"/>
        </w:rPr>
        <w:tab/>
      </w:r>
      <w:r>
        <w:rPr>
          <w:rFonts w:ascii="Arial" w:cs="Arial" w:eastAsia="Arial" w:hAnsi="Arial"/>
          <w:sz w:val="18"/>
          <w:szCs w:val="18"/>
          <w:b w:val="1"/>
          <w:bCs w:val="1"/>
          <w:color w:val="auto"/>
        </w:rPr>
        <w:t>Mr. Choi</w:t>
      </w:r>
      <w:r>
        <w:rPr>
          <w:rFonts w:ascii="Arial" w:cs="Arial" w:eastAsia="Arial" w:hAnsi="Arial"/>
          <w:sz w:val="18"/>
          <w:szCs w:val="18"/>
          <w:color w:val="auto"/>
        </w:rPr>
        <w:t>, age 38, was appointed Executive Vice President and Chief Financial Officer effective August 24, 2020.</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Choi served on the Board of Directors of the Company from January 2016 through August 2020. Prior to joining the Company, Mr. Choi was a partner at SRS and served in various roles at SRS since October 2008. Previously, Mr. Choi worked at Metalmark Capital from 2007 to 2008 and he also served as an analyst in the Leveraged Finance Group at Lehman Brothers from 2005 to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097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097280"/>
                    </a:xfrm>
                    <a:prstGeom prst="rect">
                      <a:avLst/>
                    </a:prstGeom>
                    <a:noFill/>
                  </pic:spPr>
                </pic:pic>
              </a:graphicData>
            </a:graphic>
          </wp:anchor>
        </w:drawing>
      </w:r>
    </w:p>
    <w:p>
      <w:pPr>
        <w:jc w:val="both"/>
        <w:ind w:left="1920" w:hanging="1880"/>
        <w:spacing w:after="0" w:line="252" w:lineRule="auto"/>
        <w:tabs>
          <w:tab w:leader="none" w:pos="1900" w:val="left"/>
        </w:tabs>
        <w:rPr>
          <w:sz w:val="20"/>
          <w:szCs w:val="20"/>
          <w:color w:val="auto"/>
        </w:rPr>
      </w:pPr>
      <w:r>
        <w:rPr>
          <w:rFonts w:ascii="Arial" w:cs="Arial" w:eastAsia="Arial" w:hAnsi="Arial"/>
          <w:sz w:val="18"/>
          <w:szCs w:val="18"/>
          <w:color w:val="auto"/>
        </w:rPr>
        <w:t>Izilda P. Martins</w:t>
      </w:r>
      <w:r>
        <w:rPr>
          <w:sz w:val="20"/>
          <w:szCs w:val="20"/>
          <w:color w:val="auto"/>
        </w:rPr>
        <w:tab/>
      </w:r>
      <w:r>
        <w:rPr>
          <w:rFonts w:ascii="Arial" w:cs="Arial" w:eastAsia="Arial" w:hAnsi="Arial"/>
          <w:sz w:val="18"/>
          <w:szCs w:val="18"/>
          <w:b w:val="1"/>
          <w:bCs w:val="1"/>
          <w:color w:val="auto"/>
        </w:rPr>
        <w:t>Ms. Martins</w:t>
      </w:r>
      <w:r>
        <w:rPr>
          <w:rFonts w:ascii="Arial" w:cs="Arial" w:eastAsia="Arial" w:hAnsi="Arial"/>
          <w:sz w:val="18"/>
          <w:szCs w:val="18"/>
          <w:color w:val="auto"/>
        </w:rPr>
        <w:t>, age 49, was appointed Executive Vice President, Americas effective June 12, 2020 and assumed the</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responsibilities associated with this role on an interim basis on January 1, 2020. Previously, Ms. Martins held various strategic and financial roles with the Company, including Senior Vice President and Chief Financial Officer, Americas from May 2014 through December 2019, Senior Vice President and Acting Chief Accounting Officer from November 2010 through May 2014, and Vice President of Tax from August 2006 through November 2010. Ms. Martins was Director of Tax Planning and Mergers &amp; Acquisitions of Cendant Corporation (as the Company was formerly known) from November 2004 through August 2006. Prior to joining the Company, Ms. Martins was associated with Deloitte &amp; Touche LLP for seven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both"/>
        <w:ind w:left="1920" w:hanging="1880"/>
        <w:spacing w:after="0" w:line="252" w:lineRule="auto"/>
        <w:tabs>
          <w:tab w:leader="none" w:pos="1900" w:val="left"/>
        </w:tabs>
        <w:rPr>
          <w:sz w:val="20"/>
          <w:szCs w:val="20"/>
          <w:color w:val="auto"/>
        </w:rPr>
      </w:pPr>
      <w:r>
        <w:rPr>
          <w:rFonts w:ascii="Arial" w:cs="Arial" w:eastAsia="Arial" w:hAnsi="Arial"/>
          <w:sz w:val="18"/>
          <w:szCs w:val="18"/>
          <w:color w:val="auto"/>
        </w:rPr>
        <w:t>Edward P. Linnen</w:t>
      </w:r>
      <w:r>
        <w:rPr>
          <w:sz w:val="20"/>
          <w:szCs w:val="20"/>
          <w:color w:val="auto"/>
        </w:rPr>
        <w:tab/>
      </w:r>
      <w:r>
        <w:rPr>
          <w:rFonts w:ascii="Arial" w:cs="Arial" w:eastAsia="Arial" w:hAnsi="Arial"/>
          <w:sz w:val="18"/>
          <w:szCs w:val="18"/>
          <w:b w:val="1"/>
          <w:bCs w:val="1"/>
          <w:color w:val="auto"/>
        </w:rPr>
        <w:t>Mr. Linnen</w:t>
      </w:r>
      <w:r>
        <w:rPr>
          <w:rFonts w:ascii="Arial" w:cs="Arial" w:eastAsia="Arial" w:hAnsi="Arial"/>
          <w:sz w:val="18"/>
          <w:szCs w:val="18"/>
          <w:color w:val="auto"/>
        </w:rPr>
        <w:t>, age 51, has been Executive Vice President, Chief Human Resources Officer since January 2015.</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Mr. Linnen held the title of Senior Vice President, Chief Human Resources Officer from February 2013 until January 2015, and Senior Vice President, Human Resources for North America from October 2011 to February 2013. Mr. Linnen joined the Company in 2001, and served in several positions in the Company’s human resources function, including as Vice President, Labor Relations &amp; International Human Resources, Vice President, Domestic Human Resources, and Field Human Resources Director. Prior to joining the Company, Mr. Linnen served in various positions within human resources at Kraft Foods Inc. and Nabisco,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800" w:type="dxa"/>
            <w:vAlign w:val="bottom"/>
            <w:tcBorders>
              <w:top w:val="single" w:sz="8" w:color="auto"/>
            </w:tcBorders>
            <w:shd w:val="clear" w:color="auto" w:fill="D2D3D5"/>
          </w:tcPr>
          <w:p>
            <w:pPr>
              <w:ind w:left="40"/>
              <w:spacing w:after="0"/>
              <w:rPr>
                <w:sz w:val="20"/>
                <w:szCs w:val="20"/>
                <w:color w:val="auto"/>
              </w:rPr>
            </w:pPr>
            <w:r>
              <w:rPr>
                <w:rFonts w:ascii="Arial" w:cs="Arial" w:eastAsia="Arial" w:hAnsi="Arial"/>
                <w:sz w:val="18"/>
                <w:szCs w:val="18"/>
                <w:color w:val="auto"/>
              </w:rPr>
              <w:t>Keith Rankin</w:t>
            </w:r>
          </w:p>
        </w:tc>
        <w:tc>
          <w:tcPr>
            <w:tcW w:w="9440" w:type="dxa"/>
            <w:vAlign w:val="bottom"/>
            <w:tcBorders>
              <w:top w:val="single" w:sz="8" w:color="auto"/>
            </w:tcBorders>
            <w:shd w:val="clear" w:color="auto" w:fill="D2D3D5"/>
          </w:tcPr>
          <w:p>
            <w:pPr>
              <w:ind w:left="120"/>
              <w:spacing w:after="0"/>
              <w:rPr>
                <w:sz w:val="20"/>
                <w:szCs w:val="20"/>
                <w:color w:val="auto"/>
              </w:rPr>
            </w:pPr>
            <w:r>
              <w:rPr>
                <w:rFonts w:ascii="Arial" w:cs="Arial" w:eastAsia="Arial" w:hAnsi="Arial"/>
                <w:sz w:val="18"/>
                <w:szCs w:val="18"/>
                <w:b w:val="1"/>
                <w:bCs w:val="1"/>
                <w:color w:val="auto"/>
              </w:rPr>
              <w:t>Mr. Rankin</w:t>
            </w:r>
            <w:r>
              <w:rPr>
                <w:rFonts w:ascii="Arial" w:cs="Arial" w:eastAsia="Arial" w:hAnsi="Arial"/>
                <w:sz w:val="18"/>
                <w:szCs w:val="18"/>
                <w:color w:val="auto"/>
              </w:rPr>
              <w:t>, 51, has been President of International since June 2019. Prior to joining the Company, Mr. Rankin held</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the position of Chief Executive Officer for the automotive division of Barloworld in South Africa from March 2015.</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Barloworld is a distributor of leading global brands, providing integrated rental, fleet management, product support</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and logistics solutions, and a licensee partner of Avis Budget Group. Mr. Rankin began his career with Avis in South</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Africa in 1998 and was appointed Chief Executive of Avis Car Rental Southern Africa in 2004. In 2007, he was</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appointed Chief Executive Officer of car rental, part of Barloworld’s automotive division that included Barloworld’s</w:t>
            </w:r>
          </w:p>
        </w:tc>
      </w:tr>
      <w:tr>
        <w:trPr>
          <w:trHeight w:val="203"/>
        </w:trPr>
        <w:tc>
          <w:tcPr>
            <w:tcW w:w="1800" w:type="dxa"/>
            <w:vAlign w:val="bottom"/>
            <w:tcBorders>
              <w:bottom w:val="single" w:sz="8" w:color="auto"/>
            </w:tcBorders>
            <w:shd w:val="clear" w:color="auto" w:fill="D2D3D5"/>
          </w:tcPr>
          <w:p>
            <w:pPr>
              <w:spacing w:after="0"/>
              <w:rPr>
                <w:sz w:val="17"/>
                <w:szCs w:val="17"/>
                <w:color w:val="auto"/>
              </w:rPr>
            </w:pPr>
          </w:p>
        </w:tc>
        <w:tc>
          <w:tcPr>
            <w:tcW w:w="9440" w:type="dxa"/>
            <w:vAlign w:val="bottom"/>
            <w:tcBorders>
              <w:bottom w:val="single" w:sz="8" w:color="auto"/>
            </w:tcBorders>
            <w:shd w:val="clear" w:color="auto" w:fill="D2D3D5"/>
          </w:tcPr>
          <w:p>
            <w:pPr>
              <w:ind w:left="120"/>
              <w:spacing w:after="0" w:line="203" w:lineRule="exact"/>
              <w:rPr>
                <w:sz w:val="20"/>
                <w:szCs w:val="20"/>
                <w:color w:val="auto"/>
              </w:rPr>
            </w:pPr>
            <w:r>
              <w:rPr>
                <w:rFonts w:ascii="Arial" w:cs="Arial" w:eastAsia="Arial" w:hAnsi="Arial"/>
                <w:sz w:val="18"/>
                <w:szCs w:val="18"/>
                <w:color w:val="auto"/>
              </w:rPr>
              <w:t>southern Africa and Scandinavian car rental operations.</w:t>
            </w:r>
          </w:p>
        </w:tc>
      </w:tr>
      <w:tr>
        <w:trPr>
          <w:trHeight w:val="209"/>
        </w:trPr>
        <w:tc>
          <w:tcPr>
            <w:tcW w:w="1800" w:type="dxa"/>
            <w:vAlign w:val="bottom"/>
          </w:tcPr>
          <w:p>
            <w:pPr>
              <w:ind w:left="40"/>
              <w:spacing w:after="0"/>
              <w:rPr>
                <w:sz w:val="20"/>
                <w:szCs w:val="20"/>
                <w:color w:val="auto"/>
              </w:rPr>
            </w:pPr>
            <w:r>
              <w:rPr>
                <w:rFonts w:ascii="Arial" w:cs="Arial" w:eastAsia="Arial" w:hAnsi="Arial"/>
                <w:sz w:val="18"/>
                <w:szCs w:val="18"/>
                <w:color w:val="auto"/>
              </w:rPr>
              <w:t>Veresh Sita</w:t>
            </w:r>
          </w:p>
        </w:tc>
        <w:tc>
          <w:tcPr>
            <w:tcW w:w="9440" w:type="dxa"/>
            <w:vAlign w:val="bottom"/>
          </w:tcPr>
          <w:p>
            <w:pPr>
              <w:ind w:left="120"/>
              <w:spacing w:after="0"/>
              <w:rPr>
                <w:sz w:val="20"/>
                <w:szCs w:val="20"/>
                <w:color w:val="auto"/>
              </w:rPr>
            </w:pPr>
            <w:r>
              <w:rPr>
                <w:rFonts w:ascii="Arial" w:cs="Arial" w:eastAsia="Arial" w:hAnsi="Arial"/>
                <w:sz w:val="18"/>
                <w:szCs w:val="18"/>
                <w:b w:val="1"/>
                <w:bCs w:val="1"/>
                <w:color w:val="auto"/>
              </w:rPr>
              <w:t>Mr. Sita</w:t>
            </w:r>
            <w:r>
              <w:rPr>
                <w:rFonts w:ascii="Arial" w:cs="Arial" w:eastAsia="Arial" w:hAnsi="Arial"/>
                <w:sz w:val="18"/>
                <w:szCs w:val="18"/>
                <w:color w:val="auto"/>
              </w:rPr>
              <w:t>, 48, was appointed Executive Vice President, Chief Digital and Innovation Officer, effective March 15, 2021.</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Prior to joining the Company, Mr. Sita held the position of Chief Digital Information Officer for F5 Networks, where he</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was responsible for leading F5’s enterprise digital strategy, since 2019. Previously, Mr. Sita was Senior Vice</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President, Global Head of Strategic Consulting at WeWork from 2017 to 2019, Chief Digital Officer at Emaar</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Properties from 2016 to 2017, Chief Information Officer at Alaska Airlines from 2014 to 2016 and Chief Digital Officer</w:t>
            </w:r>
          </w:p>
        </w:tc>
      </w:tr>
      <w:tr>
        <w:trPr>
          <w:trHeight w:val="217"/>
        </w:trPr>
        <w:tc>
          <w:tcPr>
            <w:tcW w:w="1800" w:type="dxa"/>
            <w:vAlign w:val="bottom"/>
            <w:tcBorders>
              <w:bottom w:val="single" w:sz="8" w:color="auto"/>
            </w:tcBorders>
          </w:tcPr>
          <w:p>
            <w:pPr>
              <w:spacing w:after="0"/>
              <w:rPr>
                <w:sz w:val="18"/>
                <w:szCs w:val="18"/>
                <w:color w:val="auto"/>
              </w:rPr>
            </w:pPr>
          </w:p>
        </w:tc>
        <w:tc>
          <w:tcPr>
            <w:tcW w:w="9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at Colliers International from 2008 to 2014.</w:t>
            </w:r>
          </w:p>
        </w:tc>
      </w:tr>
      <w:tr>
        <w:trPr>
          <w:trHeight w:val="209"/>
        </w:trPr>
        <w:tc>
          <w:tcPr>
            <w:tcW w:w="1800" w:type="dxa"/>
            <w:vAlign w:val="bottom"/>
            <w:shd w:val="clear" w:color="auto" w:fill="D2D3D5"/>
          </w:tcPr>
          <w:p>
            <w:pPr>
              <w:ind w:left="40"/>
              <w:spacing w:after="0"/>
              <w:rPr>
                <w:sz w:val="20"/>
                <w:szCs w:val="20"/>
                <w:color w:val="auto"/>
              </w:rPr>
            </w:pPr>
            <w:r>
              <w:rPr>
                <w:rFonts w:ascii="Arial" w:cs="Arial" w:eastAsia="Arial" w:hAnsi="Arial"/>
                <w:sz w:val="18"/>
                <w:szCs w:val="18"/>
                <w:color w:val="auto"/>
              </w:rPr>
              <w:t>Jean M. Sera</w:t>
            </w: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b w:val="1"/>
                <w:bCs w:val="1"/>
                <w:color w:val="auto"/>
              </w:rPr>
              <w:t>Ms. Sera</w:t>
            </w:r>
            <w:r>
              <w:rPr>
                <w:rFonts w:ascii="Arial" w:cs="Arial" w:eastAsia="Arial" w:hAnsi="Arial"/>
                <w:sz w:val="18"/>
                <w:szCs w:val="18"/>
                <w:color w:val="auto"/>
              </w:rPr>
              <w:t>, age 51, has been Senior Vice President, General Counsel, Chief Compliance Officer and Corporate</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Secretary since March 2020. Ms. Sera held the title of Senior Vice President &amp; Corporate Secretary from August</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2006 to March 2020, and was a Vice President in the Legal Department of Cendant Corporation (as the Company</w:t>
            </w:r>
          </w:p>
        </w:tc>
      </w:tr>
      <w:tr>
        <w:trPr>
          <w:trHeight w:val="216"/>
        </w:trPr>
        <w:tc>
          <w:tcPr>
            <w:tcW w:w="1800" w:type="dxa"/>
            <w:vAlign w:val="bottom"/>
            <w:shd w:val="clear" w:color="auto" w:fill="D2D3D5"/>
          </w:tcPr>
          <w:p>
            <w:pPr>
              <w:spacing w:after="0"/>
              <w:rPr>
                <w:sz w:val="18"/>
                <w:szCs w:val="18"/>
                <w:color w:val="auto"/>
              </w:rPr>
            </w:pPr>
          </w:p>
        </w:tc>
        <w:tc>
          <w:tcPr>
            <w:tcW w:w="9440" w:type="dxa"/>
            <w:vAlign w:val="bottom"/>
            <w:shd w:val="clear" w:color="auto" w:fill="D2D3D5"/>
          </w:tcPr>
          <w:p>
            <w:pPr>
              <w:ind w:left="120"/>
              <w:spacing w:after="0"/>
              <w:rPr>
                <w:sz w:val="20"/>
                <w:szCs w:val="20"/>
                <w:color w:val="auto"/>
              </w:rPr>
            </w:pPr>
            <w:r>
              <w:rPr>
                <w:rFonts w:ascii="Arial" w:cs="Arial" w:eastAsia="Arial" w:hAnsi="Arial"/>
                <w:sz w:val="18"/>
                <w:szCs w:val="18"/>
                <w:color w:val="auto"/>
              </w:rPr>
              <w:t>was formerly known) from January 2002 to August 2006. Prior to joining the Company, Ms. Sera was an associate</w:t>
            </w:r>
          </w:p>
        </w:tc>
      </w:tr>
      <w:tr>
        <w:trPr>
          <w:trHeight w:val="217"/>
        </w:trPr>
        <w:tc>
          <w:tcPr>
            <w:tcW w:w="1800" w:type="dxa"/>
            <w:vAlign w:val="bottom"/>
            <w:tcBorders>
              <w:bottom w:val="single" w:sz="8" w:color="auto"/>
            </w:tcBorders>
            <w:shd w:val="clear" w:color="auto" w:fill="D2D3D5"/>
          </w:tcPr>
          <w:p>
            <w:pPr>
              <w:spacing w:after="0"/>
              <w:rPr>
                <w:sz w:val="18"/>
                <w:szCs w:val="18"/>
                <w:color w:val="auto"/>
              </w:rPr>
            </w:pPr>
          </w:p>
        </w:tc>
        <w:tc>
          <w:tcPr>
            <w:tcW w:w="9440" w:type="dxa"/>
            <w:vAlign w:val="bottom"/>
            <w:tcBorders>
              <w:bottom w:val="single" w:sz="8" w:color="auto"/>
            </w:tcBorders>
            <w:shd w:val="clear" w:color="auto" w:fill="D2D3D5"/>
          </w:tcPr>
          <w:p>
            <w:pPr>
              <w:ind w:left="120"/>
              <w:spacing w:after="0"/>
              <w:rPr>
                <w:sz w:val="20"/>
                <w:szCs w:val="20"/>
                <w:color w:val="auto"/>
              </w:rPr>
            </w:pPr>
            <w:r>
              <w:rPr>
                <w:rFonts w:ascii="Arial" w:cs="Arial" w:eastAsia="Arial" w:hAnsi="Arial"/>
                <w:sz w:val="18"/>
                <w:szCs w:val="18"/>
                <w:color w:val="auto"/>
              </w:rPr>
              <w:t>with the law firm of Shearman &amp; Sterling LLP.</w:t>
            </w:r>
          </w:p>
        </w:tc>
      </w:tr>
      <w:tr>
        <w:trPr>
          <w:trHeight w:val="209"/>
        </w:trPr>
        <w:tc>
          <w:tcPr>
            <w:tcW w:w="1800" w:type="dxa"/>
            <w:vAlign w:val="bottom"/>
          </w:tcPr>
          <w:p>
            <w:pPr>
              <w:ind w:left="40"/>
              <w:spacing w:after="0"/>
              <w:rPr>
                <w:sz w:val="20"/>
                <w:szCs w:val="20"/>
                <w:color w:val="auto"/>
              </w:rPr>
            </w:pPr>
            <w:r>
              <w:rPr>
                <w:rFonts w:ascii="Arial" w:cs="Arial" w:eastAsia="Arial" w:hAnsi="Arial"/>
                <w:sz w:val="18"/>
                <w:szCs w:val="18"/>
                <w:color w:val="auto"/>
              </w:rPr>
              <w:t>Cathleen DeGenova</w:t>
            </w:r>
          </w:p>
        </w:tc>
        <w:tc>
          <w:tcPr>
            <w:tcW w:w="9440" w:type="dxa"/>
            <w:vAlign w:val="bottom"/>
          </w:tcPr>
          <w:p>
            <w:pPr>
              <w:ind w:left="120"/>
              <w:spacing w:after="0"/>
              <w:rPr>
                <w:sz w:val="20"/>
                <w:szCs w:val="20"/>
                <w:color w:val="auto"/>
              </w:rPr>
            </w:pPr>
            <w:r>
              <w:rPr>
                <w:rFonts w:ascii="Arial" w:cs="Arial" w:eastAsia="Arial" w:hAnsi="Arial"/>
                <w:sz w:val="18"/>
                <w:szCs w:val="18"/>
                <w:b w:val="1"/>
                <w:bCs w:val="1"/>
                <w:color w:val="auto"/>
              </w:rPr>
              <w:t>Ms. DeGenova</w:t>
            </w:r>
            <w:r>
              <w:rPr>
                <w:rFonts w:ascii="Arial" w:cs="Arial" w:eastAsia="Arial" w:hAnsi="Arial"/>
                <w:sz w:val="18"/>
                <w:szCs w:val="18"/>
                <w:color w:val="auto"/>
              </w:rPr>
              <w:t>, age 59, has been Vice President and Chief Accounting Officer since August 2019. Previously, Ms.</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DeGenova held the title of Vice President of the Company overseeing External Reporting and Technical Accounting</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since April 2018. Ms. DeGenova previously held the title of Director of External Reporting &amp; Technical Accounting</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from June 2013, when she joined the Company. Prior to joining the Company, Ms. DeGenova held similar roles at</w:t>
            </w:r>
          </w:p>
        </w:tc>
      </w:tr>
      <w:tr>
        <w:trPr>
          <w:trHeight w:val="216"/>
        </w:trPr>
        <w:tc>
          <w:tcPr>
            <w:tcW w:w="1800" w:type="dxa"/>
            <w:vAlign w:val="bottom"/>
          </w:tcPr>
          <w:p>
            <w:pPr>
              <w:spacing w:after="0"/>
              <w:rPr>
                <w:sz w:val="18"/>
                <w:szCs w:val="18"/>
                <w:color w:val="auto"/>
              </w:rPr>
            </w:pPr>
          </w:p>
        </w:tc>
        <w:tc>
          <w:tcPr>
            <w:tcW w:w="9440" w:type="dxa"/>
            <w:vAlign w:val="bottom"/>
          </w:tcPr>
          <w:p>
            <w:pPr>
              <w:ind w:left="120"/>
              <w:spacing w:after="0"/>
              <w:rPr>
                <w:sz w:val="20"/>
                <w:szCs w:val="20"/>
                <w:color w:val="auto"/>
              </w:rPr>
            </w:pPr>
            <w:r>
              <w:rPr>
                <w:rFonts w:ascii="Arial" w:cs="Arial" w:eastAsia="Arial" w:hAnsi="Arial"/>
                <w:sz w:val="18"/>
                <w:szCs w:val="18"/>
                <w:color w:val="auto"/>
              </w:rPr>
              <w:t>Zipcar, Inc., which the Company acquired in 2013, Charles River Labs and Millipore, and was an accountant with</w:t>
            </w:r>
          </w:p>
        </w:tc>
      </w:tr>
      <w:tr>
        <w:trPr>
          <w:trHeight w:val="217"/>
        </w:trPr>
        <w:tc>
          <w:tcPr>
            <w:tcW w:w="1800" w:type="dxa"/>
            <w:vAlign w:val="bottom"/>
            <w:tcBorders>
              <w:bottom w:val="single" w:sz="8" w:color="auto"/>
            </w:tcBorders>
          </w:tcPr>
          <w:p>
            <w:pPr>
              <w:spacing w:after="0"/>
              <w:rPr>
                <w:sz w:val="18"/>
                <w:szCs w:val="18"/>
                <w:color w:val="auto"/>
              </w:rPr>
            </w:pPr>
          </w:p>
        </w:tc>
        <w:tc>
          <w:tcPr>
            <w:tcW w:w="9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Ernst &amp; Young. Ms. DeGenova is a Certified Public Accountant.</w:t>
            </w:r>
          </w:p>
        </w:tc>
      </w:tr>
      <w:tr>
        <w:trPr>
          <w:trHeight w:val="385"/>
        </w:trPr>
        <w:tc>
          <w:tcPr>
            <w:tcW w:w="1800" w:type="dxa"/>
            <w:vAlign w:val="bottom"/>
          </w:tcPr>
          <w:p>
            <w:pPr>
              <w:spacing w:after="0"/>
              <w:rPr>
                <w:sz w:val="24"/>
                <w:szCs w:val="24"/>
                <w:color w:val="auto"/>
              </w:rPr>
            </w:pPr>
          </w:p>
        </w:tc>
        <w:tc>
          <w:tcPr>
            <w:tcW w:w="9440" w:type="dxa"/>
            <w:vAlign w:val="bottom"/>
          </w:tcPr>
          <w:p>
            <w:pPr>
              <w:ind w:left="3720"/>
              <w:spacing w:after="0"/>
              <w:rPr>
                <w:sz w:val="20"/>
                <w:szCs w:val="20"/>
                <w:color w:val="auto"/>
              </w:rPr>
            </w:pPr>
            <w:r>
              <w:rPr>
                <w:rFonts w:ascii="Arial" w:cs="Arial" w:eastAsia="Arial" w:hAnsi="Arial"/>
                <w:sz w:val="18"/>
                <w:szCs w:val="18"/>
                <w:color w:val="auto"/>
              </w:rPr>
              <w:t>21</w:t>
            </w:r>
          </w:p>
        </w:tc>
      </w:tr>
      <w:tr>
        <w:trPr>
          <w:trHeight w:val="236"/>
        </w:trPr>
        <w:tc>
          <w:tcPr>
            <w:tcW w:w="1800" w:type="dxa"/>
            <w:vAlign w:val="bottom"/>
            <w:tcBorders>
              <w:bottom w:val="single" w:sz="8" w:color="C0C0C0"/>
            </w:tcBorders>
          </w:tcPr>
          <w:p>
            <w:pPr>
              <w:spacing w:after="0"/>
              <w:rPr>
                <w:sz w:val="20"/>
                <w:szCs w:val="20"/>
                <w:color w:val="auto"/>
              </w:rPr>
            </w:pPr>
          </w:p>
        </w:tc>
        <w:tc>
          <w:tcPr>
            <w:tcW w:w="94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45"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8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Executive Compensation</w:t>
      </w:r>
    </w:p>
    <w:p>
      <w:pPr>
        <w:spacing w:after="0" w:line="23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Discussion and Analysis</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We refer you to our Annual Report on Form 10-K for the year ended December 31, 2020 (our “2020 Form 10-K”) for additional information regarding our financial information discussed below. When we refer to “the Committee” in this “Executive Compensation” section, we are referring to the Compensation Committee.</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Summary</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Company Performance</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Positive momentum from fourth quarter 2019 continued into January and February of 2020; however, reservations and revenue began to be negatively affected in March as travel restrictions were broadly implemented in response to the COVID-19 global pandemic. In response, we took numerous steps to protect our employees and customers, and proactively manage declining reservations and revenue by reducing fleet, matching staffing levels to demand, reducing operational costs, pausing capital spending, and reducing executive compensation. As a result of COVID-19, our 2020 revenue was approximately $5.4 billion, 41% lower compared to 2019; however, total expenses for 2020 were lower compared to 2019 by more than $2.5 billion due in part to our cost reduction efforts. Our closing stock price on December 31, 2020 of $37.30 reflected an increase of 15.7% compared to our closing stock price on December 31, 2019 as we effectively managed through the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395085" cy="14655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395085"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Transition and Leadership Changes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we successfully transitioned to a new President and Chief Executive Officer. Joseph Ferraro became President and Chief Executive Officer (“CEO”) on an interim basis on January 1, 2020 and became the Company’s permanent CEO in June 2020. Mr. Ferraro was previously President of the Company’s Americas region and has had a distinguished career with the Company spanning four decades within the Company’s operations. With Mr. Ferraro’s appointment to CEO, Izzy Martins, previously the Company’s CFO for the Americas region, assumed many of Mr. Ferraro’s prior responsibilities and was appointed Executive Vice President, Americas, also initially on an interim basis.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were also changes within our Board of Directors. Following the completion of the 2020 Annual Meeting when the size of the Board was reduced from eleven to seven members, Bernardo Hees was appointed as Executive Chairman at the time of Mr. Ferraro’s appointment to CEO. In August, Brian Choi, who had been a Board member since 2016 and a partner with SRS Investment Management, LLC (“SRS”), stepped down from the Board and resigned from SRS, and became the Company’s Chief Financial Officer, and the size of the Board was further reduced to six members. In addition to deep financial expertise, Mr. Choi has broad experience with our Company.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Strategy</w:t>
      </w:r>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started 2020 with a focus on driving sustainable and profitable growth by leveraging differentiated brands and products, delivering margins from our established businesses, and positioning our Company as a global leader in the mobility sector. However, in response to impacts from COVID-19, we proactively managed our business with cost removal and mitigation actions as described above. At the same time, we prioritized health and safety, and launched a coalition designed to enhance the cleanliness and disinfection of our rental facilities and vehicles. We also increased availability of our app-based Mobile Select product and facilities with automated exit gates to provide our customers with contactless, self-service rental transactions.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2021, as travel demand begins to normalize and the global economy emerges from COVID -19, we expect our strategy to continue to focus on cost discipline, revenue growth and reinvestment, including reinvestment in our systems and platforms, and potential new business models, including expanding our risk vehicle dispositions through our direct-to-consumer sales channels and in the evolving mobility sector based on our leading brands, global operations and our fleet management capabilities.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for our Named Executive Officers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Programs for 2020</w:t>
      </w:r>
    </w:p>
    <w:p>
      <w:pPr>
        <w:spacing w:after="0" w:line="23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paid to our Named Executive Officers (“NEOs”) for 2020 was substantially less than compensation paid for 2019, primarily as a result of the COVID-19 pandemic as well as the CEO transition and leadership changes described above.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3380" w:type="dxa"/>
            <w:vAlign w:val="bottom"/>
            <w:tcBorders>
              <w:top w:val="single" w:sz="8" w:color="auto"/>
            </w:tcBorders>
            <w:shd w:val="clear" w:color="auto" w:fill="D2D3D5"/>
          </w:tcPr>
          <w:p>
            <w:pPr>
              <w:ind w:left="60"/>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ASE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ALARY</w:t>
            </w:r>
          </w:p>
        </w:tc>
        <w:tc>
          <w:tcPr>
            <w:tcW w:w="7860" w:type="dxa"/>
            <w:vAlign w:val="bottom"/>
            <w:tcBorders>
              <w:top w:val="single" w:sz="8" w:color="auto"/>
            </w:tcBorders>
            <w:gridSpan w:val="2"/>
            <w:shd w:val="clear" w:color="auto" w:fill="D2D3D5"/>
          </w:tcPr>
          <w:p>
            <w:pPr>
              <w:ind w:left="240"/>
              <w:spacing w:after="0"/>
              <w:rPr>
                <w:sz w:val="20"/>
                <w:szCs w:val="20"/>
                <w:color w:val="auto"/>
              </w:rPr>
            </w:pPr>
            <w:r>
              <w:rPr>
                <w:rFonts w:ascii="Arial" w:cs="Arial" w:eastAsia="Arial" w:hAnsi="Arial"/>
                <w:sz w:val="18"/>
                <w:szCs w:val="18"/>
                <w:color w:val="auto"/>
              </w:rPr>
              <w:t>After approval in early 2020 of select initial increases to base salaries, such increases were</w:t>
            </w:r>
          </w:p>
        </w:tc>
      </w:tr>
      <w:tr>
        <w:trPr>
          <w:trHeight w:val="217"/>
        </w:trPr>
        <w:tc>
          <w:tcPr>
            <w:tcW w:w="3380" w:type="dxa"/>
            <w:vAlign w:val="bottom"/>
            <w:tcBorders>
              <w:bottom w:val="single" w:sz="8" w:color="auto"/>
            </w:tcBorders>
            <w:shd w:val="clear" w:color="auto" w:fill="D2D3D5"/>
          </w:tcPr>
          <w:p>
            <w:pPr>
              <w:spacing w:after="0"/>
              <w:rPr>
                <w:sz w:val="18"/>
                <w:szCs w:val="18"/>
                <w:color w:val="auto"/>
              </w:rPr>
            </w:pPr>
          </w:p>
        </w:tc>
        <w:tc>
          <w:tcPr>
            <w:tcW w:w="7860" w:type="dxa"/>
            <w:vAlign w:val="bottom"/>
            <w:tcBorders>
              <w:bottom w:val="single" w:sz="8" w:color="auto"/>
            </w:tcBorders>
            <w:gridSpan w:val="2"/>
            <w:shd w:val="clear" w:color="auto" w:fill="D2D3D5"/>
          </w:tcPr>
          <w:p>
            <w:pPr>
              <w:ind w:left="240"/>
              <w:spacing w:after="0"/>
              <w:rPr>
                <w:sz w:val="20"/>
                <w:szCs w:val="20"/>
                <w:color w:val="auto"/>
              </w:rPr>
            </w:pPr>
            <w:r>
              <w:rPr>
                <w:rFonts w:ascii="Arial" w:cs="Arial" w:eastAsia="Arial" w:hAnsi="Arial"/>
                <w:sz w:val="18"/>
                <w:szCs w:val="18"/>
                <w:color w:val="auto"/>
              </w:rPr>
              <w:t>revoked in April and a further 10% decrease applied through October.</w:t>
            </w:r>
          </w:p>
        </w:tc>
      </w:tr>
      <w:tr>
        <w:trPr>
          <w:trHeight w:val="209"/>
        </w:trPr>
        <w:tc>
          <w:tcPr>
            <w:tcW w:w="3380" w:type="dxa"/>
            <w:vAlign w:val="bottom"/>
          </w:tcPr>
          <w:p>
            <w:pPr>
              <w:ind w:left="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NNUAL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7860" w:type="dxa"/>
            <w:vAlign w:val="bottom"/>
            <w:gridSpan w:val="2"/>
          </w:tcPr>
          <w:p>
            <w:pPr>
              <w:ind w:left="240"/>
              <w:spacing w:after="0"/>
              <w:rPr>
                <w:sz w:val="20"/>
                <w:szCs w:val="20"/>
                <w:color w:val="auto"/>
              </w:rPr>
            </w:pPr>
            <w:r>
              <w:rPr>
                <w:rFonts w:ascii="Arial" w:cs="Arial" w:eastAsia="Arial" w:hAnsi="Arial"/>
                <w:sz w:val="18"/>
                <w:szCs w:val="18"/>
                <w:color w:val="auto"/>
              </w:rPr>
              <w:t>Based on the decline in 2020 revenue, no payments were made under the Annual Incentive</w:t>
            </w:r>
          </w:p>
        </w:tc>
      </w:tr>
      <w:tr>
        <w:trPr>
          <w:trHeight w:val="203"/>
        </w:trPr>
        <w:tc>
          <w:tcPr>
            <w:tcW w:w="3380" w:type="dxa"/>
            <w:vAlign w:val="bottom"/>
            <w:tcBorders>
              <w:bottom w:val="single" w:sz="8" w:color="auto"/>
            </w:tcBorders>
          </w:tcPr>
          <w:p>
            <w:pPr>
              <w:spacing w:after="0"/>
              <w:rPr>
                <w:sz w:val="17"/>
                <w:szCs w:val="17"/>
                <w:color w:val="auto"/>
              </w:rPr>
            </w:pPr>
          </w:p>
        </w:tc>
        <w:tc>
          <w:tcPr>
            <w:tcW w:w="7860" w:type="dxa"/>
            <w:vAlign w:val="bottom"/>
            <w:tcBorders>
              <w:bottom w:val="single" w:sz="8" w:color="auto"/>
            </w:tcBorders>
            <w:gridSpan w:val="2"/>
          </w:tcPr>
          <w:p>
            <w:pPr>
              <w:ind w:left="240"/>
              <w:spacing w:after="0" w:line="203" w:lineRule="exact"/>
              <w:rPr>
                <w:sz w:val="20"/>
                <w:szCs w:val="20"/>
                <w:color w:val="auto"/>
              </w:rPr>
            </w:pPr>
            <w:r>
              <w:rPr>
                <w:rFonts w:ascii="Arial" w:cs="Arial" w:eastAsia="Arial" w:hAnsi="Arial"/>
                <w:sz w:val="18"/>
                <w:szCs w:val="18"/>
                <w:color w:val="auto"/>
              </w:rPr>
              <w:t>Program.</w:t>
            </w:r>
          </w:p>
        </w:tc>
      </w:tr>
      <w:tr>
        <w:trPr>
          <w:trHeight w:val="209"/>
        </w:trPr>
        <w:tc>
          <w:tcPr>
            <w:tcW w:w="3380" w:type="dxa"/>
            <w:vAlign w:val="bottom"/>
            <w:shd w:val="clear" w:color="auto" w:fill="D2D3D5"/>
          </w:tcPr>
          <w:p>
            <w:pPr>
              <w:ind w:left="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ONG</w:t>
            </w:r>
            <w:r>
              <w:rPr>
                <w:rFonts w:ascii="Arial" w:cs="Arial" w:eastAsia="Arial" w:hAnsi="Arial"/>
                <w:sz w:val="18"/>
                <w:szCs w:val="18"/>
                <w:b w:val="1"/>
                <w:bCs w:val="1"/>
                <w:color w:val="auto"/>
              </w:rPr>
              <w:t>-T</w:t>
            </w:r>
            <w:r>
              <w:rPr>
                <w:rFonts w:ascii="Arial" w:cs="Arial" w:eastAsia="Arial" w:hAnsi="Arial"/>
                <w:sz w:val="12"/>
                <w:szCs w:val="12"/>
                <w:b w:val="1"/>
                <w:bCs w:val="1"/>
                <w:color w:val="auto"/>
              </w:rPr>
              <w:t>ERM</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ROGRAM</w:t>
            </w:r>
          </w:p>
        </w:tc>
        <w:tc>
          <w:tcPr>
            <w:tcW w:w="7860" w:type="dxa"/>
            <w:vAlign w:val="bottom"/>
            <w:gridSpan w:val="2"/>
            <w:shd w:val="clear" w:color="auto" w:fill="D2D3D5"/>
          </w:tcPr>
          <w:p>
            <w:pPr>
              <w:ind w:left="240"/>
              <w:spacing w:after="0"/>
              <w:rPr>
                <w:sz w:val="20"/>
                <w:szCs w:val="20"/>
                <w:color w:val="auto"/>
              </w:rPr>
            </w:pPr>
            <w:r>
              <w:rPr>
                <w:rFonts w:ascii="Arial" w:cs="Arial" w:eastAsia="Arial" w:hAnsi="Arial"/>
                <w:sz w:val="18"/>
                <w:szCs w:val="18"/>
                <w:color w:val="auto"/>
              </w:rPr>
              <w:t>With limited exceptions:</w:t>
            </w:r>
          </w:p>
        </w:tc>
      </w:tr>
      <w:tr>
        <w:trPr>
          <w:trHeight w:val="431"/>
        </w:trPr>
        <w:tc>
          <w:tcPr>
            <w:tcW w:w="3380" w:type="dxa"/>
            <w:vAlign w:val="bottom"/>
            <w:shd w:val="clear" w:color="auto" w:fill="D2D3D5"/>
          </w:tcPr>
          <w:p>
            <w:pPr>
              <w:spacing w:after="0"/>
              <w:rPr>
                <w:sz w:val="24"/>
                <w:szCs w:val="24"/>
                <w:color w:val="auto"/>
              </w:rPr>
            </w:pPr>
          </w:p>
        </w:tc>
        <w:tc>
          <w:tcPr>
            <w:tcW w:w="440" w:type="dxa"/>
            <w:vAlign w:val="bottom"/>
            <w:shd w:val="clear" w:color="auto" w:fill="D2D3D5"/>
          </w:tcPr>
          <w:p>
            <w:pPr>
              <w:ind w:left="240"/>
              <w:spacing w:after="0"/>
              <w:rPr>
                <w:sz w:val="20"/>
                <w:szCs w:val="20"/>
                <w:color w:val="auto"/>
              </w:rPr>
            </w:pPr>
            <w:r>
              <w:rPr>
                <w:rFonts w:ascii="Arial" w:cs="Arial" w:eastAsia="Arial" w:hAnsi="Arial"/>
                <w:sz w:val="18"/>
                <w:szCs w:val="18"/>
                <w:color w:val="auto"/>
              </w:rPr>
              <w:t>·</w:t>
            </w:r>
          </w:p>
        </w:tc>
        <w:tc>
          <w:tcPr>
            <w:tcW w:w="7420" w:type="dxa"/>
            <w:vAlign w:val="bottom"/>
            <w:shd w:val="clear" w:color="auto" w:fill="D2D3D5"/>
          </w:tcPr>
          <w:p>
            <w:pPr>
              <w:spacing w:after="0"/>
              <w:rPr>
                <w:sz w:val="20"/>
                <w:szCs w:val="20"/>
                <w:color w:val="auto"/>
              </w:rPr>
            </w:pPr>
            <w:r>
              <w:rPr>
                <w:rFonts w:ascii="Arial" w:cs="Arial" w:eastAsia="Arial" w:hAnsi="Arial"/>
                <w:sz w:val="18"/>
                <w:szCs w:val="18"/>
                <w:color w:val="auto"/>
              </w:rPr>
              <w:t>No performance-based restricted stock unit (“PSU”) awards granted to NEOs have vested</w:t>
            </w:r>
          </w:p>
        </w:tc>
      </w:tr>
      <w:tr>
        <w:trPr>
          <w:trHeight w:val="216"/>
        </w:trPr>
        <w:tc>
          <w:tcPr>
            <w:tcW w:w="3380" w:type="dxa"/>
            <w:vAlign w:val="bottom"/>
            <w:shd w:val="clear" w:color="auto" w:fill="D2D3D5"/>
          </w:tcPr>
          <w:p>
            <w:pPr>
              <w:spacing w:after="0"/>
              <w:rPr>
                <w:sz w:val="18"/>
                <w:szCs w:val="18"/>
                <w:color w:val="auto"/>
              </w:rPr>
            </w:pPr>
          </w:p>
        </w:tc>
        <w:tc>
          <w:tcPr>
            <w:tcW w:w="440" w:type="dxa"/>
            <w:vAlign w:val="bottom"/>
            <w:shd w:val="clear" w:color="auto" w:fill="D2D3D5"/>
          </w:tcPr>
          <w:p>
            <w:pPr>
              <w:spacing w:after="0"/>
              <w:rPr>
                <w:sz w:val="18"/>
                <w:szCs w:val="18"/>
                <w:color w:val="auto"/>
              </w:rPr>
            </w:pPr>
          </w:p>
        </w:tc>
        <w:tc>
          <w:tcPr>
            <w:tcW w:w="7420" w:type="dxa"/>
            <w:vAlign w:val="bottom"/>
            <w:shd w:val="clear" w:color="auto" w:fill="D2D3D5"/>
          </w:tcPr>
          <w:p>
            <w:pPr>
              <w:spacing w:after="0"/>
              <w:rPr>
                <w:sz w:val="20"/>
                <w:szCs w:val="20"/>
                <w:color w:val="auto"/>
              </w:rPr>
            </w:pPr>
            <w:r>
              <w:rPr>
                <w:rFonts w:ascii="Arial" w:cs="Arial" w:eastAsia="Arial" w:hAnsi="Arial"/>
                <w:sz w:val="18"/>
                <w:szCs w:val="18"/>
                <w:color w:val="auto"/>
              </w:rPr>
              <w:t>since 2017; accordingly, PSU awards granted in 2015, 2016, 2017 and 2018 have been</w:t>
            </w:r>
          </w:p>
        </w:tc>
      </w:tr>
      <w:tr>
        <w:trPr>
          <w:trHeight w:val="203"/>
        </w:trPr>
        <w:tc>
          <w:tcPr>
            <w:tcW w:w="3380" w:type="dxa"/>
            <w:vAlign w:val="bottom"/>
            <w:shd w:val="clear" w:color="auto" w:fill="D2D3D5"/>
          </w:tcPr>
          <w:p>
            <w:pPr>
              <w:spacing w:after="0"/>
              <w:rPr>
                <w:sz w:val="17"/>
                <w:szCs w:val="17"/>
                <w:color w:val="auto"/>
              </w:rPr>
            </w:pPr>
          </w:p>
        </w:tc>
        <w:tc>
          <w:tcPr>
            <w:tcW w:w="440" w:type="dxa"/>
            <w:vAlign w:val="bottom"/>
            <w:shd w:val="clear" w:color="auto" w:fill="D2D3D5"/>
          </w:tcPr>
          <w:p>
            <w:pPr>
              <w:spacing w:after="0"/>
              <w:rPr>
                <w:sz w:val="17"/>
                <w:szCs w:val="17"/>
                <w:color w:val="auto"/>
              </w:rPr>
            </w:pPr>
          </w:p>
        </w:tc>
        <w:tc>
          <w:tcPr>
            <w:tcW w:w="7420" w:type="dxa"/>
            <w:vAlign w:val="bottom"/>
            <w:shd w:val="clear" w:color="auto" w:fill="D2D3D5"/>
          </w:tcPr>
          <w:p>
            <w:pPr>
              <w:spacing w:after="0" w:line="203" w:lineRule="exact"/>
              <w:rPr>
                <w:sz w:val="20"/>
                <w:szCs w:val="20"/>
                <w:color w:val="auto"/>
              </w:rPr>
            </w:pPr>
            <w:r>
              <w:rPr>
                <w:rFonts w:ascii="Arial" w:cs="Arial" w:eastAsia="Arial" w:hAnsi="Arial"/>
                <w:sz w:val="18"/>
                <w:szCs w:val="18"/>
                <w:color w:val="auto"/>
              </w:rPr>
              <w:t>forfeited without payout.</w:t>
            </w:r>
          </w:p>
        </w:tc>
      </w:tr>
      <w:tr>
        <w:trPr>
          <w:trHeight w:val="431"/>
        </w:trPr>
        <w:tc>
          <w:tcPr>
            <w:tcW w:w="3380" w:type="dxa"/>
            <w:vAlign w:val="bottom"/>
            <w:shd w:val="clear" w:color="auto" w:fill="D2D3D5"/>
          </w:tcPr>
          <w:p>
            <w:pPr>
              <w:spacing w:after="0"/>
              <w:rPr>
                <w:sz w:val="24"/>
                <w:szCs w:val="24"/>
                <w:color w:val="auto"/>
              </w:rPr>
            </w:pPr>
          </w:p>
        </w:tc>
        <w:tc>
          <w:tcPr>
            <w:tcW w:w="440" w:type="dxa"/>
            <w:vAlign w:val="bottom"/>
            <w:shd w:val="clear" w:color="auto" w:fill="D2D3D5"/>
          </w:tcPr>
          <w:p>
            <w:pPr>
              <w:ind w:left="240"/>
              <w:spacing w:after="0"/>
              <w:rPr>
                <w:sz w:val="20"/>
                <w:szCs w:val="20"/>
                <w:color w:val="auto"/>
              </w:rPr>
            </w:pPr>
            <w:r>
              <w:rPr>
                <w:rFonts w:ascii="Arial" w:cs="Arial" w:eastAsia="Arial" w:hAnsi="Arial"/>
                <w:sz w:val="18"/>
                <w:szCs w:val="18"/>
                <w:color w:val="auto"/>
              </w:rPr>
              <w:t>·</w:t>
            </w:r>
          </w:p>
        </w:tc>
        <w:tc>
          <w:tcPr>
            <w:tcW w:w="7420" w:type="dxa"/>
            <w:vAlign w:val="bottom"/>
            <w:shd w:val="clear" w:color="auto" w:fill="D2D3D5"/>
          </w:tcPr>
          <w:p>
            <w:pPr>
              <w:spacing w:after="0"/>
              <w:rPr>
                <w:sz w:val="20"/>
                <w:szCs w:val="20"/>
                <w:color w:val="auto"/>
              </w:rPr>
            </w:pPr>
            <w:r>
              <w:rPr>
                <w:rFonts w:ascii="Arial" w:cs="Arial" w:eastAsia="Arial" w:hAnsi="Arial"/>
                <w:sz w:val="18"/>
                <w:szCs w:val="18"/>
                <w:color w:val="auto"/>
              </w:rPr>
              <w:t>Given the revenue declines experienced in 2020, the PSU awards granted in 2019 and 2020</w:t>
            </w:r>
          </w:p>
        </w:tc>
      </w:tr>
      <w:tr>
        <w:trPr>
          <w:trHeight w:val="210"/>
        </w:trPr>
        <w:tc>
          <w:tcPr>
            <w:tcW w:w="3380" w:type="dxa"/>
            <w:vAlign w:val="bottom"/>
            <w:tcBorders>
              <w:bottom w:val="single" w:sz="8" w:color="auto"/>
            </w:tcBorders>
            <w:shd w:val="clear" w:color="auto" w:fill="D2D3D5"/>
          </w:tcPr>
          <w:p>
            <w:pPr>
              <w:spacing w:after="0"/>
              <w:rPr>
                <w:sz w:val="18"/>
                <w:szCs w:val="18"/>
                <w:color w:val="auto"/>
              </w:rPr>
            </w:pPr>
          </w:p>
        </w:tc>
        <w:tc>
          <w:tcPr>
            <w:tcW w:w="440" w:type="dxa"/>
            <w:vAlign w:val="bottom"/>
            <w:tcBorders>
              <w:bottom w:val="single" w:sz="8" w:color="auto"/>
            </w:tcBorders>
            <w:shd w:val="clear" w:color="auto" w:fill="D2D3D5"/>
          </w:tcPr>
          <w:p>
            <w:pPr>
              <w:spacing w:after="0"/>
              <w:rPr>
                <w:sz w:val="18"/>
                <w:szCs w:val="18"/>
                <w:color w:val="auto"/>
              </w:rPr>
            </w:pPr>
          </w:p>
        </w:tc>
        <w:tc>
          <w:tcPr>
            <w:tcW w:w="7420" w:type="dxa"/>
            <w:vAlign w:val="bottom"/>
            <w:tcBorders>
              <w:bottom w:val="single" w:sz="8" w:color="auto"/>
            </w:tcBorders>
            <w:shd w:val="clear" w:color="auto" w:fill="D2D3D5"/>
          </w:tcPr>
          <w:p>
            <w:pPr>
              <w:spacing w:after="0" w:line="203" w:lineRule="exact"/>
              <w:rPr>
                <w:sz w:val="20"/>
                <w:szCs w:val="20"/>
                <w:color w:val="auto"/>
              </w:rPr>
            </w:pPr>
            <w:r>
              <w:rPr>
                <w:rFonts w:ascii="Arial" w:cs="Arial" w:eastAsia="Arial" w:hAnsi="Arial"/>
                <w:sz w:val="18"/>
                <w:szCs w:val="18"/>
                <w:color w:val="auto"/>
              </w:rPr>
              <w:t>are unlikely to vest.</w:t>
            </w:r>
          </w:p>
        </w:tc>
      </w:tr>
    </w:tbl>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 of the steps we took to reduce executive compensation, we also suspended matching contributions under our deferred compensation and 401(k) plans for executives from April through November 2020. No other COVID-related adjustments were made to the Company’s compensation programs other than the suspension of these matching contributions and the reductions to base salaries described above.</w:t>
      </w:r>
    </w:p>
    <w:p>
      <w:pPr>
        <w:spacing w:after="0" w:line="20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Consistent with prior years, more than 50% of CEO pay opportunity, at target, was performance-based, excluding amounts contained in the Summary Compensation Table under “All Other Compensation.” Aggregate CEO pay was substantially lower for 2020 compared to 2019, as illustrated below.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02020"/>
        </w:rPr>
        <w:t>CEO Compensation*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202020"/>
        </w:rPr>
        <w:t>(in millions)</w:t>
      </w:r>
    </w:p>
    <w:p>
      <w:pPr>
        <w:ind w:left="1940"/>
        <w:spacing w:after="0"/>
        <w:tabs>
          <w:tab w:leader="none" w:pos="7500" w:val="left"/>
        </w:tabs>
        <w:rPr>
          <w:sz w:val="20"/>
          <w:szCs w:val="20"/>
          <w:color w:val="auto"/>
        </w:rPr>
      </w:pPr>
      <w:r>
        <w:rPr>
          <w:rFonts w:ascii="Arial" w:cs="Arial" w:eastAsia="Arial" w:hAnsi="Arial"/>
          <w:sz w:val="18"/>
          <w:szCs w:val="18"/>
          <w:b w:val="1"/>
          <w:bCs w:val="1"/>
          <w:color w:val="202020"/>
        </w:rPr>
        <w:t>Including Severance</w:t>
      </w:r>
      <w:r>
        <w:rPr>
          <w:sz w:val="20"/>
          <w:szCs w:val="20"/>
          <w:color w:val="auto"/>
        </w:rPr>
        <w:tab/>
      </w:r>
      <w:r>
        <w:rPr>
          <w:rFonts w:ascii="Arial" w:cs="Arial" w:eastAsia="Arial" w:hAnsi="Arial"/>
          <w:sz w:val="18"/>
          <w:szCs w:val="18"/>
          <w:b w:val="1"/>
          <w:bCs w:val="1"/>
          <w:color w:val="202020"/>
        </w:rPr>
        <w:t>Excluding Severance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134620</wp:posOffset>
            </wp:positionV>
            <wp:extent cx="1988820" cy="1183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88820" cy="118300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134620</wp:posOffset>
            </wp:positionV>
            <wp:extent cx="1817370" cy="12255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1737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40" w:right="100" w:hanging="332"/>
        <w:spacing w:after="0" w:line="258"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disclosed in the Summary Compensation Table contained herein for our current CEO’s 2020 compensation and contained in the Company’s definitive Proxy Statement under Regulation 14A, filed with the SEC on March 27, 2020 for our former CEO’s 2019 compensation.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to Pay Programs for 2021</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composition of the Committee changed following changes in Board membership in May 2020, and the newly constituted Committee has overseen a number of changes to the Company’s compensation programs to enhance the pay-for-performance nature of executive compensation. Changes implemented and expected to be implemented include the following, which primarily impact 2021 pay decisions:</w:t>
      </w:r>
    </w:p>
    <w:p>
      <w:pPr>
        <w:spacing w:after="0" w:line="191" w:lineRule="exact"/>
        <w:rPr>
          <w:sz w:val="20"/>
          <w:szCs w:val="20"/>
          <w:color w:val="auto"/>
        </w:rPr>
      </w:pPr>
    </w:p>
    <w:p>
      <w:pPr>
        <w:ind w:left="340" w:right="2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severance plan, adopted in December 2020, which provides for reduced severance for NEOs who became newly eligible for executive severance.</w:t>
      </w:r>
    </w:p>
    <w:p>
      <w:pPr>
        <w:spacing w:after="0" w:line="196"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redesigned annual incentive program containing a more heavily weighted individual performance component, to be based on key metrics and measurable targets utilizing a “scorecard” approach, subject to the Company’s attainment of financial performance goals.</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reduction in maximum payout opportunity under the annual and long-term incentive programs.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substantially revised Peer Group.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Practices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compensation programs reflect sound practices, such as:</w:t>
      </w:r>
    </w:p>
    <w:p>
      <w:pPr>
        <w:spacing w:after="0" w:line="19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executive stock ownership guidelines with significant share ownership requirements;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executive compensation recoupment (or “clawback”) policy;</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policy prohibiting executives from entering into speculative (or hedging) transactions in our securities;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excise tax gross-up or single-trigger change-in-control provisions;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tax gross-ups on executive perquisites except for relocation and expatriate benefits per the Company’s standard practices.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Named Executive Officers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This discussion addresses executive compensation in 2020 for our NEOs, who are:</w:t>
      </w:r>
    </w:p>
    <w:p>
      <w:pPr>
        <w:spacing w:after="0" w:line="190" w:lineRule="exact"/>
        <w:rPr>
          <w:sz w:val="20"/>
          <w:szCs w:val="20"/>
          <w:color w:val="auto"/>
        </w:rPr>
      </w:pPr>
    </w:p>
    <w:p>
      <w:pPr>
        <w:ind w:left="340" w:hanging="332"/>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Bernardo Hees – </w:t>
      </w:r>
      <w:r>
        <w:rPr>
          <w:rFonts w:ascii="Arial" w:cs="Arial" w:eastAsia="Arial" w:hAnsi="Arial"/>
          <w:sz w:val="18"/>
          <w:szCs w:val="18"/>
          <w:color w:val="auto"/>
        </w:rPr>
        <w:t>became Executive Chairman of the Board (our “Executive Chairman”) in July 2020, after having joined the Board in</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2020.</w:t>
      </w:r>
    </w:p>
    <w:p>
      <w:pPr>
        <w:spacing w:after="0" w:line="153" w:lineRule="exact"/>
        <w:rPr>
          <w:rFonts w:ascii="Arial" w:cs="Arial" w:eastAsia="Arial" w:hAnsi="Arial"/>
          <w:sz w:val="18"/>
          <w:szCs w:val="18"/>
          <w:color w:val="auto"/>
        </w:rPr>
      </w:pPr>
    </w:p>
    <w:p>
      <w:pPr>
        <w:ind w:left="340" w:right="20" w:hanging="332"/>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Joseph A. Ferraro – </w:t>
      </w:r>
      <w:r>
        <w:rPr>
          <w:rFonts w:ascii="Arial" w:cs="Arial" w:eastAsia="Arial" w:hAnsi="Arial"/>
          <w:sz w:val="18"/>
          <w:szCs w:val="18"/>
          <w:color w:val="auto"/>
        </w:rPr>
        <w:t>assumed the role of Chief Executive Officer on an interim basis on January 1, 2020, and became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(our “CEO”) in June 2020.</w:t>
      </w:r>
    </w:p>
    <w:p>
      <w:pPr>
        <w:spacing w:after="0" w:line="153"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Brian J. Choi – </w:t>
      </w:r>
      <w:r>
        <w:rPr>
          <w:rFonts w:ascii="Arial" w:cs="Arial" w:eastAsia="Arial" w:hAnsi="Arial"/>
          <w:sz w:val="18"/>
          <w:szCs w:val="18"/>
          <w:color w:val="auto"/>
        </w:rPr>
        <w:t>appointed Chief Financial Officer (our “CFO”) in August 2020.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Patrick “Keith” Rankin – </w:t>
      </w:r>
      <w:r>
        <w:rPr>
          <w:rFonts w:ascii="Arial" w:cs="Arial" w:eastAsia="Arial" w:hAnsi="Arial"/>
          <w:sz w:val="18"/>
          <w:szCs w:val="18"/>
          <w:color w:val="auto"/>
        </w:rPr>
        <w:t>became President, International in June 2019 (our “President, International”).</w:t>
      </w:r>
    </w:p>
    <w:p>
      <w:pPr>
        <w:spacing w:after="0" w:line="225"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Izilda P. Martins – </w:t>
      </w:r>
      <w:r>
        <w:rPr>
          <w:rFonts w:ascii="Arial" w:cs="Arial" w:eastAsia="Arial" w:hAnsi="Arial"/>
          <w:sz w:val="18"/>
          <w:szCs w:val="18"/>
          <w:color w:val="auto"/>
        </w:rPr>
        <w:t>assumed many of Mr. Ferraro’s prior responsibilities on an interim basis on January 1, 2020 and assumed the role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Americas (our “EVP, Americas”) in June 2020.</w:t>
      </w:r>
    </w:p>
    <w:p>
      <w:pPr>
        <w:spacing w:after="0" w:line="153"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John F. North – </w:t>
      </w:r>
      <w:r>
        <w:rPr>
          <w:rFonts w:ascii="Arial" w:cs="Arial" w:eastAsia="Arial" w:hAnsi="Arial"/>
          <w:sz w:val="18"/>
          <w:szCs w:val="18"/>
          <w:color w:val="auto"/>
        </w:rPr>
        <w:t>separated from the Company in August 2020 as Executive Vice President and Chief Financial Officer (our “Former</w:t>
      </w:r>
      <w:r>
        <w:rPr>
          <w:rFonts w:ascii="Arial" w:cs="Arial" w:eastAsia="Arial" w:hAnsi="Arial"/>
          <w:sz w:val="18"/>
          <w:szCs w:val="18"/>
          <w:b w:val="1"/>
          <w:bCs w:val="1"/>
          <w:color w:val="auto"/>
        </w:rPr>
        <w:t xml:space="preserve"> </w:t>
      </w:r>
      <w:r>
        <w:rPr>
          <w:rFonts w:ascii="Arial" w:cs="Arial" w:eastAsia="Arial" w:hAnsi="Arial"/>
          <w:sz w:val="18"/>
          <w:szCs w:val="18"/>
          <w:color w:val="auto"/>
        </w:rPr>
        <w:t>CFO”).</w:t>
      </w:r>
    </w:p>
    <w:p>
      <w:pPr>
        <w:spacing w:after="0" w:line="153" w:lineRule="exact"/>
        <w:rPr>
          <w:rFonts w:ascii="Arial" w:cs="Arial" w:eastAsia="Arial" w:hAnsi="Arial"/>
          <w:sz w:val="18"/>
          <w:szCs w:val="18"/>
          <w:color w:val="auto"/>
        </w:rPr>
      </w:pPr>
    </w:p>
    <w:p>
      <w:pPr>
        <w:ind w:left="340" w:hanging="332"/>
        <w:spacing w:after="0" w:line="271" w:lineRule="auto"/>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Michael K. Tucker – </w:t>
      </w:r>
      <w:r>
        <w:rPr>
          <w:rFonts w:ascii="Arial" w:cs="Arial" w:eastAsia="Arial" w:hAnsi="Arial"/>
          <w:sz w:val="18"/>
          <w:szCs w:val="18"/>
          <w:color w:val="auto"/>
        </w:rPr>
        <w:t>separated from the Company in March 2020 as Executive Vice President, General Counsel and Chief Compliance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(our “Former GC”).</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Compensation for our CEO and EVP, Americas for 2020 was initially approved based on each executive’s prior role, together with incremental amounts for their interim assignments, and subsequent decisions were made in connection with their June 2020 appointments. A discussion of all pay decisions related to the management changes described above can be found under “Pay Decisions Related to 2020 Management Changes.”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Compensation for our NEOs is typically comprised of the following components, each of which is designed to provide competitive compensation to attract and retain a highly qualified executive team:</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Component</w:t>
            </w:r>
          </w:p>
        </w:tc>
        <w:tc>
          <w:tcPr>
            <w:tcW w:w="84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Function and Objective</w:t>
            </w:r>
          </w:p>
        </w:tc>
      </w:tr>
      <w:tr>
        <w:trPr>
          <w:trHeight w:val="215"/>
        </w:trPr>
        <w:tc>
          <w:tcPr>
            <w:tcW w:w="2760" w:type="dxa"/>
            <w:vAlign w:val="bottom"/>
            <w:shd w:val="clear" w:color="auto" w:fill="D2D3D5"/>
          </w:tcPr>
          <w:p>
            <w:pPr>
              <w:ind w:left="60"/>
              <w:spacing w:after="0"/>
              <w:rPr>
                <w:sz w:val="20"/>
                <w:szCs w:val="20"/>
                <w:color w:val="auto"/>
              </w:rPr>
            </w:pPr>
            <w:r>
              <w:rPr>
                <w:rFonts w:ascii="Arial" w:cs="Arial" w:eastAsia="Arial" w:hAnsi="Arial"/>
                <w:sz w:val="18"/>
                <w:szCs w:val="18"/>
                <w:i w:val="1"/>
                <w:iCs w:val="1"/>
                <w:color w:val="auto"/>
              </w:rPr>
              <w:t>Base Salary</w:t>
            </w:r>
          </w:p>
        </w:tc>
        <w:tc>
          <w:tcPr>
            <w:tcW w:w="8480" w:type="dxa"/>
            <w:vAlign w:val="bottom"/>
            <w:shd w:val="clear" w:color="auto" w:fill="D2D3D5"/>
          </w:tcPr>
          <w:p>
            <w:pPr>
              <w:ind w:left="400"/>
              <w:spacing w:after="0"/>
              <w:rPr>
                <w:sz w:val="20"/>
                <w:szCs w:val="20"/>
                <w:color w:val="auto"/>
              </w:rPr>
            </w:pPr>
            <w:r>
              <w:rPr>
                <w:rFonts w:ascii="Arial" w:cs="Arial" w:eastAsia="Arial" w:hAnsi="Arial"/>
                <w:sz w:val="18"/>
                <w:szCs w:val="18"/>
                <w:color w:val="auto"/>
              </w:rPr>
              <w:t>Paid in cash and provides a fixed form of annual compensation for the performance of primary</w:t>
            </w:r>
          </w:p>
        </w:tc>
      </w:tr>
      <w:tr>
        <w:trPr>
          <w:trHeight w:val="203"/>
        </w:trPr>
        <w:tc>
          <w:tcPr>
            <w:tcW w:w="2760" w:type="dxa"/>
            <w:vAlign w:val="bottom"/>
            <w:tcBorders>
              <w:bottom w:val="single" w:sz="8" w:color="auto"/>
            </w:tcBorders>
            <w:shd w:val="clear" w:color="auto" w:fill="D2D3D5"/>
          </w:tcPr>
          <w:p>
            <w:pPr>
              <w:spacing w:after="0"/>
              <w:rPr>
                <w:sz w:val="17"/>
                <w:szCs w:val="17"/>
                <w:color w:val="auto"/>
              </w:rPr>
            </w:pPr>
          </w:p>
        </w:tc>
        <w:tc>
          <w:tcPr>
            <w:tcW w:w="8480" w:type="dxa"/>
            <w:vAlign w:val="bottom"/>
            <w:tcBorders>
              <w:bottom w:val="single" w:sz="8" w:color="auto"/>
            </w:tcBorders>
            <w:shd w:val="clear" w:color="auto" w:fill="D2D3D5"/>
          </w:tcPr>
          <w:p>
            <w:pPr>
              <w:ind w:left="400"/>
              <w:spacing w:after="0" w:line="203" w:lineRule="exact"/>
              <w:rPr>
                <w:sz w:val="20"/>
                <w:szCs w:val="20"/>
                <w:color w:val="auto"/>
              </w:rPr>
            </w:pPr>
            <w:r>
              <w:rPr>
                <w:rFonts w:ascii="Arial" w:cs="Arial" w:eastAsia="Arial" w:hAnsi="Arial"/>
                <w:sz w:val="18"/>
                <w:szCs w:val="18"/>
                <w:color w:val="auto"/>
              </w:rPr>
              <w:t>responsibilities at a level consistent with each executive’s experience and role.</w:t>
            </w:r>
          </w:p>
        </w:tc>
      </w:tr>
      <w:tr>
        <w:trPr>
          <w:trHeight w:val="195"/>
        </w:trPr>
        <w:tc>
          <w:tcPr>
            <w:tcW w:w="2760" w:type="dxa"/>
            <w:vAlign w:val="bottom"/>
          </w:tcPr>
          <w:p>
            <w:pPr>
              <w:ind w:left="60"/>
              <w:spacing w:after="0" w:line="195" w:lineRule="exact"/>
              <w:rPr>
                <w:sz w:val="20"/>
                <w:szCs w:val="20"/>
                <w:color w:val="auto"/>
              </w:rPr>
            </w:pPr>
            <w:r>
              <w:rPr>
                <w:rFonts w:ascii="Arial" w:cs="Arial" w:eastAsia="Arial" w:hAnsi="Arial"/>
                <w:sz w:val="18"/>
                <w:szCs w:val="18"/>
                <w:i w:val="1"/>
                <w:iCs w:val="1"/>
                <w:color w:val="auto"/>
              </w:rPr>
              <w:t>Annual Incentive Awards</w:t>
            </w:r>
          </w:p>
        </w:tc>
        <w:tc>
          <w:tcPr>
            <w:tcW w:w="8480" w:type="dxa"/>
            <w:vAlign w:val="bottom"/>
          </w:tcPr>
          <w:p>
            <w:pPr>
              <w:ind w:left="400"/>
              <w:spacing w:after="0" w:line="195" w:lineRule="exact"/>
              <w:rPr>
                <w:sz w:val="20"/>
                <w:szCs w:val="20"/>
                <w:color w:val="auto"/>
              </w:rPr>
            </w:pPr>
            <w:r>
              <w:rPr>
                <w:rFonts w:ascii="Arial" w:cs="Arial" w:eastAsia="Arial" w:hAnsi="Arial"/>
                <w:sz w:val="18"/>
                <w:szCs w:val="18"/>
                <w:color w:val="auto"/>
              </w:rPr>
              <w:t>Comprised of annual cash incentive opportunities that are performance-based, and reward our</w:t>
            </w:r>
          </w:p>
        </w:tc>
      </w:tr>
      <w:tr>
        <w:trPr>
          <w:trHeight w:val="203"/>
        </w:trPr>
        <w:tc>
          <w:tcPr>
            <w:tcW w:w="2760" w:type="dxa"/>
            <w:vAlign w:val="bottom"/>
          </w:tcPr>
          <w:p>
            <w:pPr>
              <w:spacing w:after="0"/>
              <w:rPr>
                <w:sz w:val="17"/>
                <w:szCs w:val="17"/>
                <w:color w:val="auto"/>
              </w:rPr>
            </w:pPr>
          </w:p>
        </w:tc>
        <w:tc>
          <w:tcPr>
            <w:tcW w:w="8480" w:type="dxa"/>
            <w:vAlign w:val="bottom"/>
          </w:tcPr>
          <w:p>
            <w:pPr>
              <w:ind w:left="400"/>
              <w:spacing w:after="0" w:line="202" w:lineRule="exact"/>
              <w:rPr>
                <w:sz w:val="20"/>
                <w:szCs w:val="20"/>
                <w:color w:val="auto"/>
              </w:rPr>
            </w:pPr>
            <w:r>
              <w:rPr>
                <w:rFonts w:ascii="Arial" w:cs="Arial" w:eastAsia="Arial" w:hAnsi="Arial"/>
                <w:sz w:val="18"/>
                <w:szCs w:val="18"/>
                <w:color w:val="auto"/>
              </w:rPr>
              <w:t>executives upon achieving or exceeding specific annual operational, financial and individual goals</w:t>
            </w:r>
          </w:p>
        </w:tc>
      </w:tr>
      <w:tr>
        <w:trPr>
          <w:trHeight w:val="203"/>
        </w:trPr>
        <w:tc>
          <w:tcPr>
            <w:tcW w:w="2760" w:type="dxa"/>
            <w:vAlign w:val="bottom"/>
            <w:tcBorders>
              <w:bottom w:val="single" w:sz="8" w:color="auto"/>
            </w:tcBorders>
          </w:tcPr>
          <w:p>
            <w:pPr>
              <w:spacing w:after="0"/>
              <w:rPr>
                <w:sz w:val="17"/>
                <w:szCs w:val="17"/>
                <w:color w:val="auto"/>
              </w:rPr>
            </w:pPr>
          </w:p>
        </w:tc>
        <w:tc>
          <w:tcPr>
            <w:tcW w:w="8480" w:type="dxa"/>
            <w:vAlign w:val="bottom"/>
            <w:tcBorders>
              <w:bottom w:val="single" w:sz="8" w:color="auto"/>
            </w:tcBorders>
          </w:tcPr>
          <w:p>
            <w:pPr>
              <w:ind w:left="400"/>
              <w:spacing w:after="0" w:line="203" w:lineRule="exact"/>
              <w:rPr>
                <w:sz w:val="20"/>
                <w:szCs w:val="20"/>
                <w:color w:val="auto"/>
              </w:rPr>
            </w:pPr>
            <w:r>
              <w:rPr>
                <w:rFonts w:ascii="Arial" w:cs="Arial" w:eastAsia="Arial" w:hAnsi="Arial"/>
                <w:sz w:val="18"/>
                <w:szCs w:val="18"/>
                <w:color w:val="auto"/>
              </w:rPr>
              <w:t>using performance metrics approved by the Committee.</w:t>
            </w:r>
          </w:p>
        </w:tc>
      </w:tr>
      <w:tr>
        <w:trPr>
          <w:trHeight w:val="195"/>
        </w:trPr>
        <w:tc>
          <w:tcPr>
            <w:tcW w:w="2760" w:type="dxa"/>
            <w:vAlign w:val="bottom"/>
            <w:shd w:val="clear" w:color="auto" w:fill="D2D3D5"/>
          </w:tcPr>
          <w:p>
            <w:pPr>
              <w:ind w:left="60"/>
              <w:spacing w:after="0" w:line="195" w:lineRule="exact"/>
              <w:rPr>
                <w:sz w:val="20"/>
                <w:szCs w:val="20"/>
                <w:color w:val="auto"/>
              </w:rPr>
            </w:pPr>
            <w:r>
              <w:rPr>
                <w:rFonts w:ascii="Arial" w:cs="Arial" w:eastAsia="Arial" w:hAnsi="Arial"/>
                <w:sz w:val="18"/>
                <w:szCs w:val="18"/>
                <w:i w:val="1"/>
                <w:iCs w:val="1"/>
                <w:color w:val="auto"/>
              </w:rPr>
              <w:t>Long-Term Incentive Awards</w:t>
            </w:r>
          </w:p>
        </w:tc>
        <w:tc>
          <w:tcPr>
            <w:tcW w:w="8480" w:type="dxa"/>
            <w:vAlign w:val="bottom"/>
            <w:shd w:val="clear" w:color="auto" w:fill="D2D3D5"/>
          </w:tcPr>
          <w:p>
            <w:pPr>
              <w:ind w:left="400"/>
              <w:spacing w:after="0" w:line="195" w:lineRule="exact"/>
              <w:rPr>
                <w:sz w:val="20"/>
                <w:szCs w:val="20"/>
                <w:color w:val="auto"/>
              </w:rPr>
            </w:pPr>
            <w:r>
              <w:rPr>
                <w:rFonts w:ascii="Arial" w:cs="Arial" w:eastAsia="Arial" w:hAnsi="Arial"/>
                <w:sz w:val="18"/>
                <w:szCs w:val="18"/>
                <w:color w:val="auto"/>
              </w:rPr>
              <w:t>Designed to align executive rewards with shareholder interests, provide an incentive for our</w:t>
            </w:r>
          </w:p>
        </w:tc>
      </w:tr>
      <w:tr>
        <w:trPr>
          <w:trHeight w:val="203"/>
        </w:trPr>
        <w:tc>
          <w:tcPr>
            <w:tcW w:w="2760" w:type="dxa"/>
            <w:vAlign w:val="bottom"/>
            <w:shd w:val="clear" w:color="auto" w:fill="D2D3D5"/>
          </w:tcPr>
          <w:p>
            <w:pPr>
              <w:spacing w:after="0"/>
              <w:rPr>
                <w:sz w:val="17"/>
                <w:szCs w:val="17"/>
                <w:color w:val="auto"/>
              </w:rPr>
            </w:pPr>
          </w:p>
        </w:tc>
        <w:tc>
          <w:tcPr>
            <w:tcW w:w="8480" w:type="dxa"/>
            <w:vAlign w:val="bottom"/>
            <w:shd w:val="clear" w:color="auto" w:fill="D2D3D5"/>
          </w:tcPr>
          <w:p>
            <w:pPr>
              <w:ind w:left="400"/>
              <w:spacing w:after="0" w:line="202" w:lineRule="exact"/>
              <w:rPr>
                <w:sz w:val="20"/>
                <w:szCs w:val="20"/>
                <w:color w:val="auto"/>
              </w:rPr>
            </w:pPr>
            <w:r>
              <w:rPr>
                <w:rFonts w:ascii="Arial" w:cs="Arial" w:eastAsia="Arial" w:hAnsi="Arial"/>
                <w:sz w:val="18"/>
                <w:szCs w:val="18"/>
                <w:color w:val="auto"/>
              </w:rPr>
              <w:t>executives to achieve appropriately challenging long-range performance goals, and allow our</w:t>
            </w:r>
          </w:p>
        </w:tc>
      </w:tr>
      <w:tr>
        <w:trPr>
          <w:trHeight w:val="203"/>
        </w:trPr>
        <w:tc>
          <w:tcPr>
            <w:tcW w:w="2760" w:type="dxa"/>
            <w:vAlign w:val="bottom"/>
            <w:tcBorders>
              <w:bottom w:val="single" w:sz="8" w:color="auto"/>
            </w:tcBorders>
            <w:shd w:val="clear" w:color="auto" w:fill="D2D3D5"/>
          </w:tcPr>
          <w:p>
            <w:pPr>
              <w:spacing w:after="0"/>
              <w:rPr>
                <w:sz w:val="17"/>
                <w:szCs w:val="17"/>
                <w:color w:val="auto"/>
              </w:rPr>
            </w:pPr>
          </w:p>
        </w:tc>
        <w:tc>
          <w:tcPr>
            <w:tcW w:w="8480" w:type="dxa"/>
            <w:vAlign w:val="bottom"/>
            <w:tcBorders>
              <w:bottom w:val="single" w:sz="8" w:color="auto"/>
            </w:tcBorders>
            <w:shd w:val="clear" w:color="auto" w:fill="D2D3D5"/>
          </w:tcPr>
          <w:p>
            <w:pPr>
              <w:ind w:left="400"/>
              <w:spacing w:after="0" w:line="203" w:lineRule="exact"/>
              <w:rPr>
                <w:sz w:val="20"/>
                <w:szCs w:val="20"/>
                <w:color w:val="auto"/>
              </w:rPr>
            </w:pPr>
            <w:r>
              <w:rPr>
                <w:rFonts w:ascii="Arial" w:cs="Arial" w:eastAsia="Arial" w:hAnsi="Arial"/>
                <w:sz w:val="18"/>
                <w:szCs w:val="18"/>
                <w:color w:val="auto"/>
              </w:rPr>
              <w:t>executives to share in the value created for the Company’s shareholders.</w:t>
            </w:r>
          </w:p>
        </w:tc>
      </w:tr>
      <w:tr>
        <w:trPr>
          <w:trHeight w:val="195"/>
        </w:trPr>
        <w:tc>
          <w:tcPr>
            <w:tcW w:w="2760" w:type="dxa"/>
            <w:vAlign w:val="bottom"/>
          </w:tcPr>
          <w:p>
            <w:pPr>
              <w:ind w:left="60"/>
              <w:spacing w:after="0" w:line="195" w:lineRule="exact"/>
              <w:rPr>
                <w:sz w:val="20"/>
                <w:szCs w:val="20"/>
                <w:color w:val="auto"/>
              </w:rPr>
            </w:pPr>
            <w:r>
              <w:rPr>
                <w:rFonts w:ascii="Arial" w:cs="Arial" w:eastAsia="Arial" w:hAnsi="Arial"/>
                <w:sz w:val="18"/>
                <w:szCs w:val="18"/>
                <w:i w:val="1"/>
                <w:iCs w:val="1"/>
                <w:color w:val="auto"/>
              </w:rPr>
              <w:t>Other Compensation</w:t>
            </w:r>
          </w:p>
        </w:tc>
        <w:tc>
          <w:tcPr>
            <w:tcW w:w="8480" w:type="dxa"/>
            <w:vAlign w:val="bottom"/>
          </w:tcPr>
          <w:p>
            <w:pPr>
              <w:ind w:left="400"/>
              <w:spacing w:after="0" w:line="195" w:lineRule="exact"/>
              <w:rPr>
                <w:sz w:val="20"/>
                <w:szCs w:val="20"/>
                <w:color w:val="auto"/>
              </w:rPr>
            </w:pPr>
            <w:r>
              <w:rPr>
                <w:rFonts w:ascii="Arial" w:cs="Arial" w:eastAsia="Arial" w:hAnsi="Arial"/>
                <w:sz w:val="18"/>
                <w:szCs w:val="18"/>
                <w:color w:val="auto"/>
              </w:rPr>
              <w:t>·  We provide certain health, life insurance, disability and retirement benefits as part of our broad-</w:t>
            </w:r>
          </w:p>
        </w:tc>
      </w:tr>
      <w:tr>
        <w:trPr>
          <w:trHeight w:val="203"/>
        </w:trPr>
        <w:tc>
          <w:tcPr>
            <w:tcW w:w="2760" w:type="dxa"/>
            <w:vAlign w:val="bottom"/>
          </w:tcPr>
          <w:p>
            <w:pPr>
              <w:spacing w:after="0"/>
              <w:rPr>
                <w:sz w:val="17"/>
                <w:szCs w:val="17"/>
                <w:color w:val="auto"/>
              </w:rPr>
            </w:pPr>
          </w:p>
        </w:tc>
        <w:tc>
          <w:tcPr>
            <w:tcW w:w="8480" w:type="dxa"/>
            <w:vAlign w:val="bottom"/>
          </w:tcPr>
          <w:p>
            <w:pPr>
              <w:ind w:left="620"/>
              <w:spacing w:after="0" w:line="202" w:lineRule="exact"/>
              <w:rPr>
                <w:sz w:val="20"/>
                <w:szCs w:val="20"/>
                <w:color w:val="auto"/>
              </w:rPr>
            </w:pPr>
            <w:r>
              <w:rPr>
                <w:rFonts w:ascii="Arial" w:cs="Arial" w:eastAsia="Arial" w:hAnsi="Arial"/>
                <w:sz w:val="18"/>
                <w:szCs w:val="18"/>
                <w:color w:val="auto"/>
              </w:rPr>
              <w:t>based employee benefits program. Retirement benefits for our NEOs (other than our CEO) are</w:t>
            </w:r>
          </w:p>
        </w:tc>
      </w:tr>
      <w:tr>
        <w:trPr>
          <w:trHeight w:val="203"/>
        </w:trPr>
        <w:tc>
          <w:tcPr>
            <w:tcW w:w="2760" w:type="dxa"/>
            <w:vAlign w:val="bottom"/>
          </w:tcPr>
          <w:p>
            <w:pPr>
              <w:spacing w:after="0"/>
              <w:rPr>
                <w:sz w:val="17"/>
                <w:szCs w:val="17"/>
                <w:color w:val="auto"/>
              </w:rPr>
            </w:pPr>
          </w:p>
        </w:tc>
        <w:tc>
          <w:tcPr>
            <w:tcW w:w="8480" w:type="dxa"/>
            <w:vAlign w:val="bottom"/>
          </w:tcPr>
          <w:p>
            <w:pPr>
              <w:ind w:left="620"/>
              <w:spacing w:after="0" w:line="202" w:lineRule="exact"/>
              <w:rPr>
                <w:sz w:val="20"/>
                <w:szCs w:val="20"/>
                <w:color w:val="auto"/>
              </w:rPr>
            </w:pPr>
            <w:r>
              <w:rPr>
                <w:rFonts w:ascii="Arial" w:cs="Arial" w:eastAsia="Arial" w:hAnsi="Arial"/>
                <w:sz w:val="18"/>
                <w:szCs w:val="18"/>
                <w:color w:val="auto"/>
              </w:rPr>
              <w:t>limited to (i) deferrals under the Company’s deferred compensation plan for executives, which the</w:t>
            </w:r>
          </w:p>
        </w:tc>
      </w:tr>
      <w:tr>
        <w:trPr>
          <w:trHeight w:val="202"/>
        </w:trPr>
        <w:tc>
          <w:tcPr>
            <w:tcW w:w="2760" w:type="dxa"/>
            <w:vAlign w:val="bottom"/>
          </w:tcPr>
          <w:p>
            <w:pPr>
              <w:spacing w:after="0"/>
              <w:rPr>
                <w:sz w:val="17"/>
                <w:szCs w:val="17"/>
                <w:color w:val="auto"/>
              </w:rPr>
            </w:pPr>
          </w:p>
        </w:tc>
        <w:tc>
          <w:tcPr>
            <w:tcW w:w="8480" w:type="dxa"/>
            <w:vAlign w:val="bottom"/>
          </w:tcPr>
          <w:p>
            <w:pPr>
              <w:ind w:left="620"/>
              <w:spacing w:after="0" w:line="202" w:lineRule="exact"/>
              <w:rPr>
                <w:sz w:val="20"/>
                <w:szCs w:val="20"/>
                <w:color w:val="auto"/>
              </w:rPr>
            </w:pPr>
            <w:r>
              <w:rPr>
                <w:rFonts w:ascii="Arial" w:cs="Arial" w:eastAsia="Arial" w:hAnsi="Arial"/>
                <w:sz w:val="18"/>
                <w:szCs w:val="18"/>
                <w:color w:val="auto"/>
              </w:rPr>
              <w:t>Company matches up to a maximum of 6% of base salary and annual incentive, and/or (ii)</w:t>
            </w:r>
          </w:p>
        </w:tc>
      </w:tr>
      <w:tr>
        <w:trPr>
          <w:trHeight w:val="203"/>
        </w:trPr>
        <w:tc>
          <w:tcPr>
            <w:tcW w:w="2760" w:type="dxa"/>
            <w:vAlign w:val="bottom"/>
          </w:tcPr>
          <w:p>
            <w:pPr>
              <w:spacing w:after="0"/>
              <w:rPr>
                <w:sz w:val="17"/>
                <w:szCs w:val="17"/>
                <w:color w:val="auto"/>
              </w:rPr>
            </w:pPr>
          </w:p>
        </w:tc>
        <w:tc>
          <w:tcPr>
            <w:tcW w:w="8480" w:type="dxa"/>
            <w:vAlign w:val="bottom"/>
          </w:tcPr>
          <w:p>
            <w:pPr>
              <w:ind w:left="620"/>
              <w:spacing w:after="0" w:line="202" w:lineRule="exact"/>
              <w:rPr>
                <w:sz w:val="20"/>
                <w:szCs w:val="20"/>
                <w:color w:val="auto"/>
              </w:rPr>
            </w:pPr>
            <w:r>
              <w:rPr>
                <w:rFonts w:ascii="Arial" w:cs="Arial" w:eastAsia="Arial" w:hAnsi="Arial"/>
                <w:sz w:val="18"/>
                <w:szCs w:val="18"/>
                <w:color w:val="auto"/>
              </w:rPr>
              <w:t>participation in our 401(k) plan. The Company suspended matching contributions under its</w:t>
            </w:r>
          </w:p>
        </w:tc>
      </w:tr>
      <w:tr>
        <w:trPr>
          <w:trHeight w:val="217"/>
        </w:trPr>
        <w:tc>
          <w:tcPr>
            <w:tcW w:w="2760" w:type="dxa"/>
            <w:vAlign w:val="bottom"/>
          </w:tcPr>
          <w:p>
            <w:pPr>
              <w:spacing w:after="0"/>
              <w:rPr>
                <w:sz w:val="18"/>
                <w:szCs w:val="18"/>
                <w:color w:val="auto"/>
              </w:rPr>
            </w:pPr>
          </w:p>
        </w:tc>
        <w:tc>
          <w:tcPr>
            <w:tcW w:w="8480" w:type="dxa"/>
            <w:vAlign w:val="bottom"/>
          </w:tcPr>
          <w:p>
            <w:pPr>
              <w:ind w:left="620"/>
              <w:spacing w:after="0"/>
              <w:rPr>
                <w:sz w:val="20"/>
                <w:szCs w:val="20"/>
                <w:color w:val="auto"/>
              </w:rPr>
            </w:pPr>
            <w:r>
              <w:rPr>
                <w:rFonts w:ascii="Arial" w:cs="Arial" w:eastAsia="Arial" w:hAnsi="Arial"/>
                <w:sz w:val="18"/>
                <w:szCs w:val="18"/>
                <w:color w:val="auto"/>
              </w:rPr>
              <w:t>deferred compensation and 401(k) plans from April through November 2020.</w:t>
            </w:r>
          </w:p>
        </w:tc>
      </w:tr>
      <w:tr>
        <w:trPr>
          <w:trHeight w:val="391"/>
        </w:trPr>
        <w:tc>
          <w:tcPr>
            <w:tcW w:w="2760" w:type="dxa"/>
            <w:vAlign w:val="bottom"/>
          </w:tcPr>
          <w:p>
            <w:pPr>
              <w:spacing w:after="0"/>
              <w:rPr>
                <w:sz w:val="24"/>
                <w:szCs w:val="24"/>
                <w:color w:val="auto"/>
              </w:rPr>
            </w:pPr>
          </w:p>
        </w:tc>
        <w:tc>
          <w:tcPr>
            <w:tcW w:w="8480" w:type="dxa"/>
            <w:vAlign w:val="bottom"/>
          </w:tcPr>
          <w:p>
            <w:pPr>
              <w:ind w:left="400"/>
              <w:spacing w:after="0"/>
              <w:rPr>
                <w:sz w:val="20"/>
                <w:szCs w:val="20"/>
                <w:color w:val="auto"/>
              </w:rPr>
            </w:pPr>
            <w:r>
              <w:rPr>
                <w:rFonts w:ascii="Arial" w:cs="Arial" w:eastAsia="Arial" w:hAnsi="Arial"/>
                <w:sz w:val="18"/>
                <w:szCs w:val="18"/>
                <w:color w:val="auto"/>
              </w:rPr>
              <w:t>·  Other executive benefits and perquisites include auto use and financial planning services. Our</w:t>
            </w:r>
          </w:p>
        </w:tc>
      </w:tr>
      <w:tr>
        <w:trPr>
          <w:trHeight w:val="210"/>
        </w:trPr>
        <w:tc>
          <w:tcPr>
            <w:tcW w:w="276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ind w:left="620"/>
              <w:spacing w:after="0" w:line="203" w:lineRule="exact"/>
              <w:rPr>
                <w:sz w:val="20"/>
                <w:szCs w:val="20"/>
                <w:color w:val="auto"/>
              </w:rPr>
            </w:pPr>
            <w:r>
              <w:rPr>
                <w:rFonts w:ascii="Arial" w:cs="Arial" w:eastAsia="Arial" w:hAnsi="Arial"/>
                <w:sz w:val="18"/>
                <w:szCs w:val="18"/>
                <w:color w:val="auto"/>
              </w:rPr>
              <w:t>CEO is also provided with agreed-upon limited personal use of Company-leased aircraft services.</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Analysis of 2020 Pay Decisions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Philosophy, Components and Mix of Executive Compensation</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“pay-for-performance” continued to be a fundamental tenet of our compensation philosophy, which includes rewarding attainment of appropriately challenging financial and individual performance goals and aligning our executives’ objectives with our shareholders’ interests, while ensuring that the Company’s executive compensation programs are designed to attract and retain a high-caliber leadership team. For 2021, the Committee expects to place enhanced focus on individual objectives with key metrics and measurable targets, provided Company financial threshold goals are achieved, as a way to strengthen its pay-for-performance philosophy.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Salaries for our Named Executive Officers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Salaries for NEOs are typically determined early in the year based on factors such as reasonable comparability with the Peer Group and Survey Data (as described under “Consideration of Peer Groups and Survey Data”), individual and financial performance, and each NEO’s responsibilities, capabilities and skills, commitment to our business, leadership and drive to add value. For 2020, the Committee also considered that the Company was undergoing the transition of its chief executive officer and approved base salary increases for some NEOs in the beginning of 2020 based on the factors described above.</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However, these increases were in effect solely until April 1, 2020, and at that time, a further 10% base salary reduction was implemented through October 1, 2020 in response to the effects on the Company’s business from COVID-19. Additional decisions related to base salary were made as discussed under “Pay Decisions Related to 2020 Management Changes.”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Incentive Awards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2020, the Committee approved an annual incentive program (the “2020 AIP”) consistent with the annual incentive program for 2019. Following program changes implemented in 2018, the Committee determined that consistency was important in order to understand the efficacy of the revised program and in light of the current Chief Executive Officer transition. Given our revenue decline for 2020, there were no payouts under the 2020 AIP.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0" w:lineRule="exact"/>
        <w:rPr>
          <w:sz w:val="20"/>
          <w:szCs w:val="20"/>
          <w:color w:val="auto"/>
        </w:rPr>
      </w:pPr>
    </w:p>
    <w:p>
      <w:pPr>
        <w:jc w:val="both"/>
        <w:spacing w:after="0" w:line="208" w:lineRule="auto"/>
        <w:rPr>
          <w:sz w:val="20"/>
          <w:szCs w:val="20"/>
          <w:color w:val="auto"/>
        </w:rPr>
      </w:pPr>
      <w:r>
        <w:rPr>
          <w:rFonts w:ascii="Arial" w:cs="Arial" w:eastAsia="Arial" w:hAnsi="Arial"/>
          <w:sz w:val="18"/>
          <w:szCs w:val="18"/>
          <w:color w:val="auto"/>
        </w:rPr>
        <w:t>We included Adjusted EBITDA</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as a metric in the 2020 AIP in recognition of its wide acceptance and understanding as a metric within the Company, and because Adjusted EBITDA is a key measure of operational and financial performance, driven by our annual business plan. Adjusted EBITDA has also been historically correlated to the Company’s stock price performance. We also included Adjusted Free Cash</w:t>
      </w:r>
    </w:p>
    <w:p>
      <w:pPr>
        <w:jc w:val="both"/>
        <w:spacing w:after="0" w:line="217" w:lineRule="auto"/>
        <w:rPr>
          <w:sz w:val="20"/>
          <w:szCs w:val="20"/>
          <w:color w:val="auto"/>
        </w:rPr>
      </w:pPr>
      <w:r>
        <w:rPr>
          <w:rFonts w:ascii="Arial" w:cs="Arial" w:eastAsia="Arial" w:hAnsi="Arial"/>
          <w:sz w:val="18"/>
          <w:szCs w:val="18"/>
          <w:color w:val="auto"/>
        </w:rPr>
        <w:t>Flow</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given the focus by shareholders on this metric, and an individual performance component intended to reward the contribution and value an executive brings to the organization as metrics in the 2020 AIP. Target payout opportunity as a percentage of base salary was 100% for our CEO and between 45% and 100% for our other NEOs, with total payout opportunity ranging from 25% to 200% of target. Our Executive Chairman did not participate in this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Goals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financial performance goals included in the 2020 AIP were set based on the Company’s 2020 business plan approved in early 2020 and within the estimated ranges as disclosed in the Company’s press release on February 19, 2020. At target, the Global Adjusted EBITDA goal and Adjusted Free Cash Flow goal represented an increase of 4.3% and 12.3%, respectively, over prior year results.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 AND ADJUSTED FREE CASH FLOW GOALS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20" w:type="dxa"/>
            <w:vAlign w:val="bottom"/>
            <w:gridSpan w:val="3"/>
          </w:tcPr>
          <w:p>
            <w:pPr>
              <w:jc w:val="center"/>
              <w:ind w:right="1080"/>
              <w:spacing w:after="0"/>
              <w:rPr>
                <w:sz w:val="20"/>
                <w:szCs w:val="20"/>
                <w:color w:val="auto"/>
              </w:rPr>
            </w:pPr>
            <w:r>
              <w:rPr>
                <w:rFonts w:ascii="Arial" w:cs="Arial" w:eastAsia="Arial" w:hAnsi="Arial"/>
                <w:sz w:val="16"/>
                <w:szCs w:val="16"/>
                <w:b w:val="1"/>
                <w:bCs w:val="1"/>
                <w:color w:val="auto"/>
              </w:rPr>
              <w:t>Adjusted EBITDA Goals</w:t>
            </w: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rPr>
              <w:t>Adjusted Free Cash Flow Goals</w:t>
            </w:r>
          </w:p>
        </w:tc>
      </w:tr>
      <w:tr>
        <w:trPr>
          <w:trHeight w:val="214"/>
        </w:trPr>
        <w:tc>
          <w:tcPr>
            <w:tcW w:w="25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rPr>
              <w:t>(in millions)</w:t>
            </w:r>
          </w:p>
        </w:tc>
        <w:tc>
          <w:tcPr>
            <w:tcW w:w="12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r>
      <w:tr>
        <w:trPr>
          <w:trHeight w:val="171"/>
        </w:trPr>
        <w:tc>
          <w:tcPr>
            <w:tcW w:w="2560" w:type="dxa"/>
            <w:vAlign w:val="bottom"/>
          </w:tcPr>
          <w:p>
            <w:pPr>
              <w:spacing w:after="0"/>
              <w:rPr>
                <w:sz w:val="14"/>
                <w:szCs w:val="14"/>
                <w:color w:val="auto"/>
              </w:rPr>
            </w:pPr>
          </w:p>
        </w:tc>
        <w:tc>
          <w:tcPr>
            <w:tcW w:w="2260" w:type="dxa"/>
            <w:vAlign w:val="bottom"/>
          </w:tcPr>
          <w:p>
            <w:pPr>
              <w:jc w:val="center"/>
              <w:ind w:left="719"/>
              <w:spacing w:after="0" w:line="171" w:lineRule="exact"/>
              <w:rPr>
                <w:sz w:val="20"/>
                <w:szCs w:val="20"/>
                <w:color w:val="auto"/>
              </w:rPr>
            </w:pPr>
            <w:r>
              <w:rPr>
                <w:rFonts w:ascii="Arial" w:cs="Arial" w:eastAsia="Arial" w:hAnsi="Arial"/>
                <w:sz w:val="16"/>
                <w:szCs w:val="16"/>
                <w:b w:val="1"/>
                <w:bCs w:val="1"/>
                <w:color w:val="auto"/>
              </w:rPr>
              <w:t>Opportunity</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207"/>
        </w:trPr>
        <w:tc>
          <w:tcPr>
            <w:tcW w:w="25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Achievement Level</w:t>
            </w:r>
          </w:p>
        </w:tc>
        <w:tc>
          <w:tcPr>
            <w:tcW w:w="2260" w:type="dxa"/>
            <w:vAlign w:val="bottom"/>
            <w:tcBorders>
              <w:bottom w:val="single" w:sz="8" w:color="auto"/>
            </w:tcBorders>
          </w:tcPr>
          <w:p>
            <w:pPr>
              <w:jc w:val="center"/>
              <w:ind w:left="739"/>
              <w:spacing w:after="0"/>
              <w:rPr>
                <w:sz w:val="20"/>
                <w:szCs w:val="20"/>
                <w:color w:val="auto"/>
              </w:rPr>
            </w:pPr>
            <w:r>
              <w:rPr>
                <w:rFonts w:ascii="Arial" w:cs="Arial" w:eastAsia="Arial" w:hAnsi="Arial"/>
                <w:sz w:val="16"/>
                <w:szCs w:val="16"/>
                <w:b w:val="1"/>
                <w:bCs w:val="1"/>
                <w:color w:val="auto"/>
                <w:w w:val="99"/>
              </w:rPr>
              <w:t>(% of Target)*</w:t>
            </w:r>
          </w:p>
        </w:tc>
        <w:tc>
          <w:tcPr>
            <w:tcW w:w="96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Global**</w:t>
            </w:r>
          </w:p>
        </w:tc>
        <w:tc>
          <w:tcPr>
            <w:tcW w:w="1620" w:type="dxa"/>
            <w:vAlign w:val="bottom"/>
            <w:tcBorders>
              <w:bottom w:val="single" w:sz="8" w:color="auto"/>
            </w:tcBorders>
          </w:tcPr>
          <w:p>
            <w:pPr>
              <w:jc w:val="center"/>
              <w:ind w:left="219"/>
              <w:spacing w:after="0"/>
              <w:rPr>
                <w:sz w:val="20"/>
                <w:szCs w:val="20"/>
                <w:color w:val="auto"/>
              </w:rPr>
            </w:pPr>
            <w:r>
              <w:rPr>
                <w:rFonts w:ascii="Arial" w:cs="Arial" w:eastAsia="Arial" w:hAnsi="Arial"/>
                <w:sz w:val="16"/>
                <w:szCs w:val="16"/>
                <w:b w:val="1"/>
                <w:bCs w:val="1"/>
                <w:color w:val="auto"/>
                <w:w w:val="99"/>
              </w:rPr>
              <w:t>Americas</w:t>
            </w:r>
          </w:p>
        </w:tc>
        <w:tc>
          <w:tcPr>
            <w:tcW w:w="140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6"/>
                <w:szCs w:val="16"/>
                <w:b w:val="1"/>
                <w:bCs w:val="1"/>
                <w:color w:val="auto"/>
              </w:rPr>
              <w:t>International</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Global</w:t>
            </w:r>
          </w:p>
        </w:tc>
      </w:tr>
      <w:tr>
        <w:trPr>
          <w:trHeight w:val="183"/>
        </w:trPr>
        <w:tc>
          <w:tcPr>
            <w:tcW w:w="2560" w:type="dxa"/>
            <w:vAlign w:val="bottom"/>
            <w:tcBorders>
              <w:bottom w:val="single" w:sz="8" w:color="auto"/>
            </w:tcBorders>
            <w:shd w:val="clear" w:color="auto" w:fill="D2D3D5"/>
          </w:tcPr>
          <w:p>
            <w:pPr>
              <w:ind w:left="60"/>
              <w:spacing w:after="0" w:line="183" w:lineRule="exact"/>
              <w:rPr>
                <w:sz w:val="20"/>
                <w:szCs w:val="20"/>
                <w:color w:val="auto"/>
              </w:rPr>
            </w:pPr>
            <w:r>
              <w:rPr>
                <w:rFonts w:ascii="Arial" w:cs="Arial" w:eastAsia="Arial" w:hAnsi="Arial"/>
                <w:sz w:val="16"/>
                <w:szCs w:val="16"/>
                <w:color w:val="auto"/>
              </w:rPr>
              <w:t>Maximum</w:t>
            </w:r>
          </w:p>
        </w:tc>
        <w:tc>
          <w:tcPr>
            <w:tcW w:w="2260" w:type="dxa"/>
            <w:vAlign w:val="bottom"/>
            <w:tcBorders>
              <w:bottom w:val="single" w:sz="8" w:color="auto"/>
            </w:tcBorders>
            <w:shd w:val="clear" w:color="auto" w:fill="D2D3D5"/>
          </w:tcPr>
          <w:p>
            <w:pPr>
              <w:jc w:val="center"/>
              <w:ind w:left="719"/>
              <w:spacing w:after="0" w:line="183" w:lineRule="exact"/>
              <w:rPr>
                <w:sz w:val="20"/>
                <w:szCs w:val="20"/>
                <w:color w:val="auto"/>
              </w:rPr>
            </w:pPr>
            <w:r>
              <w:rPr>
                <w:rFonts w:ascii="Arial" w:cs="Arial" w:eastAsia="Arial" w:hAnsi="Arial"/>
                <w:sz w:val="16"/>
                <w:szCs w:val="16"/>
                <w:color w:val="auto"/>
              </w:rPr>
              <w:t>200%</w:t>
            </w:r>
          </w:p>
        </w:tc>
        <w:tc>
          <w:tcPr>
            <w:tcW w:w="960" w:type="dxa"/>
            <w:vAlign w:val="bottom"/>
            <w:tcBorders>
              <w:bottom w:val="single" w:sz="8" w:color="auto"/>
            </w:tcBorders>
            <w:shd w:val="clear" w:color="auto" w:fill="D2D3D5"/>
          </w:tcPr>
          <w:p>
            <w:pPr>
              <w:jc w:val="center"/>
              <w:ind w:left="159"/>
              <w:spacing w:after="0" w:line="183" w:lineRule="exact"/>
              <w:rPr>
                <w:sz w:val="20"/>
                <w:szCs w:val="20"/>
                <w:color w:val="auto"/>
              </w:rPr>
            </w:pPr>
            <w:r>
              <w:rPr>
                <w:rFonts w:ascii="Arial" w:cs="Arial" w:eastAsia="Arial" w:hAnsi="Arial"/>
                <w:sz w:val="16"/>
                <w:szCs w:val="16"/>
                <w:color w:val="auto"/>
              </w:rPr>
              <w:t>$986</w:t>
            </w:r>
          </w:p>
        </w:tc>
        <w:tc>
          <w:tcPr>
            <w:tcW w:w="1620" w:type="dxa"/>
            <w:vAlign w:val="bottom"/>
            <w:tcBorders>
              <w:bottom w:val="single" w:sz="8" w:color="auto"/>
            </w:tcBorders>
            <w:shd w:val="clear" w:color="auto" w:fill="D2D3D5"/>
          </w:tcPr>
          <w:p>
            <w:pPr>
              <w:jc w:val="center"/>
              <w:ind w:left="219"/>
              <w:spacing w:after="0" w:line="183" w:lineRule="exact"/>
              <w:rPr>
                <w:sz w:val="20"/>
                <w:szCs w:val="20"/>
                <w:color w:val="auto"/>
              </w:rPr>
            </w:pPr>
            <w:r>
              <w:rPr>
                <w:rFonts w:ascii="Arial" w:cs="Arial" w:eastAsia="Arial" w:hAnsi="Arial"/>
                <w:sz w:val="16"/>
                <w:szCs w:val="16"/>
                <w:color w:val="auto"/>
              </w:rPr>
              <w:t>$826</w:t>
            </w:r>
          </w:p>
        </w:tc>
        <w:tc>
          <w:tcPr>
            <w:tcW w:w="1280" w:type="dxa"/>
            <w:vAlign w:val="bottom"/>
            <w:tcBorders>
              <w:bottom w:val="single" w:sz="8" w:color="auto"/>
            </w:tcBorders>
            <w:shd w:val="clear" w:color="auto" w:fill="D2D3D5"/>
          </w:tcPr>
          <w:p>
            <w:pPr>
              <w:jc w:val="center"/>
              <w:spacing w:after="0" w:line="183" w:lineRule="exact"/>
              <w:rPr>
                <w:sz w:val="20"/>
                <w:szCs w:val="20"/>
                <w:color w:val="auto"/>
              </w:rPr>
            </w:pPr>
            <w:r>
              <w:rPr>
                <w:rFonts w:ascii="Arial" w:cs="Arial" w:eastAsia="Arial" w:hAnsi="Arial"/>
                <w:sz w:val="16"/>
                <w:szCs w:val="16"/>
                <w:color w:val="auto"/>
              </w:rPr>
              <w:t>$256</w:t>
            </w:r>
          </w:p>
        </w:tc>
        <w:tc>
          <w:tcPr>
            <w:tcW w:w="120" w:type="dxa"/>
            <w:vAlign w:val="bottom"/>
            <w:tcBorders>
              <w:bottom w:val="single" w:sz="8" w:color="auto"/>
            </w:tcBorders>
            <w:shd w:val="clear" w:color="auto" w:fill="D2D3D5"/>
          </w:tcPr>
          <w:p>
            <w:pPr>
              <w:spacing w:after="0"/>
              <w:rPr>
                <w:sz w:val="15"/>
                <w:szCs w:val="15"/>
                <w:color w:val="auto"/>
              </w:rPr>
            </w:pPr>
          </w:p>
        </w:tc>
        <w:tc>
          <w:tcPr>
            <w:tcW w:w="2440" w:type="dxa"/>
            <w:vAlign w:val="bottom"/>
            <w:tcBorders>
              <w:bottom w:val="single" w:sz="8" w:color="auto"/>
            </w:tcBorders>
            <w:shd w:val="clear" w:color="auto" w:fill="D2D3D5"/>
          </w:tcPr>
          <w:p>
            <w:pPr>
              <w:jc w:val="center"/>
              <w:spacing w:after="0" w:line="183" w:lineRule="exact"/>
              <w:rPr>
                <w:sz w:val="20"/>
                <w:szCs w:val="20"/>
                <w:color w:val="auto"/>
              </w:rPr>
            </w:pPr>
            <w:r>
              <w:rPr>
                <w:rFonts w:ascii="Arial" w:cs="Arial" w:eastAsia="Arial" w:hAnsi="Arial"/>
                <w:sz w:val="16"/>
                <w:szCs w:val="16"/>
                <w:color w:val="auto"/>
              </w:rPr>
              <w:t>$373</w:t>
            </w:r>
          </w:p>
        </w:tc>
      </w:tr>
      <w:tr>
        <w:trPr>
          <w:trHeight w:val="183"/>
        </w:trPr>
        <w:tc>
          <w:tcPr>
            <w:tcW w:w="2560" w:type="dxa"/>
            <w:vAlign w:val="bottom"/>
            <w:tcBorders>
              <w:bottom w:val="single" w:sz="8" w:color="auto"/>
            </w:tcBorders>
          </w:tcPr>
          <w:p>
            <w:pPr>
              <w:ind w:left="60"/>
              <w:spacing w:after="0" w:line="183" w:lineRule="exact"/>
              <w:rPr>
                <w:sz w:val="20"/>
                <w:szCs w:val="20"/>
                <w:color w:val="auto"/>
              </w:rPr>
            </w:pPr>
            <w:r>
              <w:rPr>
                <w:rFonts w:ascii="Arial" w:cs="Arial" w:eastAsia="Arial" w:hAnsi="Arial"/>
                <w:sz w:val="16"/>
                <w:szCs w:val="16"/>
                <w:color w:val="auto"/>
              </w:rPr>
              <w:t>Target</w:t>
            </w:r>
          </w:p>
        </w:tc>
        <w:tc>
          <w:tcPr>
            <w:tcW w:w="2260" w:type="dxa"/>
            <w:vAlign w:val="bottom"/>
            <w:tcBorders>
              <w:bottom w:val="single" w:sz="8" w:color="auto"/>
            </w:tcBorders>
          </w:tcPr>
          <w:p>
            <w:pPr>
              <w:jc w:val="center"/>
              <w:ind w:left="719"/>
              <w:spacing w:after="0" w:line="183" w:lineRule="exact"/>
              <w:rPr>
                <w:sz w:val="20"/>
                <w:szCs w:val="20"/>
                <w:color w:val="auto"/>
              </w:rPr>
            </w:pPr>
            <w:r>
              <w:rPr>
                <w:rFonts w:ascii="Arial" w:cs="Arial" w:eastAsia="Arial" w:hAnsi="Arial"/>
                <w:sz w:val="16"/>
                <w:szCs w:val="16"/>
                <w:color w:val="auto"/>
              </w:rPr>
              <w:t>100%</w:t>
            </w:r>
          </w:p>
        </w:tc>
        <w:tc>
          <w:tcPr>
            <w:tcW w:w="960" w:type="dxa"/>
            <w:vAlign w:val="bottom"/>
            <w:tcBorders>
              <w:bottom w:val="single" w:sz="8" w:color="auto"/>
            </w:tcBorders>
          </w:tcPr>
          <w:p>
            <w:pPr>
              <w:jc w:val="center"/>
              <w:ind w:left="159"/>
              <w:spacing w:after="0" w:line="183" w:lineRule="exact"/>
              <w:rPr>
                <w:sz w:val="20"/>
                <w:szCs w:val="20"/>
                <w:color w:val="auto"/>
              </w:rPr>
            </w:pPr>
            <w:r>
              <w:rPr>
                <w:rFonts w:ascii="Arial" w:cs="Arial" w:eastAsia="Arial" w:hAnsi="Arial"/>
                <w:sz w:val="16"/>
                <w:szCs w:val="16"/>
                <w:color w:val="auto"/>
              </w:rPr>
              <w:t>$822</w:t>
            </w:r>
          </w:p>
        </w:tc>
        <w:tc>
          <w:tcPr>
            <w:tcW w:w="1620" w:type="dxa"/>
            <w:vAlign w:val="bottom"/>
            <w:tcBorders>
              <w:bottom w:val="single" w:sz="8" w:color="auto"/>
            </w:tcBorders>
          </w:tcPr>
          <w:p>
            <w:pPr>
              <w:jc w:val="center"/>
              <w:ind w:left="219"/>
              <w:spacing w:after="0" w:line="183" w:lineRule="exact"/>
              <w:rPr>
                <w:sz w:val="20"/>
                <w:szCs w:val="20"/>
                <w:color w:val="auto"/>
              </w:rPr>
            </w:pPr>
            <w:r>
              <w:rPr>
                <w:rFonts w:ascii="Arial" w:cs="Arial" w:eastAsia="Arial" w:hAnsi="Arial"/>
                <w:sz w:val="16"/>
                <w:szCs w:val="16"/>
                <w:color w:val="auto"/>
              </w:rPr>
              <w:t>$688</w:t>
            </w:r>
          </w:p>
        </w:tc>
        <w:tc>
          <w:tcPr>
            <w:tcW w:w="128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$213</w:t>
            </w:r>
          </w:p>
        </w:tc>
        <w:tc>
          <w:tcPr>
            <w:tcW w:w="1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$311</w:t>
            </w:r>
          </w:p>
        </w:tc>
      </w:tr>
      <w:tr>
        <w:trPr>
          <w:trHeight w:val="189"/>
        </w:trPr>
        <w:tc>
          <w:tcPr>
            <w:tcW w:w="2560" w:type="dxa"/>
            <w:vAlign w:val="bottom"/>
            <w:tcBorders>
              <w:bottom w:val="single" w:sz="8" w:color="auto"/>
            </w:tcBorders>
            <w:shd w:val="clear" w:color="auto" w:fill="D2D3D5"/>
          </w:tcPr>
          <w:p>
            <w:pPr>
              <w:ind w:left="60"/>
              <w:spacing w:after="0" w:line="183" w:lineRule="exact"/>
              <w:rPr>
                <w:sz w:val="20"/>
                <w:szCs w:val="20"/>
                <w:color w:val="auto"/>
              </w:rPr>
            </w:pPr>
            <w:r>
              <w:rPr>
                <w:rFonts w:ascii="Arial" w:cs="Arial" w:eastAsia="Arial" w:hAnsi="Arial"/>
                <w:sz w:val="16"/>
                <w:szCs w:val="16"/>
                <w:color w:val="auto"/>
              </w:rPr>
              <w:t>Threshold</w:t>
            </w:r>
          </w:p>
        </w:tc>
        <w:tc>
          <w:tcPr>
            <w:tcW w:w="2260" w:type="dxa"/>
            <w:vAlign w:val="bottom"/>
            <w:tcBorders>
              <w:bottom w:val="single" w:sz="8" w:color="auto"/>
            </w:tcBorders>
            <w:shd w:val="clear" w:color="auto" w:fill="D2D3D5"/>
          </w:tcPr>
          <w:p>
            <w:pPr>
              <w:jc w:val="center"/>
              <w:ind w:left="719"/>
              <w:spacing w:after="0" w:line="183" w:lineRule="exact"/>
              <w:rPr>
                <w:sz w:val="20"/>
                <w:szCs w:val="20"/>
                <w:color w:val="auto"/>
              </w:rPr>
            </w:pPr>
            <w:r>
              <w:rPr>
                <w:rFonts w:ascii="Arial" w:cs="Arial" w:eastAsia="Arial" w:hAnsi="Arial"/>
                <w:sz w:val="16"/>
                <w:szCs w:val="16"/>
                <w:color w:val="auto"/>
              </w:rPr>
              <w:t>25%</w:t>
            </w:r>
          </w:p>
        </w:tc>
        <w:tc>
          <w:tcPr>
            <w:tcW w:w="960" w:type="dxa"/>
            <w:vAlign w:val="bottom"/>
            <w:tcBorders>
              <w:bottom w:val="single" w:sz="8" w:color="auto"/>
            </w:tcBorders>
            <w:shd w:val="clear" w:color="auto" w:fill="D2D3D5"/>
          </w:tcPr>
          <w:p>
            <w:pPr>
              <w:jc w:val="center"/>
              <w:ind w:left="159"/>
              <w:spacing w:after="0" w:line="183" w:lineRule="exact"/>
              <w:rPr>
                <w:sz w:val="20"/>
                <w:szCs w:val="20"/>
                <w:color w:val="auto"/>
              </w:rPr>
            </w:pPr>
            <w:r>
              <w:rPr>
                <w:rFonts w:ascii="Arial" w:cs="Arial" w:eastAsia="Arial" w:hAnsi="Arial"/>
                <w:sz w:val="16"/>
                <w:szCs w:val="16"/>
                <w:color w:val="auto"/>
              </w:rPr>
              <w:t>$740</w:t>
            </w:r>
          </w:p>
        </w:tc>
        <w:tc>
          <w:tcPr>
            <w:tcW w:w="1620" w:type="dxa"/>
            <w:vAlign w:val="bottom"/>
            <w:tcBorders>
              <w:bottom w:val="single" w:sz="8" w:color="auto"/>
            </w:tcBorders>
            <w:shd w:val="clear" w:color="auto" w:fill="D2D3D5"/>
          </w:tcPr>
          <w:p>
            <w:pPr>
              <w:jc w:val="center"/>
              <w:ind w:left="219"/>
              <w:spacing w:after="0" w:line="183" w:lineRule="exact"/>
              <w:rPr>
                <w:sz w:val="20"/>
                <w:szCs w:val="20"/>
                <w:color w:val="auto"/>
              </w:rPr>
            </w:pPr>
            <w:r>
              <w:rPr>
                <w:rFonts w:ascii="Arial" w:cs="Arial" w:eastAsia="Arial" w:hAnsi="Arial"/>
                <w:sz w:val="16"/>
                <w:szCs w:val="16"/>
                <w:color w:val="auto"/>
              </w:rPr>
              <w:t>$619</w:t>
            </w:r>
          </w:p>
        </w:tc>
        <w:tc>
          <w:tcPr>
            <w:tcW w:w="1280" w:type="dxa"/>
            <w:vAlign w:val="bottom"/>
            <w:tcBorders>
              <w:bottom w:val="single" w:sz="8" w:color="auto"/>
            </w:tcBorders>
            <w:shd w:val="clear" w:color="auto" w:fill="D2D3D5"/>
          </w:tcPr>
          <w:p>
            <w:pPr>
              <w:jc w:val="center"/>
              <w:spacing w:after="0" w:line="183" w:lineRule="exact"/>
              <w:rPr>
                <w:sz w:val="20"/>
                <w:szCs w:val="20"/>
                <w:color w:val="auto"/>
              </w:rPr>
            </w:pPr>
            <w:r>
              <w:rPr>
                <w:rFonts w:ascii="Arial" w:cs="Arial" w:eastAsia="Arial" w:hAnsi="Arial"/>
                <w:sz w:val="16"/>
                <w:szCs w:val="16"/>
                <w:color w:val="auto"/>
              </w:rPr>
              <w:t>$192</w:t>
            </w:r>
          </w:p>
        </w:tc>
        <w:tc>
          <w:tcPr>
            <w:tcW w:w="120" w:type="dxa"/>
            <w:vAlign w:val="bottom"/>
            <w:tcBorders>
              <w:bottom w:val="single" w:sz="8" w:color="auto"/>
            </w:tcBorders>
            <w:shd w:val="clear" w:color="auto" w:fill="D2D3D5"/>
          </w:tcPr>
          <w:p>
            <w:pPr>
              <w:spacing w:after="0"/>
              <w:rPr>
                <w:sz w:val="16"/>
                <w:szCs w:val="16"/>
                <w:color w:val="auto"/>
              </w:rPr>
            </w:pPr>
          </w:p>
        </w:tc>
        <w:tc>
          <w:tcPr>
            <w:tcW w:w="2440" w:type="dxa"/>
            <w:vAlign w:val="bottom"/>
            <w:tcBorders>
              <w:bottom w:val="single" w:sz="8" w:color="auto"/>
            </w:tcBorders>
            <w:shd w:val="clear" w:color="auto" w:fill="D2D3D5"/>
          </w:tcPr>
          <w:p>
            <w:pPr>
              <w:jc w:val="center"/>
              <w:spacing w:after="0" w:line="183" w:lineRule="exact"/>
              <w:rPr>
                <w:sz w:val="20"/>
                <w:szCs w:val="20"/>
                <w:color w:val="auto"/>
              </w:rPr>
            </w:pPr>
            <w:r>
              <w:rPr>
                <w:rFonts w:ascii="Arial" w:cs="Arial" w:eastAsia="Arial" w:hAnsi="Arial"/>
                <w:sz w:val="16"/>
                <w:szCs w:val="16"/>
                <w:color w:val="auto"/>
              </w:rPr>
              <w:t>$264</w:t>
            </w:r>
          </w:p>
        </w:tc>
      </w:tr>
    </w:tbl>
    <w:p>
      <w:pPr>
        <w:spacing w:after="0" w:line="72" w:lineRule="exact"/>
        <w:rPr>
          <w:sz w:val="20"/>
          <w:szCs w:val="20"/>
          <w:color w:val="auto"/>
        </w:rPr>
      </w:pPr>
    </w:p>
    <w:p>
      <w:pPr>
        <w:ind w:right="5660" w:firstLine="8"/>
        <w:spacing w:after="0" w:line="338" w:lineRule="auto"/>
        <w:tabs>
          <w:tab w:leader="none" w:pos="324" w:val="left"/>
        </w:tabs>
        <w:numPr>
          <w:ilvl w:val="0"/>
          <w:numId w:val="32"/>
        </w:numPr>
        <w:rPr>
          <w:rFonts w:ascii="Arial" w:cs="Arial" w:eastAsia="Arial" w:hAnsi="Arial"/>
          <w:sz w:val="14"/>
          <w:szCs w:val="14"/>
          <w:color w:val="auto"/>
        </w:rPr>
      </w:pPr>
      <w:r>
        <w:rPr>
          <w:rFonts w:ascii="Arial" w:cs="Arial" w:eastAsia="Arial" w:hAnsi="Arial"/>
          <w:sz w:val="14"/>
          <w:szCs w:val="14"/>
          <w:color w:val="auto"/>
        </w:rPr>
        <w:t>Straight-line interpolation used to determine achievement between specified goals. ** Includes unallocated corporate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Goals</w:t>
      </w:r>
    </w:p>
    <w:p>
      <w:pPr>
        <w:spacing w:after="0" w:line="23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Individual performance goals were established for each NEO based on key objectives in support of the Company’s strategic goals, as described in the “Strategy” section above, subject to the Company’s satisfaction of threshold financial performance goals.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Weightings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weighting for each component of the 2020 AIP were as follows:</w:t>
      </w:r>
    </w:p>
    <w:p>
      <w:pPr>
        <w:spacing w:after="0" w:line="212" w:lineRule="exact"/>
        <w:rPr>
          <w:sz w:val="20"/>
          <w:szCs w:val="20"/>
          <w:color w:val="auto"/>
        </w:rPr>
      </w:pPr>
    </w:p>
    <w:p>
      <w:pPr>
        <w:ind w:left="340" w:hanging="332"/>
        <w:spacing w:after="0" w:line="24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global roles, weightings were 50%, 25% and 25% for Global Adjusted EBITDA, Adjusted Free Cash Flow and the individual performance component, respectively.</w:t>
      </w:r>
    </w:p>
    <w:p>
      <w:pPr>
        <w:spacing w:after="0" w:line="196"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regional roles, weightings were 20%, 30%, 25% and 25% for Global Adjusted EBITDA, Regional Adjusted EBITDA, Adjusted Free Cash Flow and the individual performance component,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4230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4" w:lineRule="exact"/>
        <w:rPr>
          <w:sz w:val="20"/>
          <w:szCs w:val="20"/>
          <w:color w:val="auto"/>
        </w:rPr>
      </w:pPr>
    </w:p>
    <w:p>
      <w:pPr>
        <w:jc w:val="both"/>
        <w:ind w:left="340" w:hanging="332"/>
        <w:spacing w:after="0" w:line="247"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We define Adjusted EBITDA as income (loss)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and other legal matters, non-operational charges related to shareholder activist activity, gain on sale of equity method investment in China, COVID-19 charges and income taxes. This non-GAAP measure is a performance metric in our incentive programs.</w:t>
      </w:r>
    </w:p>
    <w:p>
      <w:pPr>
        <w:spacing w:after="0" w:line="39" w:lineRule="exact"/>
        <w:rPr>
          <w:sz w:val="20"/>
          <w:szCs w:val="20"/>
          <w:color w:val="auto"/>
        </w:rPr>
      </w:pPr>
    </w:p>
    <w:p>
      <w:pPr>
        <w:jc w:val="both"/>
        <w:ind w:left="340" w:hanging="332"/>
        <w:spacing w:after="0" w:line="249"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define Adjusted Free Cash Flow as Net Cash Provided by Operating Activities adjusted to reflect the cash inflows and outflows relating to capital expenditures, the investing and financing activities of our vehicle programs, asset sales, if any, and to exclude debt extinguishment costs, transaction-related costs, restructuring and other related charges, COVID-19 charges and non-operational charges related to shareholder activist activity.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Long-Term Incentive Awards</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For 2020, the Committee approved a long-term incentive program (the “2020 LTIP”) consistent with the long-term incentive program for 2019. Grant date values for 2020 LTIP awards were determined following a market review of long-term incentive values of peer companies as well as individual and financial performance for 2019.</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Committee reviewed the following factors to determine the appropriate type of equity to be granted: perceived value to award recipients to effect retention and incentive goals, peer practices, the degree of alignment with shareholder interests, potential dilution and projected expense balanced with the value delivered to award recipients. Based on an analysis of these factors, the Committee determined that (a) for our CEO, Former CFO and President, International a mix of 50% PSUs and 50% time-based restricted stock units (“RSUs”); and (b) for our EVP, Americas and Former GC, a mix of 30% PSUs and 70% RSUs would:</w:t>
      </w:r>
    </w:p>
    <w:p>
      <w:pPr>
        <w:spacing w:after="0" w:line="22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align incentives with shareholders’ focus on profitability and financial performance;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reflect the relevant decision-making impact of the individual and the impact of those decisions on the Company;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incentivize retention of key employees over the longer term.</w:t>
      </w:r>
    </w:p>
    <w:p>
      <w:pPr>
        <w:spacing w:after="0" w:line="25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Consistent with the 2019 program, RSUs granted under the 2020 LTIP are scheduled to vest on the first three anniversaries of the date of grant, subject to continued employment, and PSUs are scheduled to vest on the three-year anniversary of the date of grant, subject to satisfaction of performance goals and continued employment. We used three-year cumulative Adjusted EBITDA as the performance metric for the PSUs granted under the 2020 LTIP based on several factors, including the following:</w:t>
      </w:r>
    </w:p>
    <w:p>
      <w:pPr>
        <w:spacing w:after="0" w:line="23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Adjusted EBITDA and stock price performance have historically been highly correlated; and</w:t>
      </w:r>
    </w:p>
    <w:p>
      <w:pPr>
        <w:spacing w:after="0" w:line="225" w:lineRule="exact"/>
        <w:rPr>
          <w:rFonts w:ascii="Arial" w:cs="Arial" w:eastAsia="Arial" w:hAnsi="Arial"/>
          <w:sz w:val="18"/>
          <w:szCs w:val="18"/>
          <w:color w:val="auto"/>
        </w:rPr>
      </w:pPr>
    </w:p>
    <w:p>
      <w:pPr>
        <w:ind w:left="340" w:right="20" w:hanging="332"/>
        <w:spacing w:after="0" w:line="246"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Adjusted EBITDA is a key measure of operational and financial performance driven by the Company’s strategy and widely understood within the Company and by the Company’s shareholders.</w:t>
      </w:r>
    </w:p>
    <w:p>
      <w:pPr>
        <w:spacing w:after="0" w:line="224" w:lineRule="exact"/>
        <w:rPr>
          <w:sz w:val="20"/>
          <w:szCs w:val="20"/>
          <w:color w:val="auto"/>
        </w:rPr>
      </w:pPr>
    </w:p>
    <w:p>
      <w:pPr>
        <w:ind w:right="1820"/>
        <w:spacing w:after="0" w:line="246" w:lineRule="auto"/>
        <w:rPr>
          <w:sz w:val="20"/>
          <w:szCs w:val="20"/>
          <w:color w:val="auto"/>
        </w:rPr>
      </w:pPr>
      <w:r>
        <w:rPr>
          <w:rFonts w:ascii="Arial" w:cs="Arial" w:eastAsia="Arial" w:hAnsi="Arial"/>
          <w:sz w:val="18"/>
          <w:szCs w:val="18"/>
          <w:color w:val="auto"/>
        </w:rPr>
        <w:t>Three-year cumulative Adjusted EBITDA goals for the 2020 LTIP are as follows, and the target goal represents a 5.5% compounded annual growth rate over the three-year performance period:</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2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60" w:type="dxa"/>
            <w:vAlign w:val="bottom"/>
          </w:tcPr>
          <w:p>
            <w:pPr>
              <w:jc w:val="center"/>
              <w:ind w:left="179"/>
              <w:spacing w:after="0"/>
              <w:rPr>
                <w:sz w:val="20"/>
                <w:szCs w:val="20"/>
                <w:color w:val="auto"/>
              </w:rPr>
            </w:pPr>
            <w:r>
              <w:rPr>
                <w:rFonts w:ascii="Arial" w:cs="Arial" w:eastAsia="Arial" w:hAnsi="Arial"/>
                <w:sz w:val="14"/>
                <w:szCs w:val="14"/>
                <w:b w:val="1"/>
                <w:bCs w:val="1"/>
                <w:color w:val="auto"/>
              </w:rPr>
              <w:t>Cumulative Three-Year</w:t>
            </w:r>
          </w:p>
        </w:tc>
      </w:tr>
      <w:tr>
        <w:trPr>
          <w:trHeight w:val="162"/>
        </w:trPr>
        <w:tc>
          <w:tcPr>
            <w:tcW w:w="2260" w:type="dxa"/>
            <w:vAlign w:val="bottom"/>
          </w:tcPr>
          <w:p>
            <w:pPr>
              <w:spacing w:after="0"/>
              <w:rPr>
                <w:sz w:val="14"/>
                <w:szCs w:val="14"/>
                <w:color w:val="auto"/>
              </w:rPr>
            </w:pPr>
          </w:p>
        </w:tc>
        <w:tc>
          <w:tcPr>
            <w:tcW w:w="3860" w:type="dxa"/>
            <w:vAlign w:val="bottom"/>
          </w:tcPr>
          <w:p>
            <w:pPr>
              <w:jc w:val="center"/>
              <w:ind w:left="77"/>
              <w:spacing w:after="0"/>
              <w:rPr>
                <w:sz w:val="20"/>
                <w:szCs w:val="20"/>
                <w:color w:val="auto"/>
              </w:rPr>
            </w:pPr>
            <w:r>
              <w:rPr>
                <w:rFonts w:ascii="Arial" w:cs="Arial" w:eastAsia="Arial" w:hAnsi="Arial"/>
                <w:sz w:val="14"/>
                <w:szCs w:val="14"/>
                <w:b w:val="1"/>
                <w:bCs w:val="1"/>
                <w:color w:val="auto"/>
              </w:rPr>
              <w:t>Payout Opportunity</w:t>
            </w:r>
          </w:p>
        </w:tc>
        <w:tc>
          <w:tcPr>
            <w:tcW w:w="2860" w:type="dxa"/>
            <w:vAlign w:val="bottom"/>
          </w:tcPr>
          <w:p>
            <w:pPr>
              <w:jc w:val="center"/>
              <w:ind w:left="179"/>
              <w:spacing w:after="0"/>
              <w:rPr>
                <w:sz w:val="20"/>
                <w:szCs w:val="20"/>
                <w:color w:val="auto"/>
              </w:rPr>
            </w:pPr>
            <w:r>
              <w:rPr>
                <w:rFonts w:ascii="Arial" w:cs="Arial" w:eastAsia="Arial" w:hAnsi="Arial"/>
                <w:sz w:val="14"/>
                <w:szCs w:val="14"/>
                <w:b w:val="1"/>
                <w:bCs w:val="1"/>
                <w:color w:val="auto"/>
              </w:rPr>
              <w:t>Adjusted EBITDA Goal</w:t>
            </w:r>
          </w:p>
        </w:tc>
      </w:tr>
      <w:tr>
        <w:trPr>
          <w:trHeight w:val="182"/>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Achievement Level</w:t>
            </w:r>
          </w:p>
        </w:tc>
        <w:tc>
          <w:tcPr>
            <w:tcW w:w="3860" w:type="dxa"/>
            <w:vAlign w:val="bottom"/>
            <w:tcBorders>
              <w:bottom w:val="single" w:sz="8" w:color="auto"/>
            </w:tcBorders>
          </w:tcPr>
          <w:p>
            <w:pPr>
              <w:jc w:val="center"/>
              <w:ind w:left="97"/>
              <w:spacing w:after="0"/>
              <w:rPr>
                <w:sz w:val="20"/>
                <w:szCs w:val="20"/>
                <w:color w:val="auto"/>
              </w:rPr>
            </w:pPr>
            <w:r>
              <w:rPr>
                <w:rFonts w:ascii="Arial" w:cs="Arial" w:eastAsia="Arial" w:hAnsi="Arial"/>
                <w:sz w:val="14"/>
                <w:szCs w:val="14"/>
                <w:b w:val="1"/>
                <w:bCs w:val="1"/>
                <w:color w:val="auto"/>
              </w:rPr>
              <w:t>(as a % of target units awarded)</w:t>
            </w:r>
          </w:p>
        </w:tc>
        <w:tc>
          <w:tcPr>
            <w:tcW w:w="2860" w:type="dxa"/>
            <w:vAlign w:val="bottom"/>
            <w:tcBorders>
              <w:bottom w:val="single" w:sz="8" w:color="auto"/>
            </w:tcBorders>
          </w:tcPr>
          <w:p>
            <w:pPr>
              <w:jc w:val="center"/>
              <w:ind w:left="179"/>
              <w:spacing w:after="0"/>
              <w:rPr>
                <w:sz w:val="20"/>
                <w:szCs w:val="20"/>
                <w:color w:val="auto"/>
              </w:rPr>
            </w:pPr>
            <w:r>
              <w:rPr>
                <w:rFonts w:ascii="Arial" w:cs="Arial" w:eastAsia="Arial" w:hAnsi="Arial"/>
                <w:sz w:val="14"/>
                <w:szCs w:val="14"/>
                <w:b w:val="1"/>
                <w:bCs w:val="1"/>
                <w:color w:val="auto"/>
              </w:rPr>
              <w:t>(in millions)</w:t>
            </w:r>
          </w:p>
        </w:tc>
      </w:tr>
      <w:tr>
        <w:trPr>
          <w:trHeight w:val="216"/>
        </w:trPr>
        <w:tc>
          <w:tcPr>
            <w:tcW w:w="226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8"/>
                <w:szCs w:val="18"/>
                <w:color w:val="auto"/>
              </w:rPr>
              <w:t>Maximum</w:t>
            </w:r>
          </w:p>
        </w:tc>
        <w:tc>
          <w:tcPr>
            <w:tcW w:w="3860" w:type="dxa"/>
            <w:vAlign w:val="bottom"/>
            <w:tcBorders>
              <w:bottom w:val="single" w:sz="8" w:color="auto"/>
            </w:tcBorders>
            <w:shd w:val="clear" w:color="auto" w:fill="D2D3D5"/>
          </w:tcPr>
          <w:p>
            <w:pPr>
              <w:jc w:val="center"/>
              <w:ind w:left="77"/>
              <w:spacing w:after="0"/>
              <w:rPr>
                <w:sz w:val="20"/>
                <w:szCs w:val="20"/>
                <w:color w:val="auto"/>
              </w:rPr>
            </w:pPr>
            <w:r>
              <w:rPr>
                <w:rFonts w:ascii="Arial" w:cs="Arial" w:eastAsia="Arial" w:hAnsi="Arial"/>
                <w:sz w:val="18"/>
                <w:szCs w:val="18"/>
                <w:color w:val="auto"/>
                <w:w w:val="99"/>
              </w:rPr>
              <w:t>200%</w:t>
            </w:r>
          </w:p>
        </w:tc>
        <w:tc>
          <w:tcPr>
            <w:tcW w:w="2860" w:type="dxa"/>
            <w:vAlign w:val="bottom"/>
            <w:tcBorders>
              <w:bottom w:val="single" w:sz="8" w:color="auto"/>
            </w:tcBorders>
            <w:shd w:val="clear" w:color="auto" w:fill="D2D3D5"/>
          </w:tcPr>
          <w:p>
            <w:pPr>
              <w:jc w:val="center"/>
              <w:ind w:left="179"/>
              <w:spacing w:after="0"/>
              <w:rPr>
                <w:sz w:val="20"/>
                <w:szCs w:val="20"/>
                <w:color w:val="auto"/>
              </w:rPr>
            </w:pPr>
            <w:r>
              <w:rPr>
                <w:rFonts w:ascii="Arial" w:cs="Arial" w:eastAsia="Arial" w:hAnsi="Arial"/>
                <w:sz w:val="18"/>
                <w:szCs w:val="18"/>
                <w:color w:val="auto"/>
              </w:rPr>
              <w:t>$3,009</w:t>
            </w:r>
          </w:p>
        </w:tc>
      </w:tr>
      <w:tr>
        <w:trPr>
          <w:trHeight w:val="209"/>
        </w:trPr>
        <w:tc>
          <w:tcPr>
            <w:tcW w:w="2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Target</w:t>
            </w:r>
          </w:p>
        </w:tc>
        <w:tc>
          <w:tcPr>
            <w:tcW w:w="3860" w:type="dxa"/>
            <w:vAlign w:val="bottom"/>
            <w:tcBorders>
              <w:bottom w:val="single" w:sz="8" w:color="auto"/>
            </w:tcBorders>
          </w:tcPr>
          <w:p>
            <w:pPr>
              <w:jc w:val="center"/>
              <w:ind w:left="77"/>
              <w:spacing w:after="0"/>
              <w:rPr>
                <w:sz w:val="20"/>
                <w:szCs w:val="20"/>
                <w:color w:val="auto"/>
              </w:rPr>
            </w:pPr>
            <w:r>
              <w:rPr>
                <w:rFonts w:ascii="Arial" w:cs="Arial" w:eastAsia="Arial" w:hAnsi="Arial"/>
                <w:sz w:val="18"/>
                <w:szCs w:val="18"/>
                <w:color w:val="auto"/>
                <w:w w:val="99"/>
              </w:rPr>
              <w:t>100%</w:t>
            </w:r>
          </w:p>
        </w:tc>
        <w:tc>
          <w:tcPr>
            <w:tcW w:w="2860" w:type="dxa"/>
            <w:vAlign w:val="bottom"/>
            <w:tcBorders>
              <w:bottom w:val="single" w:sz="8" w:color="auto"/>
            </w:tcBorders>
          </w:tcPr>
          <w:p>
            <w:pPr>
              <w:jc w:val="center"/>
              <w:ind w:left="179"/>
              <w:spacing w:after="0"/>
              <w:rPr>
                <w:sz w:val="20"/>
                <w:szCs w:val="20"/>
                <w:color w:val="auto"/>
              </w:rPr>
            </w:pPr>
            <w:r>
              <w:rPr>
                <w:rFonts w:ascii="Arial" w:cs="Arial" w:eastAsia="Arial" w:hAnsi="Arial"/>
                <w:sz w:val="18"/>
                <w:szCs w:val="18"/>
                <w:color w:val="auto"/>
              </w:rPr>
              <w:t>$2,617</w:t>
            </w:r>
          </w:p>
        </w:tc>
      </w:tr>
      <w:tr>
        <w:trPr>
          <w:trHeight w:val="217"/>
        </w:trPr>
        <w:tc>
          <w:tcPr>
            <w:tcW w:w="2260" w:type="dxa"/>
            <w:vAlign w:val="bottom"/>
            <w:tcBorders>
              <w:bottom w:val="single" w:sz="8" w:color="auto"/>
            </w:tcBorders>
            <w:shd w:val="clear" w:color="auto" w:fill="D2D3D5"/>
          </w:tcPr>
          <w:p>
            <w:pPr>
              <w:ind w:left="40"/>
              <w:spacing w:after="0"/>
              <w:rPr>
                <w:sz w:val="20"/>
                <w:szCs w:val="20"/>
                <w:color w:val="auto"/>
              </w:rPr>
            </w:pPr>
            <w:r>
              <w:rPr>
                <w:rFonts w:ascii="Arial" w:cs="Arial" w:eastAsia="Arial" w:hAnsi="Arial"/>
                <w:sz w:val="18"/>
                <w:szCs w:val="18"/>
                <w:color w:val="auto"/>
              </w:rPr>
              <w:t>Threshold</w:t>
            </w:r>
          </w:p>
        </w:tc>
        <w:tc>
          <w:tcPr>
            <w:tcW w:w="3860" w:type="dxa"/>
            <w:vAlign w:val="bottom"/>
            <w:tcBorders>
              <w:bottom w:val="single" w:sz="8" w:color="auto"/>
            </w:tcBorders>
            <w:shd w:val="clear" w:color="auto" w:fill="D2D3D5"/>
          </w:tcPr>
          <w:p>
            <w:pPr>
              <w:jc w:val="center"/>
              <w:ind w:left="97"/>
              <w:spacing w:after="0"/>
              <w:rPr>
                <w:sz w:val="20"/>
                <w:szCs w:val="20"/>
                <w:color w:val="auto"/>
              </w:rPr>
            </w:pPr>
            <w:r>
              <w:rPr>
                <w:rFonts w:ascii="Arial" w:cs="Arial" w:eastAsia="Arial" w:hAnsi="Arial"/>
                <w:sz w:val="18"/>
                <w:szCs w:val="18"/>
                <w:color w:val="auto"/>
                <w:w w:val="99"/>
              </w:rPr>
              <w:t>50%</w:t>
            </w:r>
          </w:p>
        </w:tc>
        <w:tc>
          <w:tcPr>
            <w:tcW w:w="2860" w:type="dxa"/>
            <w:vAlign w:val="bottom"/>
            <w:tcBorders>
              <w:bottom w:val="single" w:sz="8" w:color="auto"/>
            </w:tcBorders>
            <w:shd w:val="clear" w:color="auto" w:fill="D2D3D5"/>
          </w:tcPr>
          <w:p>
            <w:pPr>
              <w:jc w:val="center"/>
              <w:ind w:left="179"/>
              <w:spacing w:after="0"/>
              <w:rPr>
                <w:sz w:val="20"/>
                <w:szCs w:val="20"/>
                <w:color w:val="auto"/>
              </w:rPr>
            </w:pPr>
            <w:r>
              <w:rPr>
                <w:rFonts w:ascii="Arial" w:cs="Arial" w:eastAsia="Arial" w:hAnsi="Arial"/>
                <w:sz w:val="18"/>
                <w:szCs w:val="18"/>
                <w:color w:val="auto"/>
              </w:rPr>
              <w:t>$2,225</w:t>
            </w:r>
          </w:p>
        </w:tc>
      </w:tr>
    </w:tbl>
    <w:p>
      <w:pPr>
        <w:spacing w:after="0" w:line="72" w:lineRule="exact"/>
        <w:rPr>
          <w:sz w:val="20"/>
          <w:szCs w:val="20"/>
          <w:color w:val="auto"/>
        </w:rPr>
      </w:pPr>
    </w:p>
    <w:p>
      <w:pPr>
        <w:ind w:left="1140"/>
        <w:spacing w:after="0"/>
        <w:tabs>
          <w:tab w:leader="none" w:pos="1300" w:val="left"/>
        </w:tabs>
        <w:rPr>
          <w:sz w:val="20"/>
          <w:szCs w:val="20"/>
          <w:color w:val="auto"/>
        </w:rPr>
      </w:pPr>
      <w:r>
        <w:rPr>
          <w:rFonts w:ascii="Arial" w:cs="Arial" w:eastAsia="Arial" w:hAnsi="Arial"/>
          <w:sz w:val="14"/>
          <w:szCs w:val="14"/>
          <w:color w:val="auto"/>
        </w:rPr>
        <w:t>*</w:t>
        <w:tab/>
        <w:t>Straight-line interpolation is generally used to determine achievement between specified goals.</w:t>
      </w:r>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Given the revenue declines experienced by the Company in 2020 as a result of COVID-19, the PSU awards granted under the 2020 LTIP are unlikely to vest.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 Decisions Related to 2020 Management Changes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Management changes for 2020 included the appointments of our CEO, and EVP, Americas, including on an interim basis for the first half of 2020, and the appointments of our Executive Chairman and CFO. Compensation for each role, including interim roles, was determined following a review of current market custom and practice, and available compensation data for comparable roles at other companies. The Committee also took into consideration factors such as each executive’s background, relevant experience, and expected responsibilities. All base salaries described below were reduced by 10% from April until October 2020.</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Chairman and CFO</w:t>
      </w:r>
    </w:p>
    <w:p>
      <w:pPr>
        <w:spacing w:after="0" w:line="230"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Compensation decisions for our Executive Chairman, who was appointed in June 2020, and our CFO, who was appointed in August 2020, are summarized below. Neither executive was granted awards under the 2020 LTIP. However, the executives were granted initial equity awards designed to incentivize both executives to join our Company’s senior leadership in their respective roles, and in the case of the CFO, to also offset compensation opportunities that were forfeited by joining our Company.</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60" w:type="dxa"/>
            <w:vAlign w:val="bottom"/>
          </w:tcPr>
          <w:p>
            <w:pPr>
              <w:spacing w:after="0"/>
              <w:rPr>
                <w:sz w:val="18"/>
                <w:szCs w:val="18"/>
                <w:color w:val="auto"/>
              </w:rPr>
            </w:pPr>
          </w:p>
        </w:tc>
        <w:tc>
          <w:tcPr>
            <w:tcW w:w="1160" w:type="dxa"/>
            <w:vAlign w:val="bottom"/>
          </w:tcPr>
          <w:p>
            <w:pPr>
              <w:jc w:val="center"/>
              <w:ind w:left="19"/>
              <w:spacing w:after="0"/>
              <w:rPr>
                <w:sz w:val="20"/>
                <w:szCs w:val="20"/>
                <w:color w:val="auto"/>
              </w:rPr>
            </w:pPr>
            <w:r>
              <w:rPr>
                <w:rFonts w:ascii="Arial" w:cs="Arial" w:eastAsia="Arial" w:hAnsi="Arial"/>
                <w:sz w:val="16"/>
                <w:szCs w:val="16"/>
                <w:b w:val="1"/>
                <w:bCs w:val="1"/>
                <w:color w:val="auto"/>
                <w:w w:val="99"/>
              </w:rPr>
              <w:t>Base</w:t>
            </w:r>
          </w:p>
        </w:tc>
        <w:tc>
          <w:tcPr>
            <w:tcW w:w="1060" w:type="dxa"/>
            <w:vAlign w:val="bottom"/>
          </w:tcPr>
          <w:p>
            <w:pPr>
              <w:jc w:val="center"/>
              <w:ind w:left="39"/>
              <w:spacing w:after="0"/>
              <w:rPr>
                <w:sz w:val="20"/>
                <w:szCs w:val="20"/>
                <w:color w:val="auto"/>
              </w:rPr>
            </w:pPr>
            <w:r>
              <w:rPr>
                <w:rFonts w:ascii="Arial" w:cs="Arial" w:eastAsia="Arial" w:hAnsi="Arial"/>
                <w:sz w:val="16"/>
                <w:szCs w:val="16"/>
                <w:b w:val="1"/>
                <w:bCs w:val="1"/>
                <w:color w:val="auto"/>
                <w:w w:val="99"/>
              </w:rPr>
              <w:t>Annual</w:t>
            </w: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Equity Awards</w:t>
            </w:r>
          </w:p>
        </w:tc>
        <w:tc>
          <w:tcPr>
            <w:tcW w:w="0" w:type="dxa"/>
            <w:vAlign w:val="bottom"/>
          </w:tcPr>
          <w:p>
            <w:pPr>
              <w:spacing w:after="0"/>
              <w:rPr>
                <w:sz w:val="1"/>
                <w:szCs w:val="1"/>
                <w:color w:val="auto"/>
              </w:rPr>
            </w:pPr>
          </w:p>
        </w:tc>
      </w:tr>
      <w:tr>
        <w:trPr>
          <w:trHeight w:val="189"/>
        </w:trPr>
        <w:tc>
          <w:tcPr>
            <w:tcW w:w="1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Role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Salary</w:t>
            </w:r>
          </w:p>
        </w:tc>
        <w:tc>
          <w:tcPr>
            <w:tcW w:w="10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Incentive*</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Type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Value/Shares</w:t>
            </w:r>
          </w:p>
        </w:tc>
        <w:tc>
          <w:tcPr>
            <w:tcW w:w="4800" w:type="dxa"/>
            <w:vAlign w:val="bottom"/>
            <w:tcBorders>
              <w:bottom w:val="single" w:sz="8" w:color="auto"/>
            </w:tcBorders>
          </w:tcPr>
          <w:p>
            <w:pPr>
              <w:ind w:left="1900"/>
              <w:spacing w:after="0"/>
              <w:rPr>
                <w:sz w:val="20"/>
                <w:szCs w:val="20"/>
                <w:color w:val="auto"/>
              </w:rPr>
            </w:pPr>
            <w:r>
              <w:rPr>
                <w:rFonts w:ascii="Arial" w:cs="Arial" w:eastAsia="Arial" w:hAnsi="Arial"/>
                <w:sz w:val="16"/>
                <w:szCs w:val="16"/>
                <w:b w:val="1"/>
                <w:bCs w:val="1"/>
                <w:color w:val="auto"/>
              </w:rPr>
              <w:t>Vesting Terms</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D2D3D5"/>
            </w:tcBorders>
            <w:shd w:val="clear" w:color="auto" w:fill="D2D3D5"/>
          </w:tcPr>
          <w:p>
            <w:pPr>
              <w:ind w:left="40"/>
              <w:spacing w:after="0" w:line="183" w:lineRule="exact"/>
              <w:rPr>
                <w:sz w:val="20"/>
                <w:szCs w:val="20"/>
                <w:color w:val="auto"/>
              </w:rPr>
            </w:pPr>
            <w:r>
              <w:rPr>
                <w:rFonts w:ascii="Arial" w:cs="Arial" w:eastAsia="Arial" w:hAnsi="Arial"/>
                <w:sz w:val="16"/>
                <w:szCs w:val="16"/>
                <w:color w:val="auto"/>
              </w:rPr>
              <w:t>Executive Chairman</w:t>
            </w:r>
          </w:p>
        </w:tc>
        <w:tc>
          <w:tcPr>
            <w:tcW w:w="1160" w:type="dxa"/>
            <w:vAlign w:val="bottom"/>
            <w:tcBorders>
              <w:bottom w:val="single" w:sz="8" w:color="D2D3D5"/>
            </w:tcBorders>
            <w:shd w:val="clear" w:color="auto" w:fill="D2D3D5"/>
          </w:tcPr>
          <w:p>
            <w:pPr>
              <w:jc w:val="center"/>
              <w:spacing w:after="0" w:line="183" w:lineRule="exact"/>
              <w:rPr>
                <w:sz w:val="20"/>
                <w:szCs w:val="20"/>
                <w:color w:val="auto"/>
              </w:rPr>
            </w:pPr>
            <w:r>
              <w:rPr>
                <w:rFonts w:ascii="Arial" w:cs="Arial" w:eastAsia="Arial" w:hAnsi="Arial"/>
                <w:sz w:val="16"/>
                <w:szCs w:val="16"/>
                <w:color w:val="auto"/>
              </w:rPr>
              <w:t>$500,000</w:t>
            </w:r>
          </w:p>
        </w:tc>
        <w:tc>
          <w:tcPr>
            <w:tcW w:w="1060" w:type="dxa"/>
            <w:vAlign w:val="bottom"/>
            <w:tcBorders>
              <w:bottom w:val="single" w:sz="8" w:color="D2D3D5"/>
            </w:tcBorders>
            <w:shd w:val="clear" w:color="auto" w:fill="D2D3D5"/>
          </w:tcPr>
          <w:p>
            <w:pPr>
              <w:jc w:val="center"/>
              <w:ind w:left="39"/>
              <w:spacing w:after="0" w:line="183" w:lineRule="exact"/>
              <w:rPr>
                <w:sz w:val="20"/>
                <w:szCs w:val="20"/>
                <w:color w:val="auto"/>
              </w:rPr>
            </w:pPr>
            <w:r>
              <w:rPr>
                <w:rFonts w:ascii="Arial" w:cs="Arial" w:eastAsia="Arial" w:hAnsi="Arial"/>
                <w:sz w:val="16"/>
                <w:szCs w:val="16"/>
                <w:color w:val="auto"/>
                <w:w w:val="99"/>
              </w:rPr>
              <w:t>Target</w:t>
            </w:r>
          </w:p>
        </w:tc>
        <w:tc>
          <w:tcPr>
            <w:tcW w:w="100" w:type="dxa"/>
            <w:vAlign w:val="bottom"/>
            <w:tcBorders>
              <w:bottom w:val="single" w:sz="8" w:color="D2D3D5"/>
            </w:tcBorders>
            <w:shd w:val="clear" w:color="auto" w:fill="D2D3D5"/>
          </w:tcPr>
          <w:p>
            <w:pPr>
              <w:spacing w:after="0"/>
              <w:rPr>
                <w:sz w:val="15"/>
                <w:szCs w:val="15"/>
                <w:color w:val="auto"/>
              </w:rPr>
            </w:pPr>
          </w:p>
        </w:tc>
        <w:tc>
          <w:tcPr>
            <w:tcW w:w="1120" w:type="dxa"/>
            <w:vAlign w:val="bottom"/>
            <w:tcBorders>
              <w:bottom w:val="single" w:sz="8" w:color="auto"/>
            </w:tcBorders>
            <w:shd w:val="clear" w:color="auto" w:fill="D2D3D5"/>
          </w:tcPr>
          <w:p>
            <w:pPr>
              <w:spacing w:after="0" w:line="183" w:lineRule="exact"/>
              <w:rPr>
                <w:sz w:val="20"/>
                <w:szCs w:val="20"/>
                <w:color w:val="auto"/>
              </w:rPr>
            </w:pPr>
            <w:r>
              <w:rPr>
                <w:rFonts w:ascii="Arial" w:cs="Arial" w:eastAsia="Arial" w:hAnsi="Arial"/>
                <w:sz w:val="16"/>
                <w:szCs w:val="16"/>
                <w:color w:val="auto"/>
              </w:rPr>
              <w:t>RSU**</w:t>
            </w:r>
          </w:p>
        </w:tc>
        <w:tc>
          <w:tcPr>
            <w:tcW w:w="1240" w:type="dxa"/>
            <w:vAlign w:val="bottom"/>
            <w:tcBorders>
              <w:bottom w:val="single" w:sz="8" w:color="auto"/>
            </w:tcBorders>
            <w:shd w:val="clear" w:color="auto" w:fill="D2D3D5"/>
          </w:tcPr>
          <w:p>
            <w:pPr>
              <w:jc w:val="center"/>
              <w:spacing w:after="0" w:line="183" w:lineRule="exact"/>
              <w:rPr>
                <w:sz w:val="20"/>
                <w:szCs w:val="20"/>
                <w:color w:val="auto"/>
              </w:rPr>
            </w:pPr>
            <w:r>
              <w:rPr>
                <w:rFonts w:ascii="Arial" w:cs="Arial" w:eastAsia="Arial" w:hAnsi="Arial"/>
                <w:sz w:val="16"/>
                <w:szCs w:val="16"/>
                <w:color w:val="auto"/>
                <w:w w:val="98"/>
              </w:rPr>
              <w:t>$1.0 million</w:t>
            </w:r>
          </w:p>
        </w:tc>
        <w:tc>
          <w:tcPr>
            <w:tcW w:w="4800" w:type="dxa"/>
            <w:vAlign w:val="bottom"/>
            <w:tcBorders>
              <w:bottom w:val="single" w:sz="8" w:color="auto"/>
            </w:tcBorders>
            <w:shd w:val="clear" w:color="auto" w:fill="D2D3D5"/>
          </w:tcPr>
          <w:p>
            <w:pPr>
              <w:ind w:left="80"/>
              <w:spacing w:after="0" w:line="183" w:lineRule="exact"/>
              <w:rPr>
                <w:sz w:val="20"/>
                <w:szCs w:val="20"/>
                <w:color w:val="auto"/>
              </w:rPr>
            </w:pPr>
            <w:r>
              <w:rPr>
                <w:rFonts w:ascii="Arial" w:cs="Arial" w:eastAsia="Arial" w:hAnsi="Arial"/>
                <w:sz w:val="16"/>
                <w:szCs w:val="16"/>
                <w:color w:val="auto"/>
              </w:rPr>
              <w:t>One-third on each of the first three anniversaries of grant date</w:t>
            </w:r>
          </w:p>
        </w:tc>
        <w:tc>
          <w:tcPr>
            <w:tcW w:w="0" w:type="dxa"/>
            <w:vAlign w:val="bottom"/>
          </w:tcPr>
          <w:p>
            <w:pPr>
              <w:spacing w:after="0"/>
              <w:rPr>
                <w:sz w:val="1"/>
                <w:szCs w:val="1"/>
                <w:color w:val="auto"/>
              </w:rPr>
            </w:pPr>
          </w:p>
        </w:tc>
      </w:tr>
      <w:tr>
        <w:trPr>
          <w:trHeight w:val="171"/>
        </w:trPr>
        <w:tc>
          <w:tcPr>
            <w:tcW w:w="1760" w:type="dxa"/>
            <w:vAlign w:val="bottom"/>
            <w:shd w:val="clear" w:color="auto" w:fill="D2D3D5"/>
          </w:tcPr>
          <w:p>
            <w:pPr>
              <w:spacing w:after="0"/>
              <w:rPr>
                <w:sz w:val="14"/>
                <w:szCs w:val="14"/>
                <w:color w:val="auto"/>
              </w:rPr>
            </w:pPr>
          </w:p>
        </w:tc>
        <w:tc>
          <w:tcPr>
            <w:tcW w:w="1160" w:type="dxa"/>
            <w:vAlign w:val="bottom"/>
            <w:shd w:val="clear" w:color="auto" w:fill="D2D3D5"/>
          </w:tcPr>
          <w:p>
            <w:pPr>
              <w:spacing w:after="0"/>
              <w:rPr>
                <w:sz w:val="14"/>
                <w:szCs w:val="14"/>
                <w:color w:val="auto"/>
              </w:rPr>
            </w:pPr>
          </w:p>
        </w:tc>
        <w:tc>
          <w:tcPr>
            <w:tcW w:w="1060" w:type="dxa"/>
            <w:vAlign w:val="bottom"/>
            <w:shd w:val="clear" w:color="auto" w:fill="D2D3D5"/>
          </w:tcPr>
          <w:p>
            <w:pPr>
              <w:jc w:val="center"/>
              <w:ind w:left="39"/>
              <w:spacing w:after="0" w:line="171" w:lineRule="exact"/>
              <w:rPr>
                <w:sz w:val="20"/>
                <w:szCs w:val="20"/>
                <w:color w:val="auto"/>
              </w:rPr>
            </w:pPr>
            <w:r>
              <w:rPr>
                <w:rFonts w:ascii="Arial" w:cs="Arial" w:eastAsia="Arial" w:hAnsi="Arial"/>
                <w:sz w:val="16"/>
                <w:szCs w:val="16"/>
                <w:color w:val="auto"/>
                <w:w w:val="98"/>
              </w:rPr>
              <w:t>of 100%</w:t>
            </w:r>
          </w:p>
        </w:tc>
        <w:tc>
          <w:tcPr>
            <w:tcW w:w="1220" w:type="dxa"/>
            <w:vAlign w:val="bottom"/>
            <w:gridSpan w:val="2"/>
            <w:shd w:val="clear" w:color="auto" w:fill="D2D3D5"/>
          </w:tcPr>
          <w:p>
            <w:pPr>
              <w:ind w:left="100"/>
              <w:spacing w:after="0" w:line="171" w:lineRule="exact"/>
              <w:rPr>
                <w:sz w:val="20"/>
                <w:szCs w:val="20"/>
                <w:color w:val="auto"/>
              </w:rPr>
            </w:pPr>
            <w:r>
              <w:rPr>
                <w:rFonts w:ascii="Arial" w:cs="Arial" w:eastAsia="Arial" w:hAnsi="Arial"/>
                <w:sz w:val="16"/>
                <w:szCs w:val="16"/>
                <w:color w:val="auto"/>
              </w:rPr>
              <w:t>RSU</w:t>
            </w:r>
          </w:p>
        </w:tc>
        <w:tc>
          <w:tcPr>
            <w:tcW w:w="1240" w:type="dxa"/>
            <w:vAlign w:val="bottom"/>
            <w:shd w:val="clear" w:color="auto" w:fill="D2D3D5"/>
          </w:tcPr>
          <w:p>
            <w:pPr>
              <w:jc w:val="center"/>
              <w:spacing w:after="0" w:line="171" w:lineRule="exact"/>
              <w:rPr>
                <w:sz w:val="20"/>
                <w:szCs w:val="20"/>
                <w:color w:val="auto"/>
              </w:rPr>
            </w:pPr>
            <w:r>
              <w:rPr>
                <w:rFonts w:ascii="Arial" w:cs="Arial" w:eastAsia="Arial" w:hAnsi="Arial"/>
                <w:sz w:val="16"/>
                <w:szCs w:val="16"/>
                <w:color w:val="auto"/>
                <w:w w:val="98"/>
              </w:rPr>
              <w:t>$1.5 million</w:t>
            </w:r>
          </w:p>
        </w:tc>
        <w:tc>
          <w:tcPr>
            <w:tcW w:w="4800" w:type="dxa"/>
            <w:vAlign w:val="bottom"/>
            <w:shd w:val="clear" w:color="auto" w:fill="D2D3D5"/>
          </w:tcPr>
          <w:p>
            <w:pPr>
              <w:ind w:left="80"/>
              <w:spacing w:after="0" w:line="171" w:lineRule="exact"/>
              <w:rPr>
                <w:sz w:val="20"/>
                <w:szCs w:val="20"/>
                <w:color w:val="auto"/>
              </w:rPr>
            </w:pPr>
            <w:r>
              <w:rPr>
                <w:rFonts w:ascii="Arial" w:cs="Arial" w:eastAsia="Arial" w:hAnsi="Arial"/>
                <w:sz w:val="16"/>
                <w:szCs w:val="16"/>
                <w:color w:val="auto"/>
              </w:rPr>
              <w:t>First anniversary of grant date</w:t>
            </w:r>
          </w:p>
        </w:tc>
        <w:tc>
          <w:tcPr>
            <w:tcW w:w="0" w:type="dxa"/>
            <w:vAlign w:val="bottom"/>
          </w:tcPr>
          <w:p>
            <w:pPr>
              <w:spacing w:after="0"/>
              <w:rPr>
                <w:sz w:val="1"/>
                <w:szCs w:val="1"/>
                <w:color w:val="auto"/>
              </w:rPr>
            </w:pPr>
          </w:p>
        </w:tc>
      </w:tr>
      <w:tr>
        <w:trPr>
          <w:trHeight w:val="25"/>
        </w:trPr>
        <w:tc>
          <w:tcPr>
            <w:tcW w:w="1760" w:type="dxa"/>
            <w:vAlign w:val="bottom"/>
            <w:shd w:val="clear" w:color="auto" w:fill="D2D3D5"/>
          </w:tcPr>
          <w:p>
            <w:pPr>
              <w:spacing w:after="0"/>
              <w:rPr>
                <w:sz w:val="2"/>
                <w:szCs w:val="2"/>
                <w:color w:val="auto"/>
              </w:rPr>
            </w:pPr>
          </w:p>
        </w:tc>
        <w:tc>
          <w:tcPr>
            <w:tcW w:w="1160" w:type="dxa"/>
            <w:vAlign w:val="bottom"/>
            <w:shd w:val="clear" w:color="auto" w:fill="D2D3D5"/>
          </w:tcPr>
          <w:p>
            <w:pPr>
              <w:spacing w:after="0"/>
              <w:rPr>
                <w:sz w:val="2"/>
                <w:szCs w:val="2"/>
                <w:color w:val="auto"/>
              </w:rPr>
            </w:pPr>
          </w:p>
        </w:tc>
        <w:tc>
          <w:tcPr>
            <w:tcW w:w="1060" w:type="dxa"/>
            <w:vAlign w:val="bottom"/>
            <w:vMerge w:val="restart"/>
            <w:shd w:val="clear" w:color="auto" w:fill="D2D3D5"/>
          </w:tcPr>
          <w:p>
            <w:pPr>
              <w:jc w:val="center"/>
              <w:ind w:left="39"/>
              <w:spacing w:after="0"/>
              <w:rPr>
                <w:sz w:val="20"/>
                <w:szCs w:val="20"/>
                <w:color w:val="auto"/>
              </w:rPr>
            </w:pPr>
            <w:r>
              <w:rPr>
                <w:rFonts w:ascii="Arial" w:cs="Arial" w:eastAsia="Arial" w:hAnsi="Arial"/>
                <w:sz w:val="16"/>
                <w:szCs w:val="16"/>
                <w:color w:val="auto"/>
                <w:w w:val="99"/>
              </w:rPr>
              <w:t>of Base</w:t>
            </w:r>
          </w:p>
        </w:tc>
        <w:tc>
          <w:tcPr>
            <w:tcW w:w="100" w:type="dxa"/>
            <w:vAlign w:val="bottom"/>
            <w:shd w:val="clear" w:color="auto" w:fill="D2D3D5"/>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1760" w:type="dxa"/>
            <w:vAlign w:val="bottom"/>
            <w:shd w:val="clear" w:color="auto" w:fill="D2D3D5"/>
          </w:tcPr>
          <w:p>
            <w:pPr>
              <w:spacing w:after="0"/>
              <w:rPr>
                <w:sz w:val="14"/>
                <w:szCs w:val="14"/>
                <w:color w:val="auto"/>
              </w:rPr>
            </w:pPr>
          </w:p>
        </w:tc>
        <w:tc>
          <w:tcPr>
            <w:tcW w:w="1160" w:type="dxa"/>
            <w:vAlign w:val="bottom"/>
            <w:shd w:val="clear" w:color="auto" w:fill="D2D3D5"/>
          </w:tcPr>
          <w:p>
            <w:pPr>
              <w:spacing w:after="0"/>
              <w:rPr>
                <w:sz w:val="14"/>
                <w:szCs w:val="14"/>
                <w:color w:val="auto"/>
              </w:rPr>
            </w:pPr>
          </w:p>
        </w:tc>
        <w:tc>
          <w:tcPr>
            <w:tcW w:w="1060" w:type="dxa"/>
            <w:vAlign w:val="bottom"/>
            <w:vMerge w:val="continue"/>
            <w:shd w:val="clear" w:color="auto" w:fill="D2D3D5"/>
          </w:tcPr>
          <w:p>
            <w:pPr>
              <w:spacing w:after="0"/>
              <w:rPr>
                <w:sz w:val="14"/>
                <w:szCs w:val="14"/>
                <w:color w:val="auto"/>
              </w:rPr>
            </w:pPr>
          </w:p>
        </w:tc>
        <w:tc>
          <w:tcPr>
            <w:tcW w:w="1220" w:type="dxa"/>
            <w:vAlign w:val="bottom"/>
            <w:gridSpan w:val="2"/>
            <w:shd w:val="clear" w:color="auto" w:fill="D2D3D5"/>
          </w:tcPr>
          <w:p>
            <w:pPr>
              <w:ind w:left="100"/>
              <w:spacing w:after="0" w:line="164" w:lineRule="exact"/>
              <w:rPr>
                <w:sz w:val="20"/>
                <w:szCs w:val="20"/>
                <w:color w:val="auto"/>
              </w:rPr>
            </w:pPr>
            <w:r>
              <w:rPr>
                <w:rFonts w:ascii="Arial" w:cs="Arial" w:eastAsia="Arial" w:hAnsi="Arial"/>
                <w:sz w:val="16"/>
                <w:szCs w:val="16"/>
                <w:color w:val="auto"/>
              </w:rPr>
              <w:t>PSU</w:t>
            </w:r>
          </w:p>
        </w:tc>
        <w:tc>
          <w:tcPr>
            <w:tcW w:w="1240" w:type="dxa"/>
            <w:vAlign w:val="bottom"/>
            <w:shd w:val="clear" w:color="auto" w:fill="D2D3D5"/>
          </w:tcPr>
          <w:p>
            <w:pPr>
              <w:jc w:val="center"/>
              <w:spacing w:after="0" w:line="164" w:lineRule="exact"/>
              <w:rPr>
                <w:sz w:val="20"/>
                <w:szCs w:val="20"/>
                <w:color w:val="auto"/>
              </w:rPr>
            </w:pPr>
            <w:r>
              <w:rPr>
                <w:rFonts w:ascii="Arial" w:cs="Arial" w:eastAsia="Arial" w:hAnsi="Arial"/>
                <w:sz w:val="16"/>
                <w:szCs w:val="16"/>
                <w:color w:val="auto"/>
              </w:rPr>
              <w:t>37,500***</w:t>
            </w:r>
          </w:p>
        </w:tc>
        <w:tc>
          <w:tcPr>
            <w:tcW w:w="4800" w:type="dxa"/>
            <w:vAlign w:val="bottom"/>
            <w:shd w:val="clear" w:color="auto" w:fill="D2D3D5"/>
          </w:tcPr>
          <w:p>
            <w:pPr>
              <w:ind w:left="80"/>
              <w:spacing w:after="0" w:line="164" w:lineRule="exact"/>
              <w:rPr>
                <w:sz w:val="20"/>
                <w:szCs w:val="20"/>
                <w:color w:val="auto"/>
              </w:rPr>
            </w:pPr>
            <w:r>
              <w:rPr>
                <w:rFonts w:ascii="Arial" w:cs="Arial" w:eastAsia="Arial" w:hAnsi="Arial"/>
                <w:sz w:val="16"/>
                <w:szCs w:val="16"/>
                <w:color w:val="auto"/>
              </w:rPr>
              <w:t>Third anniversary of grant date subject to the Company’s average</w:t>
            </w:r>
          </w:p>
        </w:tc>
        <w:tc>
          <w:tcPr>
            <w:tcW w:w="0" w:type="dxa"/>
            <w:vAlign w:val="bottom"/>
          </w:tcPr>
          <w:p>
            <w:pPr>
              <w:spacing w:after="0"/>
              <w:rPr>
                <w:sz w:val="1"/>
                <w:szCs w:val="1"/>
                <w:color w:val="auto"/>
              </w:rPr>
            </w:pPr>
          </w:p>
        </w:tc>
      </w:tr>
      <w:tr>
        <w:trPr>
          <w:trHeight w:val="216"/>
        </w:trPr>
        <w:tc>
          <w:tcPr>
            <w:tcW w:w="1760" w:type="dxa"/>
            <w:vAlign w:val="bottom"/>
            <w:shd w:val="clear" w:color="auto" w:fill="D2D3D5"/>
          </w:tcPr>
          <w:p>
            <w:pPr>
              <w:spacing w:after="0"/>
              <w:rPr>
                <w:sz w:val="18"/>
                <w:szCs w:val="18"/>
                <w:color w:val="auto"/>
              </w:rPr>
            </w:pPr>
          </w:p>
        </w:tc>
        <w:tc>
          <w:tcPr>
            <w:tcW w:w="1160" w:type="dxa"/>
            <w:vAlign w:val="bottom"/>
            <w:shd w:val="clear" w:color="auto" w:fill="D2D3D5"/>
          </w:tcPr>
          <w:p>
            <w:pPr>
              <w:spacing w:after="0"/>
              <w:rPr>
                <w:sz w:val="18"/>
                <w:szCs w:val="18"/>
                <w:color w:val="auto"/>
              </w:rPr>
            </w:pPr>
          </w:p>
        </w:tc>
        <w:tc>
          <w:tcPr>
            <w:tcW w:w="1060" w:type="dxa"/>
            <w:vAlign w:val="bottom"/>
            <w:shd w:val="clear" w:color="auto" w:fill="D2D3D5"/>
          </w:tcPr>
          <w:p>
            <w:pPr>
              <w:jc w:val="center"/>
              <w:ind w:left="39"/>
              <w:spacing w:after="0"/>
              <w:rPr>
                <w:sz w:val="20"/>
                <w:szCs w:val="20"/>
                <w:color w:val="auto"/>
              </w:rPr>
            </w:pPr>
            <w:r>
              <w:rPr>
                <w:rFonts w:ascii="Arial" w:cs="Arial" w:eastAsia="Arial" w:hAnsi="Arial"/>
                <w:sz w:val="16"/>
                <w:szCs w:val="16"/>
                <w:color w:val="auto"/>
              </w:rPr>
              <w:t>Salary</w:t>
            </w:r>
          </w:p>
        </w:tc>
        <w:tc>
          <w:tcPr>
            <w:tcW w:w="100" w:type="dxa"/>
            <w:vAlign w:val="bottom"/>
            <w:shd w:val="clear" w:color="auto" w:fill="D2D3D5"/>
          </w:tcPr>
          <w:p>
            <w:pPr>
              <w:spacing w:after="0"/>
              <w:rPr>
                <w:sz w:val="18"/>
                <w:szCs w:val="18"/>
                <w:color w:val="auto"/>
              </w:rPr>
            </w:pPr>
          </w:p>
        </w:tc>
        <w:tc>
          <w:tcPr>
            <w:tcW w:w="1120" w:type="dxa"/>
            <w:vAlign w:val="bottom"/>
            <w:shd w:val="clear" w:color="auto" w:fill="D2D3D5"/>
          </w:tcPr>
          <w:p>
            <w:pPr>
              <w:spacing w:after="0"/>
              <w:rPr>
                <w:sz w:val="18"/>
                <w:szCs w:val="18"/>
                <w:color w:val="auto"/>
              </w:rPr>
            </w:pPr>
          </w:p>
        </w:tc>
        <w:tc>
          <w:tcPr>
            <w:tcW w:w="1240" w:type="dxa"/>
            <w:vAlign w:val="bottom"/>
            <w:shd w:val="clear" w:color="auto" w:fill="D2D3D5"/>
          </w:tcPr>
          <w:p>
            <w:pPr>
              <w:spacing w:after="0"/>
              <w:rPr>
                <w:sz w:val="18"/>
                <w:szCs w:val="18"/>
                <w:color w:val="auto"/>
              </w:rPr>
            </w:pPr>
          </w:p>
        </w:tc>
        <w:tc>
          <w:tcPr>
            <w:tcW w:w="4800" w:type="dxa"/>
            <w:vAlign w:val="bottom"/>
            <w:shd w:val="clear" w:color="auto" w:fill="D2D3D5"/>
          </w:tcPr>
          <w:p>
            <w:pPr>
              <w:ind w:left="80"/>
              <w:spacing w:after="0"/>
              <w:rPr>
                <w:sz w:val="20"/>
                <w:szCs w:val="20"/>
                <w:color w:val="auto"/>
              </w:rPr>
            </w:pPr>
            <w:r>
              <w:rPr>
                <w:rFonts w:ascii="Arial" w:cs="Arial" w:eastAsia="Arial" w:hAnsi="Arial"/>
                <w:sz w:val="16"/>
                <w:szCs w:val="16"/>
                <w:color w:val="auto"/>
              </w:rPr>
              <w:t>closing stock price equaling or exceeding $30.44 over any 30</w:t>
            </w:r>
          </w:p>
        </w:tc>
        <w:tc>
          <w:tcPr>
            <w:tcW w:w="0" w:type="dxa"/>
            <w:vAlign w:val="bottom"/>
          </w:tcPr>
          <w:p>
            <w:pPr>
              <w:spacing w:after="0"/>
              <w:rPr>
                <w:sz w:val="1"/>
                <w:szCs w:val="1"/>
                <w:color w:val="auto"/>
              </w:rPr>
            </w:pPr>
          </w:p>
        </w:tc>
      </w:tr>
      <w:tr>
        <w:trPr>
          <w:trHeight w:val="189"/>
        </w:trPr>
        <w:tc>
          <w:tcPr>
            <w:tcW w:w="1760" w:type="dxa"/>
            <w:vAlign w:val="bottom"/>
            <w:shd w:val="clear" w:color="auto" w:fill="D2D3D5"/>
          </w:tcPr>
          <w:p>
            <w:pPr>
              <w:spacing w:after="0"/>
              <w:rPr>
                <w:sz w:val="16"/>
                <w:szCs w:val="16"/>
                <w:color w:val="auto"/>
              </w:rPr>
            </w:pPr>
          </w:p>
        </w:tc>
        <w:tc>
          <w:tcPr>
            <w:tcW w:w="1160" w:type="dxa"/>
            <w:vAlign w:val="bottom"/>
            <w:shd w:val="clear" w:color="auto" w:fill="D2D3D5"/>
          </w:tcPr>
          <w:p>
            <w:pPr>
              <w:spacing w:after="0"/>
              <w:rPr>
                <w:sz w:val="16"/>
                <w:szCs w:val="16"/>
                <w:color w:val="auto"/>
              </w:rPr>
            </w:pPr>
          </w:p>
        </w:tc>
        <w:tc>
          <w:tcPr>
            <w:tcW w:w="1060" w:type="dxa"/>
            <w:vAlign w:val="bottom"/>
            <w:shd w:val="clear" w:color="auto" w:fill="D2D3D5"/>
          </w:tcPr>
          <w:p>
            <w:pPr>
              <w:spacing w:after="0"/>
              <w:rPr>
                <w:sz w:val="16"/>
                <w:szCs w:val="16"/>
                <w:color w:val="auto"/>
              </w:rPr>
            </w:pPr>
          </w:p>
        </w:tc>
        <w:tc>
          <w:tcPr>
            <w:tcW w:w="100" w:type="dxa"/>
            <w:vAlign w:val="bottom"/>
            <w:shd w:val="clear" w:color="auto" w:fill="D2D3D5"/>
          </w:tcPr>
          <w:p>
            <w:pPr>
              <w:spacing w:after="0"/>
              <w:rPr>
                <w:sz w:val="16"/>
                <w:szCs w:val="16"/>
                <w:color w:val="auto"/>
              </w:rPr>
            </w:pPr>
          </w:p>
        </w:tc>
        <w:tc>
          <w:tcPr>
            <w:tcW w:w="1120" w:type="dxa"/>
            <w:vAlign w:val="bottom"/>
            <w:shd w:val="clear" w:color="auto" w:fill="D2D3D5"/>
          </w:tcPr>
          <w:p>
            <w:pPr>
              <w:spacing w:after="0"/>
              <w:rPr>
                <w:sz w:val="16"/>
                <w:szCs w:val="16"/>
                <w:color w:val="auto"/>
              </w:rPr>
            </w:pPr>
          </w:p>
        </w:tc>
        <w:tc>
          <w:tcPr>
            <w:tcW w:w="1240" w:type="dxa"/>
            <w:vAlign w:val="bottom"/>
            <w:shd w:val="clear" w:color="auto" w:fill="D2D3D5"/>
          </w:tcPr>
          <w:p>
            <w:pPr>
              <w:spacing w:after="0"/>
              <w:rPr>
                <w:sz w:val="16"/>
                <w:szCs w:val="16"/>
                <w:color w:val="auto"/>
              </w:rPr>
            </w:pPr>
          </w:p>
        </w:tc>
        <w:tc>
          <w:tcPr>
            <w:tcW w:w="4800" w:type="dxa"/>
            <w:vAlign w:val="bottom"/>
            <w:shd w:val="clear" w:color="auto" w:fill="D2D3D5"/>
          </w:tcPr>
          <w:p>
            <w:pPr>
              <w:ind w:left="80"/>
              <w:spacing w:after="0"/>
              <w:rPr>
                <w:sz w:val="20"/>
                <w:szCs w:val="20"/>
                <w:color w:val="auto"/>
              </w:rPr>
            </w:pPr>
            <w:r>
              <w:rPr>
                <w:rFonts w:ascii="Arial" w:cs="Arial" w:eastAsia="Arial" w:hAnsi="Arial"/>
                <w:sz w:val="16"/>
                <w:szCs w:val="16"/>
                <w:color w:val="auto"/>
              </w:rPr>
              <w:t>consecutive trading days during the three-year performance</w:t>
            </w:r>
          </w:p>
        </w:tc>
        <w:tc>
          <w:tcPr>
            <w:tcW w:w="0" w:type="dxa"/>
            <w:vAlign w:val="bottom"/>
          </w:tcPr>
          <w:p>
            <w:pPr>
              <w:spacing w:after="0"/>
              <w:rPr>
                <w:sz w:val="1"/>
                <w:szCs w:val="1"/>
                <w:color w:val="auto"/>
              </w:rPr>
            </w:pPr>
          </w:p>
        </w:tc>
      </w:tr>
      <w:tr>
        <w:trPr>
          <w:trHeight w:val="189"/>
        </w:trPr>
        <w:tc>
          <w:tcPr>
            <w:tcW w:w="1760" w:type="dxa"/>
            <w:vAlign w:val="bottom"/>
            <w:shd w:val="clear" w:color="auto" w:fill="D2D3D5"/>
          </w:tcPr>
          <w:p>
            <w:pPr>
              <w:spacing w:after="0"/>
              <w:rPr>
                <w:sz w:val="16"/>
                <w:szCs w:val="16"/>
                <w:color w:val="auto"/>
              </w:rPr>
            </w:pPr>
          </w:p>
        </w:tc>
        <w:tc>
          <w:tcPr>
            <w:tcW w:w="1160" w:type="dxa"/>
            <w:vAlign w:val="bottom"/>
            <w:shd w:val="clear" w:color="auto" w:fill="D2D3D5"/>
          </w:tcPr>
          <w:p>
            <w:pPr>
              <w:spacing w:after="0"/>
              <w:rPr>
                <w:sz w:val="16"/>
                <w:szCs w:val="16"/>
                <w:color w:val="auto"/>
              </w:rPr>
            </w:pPr>
          </w:p>
        </w:tc>
        <w:tc>
          <w:tcPr>
            <w:tcW w:w="1060" w:type="dxa"/>
            <w:vAlign w:val="bottom"/>
            <w:shd w:val="clear" w:color="auto" w:fill="D2D3D5"/>
          </w:tcPr>
          <w:p>
            <w:pPr>
              <w:spacing w:after="0"/>
              <w:rPr>
                <w:sz w:val="16"/>
                <w:szCs w:val="16"/>
                <w:color w:val="auto"/>
              </w:rPr>
            </w:pPr>
          </w:p>
        </w:tc>
        <w:tc>
          <w:tcPr>
            <w:tcW w:w="100" w:type="dxa"/>
            <w:vAlign w:val="bottom"/>
            <w:shd w:val="clear" w:color="auto" w:fill="D2D3D5"/>
          </w:tcPr>
          <w:p>
            <w:pPr>
              <w:spacing w:after="0"/>
              <w:rPr>
                <w:sz w:val="16"/>
                <w:szCs w:val="16"/>
                <w:color w:val="auto"/>
              </w:rPr>
            </w:pPr>
          </w:p>
        </w:tc>
        <w:tc>
          <w:tcPr>
            <w:tcW w:w="1120" w:type="dxa"/>
            <w:vAlign w:val="bottom"/>
            <w:shd w:val="clear" w:color="auto" w:fill="D2D3D5"/>
          </w:tcPr>
          <w:p>
            <w:pPr>
              <w:spacing w:after="0"/>
              <w:rPr>
                <w:sz w:val="16"/>
                <w:szCs w:val="16"/>
                <w:color w:val="auto"/>
              </w:rPr>
            </w:pPr>
          </w:p>
        </w:tc>
        <w:tc>
          <w:tcPr>
            <w:tcW w:w="1240" w:type="dxa"/>
            <w:vAlign w:val="bottom"/>
            <w:shd w:val="clear" w:color="auto" w:fill="D2D3D5"/>
          </w:tcPr>
          <w:p>
            <w:pPr>
              <w:spacing w:after="0"/>
              <w:rPr>
                <w:sz w:val="16"/>
                <w:szCs w:val="16"/>
                <w:color w:val="auto"/>
              </w:rPr>
            </w:pPr>
          </w:p>
        </w:tc>
        <w:tc>
          <w:tcPr>
            <w:tcW w:w="4800" w:type="dxa"/>
            <w:vAlign w:val="bottom"/>
            <w:shd w:val="clear" w:color="auto" w:fill="D2D3D5"/>
          </w:tcPr>
          <w:p>
            <w:pPr>
              <w:ind w:left="80"/>
              <w:spacing w:after="0"/>
              <w:rPr>
                <w:sz w:val="20"/>
                <w:szCs w:val="20"/>
                <w:color w:val="auto"/>
              </w:rPr>
            </w:pPr>
            <w:r>
              <w:rPr>
                <w:rFonts w:ascii="Arial" w:cs="Arial" w:eastAsia="Arial" w:hAnsi="Arial"/>
                <w:sz w:val="16"/>
                <w:szCs w:val="16"/>
                <w:color w:val="auto"/>
              </w:rPr>
              <w:t>period (an increase of 33% over the closing stock price on the</w:t>
            </w:r>
          </w:p>
        </w:tc>
        <w:tc>
          <w:tcPr>
            <w:tcW w:w="0" w:type="dxa"/>
            <w:vAlign w:val="bottom"/>
          </w:tcPr>
          <w:p>
            <w:pPr>
              <w:spacing w:after="0"/>
              <w:rPr>
                <w:sz w:val="1"/>
                <w:szCs w:val="1"/>
                <w:color w:val="auto"/>
              </w:rPr>
            </w:pPr>
          </w:p>
        </w:tc>
      </w:tr>
      <w:tr>
        <w:trPr>
          <w:trHeight w:val="187"/>
        </w:trPr>
        <w:tc>
          <w:tcPr>
            <w:tcW w:w="1760" w:type="dxa"/>
            <w:vAlign w:val="bottom"/>
            <w:tcBorders>
              <w:bottom w:val="single" w:sz="8" w:color="auto"/>
            </w:tcBorders>
            <w:shd w:val="clear" w:color="auto" w:fill="D2D3D5"/>
          </w:tcPr>
          <w:p>
            <w:pPr>
              <w:spacing w:after="0"/>
              <w:rPr>
                <w:sz w:val="16"/>
                <w:szCs w:val="16"/>
                <w:color w:val="auto"/>
              </w:rPr>
            </w:pPr>
          </w:p>
        </w:tc>
        <w:tc>
          <w:tcPr>
            <w:tcW w:w="1160" w:type="dxa"/>
            <w:vAlign w:val="bottom"/>
            <w:tcBorders>
              <w:bottom w:val="single" w:sz="8" w:color="auto"/>
            </w:tcBorders>
            <w:shd w:val="clear" w:color="auto" w:fill="D2D3D5"/>
          </w:tcPr>
          <w:p>
            <w:pPr>
              <w:spacing w:after="0"/>
              <w:rPr>
                <w:sz w:val="16"/>
                <w:szCs w:val="16"/>
                <w:color w:val="auto"/>
              </w:rPr>
            </w:pPr>
          </w:p>
        </w:tc>
        <w:tc>
          <w:tcPr>
            <w:tcW w:w="1060" w:type="dxa"/>
            <w:vAlign w:val="bottom"/>
            <w:tcBorders>
              <w:bottom w:val="single" w:sz="8" w:color="auto"/>
            </w:tcBorders>
            <w:shd w:val="clear" w:color="auto" w:fill="D2D3D5"/>
          </w:tcPr>
          <w:p>
            <w:pPr>
              <w:spacing w:after="0"/>
              <w:rPr>
                <w:sz w:val="16"/>
                <w:szCs w:val="16"/>
                <w:color w:val="auto"/>
              </w:rPr>
            </w:pPr>
          </w:p>
        </w:tc>
        <w:tc>
          <w:tcPr>
            <w:tcW w:w="100" w:type="dxa"/>
            <w:vAlign w:val="bottom"/>
            <w:tcBorders>
              <w:bottom w:val="single" w:sz="8" w:color="auto"/>
            </w:tcBorders>
            <w:shd w:val="clear" w:color="auto" w:fill="D2D3D5"/>
          </w:tcPr>
          <w:p>
            <w:pPr>
              <w:spacing w:after="0"/>
              <w:rPr>
                <w:sz w:val="16"/>
                <w:szCs w:val="16"/>
                <w:color w:val="auto"/>
              </w:rPr>
            </w:pPr>
          </w:p>
        </w:tc>
        <w:tc>
          <w:tcPr>
            <w:tcW w:w="1120" w:type="dxa"/>
            <w:vAlign w:val="bottom"/>
            <w:tcBorders>
              <w:bottom w:val="single" w:sz="8" w:color="auto"/>
            </w:tcBorders>
            <w:shd w:val="clear" w:color="auto" w:fill="D2D3D5"/>
          </w:tcPr>
          <w:p>
            <w:pPr>
              <w:spacing w:after="0"/>
              <w:rPr>
                <w:sz w:val="16"/>
                <w:szCs w:val="16"/>
                <w:color w:val="auto"/>
              </w:rPr>
            </w:pPr>
          </w:p>
        </w:tc>
        <w:tc>
          <w:tcPr>
            <w:tcW w:w="1240" w:type="dxa"/>
            <w:vAlign w:val="bottom"/>
            <w:tcBorders>
              <w:bottom w:val="single" w:sz="8" w:color="auto"/>
            </w:tcBorders>
            <w:shd w:val="clear" w:color="auto" w:fill="D2D3D5"/>
          </w:tcPr>
          <w:p>
            <w:pPr>
              <w:spacing w:after="0"/>
              <w:rPr>
                <w:sz w:val="16"/>
                <w:szCs w:val="16"/>
                <w:color w:val="auto"/>
              </w:rPr>
            </w:pPr>
          </w:p>
        </w:tc>
        <w:tc>
          <w:tcPr>
            <w:tcW w:w="4800" w:type="dxa"/>
            <w:vAlign w:val="bottom"/>
            <w:tcBorders>
              <w:bottom w:val="single" w:sz="8" w:color="auto"/>
            </w:tcBorders>
            <w:shd w:val="clear" w:color="auto" w:fill="D2D3D5"/>
          </w:tcPr>
          <w:p>
            <w:pPr>
              <w:ind w:left="8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r>
        <w:trPr>
          <w:trHeight w:val="184"/>
        </w:trPr>
        <w:tc>
          <w:tcPr>
            <w:tcW w:w="1760" w:type="dxa"/>
            <w:vAlign w:val="bottom"/>
          </w:tcPr>
          <w:p>
            <w:pPr>
              <w:ind w:left="40"/>
              <w:spacing w:after="0"/>
              <w:rPr>
                <w:sz w:val="20"/>
                <w:szCs w:val="20"/>
                <w:color w:val="auto"/>
              </w:rPr>
            </w:pPr>
            <w:r>
              <w:rPr>
                <w:rFonts w:ascii="Arial" w:cs="Arial" w:eastAsia="Arial" w:hAnsi="Arial"/>
                <w:sz w:val="16"/>
                <w:szCs w:val="16"/>
                <w:color w:val="auto"/>
              </w:rPr>
              <w:t>CFO</w:t>
            </w:r>
          </w:p>
        </w:tc>
        <w:tc>
          <w:tcPr>
            <w:tcW w:w="1160" w:type="dxa"/>
            <w:vAlign w:val="bottom"/>
          </w:tcPr>
          <w:p>
            <w:pPr>
              <w:jc w:val="center"/>
              <w:spacing w:after="0"/>
              <w:rPr>
                <w:sz w:val="20"/>
                <w:szCs w:val="20"/>
                <w:color w:val="auto"/>
              </w:rPr>
            </w:pPr>
            <w:r>
              <w:rPr>
                <w:rFonts w:ascii="Arial" w:cs="Arial" w:eastAsia="Arial" w:hAnsi="Arial"/>
                <w:sz w:val="16"/>
                <w:szCs w:val="16"/>
                <w:color w:val="auto"/>
              </w:rPr>
              <w:t>$500,000</w:t>
            </w:r>
          </w:p>
        </w:tc>
        <w:tc>
          <w:tcPr>
            <w:tcW w:w="1060" w:type="dxa"/>
            <w:vAlign w:val="bottom"/>
          </w:tcPr>
          <w:p>
            <w:pPr>
              <w:jc w:val="center"/>
              <w:ind w:left="39"/>
              <w:spacing w:after="0"/>
              <w:rPr>
                <w:sz w:val="20"/>
                <w:szCs w:val="20"/>
                <w:color w:val="auto"/>
              </w:rPr>
            </w:pPr>
            <w:r>
              <w:rPr>
                <w:rFonts w:ascii="Arial" w:cs="Arial" w:eastAsia="Arial" w:hAnsi="Arial"/>
                <w:sz w:val="16"/>
                <w:szCs w:val="16"/>
                <w:color w:val="auto"/>
                <w:w w:val="99"/>
              </w:rPr>
              <w:t>Target</w:t>
            </w:r>
          </w:p>
        </w:tc>
        <w:tc>
          <w:tcPr>
            <w:tcW w:w="1220" w:type="dxa"/>
            <w:vAlign w:val="bottom"/>
            <w:gridSpan w:val="2"/>
          </w:tcPr>
          <w:p>
            <w:pPr>
              <w:ind w:left="100"/>
              <w:spacing w:after="0"/>
              <w:rPr>
                <w:sz w:val="20"/>
                <w:szCs w:val="20"/>
                <w:color w:val="auto"/>
              </w:rPr>
            </w:pPr>
            <w:r>
              <w:rPr>
                <w:rFonts w:ascii="Arial" w:cs="Arial" w:eastAsia="Arial" w:hAnsi="Arial"/>
                <w:sz w:val="16"/>
                <w:szCs w:val="16"/>
                <w:color w:val="auto"/>
              </w:rPr>
              <w:t>RSU**</w:t>
            </w:r>
          </w:p>
        </w:tc>
        <w:tc>
          <w:tcPr>
            <w:tcW w:w="1240" w:type="dxa"/>
            <w:vAlign w:val="bottom"/>
          </w:tcPr>
          <w:p>
            <w:pPr>
              <w:jc w:val="center"/>
              <w:spacing w:after="0"/>
              <w:rPr>
                <w:sz w:val="20"/>
                <w:szCs w:val="20"/>
                <w:color w:val="auto"/>
              </w:rPr>
            </w:pPr>
            <w:r>
              <w:rPr>
                <w:rFonts w:ascii="Arial" w:cs="Arial" w:eastAsia="Arial" w:hAnsi="Arial"/>
                <w:sz w:val="16"/>
                <w:szCs w:val="16"/>
                <w:color w:val="auto"/>
                <w:w w:val="98"/>
              </w:rPr>
              <w:t>$3.0 million</w:t>
            </w:r>
          </w:p>
        </w:tc>
        <w:tc>
          <w:tcPr>
            <w:tcW w:w="4800" w:type="dxa"/>
            <w:vAlign w:val="bottom"/>
          </w:tcPr>
          <w:p>
            <w:pPr>
              <w:ind w:left="80"/>
              <w:spacing w:after="0"/>
              <w:rPr>
                <w:sz w:val="20"/>
                <w:szCs w:val="20"/>
                <w:color w:val="auto"/>
              </w:rPr>
            </w:pPr>
            <w:r>
              <w:rPr>
                <w:rFonts w:ascii="Arial" w:cs="Arial" w:eastAsia="Arial" w:hAnsi="Arial"/>
                <w:sz w:val="16"/>
                <w:szCs w:val="16"/>
                <w:color w:val="auto"/>
              </w:rPr>
              <w:t>One-third on each of the first three anniversaries of grant date</w:t>
            </w: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jc w:val="center"/>
              <w:ind w:left="39"/>
              <w:spacing w:after="0"/>
              <w:rPr>
                <w:sz w:val="20"/>
                <w:szCs w:val="20"/>
                <w:color w:val="auto"/>
              </w:rPr>
            </w:pPr>
            <w:r>
              <w:rPr>
                <w:rFonts w:ascii="Arial" w:cs="Arial" w:eastAsia="Arial" w:hAnsi="Arial"/>
                <w:sz w:val="16"/>
                <w:szCs w:val="16"/>
                <w:color w:val="auto"/>
                <w:w w:val="98"/>
              </w:rPr>
              <w:t>of 100%</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60" w:type="dxa"/>
            <w:vAlign w:val="bottom"/>
          </w:tcPr>
          <w:p>
            <w:pPr>
              <w:jc w:val="center"/>
              <w:ind w:left="39"/>
              <w:spacing w:after="0"/>
              <w:rPr>
                <w:sz w:val="20"/>
                <w:szCs w:val="20"/>
                <w:color w:val="auto"/>
              </w:rPr>
            </w:pPr>
            <w:r>
              <w:rPr>
                <w:rFonts w:ascii="Arial" w:cs="Arial" w:eastAsia="Arial" w:hAnsi="Arial"/>
                <w:sz w:val="16"/>
                <w:szCs w:val="16"/>
                <w:color w:val="auto"/>
                <w:w w:val="99"/>
              </w:rPr>
              <w:t>of Base</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Salary</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0" w:hanging="332"/>
        <w:spacing w:after="0" w:line="25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Our CFO participated in the 2020 AIP, under which there were no payouts. Our Executive Chairman did not participate in the 2020 AIP. The Committee expects to review the performance of our Executive Chairman following the first anniversary of his appointment to determine the actual payout for his initial annual incentive.</w:t>
      </w:r>
    </w:p>
    <w:p>
      <w:pPr>
        <w:spacing w:after="0" w:line="3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new hire award.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Grant date fair value was approximately $860,000. Performance goals for the PSUs have been achieved and are expected to vest.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CEO and EVP, Americas</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Initial 2020 compensation decisions for our CEO and our EVP, Americas, who were appointed on an interim basis for January to June 2020 were made in late 2019 and early 2020 based on their prior roles of President, Americas and CFO, Americas, respectively. Both executives were also awarded additional compensation for their interim roles. These decisions were made based on factors described above and are summarized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0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Initial Compensation for 2020</w:t>
            </w:r>
          </w:p>
        </w:tc>
        <w:tc>
          <w:tcPr>
            <w:tcW w:w="18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171"/>
        </w:trPr>
        <w:tc>
          <w:tcPr>
            <w:tcW w:w="1040" w:type="dxa"/>
            <w:vAlign w:val="bottom"/>
          </w:tcPr>
          <w:p>
            <w:pPr>
              <w:spacing w:after="0"/>
              <w:rPr>
                <w:sz w:val="14"/>
                <w:szCs w:val="14"/>
                <w:color w:val="auto"/>
              </w:rPr>
            </w:pPr>
          </w:p>
        </w:tc>
        <w:tc>
          <w:tcPr>
            <w:tcW w:w="980" w:type="dxa"/>
            <w:vAlign w:val="bottom"/>
          </w:tcPr>
          <w:p>
            <w:pPr>
              <w:jc w:val="right"/>
              <w:ind w:right="199"/>
              <w:spacing w:after="0" w:line="171" w:lineRule="exact"/>
              <w:rPr>
                <w:sz w:val="20"/>
                <w:szCs w:val="20"/>
                <w:color w:val="auto"/>
              </w:rPr>
            </w:pPr>
            <w:r>
              <w:rPr>
                <w:rFonts w:ascii="Arial" w:cs="Arial" w:eastAsia="Arial" w:hAnsi="Arial"/>
                <w:sz w:val="16"/>
                <w:szCs w:val="16"/>
                <w:b w:val="1"/>
                <w:bCs w:val="1"/>
                <w:color w:val="auto"/>
              </w:rPr>
              <w:t>Base</w:t>
            </w:r>
          </w:p>
        </w:tc>
        <w:tc>
          <w:tcPr>
            <w:tcW w:w="2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0" w:type="dxa"/>
            <w:vAlign w:val="bottom"/>
          </w:tcPr>
          <w:p>
            <w:pPr>
              <w:jc w:val="center"/>
              <w:ind w:right="99"/>
              <w:spacing w:after="0" w:line="171" w:lineRule="exact"/>
              <w:rPr>
                <w:sz w:val="20"/>
                <w:szCs w:val="20"/>
                <w:color w:val="auto"/>
              </w:rPr>
            </w:pPr>
            <w:r>
              <w:rPr>
                <w:rFonts w:ascii="Arial" w:cs="Arial" w:eastAsia="Arial" w:hAnsi="Arial"/>
                <w:sz w:val="16"/>
                <w:szCs w:val="16"/>
                <w:b w:val="1"/>
                <w:bCs w:val="1"/>
                <w:color w:val="auto"/>
              </w:rPr>
              <w:t>Interim Role</w:t>
            </w:r>
          </w:p>
        </w:tc>
        <w:tc>
          <w:tcPr>
            <w:tcW w:w="1920" w:type="dxa"/>
            <w:vAlign w:val="bottom"/>
          </w:tcPr>
          <w:p>
            <w:pPr>
              <w:jc w:val="center"/>
              <w:ind w:left="59"/>
              <w:spacing w:after="0" w:line="171" w:lineRule="exact"/>
              <w:rPr>
                <w:sz w:val="20"/>
                <w:szCs w:val="20"/>
                <w:color w:val="auto"/>
              </w:rPr>
            </w:pPr>
            <w:r>
              <w:rPr>
                <w:rFonts w:ascii="Arial" w:cs="Arial" w:eastAsia="Arial" w:hAnsi="Arial"/>
                <w:sz w:val="16"/>
                <w:szCs w:val="16"/>
                <w:b w:val="1"/>
                <w:bCs w:val="1"/>
                <w:color w:val="auto"/>
              </w:rPr>
              <w:t>Interim Role</w:t>
            </w:r>
          </w:p>
        </w:tc>
      </w:tr>
      <w:tr>
        <w:trPr>
          <w:trHeight w:val="207"/>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Role</w:t>
            </w:r>
          </w:p>
        </w:tc>
        <w:tc>
          <w:tcPr>
            <w:tcW w:w="9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Salary</w:t>
            </w:r>
          </w:p>
        </w:tc>
        <w:tc>
          <w:tcPr>
            <w:tcW w:w="2320" w:type="dxa"/>
            <w:vAlign w:val="bottom"/>
            <w:tcBorders>
              <w:bottom w:val="single" w:sz="8" w:color="auto"/>
            </w:tcBorders>
          </w:tcPr>
          <w:p>
            <w:pPr>
              <w:ind w:left="560"/>
              <w:spacing w:after="0"/>
              <w:rPr>
                <w:sz w:val="20"/>
                <w:szCs w:val="20"/>
                <w:color w:val="auto"/>
              </w:rPr>
            </w:pPr>
            <w:r>
              <w:rPr>
                <w:rFonts w:ascii="Arial" w:cs="Arial" w:eastAsia="Arial" w:hAnsi="Arial"/>
                <w:sz w:val="16"/>
                <w:szCs w:val="16"/>
                <w:b w:val="1"/>
                <w:bCs w:val="1"/>
                <w:color w:val="auto"/>
              </w:rPr>
              <w:t>2020 AIP Target</w:t>
            </w:r>
          </w:p>
        </w:tc>
        <w:tc>
          <w:tcPr>
            <w:tcW w:w="31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2020 LTIP</w:t>
            </w:r>
          </w:p>
        </w:tc>
        <w:tc>
          <w:tcPr>
            <w:tcW w:w="18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Cash Payment</w:t>
            </w:r>
          </w:p>
        </w:tc>
        <w:tc>
          <w:tcPr>
            <w:tcW w:w="19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Equity Awards*</w:t>
            </w:r>
          </w:p>
        </w:tc>
      </w:tr>
      <w:tr>
        <w:trPr>
          <w:trHeight w:val="184"/>
        </w:trPr>
        <w:tc>
          <w:tcPr>
            <w:tcW w:w="1040" w:type="dxa"/>
            <w:vAlign w:val="bottom"/>
            <w:shd w:val="clear" w:color="auto" w:fill="D2D3D5"/>
          </w:tcPr>
          <w:p>
            <w:pPr>
              <w:ind w:left="40"/>
              <w:spacing w:after="0"/>
              <w:rPr>
                <w:sz w:val="20"/>
                <w:szCs w:val="20"/>
                <w:color w:val="auto"/>
              </w:rPr>
            </w:pPr>
            <w:r>
              <w:rPr>
                <w:rFonts w:ascii="Arial" w:cs="Arial" w:eastAsia="Arial" w:hAnsi="Arial"/>
                <w:sz w:val="16"/>
                <w:szCs w:val="16"/>
                <w:color w:val="auto"/>
              </w:rPr>
              <w:t>CEO</w:t>
            </w:r>
          </w:p>
        </w:tc>
        <w:tc>
          <w:tcPr>
            <w:tcW w:w="980" w:type="dxa"/>
            <w:vAlign w:val="bottom"/>
            <w:shd w:val="clear" w:color="auto" w:fill="D2D3D5"/>
          </w:tcPr>
          <w:p>
            <w:pPr>
              <w:jc w:val="right"/>
              <w:ind w:right="239"/>
              <w:spacing w:after="0"/>
              <w:rPr>
                <w:sz w:val="20"/>
                <w:szCs w:val="20"/>
                <w:color w:val="auto"/>
              </w:rPr>
            </w:pPr>
            <w:r>
              <w:rPr>
                <w:rFonts w:ascii="Arial" w:cs="Arial" w:eastAsia="Arial" w:hAnsi="Arial"/>
                <w:sz w:val="16"/>
                <w:szCs w:val="16"/>
                <w:color w:val="auto"/>
                <w:w w:val="95"/>
              </w:rPr>
              <w:t>$750,000</w:t>
            </w:r>
          </w:p>
        </w:tc>
        <w:tc>
          <w:tcPr>
            <w:tcW w:w="2320" w:type="dxa"/>
            <w:vAlign w:val="bottom"/>
            <w:shd w:val="clear" w:color="auto" w:fill="D2D3D5"/>
          </w:tcPr>
          <w:p>
            <w:pPr>
              <w:ind w:left="260"/>
              <w:spacing w:after="0"/>
              <w:rPr>
                <w:sz w:val="20"/>
                <w:szCs w:val="20"/>
                <w:color w:val="auto"/>
              </w:rPr>
            </w:pPr>
            <w:r>
              <w:rPr>
                <w:rFonts w:ascii="Arial" w:cs="Arial" w:eastAsia="Arial" w:hAnsi="Arial"/>
                <w:sz w:val="16"/>
                <w:szCs w:val="16"/>
                <w:color w:val="auto"/>
              </w:rPr>
              <w:t>100% of base salary</w:t>
            </w:r>
          </w:p>
        </w:tc>
        <w:tc>
          <w:tcPr>
            <w:tcW w:w="3180" w:type="dxa"/>
            <w:vAlign w:val="bottom"/>
            <w:shd w:val="clear" w:color="auto" w:fill="D2D3D5"/>
          </w:tcPr>
          <w:p>
            <w:pPr>
              <w:jc w:val="center"/>
              <w:ind w:right="259"/>
              <w:spacing w:after="0"/>
              <w:rPr>
                <w:sz w:val="20"/>
                <w:szCs w:val="20"/>
                <w:color w:val="auto"/>
              </w:rPr>
            </w:pPr>
            <w:r>
              <w:rPr>
                <w:rFonts w:ascii="Arial" w:cs="Arial" w:eastAsia="Arial" w:hAnsi="Arial"/>
                <w:sz w:val="16"/>
                <w:szCs w:val="16"/>
                <w:color w:val="auto"/>
              </w:rPr>
              <w:t>$2.0 million award value</w:t>
            </w:r>
          </w:p>
        </w:tc>
        <w:tc>
          <w:tcPr>
            <w:tcW w:w="1800" w:type="dxa"/>
            <w:vAlign w:val="bottom"/>
            <w:shd w:val="clear" w:color="auto" w:fill="D2D3D5"/>
          </w:tcPr>
          <w:p>
            <w:pPr>
              <w:jc w:val="center"/>
              <w:ind w:right="99"/>
              <w:spacing w:after="0"/>
              <w:rPr>
                <w:sz w:val="20"/>
                <w:szCs w:val="20"/>
                <w:color w:val="auto"/>
              </w:rPr>
            </w:pPr>
            <w:r>
              <w:rPr>
                <w:rFonts w:ascii="Arial" w:cs="Arial" w:eastAsia="Arial" w:hAnsi="Arial"/>
                <w:sz w:val="16"/>
                <w:szCs w:val="16"/>
                <w:color w:val="auto"/>
                <w:w w:val="98"/>
              </w:rPr>
              <w:t>$750,000</w:t>
            </w:r>
          </w:p>
        </w:tc>
        <w:tc>
          <w:tcPr>
            <w:tcW w:w="1920" w:type="dxa"/>
            <w:vAlign w:val="bottom"/>
            <w:shd w:val="clear" w:color="auto" w:fill="D2D3D5"/>
          </w:tcPr>
          <w:p>
            <w:pPr>
              <w:jc w:val="center"/>
              <w:ind w:left="39"/>
              <w:spacing w:after="0"/>
              <w:rPr>
                <w:sz w:val="20"/>
                <w:szCs w:val="20"/>
                <w:color w:val="auto"/>
              </w:rPr>
            </w:pPr>
            <w:r>
              <w:rPr>
                <w:rFonts w:ascii="Arial" w:cs="Arial" w:eastAsia="Arial" w:hAnsi="Arial"/>
                <w:sz w:val="16"/>
                <w:szCs w:val="16"/>
                <w:color w:val="auto"/>
              </w:rPr>
              <w:t>45,006 RSUs</w:t>
            </w:r>
          </w:p>
        </w:tc>
      </w:tr>
      <w:tr>
        <w:trPr>
          <w:trHeight w:val="187"/>
        </w:trPr>
        <w:tc>
          <w:tcPr>
            <w:tcW w:w="1040" w:type="dxa"/>
            <w:vAlign w:val="bottom"/>
            <w:tcBorders>
              <w:bottom w:val="single" w:sz="8" w:color="auto"/>
            </w:tcBorders>
            <w:shd w:val="clear" w:color="auto" w:fill="D2D3D5"/>
          </w:tcPr>
          <w:p>
            <w:pPr>
              <w:spacing w:after="0"/>
              <w:rPr>
                <w:sz w:val="16"/>
                <w:szCs w:val="16"/>
                <w:color w:val="auto"/>
              </w:rPr>
            </w:pPr>
          </w:p>
        </w:tc>
        <w:tc>
          <w:tcPr>
            <w:tcW w:w="980" w:type="dxa"/>
            <w:vAlign w:val="bottom"/>
            <w:tcBorders>
              <w:bottom w:val="single" w:sz="8" w:color="auto"/>
            </w:tcBorders>
            <w:shd w:val="clear" w:color="auto" w:fill="D2D3D5"/>
          </w:tcPr>
          <w:p>
            <w:pPr>
              <w:spacing w:after="0"/>
              <w:rPr>
                <w:sz w:val="16"/>
                <w:szCs w:val="16"/>
                <w:color w:val="auto"/>
              </w:rPr>
            </w:pPr>
          </w:p>
        </w:tc>
        <w:tc>
          <w:tcPr>
            <w:tcW w:w="2320" w:type="dxa"/>
            <w:vAlign w:val="bottom"/>
            <w:tcBorders>
              <w:bottom w:val="single" w:sz="8" w:color="auto"/>
            </w:tcBorders>
            <w:shd w:val="clear" w:color="auto" w:fill="D2D3D5"/>
          </w:tcPr>
          <w:p>
            <w:pPr>
              <w:spacing w:after="0"/>
              <w:rPr>
                <w:sz w:val="16"/>
                <w:szCs w:val="16"/>
                <w:color w:val="auto"/>
              </w:rPr>
            </w:pPr>
          </w:p>
        </w:tc>
        <w:tc>
          <w:tcPr>
            <w:tcW w:w="3180" w:type="dxa"/>
            <w:vAlign w:val="bottom"/>
            <w:tcBorders>
              <w:bottom w:val="single" w:sz="8" w:color="auto"/>
            </w:tcBorders>
            <w:shd w:val="clear" w:color="auto" w:fill="D2D3D5"/>
          </w:tcPr>
          <w:p>
            <w:pPr>
              <w:jc w:val="center"/>
              <w:ind w:right="259"/>
              <w:spacing w:after="0"/>
              <w:rPr>
                <w:sz w:val="20"/>
                <w:szCs w:val="20"/>
                <w:color w:val="auto"/>
              </w:rPr>
            </w:pPr>
            <w:r>
              <w:rPr>
                <w:rFonts w:ascii="Arial" w:cs="Arial" w:eastAsia="Arial" w:hAnsi="Arial"/>
                <w:sz w:val="16"/>
                <w:szCs w:val="16"/>
                <w:color w:val="auto"/>
              </w:rPr>
              <w:t>(50% RSUs/50% PSUs)</w:t>
            </w:r>
          </w:p>
        </w:tc>
        <w:tc>
          <w:tcPr>
            <w:tcW w:w="1800" w:type="dxa"/>
            <w:vAlign w:val="bottom"/>
            <w:tcBorders>
              <w:bottom w:val="single" w:sz="8" w:color="auto"/>
            </w:tcBorders>
            <w:shd w:val="clear" w:color="auto" w:fill="D2D3D5"/>
          </w:tcPr>
          <w:p>
            <w:pPr>
              <w:spacing w:after="0"/>
              <w:rPr>
                <w:sz w:val="16"/>
                <w:szCs w:val="16"/>
                <w:color w:val="auto"/>
              </w:rPr>
            </w:pPr>
          </w:p>
        </w:tc>
        <w:tc>
          <w:tcPr>
            <w:tcW w:w="1920" w:type="dxa"/>
            <w:vAlign w:val="bottom"/>
            <w:tcBorders>
              <w:bottom w:val="single" w:sz="8" w:color="auto"/>
            </w:tcBorders>
            <w:shd w:val="clear" w:color="auto" w:fill="D2D3D5"/>
          </w:tcPr>
          <w:p>
            <w:pPr>
              <w:jc w:val="center"/>
              <w:ind w:left="39"/>
              <w:spacing w:after="0"/>
              <w:rPr>
                <w:sz w:val="20"/>
                <w:szCs w:val="20"/>
                <w:color w:val="auto"/>
              </w:rPr>
            </w:pPr>
            <w:r>
              <w:rPr>
                <w:rFonts w:ascii="Arial" w:cs="Arial" w:eastAsia="Arial" w:hAnsi="Arial"/>
                <w:sz w:val="16"/>
                <w:szCs w:val="16"/>
                <w:color w:val="auto"/>
              </w:rPr>
              <w:t>(aggregate)</w:t>
            </w:r>
          </w:p>
        </w:tc>
      </w:tr>
      <w:tr>
        <w:trPr>
          <w:trHeight w:val="184"/>
        </w:trPr>
        <w:tc>
          <w:tcPr>
            <w:tcW w:w="1040" w:type="dxa"/>
            <w:vAlign w:val="bottom"/>
          </w:tcPr>
          <w:p>
            <w:pPr>
              <w:ind w:left="40"/>
              <w:spacing w:after="0"/>
              <w:rPr>
                <w:sz w:val="20"/>
                <w:szCs w:val="20"/>
                <w:color w:val="auto"/>
              </w:rPr>
            </w:pPr>
            <w:r>
              <w:rPr>
                <w:rFonts w:ascii="Arial" w:cs="Arial" w:eastAsia="Arial" w:hAnsi="Arial"/>
                <w:sz w:val="16"/>
                <w:szCs w:val="16"/>
                <w:color w:val="auto"/>
              </w:rPr>
              <w:t>EVP,</w:t>
            </w:r>
          </w:p>
        </w:tc>
        <w:tc>
          <w:tcPr>
            <w:tcW w:w="980" w:type="dxa"/>
            <w:vAlign w:val="bottom"/>
          </w:tcPr>
          <w:p>
            <w:pPr>
              <w:jc w:val="right"/>
              <w:ind w:right="239"/>
              <w:spacing w:after="0"/>
              <w:rPr>
                <w:sz w:val="20"/>
                <w:szCs w:val="20"/>
                <w:color w:val="auto"/>
              </w:rPr>
            </w:pPr>
            <w:r>
              <w:rPr>
                <w:rFonts w:ascii="Arial" w:cs="Arial" w:eastAsia="Arial" w:hAnsi="Arial"/>
                <w:sz w:val="16"/>
                <w:szCs w:val="16"/>
                <w:color w:val="auto"/>
                <w:w w:val="95"/>
              </w:rPr>
              <w:t>$390,000</w:t>
            </w:r>
          </w:p>
        </w:tc>
        <w:tc>
          <w:tcPr>
            <w:tcW w:w="2320" w:type="dxa"/>
            <w:vAlign w:val="bottom"/>
          </w:tcPr>
          <w:p>
            <w:pPr>
              <w:ind w:left="260"/>
              <w:spacing w:after="0"/>
              <w:rPr>
                <w:sz w:val="20"/>
                <w:szCs w:val="20"/>
                <w:color w:val="auto"/>
              </w:rPr>
            </w:pPr>
            <w:r>
              <w:rPr>
                <w:rFonts w:ascii="Arial" w:cs="Arial" w:eastAsia="Arial" w:hAnsi="Arial"/>
                <w:sz w:val="16"/>
                <w:szCs w:val="16"/>
                <w:color w:val="auto"/>
              </w:rPr>
              <w:t>45% of base salary</w:t>
            </w:r>
          </w:p>
        </w:tc>
        <w:tc>
          <w:tcPr>
            <w:tcW w:w="3180" w:type="dxa"/>
            <w:vAlign w:val="bottom"/>
          </w:tcPr>
          <w:p>
            <w:pPr>
              <w:jc w:val="center"/>
              <w:ind w:right="259"/>
              <w:spacing w:after="0"/>
              <w:rPr>
                <w:sz w:val="20"/>
                <w:szCs w:val="20"/>
                <w:color w:val="auto"/>
              </w:rPr>
            </w:pPr>
            <w:r>
              <w:rPr>
                <w:rFonts w:ascii="Arial" w:cs="Arial" w:eastAsia="Arial" w:hAnsi="Arial"/>
                <w:sz w:val="16"/>
                <w:szCs w:val="16"/>
                <w:color w:val="auto"/>
              </w:rPr>
              <w:t>$325,000 award value</w:t>
            </w:r>
          </w:p>
        </w:tc>
        <w:tc>
          <w:tcPr>
            <w:tcW w:w="1800" w:type="dxa"/>
            <w:vAlign w:val="bottom"/>
          </w:tcPr>
          <w:p>
            <w:pPr>
              <w:jc w:val="center"/>
              <w:ind w:right="99"/>
              <w:spacing w:after="0"/>
              <w:rPr>
                <w:sz w:val="20"/>
                <w:szCs w:val="20"/>
                <w:color w:val="auto"/>
              </w:rPr>
            </w:pPr>
            <w:r>
              <w:rPr>
                <w:rFonts w:ascii="Arial" w:cs="Arial" w:eastAsia="Arial" w:hAnsi="Arial"/>
                <w:sz w:val="16"/>
                <w:szCs w:val="16"/>
                <w:color w:val="auto"/>
                <w:w w:val="98"/>
              </w:rPr>
              <w:t>$450,000</w:t>
            </w:r>
          </w:p>
        </w:tc>
        <w:tc>
          <w:tcPr>
            <w:tcW w:w="1920" w:type="dxa"/>
            <w:vAlign w:val="bottom"/>
          </w:tcPr>
          <w:p>
            <w:pPr>
              <w:jc w:val="center"/>
              <w:ind w:left="39"/>
              <w:spacing w:after="0"/>
              <w:rPr>
                <w:sz w:val="20"/>
                <w:szCs w:val="20"/>
                <w:color w:val="auto"/>
              </w:rPr>
            </w:pPr>
            <w:r>
              <w:rPr>
                <w:rFonts w:ascii="Arial" w:cs="Arial" w:eastAsia="Arial" w:hAnsi="Arial"/>
                <w:sz w:val="16"/>
                <w:szCs w:val="16"/>
                <w:color w:val="auto"/>
              </w:rPr>
              <w:t>10,800 RSUs</w:t>
            </w:r>
          </w:p>
        </w:tc>
      </w:tr>
      <w:tr>
        <w:trPr>
          <w:trHeight w:val="19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Americas</w:t>
            </w:r>
          </w:p>
        </w:tc>
        <w:tc>
          <w:tcPr>
            <w:tcW w:w="9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color w:val="auto"/>
              </w:rPr>
              <w:t>(70% RSUs/30%PSUs)</w:t>
            </w:r>
          </w:p>
        </w:tc>
        <w:tc>
          <w:tcPr>
            <w:tcW w:w="18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color w:val="auto"/>
              </w:rPr>
              <w:t>(aggregate)</w:t>
            </w:r>
          </w:p>
        </w:tc>
      </w:tr>
    </w:tbl>
    <w:p>
      <w:pPr>
        <w:spacing w:after="0" w:line="72" w:lineRule="exact"/>
        <w:rPr>
          <w:sz w:val="20"/>
          <w:szCs w:val="20"/>
          <w:color w:val="auto"/>
        </w:rPr>
      </w:pPr>
    </w:p>
    <w:p>
      <w:pPr>
        <w:ind w:left="340" w:right="20" w:hanging="332"/>
        <w:spacing w:after="0" w:line="258"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Aggregate grant date fair value was approximately $1.1 million and $270,000 for the CEO and EVP, Americas, respectively. Awards were granted monthly on a pro rata basis with vesting scheduled 50% after six months and 50% after 18 months of the grant date for each award.</w:t>
      </w:r>
    </w:p>
    <w:p>
      <w:pPr>
        <w:spacing w:after="0" w:line="1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when both executives were appointed on a non-interim basis, the Committee approved base salary increases to $1.0 million for Mr. Ferraro and to $500,000 for Ms. Martins, effective July 1, 2020. At that time, the Committee also approved annual incentive target increases to 200% for Mr. Ferraro and 100% for Ms. Martins to have effect for 2021.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Former CFO and Former GC</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Former CFO stepped down from his position with the Company in August 2020 and continued to provide advisory services through the end of the year to ensure a smooth transition. Our Former GC left the Company in March 2020. Each executive received severance payments calculated solely in accordance with the terms of his severance agreement in place with the Company at the time of separation. No discretionary severance payments were made in connection with the departure of either of these executives. For additional information, please see “Employment Agreements and Other Arrangements.”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Changes to the Company’s Compensation Programs for 2021</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Following a number of changes in Board composition in May 2020, the Committee was reconstituted and has overseen substantial changes that have both been effectuated and are expected to be made to the Company’s pay programs for 2021 in order to enhance the pay-for-performance nature of the programs. These changes include: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Change</w:t>
            </w:r>
          </w:p>
        </w:tc>
        <w:tc>
          <w:tcPr>
            <w:tcW w:w="84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215"/>
        </w:trPr>
        <w:tc>
          <w:tcPr>
            <w:tcW w:w="2820" w:type="dxa"/>
            <w:vAlign w:val="bottom"/>
            <w:shd w:val="clear" w:color="auto" w:fill="D2D3D5"/>
          </w:tcPr>
          <w:p>
            <w:pPr>
              <w:ind w:left="40"/>
              <w:spacing w:after="0"/>
              <w:rPr>
                <w:sz w:val="20"/>
                <w:szCs w:val="20"/>
                <w:color w:val="auto"/>
              </w:rPr>
            </w:pPr>
            <w:r>
              <w:rPr>
                <w:rFonts w:ascii="Arial" w:cs="Arial" w:eastAsia="Arial" w:hAnsi="Arial"/>
                <w:sz w:val="18"/>
                <w:szCs w:val="18"/>
                <w:i w:val="1"/>
                <w:iCs w:val="1"/>
                <w:color w:val="auto"/>
              </w:rPr>
              <w:t>New Severance Plan</w:t>
            </w:r>
          </w:p>
        </w:tc>
        <w:tc>
          <w:tcPr>
            <w:tcW w:w="8420" w:type="dxa"/>
            <w:vAlign w:val="bottom"/>
            <w:shd w:val="clear" w:color="auto" w:fill="D2D3D5"/>
          </w:tcPr>
          <w:p>
            <w:pPr>
              <w:ind w:left="220"/>
              <w:spacing w:after="0"/>
              <w:rPr>
                <w:sz w:val="20"/>
                <w:szCs w:val="20"/>
                <w:color w:val="auto"/>
              </w:rPr>
            </w:pPr>
            <w:r>
              <w:rPr>
                <w:rFonts w:ascii="Arial" w:cs="Arial" w:eastAsia="Arial" w:hAnsi="Arial"/>
                <w:sz w:val="18"/>
                <w:szCs w:val="18"/>
                <w:color w:val="auto"/>
              </w:rPr>
              <w:t>Provides reduced payments to executives newly eligible for executive severance. For additional</w:t>
            </w:r>
          </w:p>
        </w:tc>
      </w:tr>
      <w:tr>
        <w:trPr>
          <w:trHeight w:val="217"/>
        </w:trPr>
        <w:tc>
          <w:tcPr>
            <w:tcW w:w="2820" w:type="dxa"/>
            <w:vAlign w:val="bottom"/>
            <w:tcBorders>
              <w:bottom w:val="single" w:sz="8" w:color="auto"/>
            </w:tcBorders>
            <w:shd w:val="clear" w:color="auto" w:fill="D2D3D5"/>
          </w:tcPr>
          <w:p>
            <w:pPr>
              <w:spacing w:after="0"/>
              <w:rPr>
                <w:sz w:val="18"/>
                <w:szCs w:val="18"/>
                <w:color w:val="auto"/>
              </w:rPr>
            </w:pPr>
          </w:p>
        </w:tc>
        <w:tc>
          <w:tcPr>
            <w:tcW w:w="8420" w:type="dxa"/>
            <w:vAlign w:val="bottom"/>
            <w:tcBorders>
              <w:bottom w:val="single" w:sz="8" w:color="auto"/>
            </w:tcBorders>
            <w:shd w:val="clear" w:color="auto" w:fill="D2D3D5"/>
          </w:tcPr>
          <w:p>
            <w:pPr>
              <w:ind w:left="220"/>
              <w:spacing w:after="0"/>
              <w:rPr>
                <w:sz w:val="20"/>
                <w:szCs w:val="20"/>
                <w:color w:val="auto"/>
              </w:rPr>
            </w:pPr>
            <w:r>
              <w:rPr>
                <w:rFonts w:ascii="Arial" w:cs="Arial" w:eastAsia="Arial" w:hAnsi="Arial"/>
                <w:sz w:val="18"/>
                <w:szCs w:val="18"/>
                <w:color w:val="auto"/>
              </w:rPr>
              <w:t>information regarding this plan, please see “Employment Agreements and Other Arrangements.”</w:t>
            </w:r>
          </w:p>
        </w:tc>
      </w:tr>
      <w:tr>
        <w:trPr>
          <w:trHeight w:val="191"/>
        </w:trPr>
        <w:tc>
          <w:tcPr>
            <w:tcW w:w="2820" w:type="dxa"/>
            <w:vAlign w:val="bottom"/>
          </w:tcPr>
          <w:p>
            <w:pPr>
              <w:ind w:left="40"/>
              <w:spacing w:after="0" w:line="191" w:lineRule="exact"/>
              <w:rPr>
                <w:sz w:val="20"/>
                <w:szCs w:val="20"/>
                <w:color w:val="auto"/>
              </w:rPr>
            </w:pPr>
            <w:r>
              <w:rPr>
                <w:rFonts w:ascii="Arial" w:cs="Arial" w:eastAsia="Arial" w:hAnsi="Arial"/>
                <w:sz w:val="18"/>
                <w:szCs w:val="18"/>
                <w:i w:val="1"/>
                <w:iCs w:val="1"/>
                <w:color w:val="auto"/>
              </w:rPr>
              <w:t>Re-designed Annual Incentive</w:t>
            </w:r>
          </w:p>
        </w:tc>
        <w:tc>
          <w:tcPr>
            <w:tcW w:w="8420" w:type="dxa"/>
            <w:vAlign w:val="bottom"/>
          </w:tcPr>
          <w:p>
            <w:pPr>
              <w:ind w:left="220"/>
              <w:spacing w:after="0" w:line="191" w:lineRule="exact"/>
              <w:rPr>
                <w:sz w:val="20"/>
                <w:szCs w:val="20"/>
                <w:color w:val="auto"/>
              </w:rPr>
            </w:pPr>
            <w:r>
              <w:rPr>
                <w:rFonts w:ascii="Arial" w:cs="Arial" w:eastAsia="Arial" w:hAnsi="Arial"/>
                <w:sz w:val="18"/>
                <w:szCs w:val="18"/>
                <w:color w:val="auto"/>
              </w:rPr>
              <w:t>Removes Adjusted Free Cash flow as a metric and increases weighting of the individual component,</w:t>
            </w:r>
          </w:p>
        </w:tc>
      </w:tr>
      <w:tr>
        <w:trPr>
          <w:trHeight w:val="234"/>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Program</w:t>
            </w:r>
          </w:p>
        </w:tc>
        <w:tc>
          <w:tcPr>
            <w:tcW w:w="8420" w:type="dxa"/>
            <w:vAlign w:val="bottom"/>
          </w:tcPr>
          <w:p>
            <w:pPr>
              <w:ind w:left="220"/>
              <w:spacing w:after="0"/>
              <w:rPr>
                <w:sz w:val="20"/>
                <w:szCs w:val="20"/>
                <w:color w:val="auto"/>
              </w:rPr>
            </w:pPr>
            <w:r>
              <w:rPr>
                <w:rFonts w:ascii="Arial" w:cs="Arial" w:eastAsia="Arial" w:hAnsi="Arial"/>
                <w:sz w:val="18"/>
                <w:szCs w:val="18"/>
                <w:color w:val="auto"/>
              </w:rPr>
              <w:t>subject to the attainment of the Company’s financial goals. Individual component will be measured</w:t>
            </w:r>
          </w:p>
        </w:tc>
      </w:tr>
      <w:tr>
        <w:trPr>
          <w:trHeight w:val="216"/>
        </w:trPr>
        <w:tc>
          <w:tcPr>
            <w:tcW w:w="2820" w:type="dxa"/>
            <w:vAlign w:val="bottom"/>
          </w:tcPr>
          <w:p>
            <w:pPr>
              <w:spacing w:after="0"/>
              <w:rPr>
                <w:sz w:val="18"/>
                <w:szCs w:val="18"/>
                <w:color w:val="auto"/>
              </w:rPr>
            </w:pPr>
          </w:p>
        </w:tc>
        <w:tc>
          <w:tcPr>
            <w:tcW w:w="8420" w:type="dxa"/>
            <w:vAlign w:val="bottom"/>
          </w:tcPr>
          <w:p>
            <w:pPr>
              <w:ind w:left="220"/>
              <w:spacing w:after="0"/>
              <w:rPr>
                <w:sz w:val="20"/>
                <w:szCs w:val="20"/>
                <w:color w:val="auto"/>
              </w:rPr>
            </w:pPr>
            <w:r>
              <w:rPr>
                <w:rFonts w:ascii="Arial" w:cs="Arial" w:eastAsia="Arial" w:hAnsi="Arial"/>
                <w:sz w:val="18"/>
                <w:szCs w:val="18"/>
                <w:color w:val="auto"/>
              </w:rPr>
              <w:t>utilizing a “scorecard” approach with key metrics with measurable targets. Examples of individual key</w:t>
            </w:r>
          </w:p>
        </w:tc>
      </w:tr>
      <w:tr>
        <w:trPr>
          <w:trHeight w:val="216"/>
        </w:trPr>
        <w:tc>
          <w:tcPr>
            <w:tcW w:w="2820" w:type="dxa"/>
            <w:vAlign w:val="bottom"/>
          </w:tcPr>
          <w:p>
            <w:pPr>
              <w:spacing w:after="0"/>
              <w:rPr>
                <w:sz w:val="18"/>
                <w:szCs w:val="18"/>
                <w:color w:val="auto"/>
              </w:rPr>
            </w:pPr>
          </w:p>
        </w:tc>
        <w:tc>
          <w:tcPr>
            <w:tcW w:w="8420" w:type="dxa"/>
            <w:vAlign w:val="bottom"/>
          </w:tcPr>
          <w:p>
            <w:pPr>
              <w:ind w:left="220"/>
              <w:spacing w:after="0"/>
              <w:rPr>
                <w:sz w:val="20"/>
                <w:szCs w:val="20"/>
                <w:color w:val="auto"/>
              </w:rPr>
            </w:pPr>
            <w:r>
              <w:rPr>
                <w:rFonts w:ascii="Arial" w:cs="Arial" w:eastAsia="Arial" w:hAnsi="Arial"/>
                <w:sz w:val="18"/>
                <w:szCs w:val="18"/>
                <w:color w:val="auto"/>
              </w:rPr>
              <w:t>metrics include revenue, cost control and customer satisfaction metrics. For the Company’s Chief</w:t>
            </w:r>
          </w:p>
        </w:tc>
      </w:tr>
      <w:tr>
        <w:trPr>
          <w:trHeight w:val="216"/>
        </w:trPr>
        <w:tc>
          <w:tcPr>
            <w:tcW w:w="2820" w:type="dxa"/>
            <w:vAlign w:val="bottom"/>
          </w:tcPr>
          <w:p>
            <w:pPr>
              <w:spacing w:after="0"/>
              <w:rPr>
                <w:sz w:val="18"/>
                <w:szCs w:val="18"/>
                <w:color w:val="auto"/>
              </w:rPr>
            </w:pPr>
          </w:p>
        </w:tc>
        <w:tc>
          <w:tcPr>
            <w:tcW w:w="8420" w:type="dxa"/>
            <w:vAlign w:val="bottom"/>
          </w:tcPr>
          <w:p>
            <w:pPr>
              <w:ind w:left="220"/>
              <w:spacing w:after="0"/>
              <w:rPr>
                <w:sz w:val="20"/>
                <w:szCs w:val="20"/>
                <w:color w:val="auto"/>
              </w:rPr>
            </w:pPr>
            <w:r>
              <w:rPr>
                <w:rFonts w:ascii="Arial" w:cs="Arial" w:eastAsia="Arial" w:hAnsi="Arial"/>
                <w:sz w:val="18"/>
                <w:szCs w:val="18"/>
                <w:color w:val="auto"/>
              </w:rPr>
              <w:t>Human Resources Officer and the Company’s General Counsel, key metrics include increasing the</w:t>
            </w:r>
          </w:p>
        </w:tc>
      </w:tr>
      <w:tr>
        <w:trPr>
          <w:trHeight w:val="217"/>
        </w:trPr>
        <w:tc>
          <w:tcPr>
            <w:tcW w:w="2820" w:type="dxa"/>
            <w:vAlign w:val="bottom"/>
            <w:tcBorders>
              <w:bottom w:val="single" w:sz="8" w:color="auto"/>
            </w:tcBorders>
          </w:tcPr>
          <w:p>
            <w:pPr>
              <w:spacing w:after="0"/>
              <w:rPr>
                <w:sz w:val="18"/>
                <w:szCs w:val="18"/>
                <w:color w:val="auto"/>
              </w:rPr>
            </w:pPr>
          </w:p>
        </w:tc>
        <w:tc>
          <w:tcPr>
            <w:tcW w:w="8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transparency and quality of ESG disclosures.</w:t>
            </w:r>
          </w:p>
        </w:tc>
      </w:tr>
      <w:tr>
        <w:trPr>
          <w:trHeight w:val="209"/>
        </w:trPr>
        <w:tc>
          <w:tcPr>
            <w:tcW w:w="2820" w:type="dxa"/>
            <w:vAlign w:val="bottom"/>
            <w:shd w:val="clear" w:color="auto" w:fill="D2D3D5"/>
          </w:tcPr>
          <w:p>
            <w:pPr>
              <w:ind w:left="40"/>
              <w:spacing w:after="0"/>
              <w:rPr>
                <w:sz w:val="20"/>
                <w:szCs w:val="20"/>
                <w:color w:val="auto"/>
              </w:rPr>
            </w:pPr>
            <w:r>
              <w:rPr>
                <w:rFonts w:ascii="Arial" w:cs="Arial" w:eastAsia="Arial" w:hAnsi="Arial"/>
                <w:sz w:val="18"/>
                <w:szCs w:val="18"/>
                <w:i w:val="1"/>
                <w:iCs w:val="1"/>
                <w:color w:val="auto"/>
              </w:rPr>
              <w:t>Reduction of Maximum Payouts</w:t>
            </w:r>
          </w:p>
        </w:tc>
        <w:tc>
          <w:tcPr>
            <w:tcW w:w="8420" w:type="dxa"/>
            <w:vAlign w:val="bottom"/>
            <w:shd w:val="clear" w:color="auto" w:fill="D2D3D5"/>
          </w:tcPr>
          <w:p>
            <w:pPr>
              <w:ind w:left="220"/>
              <w:spacing w:after="0"/>
              <w:rPr>
                <w:sz w:val="20"/>
                <w:szCs w:val="20"/>
                <w:color w:val="auto"/>
              </w:rPr>
            </w:pPr>
            <w:r>
              <w:rPr>
                <w:rFonts w:ascii="Arial" w:cs="Arial" w:eastAsia="Arial" w:hAnsi="Arial"/>
                <w:sz w:val="18"/>
                <w:szCs w:val="18"/>
                <w:color w:val="auto"/>
              </w:rPr>
              <w:t>Maximum achievement levels under both the annual incentive and long-term incentive programs to be</w:t>
            </w:r>
          </w:p>
        </w:tc>
      </w:tr>
      <w:tr>
        <w:trPr>
          <w:trHeight w:val="203"/>
        </w:trPr>
        <w:tc>
          <w:tcPr>
            <w:tcW w:w="2820" w:type="dxa"/>
            <w:vAlign w:val="bottom"/>
            <w:tcBorders>
              <w:bottom w:val="single" w:sz="8" w:color="auto"/>
            </w:tcBorders>
            <w:shd w:val="clear" w:color="auto" w:fill="D2D3D5"/>
          </w:tcPr>
          <w:p>
            <w:pPr>
              <w:spacing w:after="0"/>
              <w:rPr>
                <w:sz w:val="17"/>
                <w:szCs w:val="17"/>
                <w:color w:val="auto"/>
              </w:rPr>
            </w:pPr>
          </w:p>
        </w:tc>
        <w:tc>
          <w:tcPr>
            <w:tcW w:w="8420" w:type="dxa"/>
            <w:vAlign w:val="bottom"/>
            <w:tcBorders>
              <w:bottom w:val="single" w:sz="8" w:color="auto"/>
            </w:tcBorders>
            <w:shd w:val="clear" w:color="auto" w:fill="D2D3D5"/>
          </w:tcPr>
          <w:p>
            <w:pPr>
              <w:ind w:left="220"/>
              <w:spacing w:after="0" w:line="203" w:lineRule="exact"/>
              <w:rPr>
                <w:sz w:val="20"/>
                <w:szCs w:val="20"/>
                <w:color w:val="auto"/>
              </w:rPr>
            </w:pPr>
            <w:r>
              <w:rPr>
                <w:rFonts w:ascii="Arial" w:cs="Arial" w:eastAsia="Arial" w:hAnsi="Arial"/>
                <w:sz w:val="18"/>
                <w:szCs w:val="18"/>
                <w:color w:val="auto"/>
              </w:rPr>
              <w:t>reduced from 200% to 150% of target payout opportunity.</w:t>
            </w:r>
          </w:p>
        </w:tc>
      </w:tr>
      <w:tr>
        <w:trPr>
          <w:trHeight w:val="191"/>
        </w:trPr>
        <w:tc>
          <w:tcPr>
            <w:tcW w:w="2820" w:type="dxa"/>
            <w:vAlign w:val="bottom"/>
          </w:tcPr>
          <w:p>
            <w:pPr>
              <w:ind w:left="40"/>
              <w:spacing w:after="0" w:line="191" w:lineRule="exact"/>
              <w:rPr>
                <w:sz w:val="20"/>
                <w:szCs w:val="20"/>
                <w:color w:val="auto"/>
              </w:rPr>
            </w:pPr>
            <w:r>
              <w:rPr>
                <w:rFonts w:ascii="Arial" w:cs="Arial" w:eastAsia="Arial" w:hAnsi="Arial"/>
                <w:sz w:val="18"/>
                <w:szCs w:val="18"/>
                <w:i w:val="1"/>
                <w:iCs w:val="1"/>
                <w:color w:val="auto"/>
              </w:rPr>
              <w:t>New Peer Group for 2021 Pay</w:t>
            </w:r>
          </w:p>
        </w:tc>
        <w:tc>
          <w:tcPr>
            <w:tcW w:w="8420" w:type="dxa"/>
            <w:vAlign w:val="bottom"/>
          </w:tcPr>
          <w:p>
            <w:pPr>
              <w:ind w:left="220"/>
              <w:spacing w:after="0" w:line="191" w:lineRule="exact"/>
              <w:rPr>
                <w:sz w:val="20"/>
                <w:szCs w:val="20"/>
                <w:color w:val="auto"/>
              </w:rPr>
            </w:pPr>
            <w:r>
              <w:rPr>
                <w:rFonts w:ascii="Arial" w:cs="Arial" w:eastAsia="Arial" w:hAnsi="Arial"/>
                <w:sz w:val="18"/>
                <w:szCs w:val="18"/>
                <w:color w:val="auto"/>
              </w:rPr>
              <w:t>New peer group approved utilizing a “clean slate” approach prioritizing market capitalization as a key</w:t>
            </w:r>
          </w:p>
        </w:tc>
      </w:tr>
      <w:tr>
        <w:trPr>
          <w:trHeight w:val="234"/>
        </w:trPr>
        <w:tc>
          <w:tcPr>
            <w:tcW w:w="2820" w:type="dxa"/>
            <w:vAlign w:val="bottom"/>
          </w:tcPr>
          <w:p>
            <w:pPr>
              <w:ind w:left="40"/>
              <w:spacing w:after="0"/>
              <w:rPr>
                <w:sz w:val="20"/>
                <w:szCs w:val="20"/>
                <w:color w:val="auto"/>
              </w:rPr>
            </w:pPr>
            <w:r>
              <w:rPr>
                <w:rFonts w:ascii="Arial" w:cs="Arial" w:eastAsia="Arial" w:hAnsi="Arial"/>
                <w:sz w:val="18"/>
                <w:szCs w:val="18"/>
                <w:i w:val="1"/>
                <w:iCs w:val="1"/>
                <w:color w:val="auto"/>
              </w:rPr>
              <w:t>Decisions</w:t>
            </w:r>
          </w:p>
        </w:tc>
        <w:tc>
          <w:tcPr>
            <w:tcW w:w="8420" w:type="dxa"/>
            <w:vAlign w:val="bottom"/>
          </w:tcPr>
          <w:p>
            <w:pPr>
              <w:ind w:left="220"/>
              <w:spacing w:after="0"/>
              <w:rPr>
                <w:sz w:val="20"/>
                <w:szCs w:val="20"/>
                <w:color w:val="auto"/>
              </w:rPr>
            </w:pPr>
            <w:r>
              <w:rPr>
                <w:rFonts w:ascii="Arial" w:cs="Arial" w:eastAsia="Arial" w:hAnsi="Arial"/>
                <w:sz w:val="18"/>
                <w:szCs w:val="18"/>
                <w:color w:val="auto"/>
              </w:rPr>
              <w:t>factor in determining peer group companies. For additional information regarding the new peer group,</w:t>
            </w:r>
          </w:p>
        </w:tc>
      </w:tr>
      <w:tr>
        <w:trPr>
          <w:trHeight w:val="224"/>
        </w:trPr>
        <w:tc>
          <w:tcPr>
            <w:tcW w:w="2820" w:type="dxa"/>
            <w:vAlign w:val="bottom"/>
            <w:tcBorders>
              <w:bottom w:val="single" w:sz="8" w:color="auto"/>
            </w:tcBorders>
          </w:tcPr>
          <w:p>
            <w:pPr>
              <w:spacing w:after="0"/>
              <w:rPr>
                <w:sz w:val="19"/>
                <w:szCs w:val="19"/>
                <w:color w:val="auto"/>
              </w:rPr>
            </w:pPr>
          </w:p>
        </w:tc>
        <w:tc>
          <w:tcPr>
            <w:tcW w:w="84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please see “Consideration of Peer Groups and Survey Data.”</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Setting CEO and Other NEO Compensation</w:t>
      </w:r>
    </w:p>
    <w:p>
      <w:pPr>
        <w:spacing w:after="0" w:line="2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Board has assigned to the Committee the responsibility to approve compensation for all NEOs, including our CEO. The roles and duties of participants in the decision-making process for our executive program are summarized below.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Independent Compensation Consultant</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Consistent with its charter, the Committee continued its engagement of Pay Governance LLC, a compensation consulting firm, to work with the Committee and the Company as an adviser on executive compensation matters in 2020. The compensation consultant reports to, and is directed by, the Committee, which has the authority to retain or terminate compensation advisers. In early 2020, the Committee reviewed information regarding the independence and potential conflicts of interest of Pay Governance, taking into account, among other things, the factors set forth in the NASDAQ listing standards. Based on this review, the Committee concluded that the engagement of Pay Governance did not raise any conflict of interest. Outside of services provided for the Committee and advice to the Corporate Governance Committee related to compensation of non-employee directors, the compensation consultant did not provide additional services to the Company in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Decisions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the case of NEOs other than the CEO and the Executive Chairman, our Human Resources staff develops recommendations as to the level of compensation for each pay component generally based on position scope (defined as the executive’s relative responsibilities compared to others within the Company and the individual’s potential impact on Company operations), and the individual’s experience level and performance in addition to the factors discussed under “Analysis of 2020 Pay Decisions” above. Annual and long -term incentive plan designs are recommended by our Human Resources staff based on the Company’s business plan and goals, with input from the CFO and his staff. Recommendations related to the elements of pay generally reflect a review of practices of our Peer Group and Survey Data (as defined below), and are typically designed to take into consideration past practice and our strategy to tie a greater portion of total target compensation to variable versus fixed compensation.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recommendation is then discussed with our CEO, Executive Chairman, Committee Chairman and the compensation consultant for feedback. Final recommendations are ultimately submitted to the Committee for consideration. The Committee has the ultimate right and authority to revise and/or approve recommendations of management.</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Compensation for our CEO and our Executive Chairman is determined by the Committee, working directly with the compensation consultant. The Committee determines each component of compensation for these officers, taking into consideration performance as well as market and Peer Group data and other factors such as level of experience and responsibilities, leadership, skill, contributions to the Company and the size and complexity of the Company’s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approving annual and long-term incentive awards for our NEOs, the Committee assesses the risks associated with the adoption of these awards, including the performance measures and goals for the awards, and has concluded that the Company’s incentive awards would not be likely to encourage excessive risk-taking. Management also annually reviews the Company’s compensation policies and practices for employees generally with the Committee and the Company’s compensation consultant to determine whether these programs create incentives that might motivate inappropriate or excessive risk-taking. For additional information, please see “Functions and Meetings of the Board of Directors-Risk Management and Risk Assessment.”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Peer Groups and Survey Data</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that there is just one other U.S.-based publicly traded car rental company, peer companies for 2020 pay decisions were selected to supplement that company with additional companies from industry sectors that were viewed as most relevant to our business based on the following criteria: company size based on revenue as the primary factor, headcount, market capitalization, enterprise value, and debt and assets. Historically, a greater emphasis was placed on enterprise value than market capitalization when developing the peer group. The Company’s peer group consisted of the following 16 companies for 2020 pay decisions (the “Peer Group”):</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PEER GROUP FOR 2020 PAY DECISIONS</w:t>
      </w:r>
    </w:p>
    <w:p>
      <w:pPr>
        <w:sectPr>
          <w:pgSz w:w="11900" w:h="16838" w:orient="portrait"/>
          <w:cols w:equalWidth="0" w:num="1">
            <w:col w:w="11240"/>
          </w:cols>
          <w:pgMar w:left="320" w:top="445" w:right="339" w:bottom="1440" w:gutter="0" w:footer="0" w:header="0"/>
        </w:sect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AutoNation Inc.</w:t>
      </w:r>
    </w:p>
    <w:p>
      <w:pPr>
        <w:ind w:left="280"/>
        <w:spacing w:after="0" w:line="234" w:lineRule="auto"/>
        <w:rPr>
          <w:sz w:val="20"/>
          <w:szCs w:val="20"/>
          <w:color w:val="auto"/>
        </w:rPr>
      </w:pPr>
      <w:r>
        <w:rPr>
          <w:rFonts w:ascii="Arial" w:cs="Arial" w:eastAsia="Arial" w:hAnsi="Arial"/>
          <w:sz w:val="18"/>
          <w:szCs w:val="18"/>
          <w:color w:val="auto"/>
        </w:rPr>
        <w:t>Carmax, Inc.</w:t>
      </w:r>
    </w:p>
    <w:p>
      <w:pPr>
        <w:ind w:left="280"/>
        <w:spacing w:after="0" w:line="235" w:lineRule="auto"/>
        <w:rPr>
          <w:sz w:val="20"/>
          <w:szCs w:val="20"/>
          <w:color w:val="auto"/>
        </w:rPr>
      </w:pPr>
      <w:r>
        <w:rPr>
          <w:rFonts w:ascii="Arial" w:cs="Arial" w:eastAsia="Arial" w:hAnsi="Arial"/>
          <w:sz w:val="18"/>
          <w:szCs w:val="18"/>
          <w:color w:val="auto"/>
        </w:rPr>
        <w:t>Carnival Corporation</w:t>
      </w:r>
    </w:p>
    <w:p>
      <w:pPr>
        <w:ind w:left="280"/>
        <w:spacing w:after="0" w:line="235" w:lineRule="auto"/>
        <w:rPr>
          <w:sz w:val="20"/>
          <w:szCs w:val="20"/>
          <w:color w:val="auto"/>
        </w:rPr>
      </w:pPr>
      <w:r>
        <w:rPr>
          <w:rFonts w:ascii="Arial" w:cs="Arial" w:eastAsia="Arial" w:hAnsi="Arial"/>
          <w:sz w:val="18"/>
          <w:szCs w:val="18"/>
          <w:color w:val="auto"/>
        </w:rPr>
        <w:t>Cintas Corporation</w:t>
      </w:r>
    </w:p>
    <w:p>
      <w:pPr>
        <w:ind w:left="280"/>
        <w:spacing w:after="0" w:line="235" w:lineRule="auto"/>
        <w:rPr>
          <w:sz w:val="20"/>
          <w:szCs w:val="20"/>
          <w:color w:val="auto"/>
        </w:rPr>
      </w:pPr>
      <w:r>
        <w:rPr>
          <w:rFonts w:ascii="Arial" w:cs="Arial" w:eastAsia="Arial" w:hAnsi="Arial"/>
          <w:sz w:val="18"/>
          <w:szCs w:val="18"/>
          <w:color w:val="auto"/>
        </w:rPr>
        <w:t>Hertz Global Holdings, Inc.</w:t>
      </w:r>
    </w:p>
    <w:p>
      <w:pPr>
        <w:ind w:left="280"/>
        <w:spacing w:after="0" w:line="235" w:lineRule="auto"/>
        <w:rPr>
          <w:sz w:val="20"/>
          <w:szCs w:val="20"/>
          <w:color w:val="auto"/>
        </w:rPr>
      </w:pPr>
      <w:r>
        <w:rPr>
          <w:rFonts w:ascii="Arial" w:cs="Arial" w:eastAsia="Arial" w:hAnsi="Arial"/>
          <w:sz w:val="18"/>
          <w:szCs w:val="18"/>
          <w:color w:val="auto"/>
        </w:rPr>
        <w:t>Hilton Worldwide Holdings, Inc.</w:t>
      </w:r>
    </w:p>
    <w:p>
      <w:pPr>
        <w:ind w:left="280"/>
        <w:spacing w:after="0"/>
        <w:rPr>
          <w:sz w:val="20"/>
          <w:szCs w:val="20"/>
          <w:color w:val="auto"/>
        </w:rPr>
      </w:pPr>
      <w:r>
        <w:rPr>
          <w:rFonts w:ascii="Arial" w:cs="Arial" w:eastAsia="Arial" w:hAnsi="Arial"/>
          <w:sz w:val="17"/>
          <w:szCs w:val="17"/>
          <w:color w:val="auto"/>
        </w:rPr>
        <w:t>J.B. Hunt Transport Services, Inc.</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Marriott International, Inc.</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MGM Resorts International</w:t>
      </w:r>
    </w:p>
    <w:p>
      <w:pPr>
        <w:spacing w:after="0" w:line="234" w:lineRule="auto"/>
        <w:rPr>
          <w:sz w:val="20"/>
          <w:szCs w:val="20"/>
          <w:color w:val="auto"/>
        </w:rPr>
      </w:pPr>
      <w:r>
        <w:rPr>
          <w:rFonts w:ascii="Arial" w:cs="Arial" w:eastAsia="Arial" w:hAnsi="Arial"/>
          <w:sz w:val="18"/>
          <w:szCs w:val="18"/>
          <w:color w:val="auto"/>
        </w:rPr>
        <w:t>Norfolk Southern Corporation</w:t>
      </w:r>
    </w:p>
    <w:p>
      <w:pPr>
        <w:spacing w:after="0" w:line="235" w:lineRule="auto"/>
        <w:rPr>
          <w:sz w:val="20"/>
          <w:szCs w:val="20"/>
          <w:color w:val="auto"/>
        </w:rPr>
      </w:pPr>
      <w:r>
        <w:rPr>
          <w:rFonts w:ascii="Arial" w:cs="Arial" w:eastAsia="Arial" w:hAnsi="Arial"/>
          <w:sz w:val="18"/>
          <w:szCs w:val="18"/>
          <w:color w:val="auto"/>
        </w:rPr>
        <w:t>Office Depot, Inc.</w:t>
      </w:r>
    </w:p>
    <w:p>
      <w:pPr>
        <w:spacing w:after="0" w:line="235" w:lineRule="auto"/>
        <w:rPr>
          <w:sz w:val="20"/>
          <w:szCs w:val="20"/>
          <w:color w:val="auto"/>
        </w:rPr>
      </w:pPr>
      <w:r>
        <w:rPr>
          <w:rFonts w:ascii="Arial" w:cs="Arial" w:eastAsia="Arial" w:hAnsi="Arial"/>
          <w:sz w:val="18"/>
          <w:szCs w:val="18"/>
          <w:color w:val="auto"/>
        </w:rPr>
        <w:t>Pitney Bowes Inc.</w:t>
      </w:r>
    </w:p>
    <w:p>
      <w:pPr>
        <w:spacing w:after="0"/>
        <w:rPr>
          <w:sz w:val="20"/>
          <w:szCs w:val="20"/>
          <w:color w:val="auto"/>
        </w:rPr>
      </w:pPr>
      <w:r>
        <w:rPr>
          <w:rFonts w:ascii="Arial" w:cs="Arial" w:eastAsia="Arial" w:hAnsi="Arial"/>
          <w:sz w:val="17"/>
          <w:szCs w:val="17"/>
          <w:color w:val="auto"/>
        </w:rPr>
        <w:t>RR Donnelley &amp; Sons Company</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Royal Caribbean Cruises Ltd.</w:t>
      </w:r>
    </w:p>
    <w:p>
      <w:pPr>
        <w:spacing w:after="0" w:line="234" w:lineRule="auto"/>
        <w:rPr>
          <w:sz w:val="20"/>
          <w:szCs w:val="20"/>
          <w:color w:val="auto"/>
        </w:rPr>
      </w:pPr>
      <w:r>
        <w:rPr>
          <w:rFonts w:ascii="Arial" w:cs="Arial" w:eastAsia="Arial" w:hAnsi="Arial"/>
          <w:sz w:val="18"/>
          <w:szCs w:val="18"/>
          <w:color w:val="auto"/>
        </w:rPr>
        <w:t>Ryder System,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00" w:lineRule="exact"/>
        <w:rPr>
          <w:sz w:val="20"/>
          <w:szCs w:val="20"/>
          <w:color w:val="auto"/>
        </w:rPr>
      </w:pPr>
    </w:p>
    <w:p>
      <w:pPr>
        <w:sectPr>
          <w:pgSz w:w="11900" w:h="16838" w:orient="portrait"/>
          <w:cols w:equalWidth="0" w:num="2">
            <w:col w:w="4900" w:space="720"/>
            <w:col w:w="5620"/>
          </w:cols>
          <w:pgMar w:left="320" w:top="445" w:right="339" w:bottom="1440" w:gutter="0" w:footer="0" w:header="0"/>
          <w:type w:val="continuous"/>
        </w:sectPr>
      </w:pPr>
    </w:p>
    <w:p>
      <w:pPr>
        <w:spacing w:after="0" w:line="1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Peer Group for 2020 pay decisions was initially approved in 2011, and reviewed and updated in subsequent years. The Committee reviewed pay data of the Peer Group for 2020 pay decisions to ensure reasonable comparability of the compensation of our NEOs. The Committee does not specifically target any percentile within the Peer Group when setting overall compensation, any individual element of compensation or the relative pay mix among different elements of compensation. The Committee generally reviews the Peer Group each year in order to ensure that the component companies continue to meet the criteria for which they were selected, as well as to identify other companies that may become appropriate for inclusion.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2021 pay decisions, the Committee approved a Peer Group of the following companies: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20" w:type="dxa"/>
            <w:vAlign w:val="bottom"/>
          </w:tcPr>
          <w:p>
            <w:pPr>
              <w:spacing w:after="0"/>
              <w:rPr>
                <w:sz w:val="20"/>
                <w:szCs w:val="20"/>
                <w:color w:val="auto"/>
              </w:rPr>
            </w:pPr>
            <w:r>
              <w:rPr>
                <w:rFonts w:ascii="Arial" w:cs="Arial" w:eastAsia="Arial" w:hAnsi="Arial"/>
                <w:sz w:val="18"/>
                <w:szCs w:val="18"/>
                <w:b w:val="1"/>
                <w:bCs w:val="1"/>
                <w:color w:val="auto"/>
              </w:rPr>
              <w:t>PEER GROUP FOR 2021 PAY DECISIONS</w:t>
            </w:r>
          </w:p>
        </w:tc>
        <w:tc>
          <w:tcPr>
            <w:tcW w:w="6720" w:type="dxa"/>
            <w:vAlign w:val="bottom"/>
          </w:tcPr>
          <w:p>
            <w:pPr>
              <w:spacing w:after="0"/>
              <w:rPr>
                <w:sz w:val="20"/>
                <w:szCs w:val="20"/>
                <w:color w:val="auto"/>
              </w:rPr>
            </w:pPr>
          </w:p>
        </w:tc>
      </w:tr>
      <w:tr>
        <w:trPr>
          <w:trHeight w:val="404"/>
        </w:trPr>
        <w:tc>
          <w:tcPr>
            <w:tcW w:w="4520" w:type="dxa"/>
            <w:vAlign w:val="bottom"/>
          </w:tcPr>
          <w:p>
            <w:pPr>
              <w:ind w:left="280"/>
              <w:spacing w:after="0"/>
              <w:rPr>
                <w:sz w:val="20"/>
                <w:szCs w:val="20"/>
                <w:color w:val="auto"/>
              </w:rPr>
            </w:pPr>
            <w:r>
              <w:rPr>
                <w:rFonts w:ascii="Arial" w:cs="Arial" w:eastAsia="Arial" w:hAnsi="Arial"/>
                <w:sz w:val="18"/>
                <w:szCs w:val="18"/>
                <w:color w:val="auto"/>
              </w:rPr>
              <w:t>The Aaron’s Company</w:t>
            </w:r>
          </w:p>
        </w:tc>
        <w:tc>
          <w:tcPr>
            <w:tcW w:w="6720" w:type="dxa"/>
            <w:vAlign w:val="bottom"/>
          </w:tcPr>
          <w:p>
            <w:pPr>
              <w:ind w:left="1100"/>
              <w:spacing w:after="0"/>
              <w:rPr>
                <w:sz w:val="20"/>
                <w:szCs w:val="20"/>
                <w:color w:val="auto"/>
              </w:rPr>
            </w:pPr>
            <w:r>
              <w:rPr>
                <w:rFonts w:ascii="Arial" w:cs="Arial" w:eastAsia="Arial" w:hAnsi="Arial"/>
                <w:sz w:val="18"/>
                <w:szCs w:val="18"/>
                <w:color w:val="auto"/>
              </w:rPr>
              <w:t>InterContinental Hotels Group PLC</w:t>
            </w:r>
          </w:p>
        </w:tc>
      </w:tr>
      <w:tr>
        <w:trPr>
          <w:trHeight w:val="203"/>
        </w:trPr>
        <w:tc>
          <w:tcPr>
            <w:tcW w:w="4520" w:type="dxa"/>
            <w:vAlign w:val="bottom"/>
          </w:tcPr>
          <w:p>
            <w:pPr>
              <w:ind w:left="280"/>
              <w:spacing w:after="0" w:line="202" w:lineRule="exact"/>
              <w:rPr>
                <w:sz w:val="20"/>
                <w:szCs w:val="20"/>
                <w:color w:val="auto"/>
              </w:rPr>
            </w:pPr>
            <w:r>
              <w:rPr>
                <w:rFonts w:ascii="Arial" w:cs="Arial" w:eastAsia="Arial" w:hAnsi="Arial"/>
                <w:sz w:val="18"/>
                <w:szCs w:val="18"/>
                <w:color w:val="auto"/>
              </w:rPr>
              <w:t>Alaska Air Group</w:t>
            </w:r>
          </w:p>
        </w:tc>
        <w:tc>
          <w:tcPr>
            <w:tcW w:w="6720" w:type="dxa"/>
            <w:vAlign w:val="bottom"/>
          </w:tcPr>
          <w:p>
            <w:pPr>
              <w:ind w:left="1100"/>
              <w:spacing w:after="0" w:line="202" w:lineRule="exact"/>
              <w:rPr>
                <w:sz w:val="20"/>
                <w:szCs w:val="20"/>
                <w:color w:val="auto"/>
              </w:rPr>
            </w:pPr>
            <w:r>
              <w:rPr>
                <w:rFonts w:ascii="Arial" w:cs="Arial" w:eastAsia="Arial" w:hAnsi="Arial"/>
                <w:sz w:val="18"/>
                <w:szCs w:val="18"/>
                <w:color w:val="auto"/>
              </w:rPr>
              <w:t>JetBlue Airways</w:t>
            </w:r>
          </w:p>
        </w:tc>
      </w:tr>
      <w:tr>
        <w:trPr>
          <w:trHeight w:val="203"/>
        </w:trPr>
        <w:tc>
          <w:tcPr>
            <w:tcW w:w="4520" w:type="dxa"/>
            <w:vAlign w:val="bottom"/>
          </w:tcPr>
          <w:p>
            <w:pPr>
              <w:ind w:left="280"/>
              <w:spacing w:after="0" w:line="202" w:lineRule="exact"/>
              <w:rPr>
                <w:sz w:val="20"/>
                <w:szCs w:val="20"/>
                <w:color w:val="auto"/>
              </w:rPr>
            </w:pPr>
            <w:r>
              <w:rPr>
                <w:rFonts w:ascii="Arial" w:cs="Arial" w:eastAsia="Arial" w:hAnsi="Arial"/>
                <w:sz w:val="18"/>
                <w:szCs w:val="18"/>
                <w:color w:val="auto"/>
              </w:rPr>
              <w:t>Asbury Automotive Group</w:t>
            </w:r>
          </w:p>
        </w:tc>
        <w:tc>
          <w:tcPr>
            <w:tcW w:w="6720" w:type="dxa"/>
            <w:vAlign w:val="bottom"/>
          </w:tcPr>
          <w:p>
            <w:pPr>
              <w:ind w:left="1100"/>
              <w:spacing w:after="0" w:line="202" w:lineRule="exact"/>
              <w:rPr>
                <w:sz w:val="20"/>
                <w:szCs w:val="20"/>
                <w:color w:val="auto"/>
              </w:rPr>
            </w:pPr>
            <w:r>
              <w:rPr>
                <w:rFonts w:ascii="Arial" w:cs="Arial" w:eastAsia="Arial" w:hAnsi="Arial"/>
                <w:sz w:val="18"/>
                <w:szCs w:val="18"/>
                <w:color w:val="auto"/>
              </w:rPr>
              <w:t>KAR Auction Services</w:t>
            </w:r>
          </w:p>
        </w:tc>
      </w:tr>
      <w:tr>
        <w:trPr>
          <w:trHeight w:val="203"/>
        </w:trPr>
        <w:tc>
          <w:tcPr>
            <w:tcW w:w="4520" w:type="dxa"/>
            <w:vAlign w:val="bottom"/>
          </w:tcPr>
          <w:p>
            <w:pPr>
              <w:ind w:left="280"/>
              <w:spacing w:after="0" w:line="202" w:lineRule="exact"/>
              <w:rPr>
                <w:sz w:val="20"/>
                <w:szCs w:val="20"/>
                <w:color w:val="auto"/>
              </w:rPr>
            </w:pPr>
            <w:r>
              <w:rPr>
                <w:rFonts w:ascii="Arial" w:cs="Arial" w:eastAsia="Arial" w:hAnsi="Arial"/>
                <w:sz w:val="18"/>
                <w:szCs w:val="18"/>
                <w:color w:val="auto"/>
              </w:rPr>
              <w:t>AutoNation Inc.</w:t>
            </w:r>
          </w:p>
        </w:tc>
        <w:tc>
          <w:tcPr>
            <w:tcW w:w="6720" w:type="dxa"/>
            <w:vAlign w:val="bottom"/>
          </w:tcPr>
          <w:p>
            <w:pPr>
              <w:ind w:left="1100"/>
              <w:spacing w:after="0" w:line="202" w:lineRule="exact"/>
              <w:rPr>
                <w:sz w:val="20"/>
                <w:szCs w:val="20"/>
                <w:color w:val="auto"/>
              </w:rPr>
            </w:pPr>
            <w:r>
              <w:rPr>
                <w:rFonts w:ascii="Arial" w:cs="Arial" w:eastAsia="Arial" w:hAnsi="Arial"/>
                <w:sz w:val="18"/>
                <w:szCs w:val="18"/>
                <w:color w:val="auto"/>
              </w:rPr>
              <w:t>Norwegian Cruise Line Holdings</w:t>
            </w:r>
          </w:p>
        </w:tc>
      </w:tr>
      <w:tr>
        <w:trPr>
          <w:trHeight w:val="202"/>
        </w:trPr>
        <w:tc>
          <w:tcPr>
            <w:tcW w:w="4520" w:type="dxa"/>
            <w:vAlign w:val="bottom"/>
          </w:tcPr>
          <w:p>
            <w:pPr>
              <w:ind w:left="280"/>
              <w:spacing w:after="0" w:line="202" w:lineRule="exact"/>
              <w:rPr>
                <w:sz w:val="20"/>
                <w:szCs w:val="20"/>
                <w:color w:val="auto"/>
              </w:rPr>
            </w:pPr>
            <w:r>
              <w:rPr>
                <w:rFonts w:ascii="Arial" w:cs="Arial" w:eastAsia="Arial" w:hAnsi="Arial"/>
                <w:sz w:val="18"/>
                <w:szCs w:val="18"/>
                <w:color w:val="auto"/>
              </w:rPr>
              <w:t>Choice Hotels International, Inc.</w:t>
            </w:r>
          </w:p>
        </w:tc>
        <w:tc>
          <w:tcPr>
            <w:tcW w:w="6720" w:type="dxa"/>
            <w:vAlign w:val="bottom"/>
          </w:tcPr>
          <w:p>
            <w:pPr>
              <w:ind w:left="1100"/>
              <w:spacing w:after="0" w:line="202" w:lineRule="exact"/>
              <w:rPr>
                <w:sz w:val="20"/>
                <w:szCs w:val="20"/>
                <w:color w:val="auto"/>
              </w:rPr>
            </w:pPr>
            <w:r>
              <w:rPr>
                <w:rFonts w:ascii="Arial" w:cs="Arial" w:eastAsia="Arial" w:hAnsi="Arial"/>
                <w:sz w:val="18"/>
                <w:szCs w:val="18"/>
                <w:color w:val="auto"/>
              </w:rPr>
              <w:t>Rent A Center</w:t>
            </w:r>
          </w:p>
        </w:tc>
      </w:tr>
      <w:tr>
        <w:trPr>
          <w:trHeight w:val="203"/>
        </w:trPr>
        <w:tc>
          <w:tcPr>
            <w:tcW w:w="4520" w:type="dxa"/>
            <w:vAlign w:val="bottom"/>
          </w:tcPr>
          <w:p>
            <w:pPr>
              <w:ind w:left="280"/>
              <w:spacing w:after="0" w:line="202" w:lineRule="exact"/>
              <w:rPr>
                <w:sz w:val="20"/>
                <w:szCs w:val="20"/>
                <w:color w:val="auto"/>
              </w:rPr>
            </w:pPr>
            <w:r>
              <w:rPr>
                <w:rFonts w:ascii="Arial" w:cs="Arial" w:eastAsia="Arial" w:hAnsi="Arial"/>
                <w:sz w:val="18"/>
                <w:szCs w:val="18"/>
                <w:color w:val="auto"/>
              </w:rPr>
              <w:t>Europcar Mobility Group S.A.</w:t>
            </w:r>
          </w:p>
        </w:tc>
        <w:tc>
          <w:tcPr>
            <w:tcW w:w="6720" w:type="dxa"/>
            <w:vAlign w:val="bottom"/>
          </w:tcPr>
          <w:p>
            <w:pPr>
              <w:ind w:left="1100"/>
              <w:spacing w:after="0" w:line="202" w:lineRule="exact"/>
              <w:rPr>
                <w:sz w:val="20"/>
                <w:szCs w:val="20"/>
                <w:color w:val="auto"/>
              </w:rPr>
            </w:pPr>
            <w:r>
              <w:rPr>
                <w:rFonts w:ascii="Arial" w:cs="Arial" w:eastAsia="Arial" w:hAnsi="Arial"/>
                <w:sz w:val="18"/>
                <w:szCs w:val="18"/>
                <w:color w:val="auto"/>
              </w:rPr>
              <w:t>Ryder System, Inc.</w:t>
            </w:r>
          </w:p>
        </w:tc>
      </w:tr>
      <w:tr>
        <w:trPr>
          <w:trHeight w:val="203"/>
        </w:trPr>
        <w:tc>
          <w:tcPr>
            <w:tcW w:w="4520" w:type="dxa"/>
            <w:vAlign w:val="bottom"/>
          </w:tcPr>
          <w:p>
            <w:pPr>
              <w:ind w:left="280"/>
              <w:spacing w:after="0" w:line="202" w:lineRule="exact"/>
              <w:rPr>
                <w:sz w:val="20"/>
                <w:szCs w:val="20"/>
                <w:color w:val="auto"/>
              </w:rPr>
            </w:pPr>
            <w:r>
              <w:rPr>
                <w:rFonts w:ascii="Arial" w:cs="Arial" w:eastAsia="Arial" w:hAnsi="Arial"/>
                <w:sz w:val="18"/>
                <w:szCs w:val="18"/>
                <w:color w:val="auto"/>
              </w:rPr>
              <w:t>Group 1 Automotive, Inc.</w:t>
            </w:r>
          </w:p>
        </w:tc>
        <w:tc>
          <w:tcPr>
            <w:tcW w:w="6720" w:type="dxa"/>
            <w:vAlign w:val="bottom"/>
          </w:tcPr>
          <w:p>
            <w:pPr>
              <w:ind w:left="1100"/>
              <w:spacing w:after="0" w:line="202" w:lineRule="exact"/>
              <w:rPr>
                <w:sz w:val="20"/>
                <w:szCs w:val="20"/>
                <w:color w:val="auto"/>
              </w:rPr>
            </w:pPr>
            <w:r>
              <w:rPr>
                <w:rFonts w:ascii="Arial" w:cs="Arial" w:eastAsia="Arial" w:hAnsi="Arial"/>
                <w:sz w:val="18"/>
                <w:szCs w:val="18"/>
                <w:color w:val="auto"/>
              </w:rPr>
              <w:t>Spirit Airlines</w:t>
            </w:r>
          </w:p>
        </w:tc>
      </w:tr>
      <w:tr>
        <w:trPr>
          <w:trHeight w:val="203"/>
        </w:trPr>
        <w:tc>
          <w:tcPr>
            <w:tcW w:w="4520" w:type="dxa"/>
            <w:vAlign w:val="bottom"/>
          </w:tcPr>
          <w:p>
            <w:pPr>
              <w:ind w:left="280"/>
              <w:spacing w:after="0" w:line="202" w:lineRule="exact"/>
              <w:rPr>
                <w:sz w:val="20"/>
                <w:szCs w:val="20"/>
                <w:color w:val="auto"/>
              </w:rPr>
            </w:pPr>
            <w:r>
              <w:rPr>
                <w:rFonts w:ascii="Arial" w:cs="Arial" w:eastAsia="Arial" w:hAnsi="Arial"/>
                <w:sz w:val="18"/>
                <w:szCs w:val="18"/>
                <w:color w:val="auto"/>
              </w:rPr>
              <w:t>Hertz Global Holdings, Inc.</w:t>
            </w:r>
          </w:p>
        </w:tc>
        <w:tc>
          <w:tcPr>
            <w:tcW w:w="6720" w:type="dxa"/>
            <w:vAlign w:val="bottom"/>
          </w:tcPr>
          <w:p>
            <w:pPr>
              <w:ind w:left="1100"/>
              <w:spacing w:after="0" w:line="202" w:lineRule="exact"/>
              <w:rPr>
                <w:sz w:val="20"/>
                <w:szCs w:val="20"/>
                <w:color w:val="auto"/>
              </w:rPr>
            </w:pPr>
            <w:r>
              <w:rPr>
                <w:rFonts w:ascii="Arial" w:cs="Arial" w:eastAsia="Arial" w:hAnsi="Arial"/>
                <w:sz w:val="18"/>
                <w:szCs w:val="18"/>
                <w:color w:val="auto"/>
              </w:rPr>
              <w:t>Schneider National</w:t>
            </w:r>
          </w:p>
        </w:tc>
      </w:tr>
      <w:tr>
        <w:trPr>
          <w:trHeight w:val="217"/>
        </w:trPr>
        <w:tc>
          <w:tcPr>
            <w:tcW w:w="4520" w:type="dxa"/>
            <w:vAlign w:val="bottom"/>
          </w:tcPr>
          <w:p>
            <w:pPr>
              <w:ind w:left="280"/>
              <w:spacing w:after="0"/>
              <w:rPr>
                <w:sz w:val="20"/>
                <w:szCs w:val="20"/>
                <w:color w:val="auto"/>
              </w:rPr>
            </w:pPr>
            <w:r>
              <w:rPr>
                <w:rFonts w:ascii="Arial" w:cs="Arial" w:eastAsia="Arial" w:hAnsi="Arial"/>
                <w:sz w:val="18"/>
                <w:szCs w:val="18"/>
                <w:color w:val="auto"/>
              </w:rPr>
              <w:t>Hyatt Hotels Corporation</w:t>
            </w:r>
          </w:p>
        </w:tc>
        <w:tc>
          <w:tcPr>
            <w:tcW w:w="6720" w:type="dxa"/>
            <w:vAlign w:val="bottom"/>
          </w:tcPr>
          <w:p>
            <w:pPr>
              <w:ind w:left="1100"/>
              <w:spacing w:after="0"/>
              <w:rPr>
                <w:sz w:val="20"/>
                <w:szCs w:val="20"/>
                <w:color w:val="auto"/>
              </w:rPr>
            </w:pPr>
            <w:r>
              <w:rPr>
                <w:rFonts w:ascii="Arial" w:cs="Arial" w:eastAsia="Arial" w:hAnsi="Arial"/>
                <w:sz w:val="18"/>
                <w:szCs w:val="18"/>
                <w:color w:val="auto"/>
              </w:rPr>
              <w:t>Wyndham Destinations</w:t>
            </w:r>
          </w:p>
        </w:tc>
      </w:tr>
      <w:tr>
        <w:trPr>
          <w:trHeight w:val="378"/>
        </w:trPr>
        <w:tc>
          <w:tcPr>
            <w:tcW w:w="4520" w:type="dxa"/>
            <w:vAlign w:val="bottom"/>
          </w:tcPr>
          <w:p>
            <w:pPr>
              <w:spacing w:after="0"/>
              <w:rPr>
                <w:sz w:val="24"/>
                <w:szCs w:val="24"/>
                <w:color w:val="auto"/>
              </w:rPr>
            </w:pPr>
          </w:p>
        </w:tc>
        <w:tc>
          <w:tcPr>
            <w:tcW w:w="6720" w:type="dxa"/>
            <w:vAlign w:val="bottom"/>
          </w:tcPr>
          <w:p>
            <w:pPr>
              <w:ind w:left="1000"/>
              <w:spacing w:after="0"/>
              <w:rPr>
                <w:sz w:val="20"/>
                <w:szCs w:val="20"/>
                <w:color w:val="auto"/>
              </w:rPr>
            </w:pPr>
            <w:r>
              <w:rPr>
                <w:rFonts w:ascii="Arial" w:cs="Arial" w:eastAsia="Arial" w:hAnsi="Arial"/>
                <w:sz w:val="18"/>
                <w:szCs w:val="18"/>
                <w:color w:val="auto"/>
              </w:rPr>
              <w:t>30</w:t>
            </w:r>
          </w:p>
        </w:tc>
      </w:tr>
      <w:tr>
        <w:trPr>
          <w:trHeight w:val="236"/>
        </w:trPr>
        <w:tc>
          <w:tcPr>
            <w:tcW w:w="4520" w:type="dxa"/>
            <w:vAlign w:val="bottom"/>
            <w:tcBorders>
              <w:bottom w:val="single" w:sz="8" w:color="C0C0C0"/>
            </w:tcBorders>
          </w:tcPr>
          <w:p>
            <w:pPr>
              <w:spacing w:after="0"/>
              <w:rPr>
                <w:sz w:val="20"/>
                <w:szCs w:val="20"/>
                <w:color w:val="auto"/>
              </w:rPr>
            </w:pPr>
          </w:p>
        </w:tc>
        <w:tc>
          <w:tcPr>
            <w:tcW w:w="672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445" w:right="3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making this determination, the Committee took a “clean slate” approach to develop a new peer group taking into consideration the</w:t>
      </w:r>
    </w:p>
    <w:p>
      <w:pPr>
        <w:spacing w:after="0"/>
        <w:rPr>
          <w:sz w:val="20"/>
          <w:szCs w:val="20"/>
          <w:color w:val="auto"/>
        </w:rPr>
      </w:pPr>
      <w:r>
        <w:rPr>
          <w:rFonts w:ascii="Arial" w:cs="Arial" w:eastAsia="Arial" w:hAnsi="Arial"/>
          <w:sz w:val="18"/>
          <w:szCs w:val="18"/>
          <w:color w:val="auto"/>
        </w:rPr>
        <w:t>Company’s business model and labor market for talent and the following factors:</w:t>
      </w:r>
    </w:p>
    <w:p>
      <w:pPr>
        <w:spacing w:after="0" w:line="198" w:lineRule="exact"/>
        <w:rPr>
          <w:sz w:val="20"/>
          <w:szCs w:val="20"/>
          <w:color w:val="auto"/>
        </w:rPr>
      </w:pPr>
    </w:p>
    <w:p>
      <w:pPr>
        <w:ind w:left="340" w:hanging="332"/>
        <w:spacing w:after="0" w:line="246"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industry for peer group companies, which the Committee believes should operate within hotel/resort, travel, trucking automotive retail and rental retail industries; and</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capitalization and revenue for peer group companies, with primary emphasis on market capitalization.</w:t>
      </w:r>
    </w:p>
    <w:p>
      <w:pPr>
        <w:spacing w:after="0" w:line="22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The Committee recognizes that our executives have opportunities available to them in a range of industries and that any peer group for the Company will have some inherent limitations given the absence of a large sample of public companies in the vehicle rental business. In order to compare ourselves to a broad set of general industry market data available, the Committee also reviews widely-used survey data from consulting firms such as Aon Hewitt and Willis Towers Watson for companies that have revenue comparable to ours (the “Survey Data”) as</w:t>
      </w:r>
    </w:p>
    <w:p>
      <w:pPr>
        <w:spacing w:after="0" w:line="3"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another data point. The Survey Data</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represents data from over 1,000 companies sized according to revenue, assets and number of employees.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2020, the Committee considered the Survey Data for each element of the 2020 compensation and benefits package as a general check and to ensure reasonable comparability. Consideration of the Peer Group and the Survey Data represented just two factors considered in setting executive compensation for 2020. Please refer to “Analysis of 2020 Pay Decisions” for the other factors considered in setting executive compensation for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 Consideration of the Company’s 2020 Shareholder Vote on Executive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2020 Advisory Vote on Executive Compensation (“Say on Pay”)</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Committee reviewed the results of the Company’s Say on Pay vote in 2020. At the 2020 Annual Meeting of Shareholders, 77% of the votes cast were in support of the Company’s Say on Pay proposal, which was significantly lower than in prior years (i.e., 98%, 94% and 99% in 2019, 2018 and 2017,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Engagement with Shareholders on Executive Compensation</w:t>
      </w:r>
    </w:p>
    <w:p>
      <w:pPr>
        <w:spacing w:after="0" w:line="23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May 2020, each of the Company’s Chief Financial Officer and General Counsel engaged directly with shareholders representing approximately 50% of the Company’s outstanding shares to discuss executive compensation and any other topics of interest. Our executives also met with some of these shareholders as well as other shareholders several times throughout 2020 to discuss other topics as further discussed under “Shareholder Engagement” in the “Corporate Governance” section of this Proxy Statement.</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Based on the Company’s 2020 Say on Pay results and feedback from shareholders based on the engagement efforts described above, the Committee concluded that the Company’s executive compensation program as it relates to its NEOs enjoys the support of the Company’s shareholders and does not require revision to address any broad shareholder concerns.</w:t>
      </w:r>
    </w:p>
    <w:p>
      <w:pPr>
        <w:spacing w:after="0" w:line="20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However, since the Company understood that severance paid to its former CEO most likely contributed in large part to its 2020 Say on Pay results, the Company undertook a review of its severance arrangements for its NEOs currently employed by the Company. Following this review, the Company adopted a new Executive Severance Plan, which provides for estimated reduced severance payments of at least 20% compared to the Company’s prior practice, as further discussed under “Employment Agreements and Other Arrangements.” The Committee has also made other changes to the Company’s pay programs to enhance the pay-for-performance nature of its programs, as described further in this “Compensation Discussion &amp; Analysis” section.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Related to Equity Awards</w:t>
      </w:r>
    </w:p>
    <w:p>
      <w:pPr>
        <w:spacing w:after="0" w:line="2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practice has been to grant regular long-term incentive awards at pre-established meetings of the Committee. Annual long-term incentive awards, which typically include awards granted to all of the NEOs, are usually approved in the first quarter.</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However, the Committee retains the ability to determine, and has in the past determined, that another grant date may be appropriate in certain circumstances. Awards may also be approved at other Committee meetings typically for executives hired or promoted since the prior meeting. In connection with valuing the grants of stock-based awards, it is our policy generally to use, as the grant or strike price for any stock-based compensation vehicle, the closing price of our Common Stock on the date determined by the Committee as the grant date, which is often the date the Committee approves the award. The Committee typically approves a dollar amount for each restricted stock unit award, which is then divided by the closing price of our Common Stock on the date of grant to arrive at the number of restricted stock units to be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42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5" w:lineRule="exact"/>
        <w:rPr>
          <w:sz w:val="20"/>
          <w:szCs w:val="20"/>
          <w:color w:val="auto"/>
        </w:rPr>
      </w:pPr>
    </w:p>
    <w:p>
      <w:pPr>
        <w:jc w:val="both"/>
        <w:ind w:left="340" w:hanging="332"/>
        <w:spacing w:after="0" w:line="249"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While the Survey Data include a general list of participating companies, each survey provides information on a “no-names” basis-i.e., for each position comparison, it does not identify by name which companies comparable in revenue size to our Company produced results for each position matched, and thus we are unable to list the comparable companies that are included in the Survey Data utilized.</w:t>
      </w:r>
    </w:p>
    <w:p>
      <w:pPr>
        <w:sectPr>
          <w:pgSz w:w="11900" w:h="16838" w:orient="portrait"/>
          <w:cols w:equalWidth="0" w:num="1">
            <w:col w:w="11240"/>
          </w:cols>
          <w:pgMar w:left="320" w:top="445" w:right="339" w:bottom="1440" w:gutter="0" w:footer="0" w:header="0"/>
        </w:sectPr>
      </w:pP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and Retention Guidelines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executive stock ownership guidelines require NEOs to acquire and hold designated levels of Avis Budget Common Stock. Under these guidelines, our CEO is required to retain 100%, and other NEOs are required to retain a minimum of 50% of the net shares (net of taxes) obtained upon the vesting of restricted stock awards and of vested stock options (if applicable), until reaching the following specified ownership thresholds: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Officer Role(s)</w:t>
            </w:r>
          </w:p>
        </w:tc>
        <w:tc>
          <w:tcPr>
            <w:tcW w:w="724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Threshold</w:t>
            </w:r>
          </w:p>
        </w:tc>
      </w:tr>
      <w:tr>
        <w:trPr>
          <w:trHeight w:val="203"/>
        </w:trPr>
        <w:tc>
          <w:tcPr>
            <w:tcW w:w="4000" w:type="dxa"/>
            <w:vAlign w:val="bottom"/>
            <w:tcBorders>
              <w:bottom w:val="single" w:sz="8" w:color="auto"/>
            </w:tcBorders>
            <w:shd w:val="clear" w:color="auto" w:fill="D2D3D5"/>
          </w:tcPr>
          <w:p>
            <w:pPr>
              <w:ind w:left="60"/>
              <w:spacing w:after="0" w:line="202" w:lineRule="exact"/>
              <w:rPr>
                <w:sz w:val="20"/>
                <w:szCs w:val="20"/>
                <w:color w:val="auto"/>
              </w:rPr>
            </w:pPr>
            <w:r>
              <w:rPr>
                <w:rFonts w:ascii="Arial" w:cs="Arial" w:eastAsia="Arial" w:hAnsi="Arial"/>
                <w:sz w:val="18"/>
                <w:szCs w:val="18"/>
                <w:color w:val="auto"/>
              </w:rPr>
              <w:t>Executive Chairman, CEO</w:t>
            </w:r>
          </w:p>
        </w:tc>
        <w:tc>
          <w:tcPr>
            <w:tcW w:w="7240" w:type="dxa"/>
            <w:vAlign w:val="bottom"/>
            <w:tcBorders>
              <w:bottom w:val="single" w:sz="8" w:color="auto"/>
            </w:tcBorders>
            <w:shd w:val="clear" w:color="auto" w:fill="D2D3D5"/>
          </w:tcPr>
          <w:p>
            <w:pPr>
              <w:ind w:left="1620"/>
              <w:spacing w:after="0" w:line="202" w:lineRule="exact"/>
              <w:rPr>
                <w:sz w:val="20"/>
                <w:szCs w:val="20"/>
                <w:color w:val="auto"/>
              </w:rPr>
            </w:pPr>
            <w:r>
              <w:rPr>
                <w:rFonts w:ascii="Arial" w:cs="Arial" w:eastAsia="Arial" w:hAnsi="Arial"/>
                <w:sz w:val="18"/>
                <w:szCs w:val="18"/>
                <w:color w:val="auto"/>
              </w:rPr>
              <w:t>Five times base salary</w:t>
            </w:r>
          </w:p>
        </w:tc>
      </w:tr>
      <w:tr>
        <w:trPr>
          <w:trHeight w:val="196"/>
        </w:trPr>
        <w:tc>
          <w:tcPr>
            <w:tcW w:w="400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CFO, President, International</w:t>
            </w:r>
          </w:p>
        </w:tc>
        <w:tc>
          <w:tcPr>
            <w:tcW w:w="7240" w:type="dxa"/>
            <w:vAlign w:val="bottom"/>
            <w:tcBorders>
              <w:bottom w:val="single" w:sz="8" w:color="auto"/>
            </w:tcBorders>
          </w:tcPr>
          <w:p>
            <w:pPr>
              <w:ind w:left="1620"/>
              <w:spacing w:after="0" w:line="196" w:lineRule="exact"/>
              <w:rPr>
                <w:sz w:val="20"/>
                <w:szCs w:val="20"/>
                <w:color w:val="auto"/>
              </w:rPr>
            </w:pPr>
            <w:r>
              <w:rPr>
                <w:rFonts w:ascii="Arial" w:cs="Arial" w:eastAsia="Arial" w:hAnsi="Arial"/>
                <w:sz w:val="18"/>
                <w:szCs w:val="18"/>
                <w:color w:val="auto"/>
              </w:rPr>
              <w:t>Three times base salary</w:t>
            </w:r>
          </w:p>
        </w:tc>
      </w:tr>
      <w:tr>
        <w:trPr>
          <w:trHeight w:val="203"/>
        </w:trPr>
        <w:tc>
          <w:tcPr>
            <w:tcW w:w="4000" w:type="dxa"/>
            <w:vAlign w:val="bottom"/>
            <w:tcBorders>
              <w:bottom w:val="single" w:sz="8" w:color="auto"/>
            </w:tcBorders>
            <w:shd w:val="clear" w:color="auto" w:fill="D2D3D5"/>
          </w:tcPr>
          <w:p>
            <w:pPr>
              <w:ind w:left="60"/>
              <w:spacing w:after="0" w:line="196" w:lineRule="exact"/>
              <w:rPr>
                <w:sz w:val="20"/>
                <w:szCs w:val="20"/>
                <w:color w:val="auto"/>
              </w:rPr>
            </w:pPr>
            <w:r>
              <w:rPr>
                <w:rFonts w:ascii="Arial" w:cs="Arial" w:eastAsia="Arial" w:hAnsi="Arial"/>
                <w:sz w:val="18"/>
                <w:szCs w:val="18"/>
                <w:color w:val="auto"/>
              </w:rPr>
              <w:t>EVP, Americas</w:t>
            </w:r>
          </w:p>
        </w:tc>
        <w:tc>
          <w:tcPr>
            <w:tcW w:w="7240" w:type="dxa"/>
            <w:vAlign w:val="bottom"/>
            <w:tcBorders>
              <w:bottom w:val="single" w:sz="8" w:color="auto"/>
            </w:tcBorders>
            <w:shd w:val="clear" w:color="auto" w:fill="D2D3D5"/>
          </w:tcPr>
          <w:p>
            <w:pPr>
              <w:ind w:left="1620"/>
              <w:spacing w:after="0" w:line="196" w:lineRule="exact"/>
              <w:rPr>
                <w:sz w:val="20"/>
                <w:szCs w:val="20"/>
                <w:color w:val="auto"/>
              </w:rPr>
            </w:pPr>
            <w:r>
              <w:rPr>
                <w:rFonts w:ascii="Arial" w:cs="Arial" w:eastAsia="Arial" w:hAnsi="Arial"/>
                <w:sz w:val="18"/>
                <w:szCs w:val="18"/>
                <w:color w:val="auto"/>
              </w:rPr>
              <w:t>Two times base salary</w:t>
            </w:r>
          </w:p>
        </w:tc>
      </w:tr>
    </w:tbl>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Given the mandatory hold provision until thresholds are obtained, there is no specified deadline for achieving designated thresholds. For purposes of the executive stock ownership guidelines, stock ownership is defined to include stock owned by the executive directly, stock owned indirectly through the Company’s savings plan, and the “in-the-money” portion of vested stock options. As of March 12, 2021, our Executive Chairman, our CEO and our CFO had met the applicable ownership threshold. Our President, International and EVP, Americas have not yet attained these thresholds.</w:t>
      </w:r>
    </w:p>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Following attainment of ownership thresholds, our NEOs are required, for a period of one year, to hold an amount equal to 50% of the net shares obtained upon the vesting of any equity award and 50% of all stock options that vest.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foster the retention of our key management team and in accordance with past practice, we have agreements with our CEO and President, International under which the Company seeks to provide appropriate protections consistent with prevailing market practices. We also maintain an Executive Severance Plan and our Executive Chair, CFO and EVP, Americas are eligible to participate in that plan. A more detailed description of the Company’s current agreements with our NEOs and other arrangements is set forth below under the heading “Employment Agreements and Other Arrangements.” The benefits that would be received by our NEOs in the event of termination without cause or a change in control are set forth below under the heading “Termination, Severance and Change of Control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Benefits</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seek to provide perquisites to our executives that are consistent with those provided by the general market and Peer Group companies. Our perquisites currently consist primarily of financial planning services, auto use or allowance, discounted auto insurance, auto leasing through the employee lease program, group excess liability umbrella insurance, and limited personal use of Company-leased aircraft services. The Company does not provide tax reimbursements or gross-ups on perquisites for any of our NEOs other than relocation and expatriate benefits in accordance with the Company’s standard policies.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Employees, including our NEOs, may also receive tickets for professional sporting events, which are part of the Company’s season ticket subscription, and do not result in an associated incremental cost to our Company. Our ticket allocation policy is generally seniority-based, with a valid business purpose superseding any personal use. We will continue to review our compensation and benefit programs to ensure that we remain competitive with comparable companies and are able to attract and retain highly qualified senior executives.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Anti-Hedging Policy</w:t>
      </w:r>
    </w:p>
    <w:p>
      <w:pPr>
        <w:spacing w:after="0" w:line="234"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insider trading policy prohibits directors, executive officers and other employees required to pre-clear trades in Company securities, along with members of their families and others living in their households and investment partnerships and other entities over which they have or share voting or investment control (collectively, the “Covered Persons”) from:</w:t>
      </w:r>
    </w:p>
    <w:p>
      <w:pPr>
        <w:spacing w:after="0" w:line="189" w:lineRule="exact"/>
        <w:rPr>
          <w:sz w:val="20"/>
          <w:szCs w:val="20"/>
          <w:color w:val="auto"/>
        </w:rPr>
      </w:pPr>
    </w:p>
    <w:p>
      <w:pPr>
        <w:jc w:val="both"/>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engaging in hedging and monetization transactions that permit any Covered Person to continue to own the Company’s equity securities without the full risks and rewards of ownership, including through the use of financial instruments such as prepaid variable forwards, equity swaps, collars and exchange funds;</w:t>
      </w:r>
    </w:p>
    <w:p>
      <w:pPr>
        <w:spacing w:after="0" w:line="202"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holding the Company’s equity securities in a margin account or otherwise pledging the Company’s equity securities as collateral for a loan;</w:t>
      </w:r>
    </w:p>
    <w:p>
      <w:pPr>
        <w:spacing w:after="0" w:line="196"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participating in transactions involving options in relation to the Company’s securities, such as puts, calls or other derivative securities on an exchange or in any other organized market; and</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engaging in short sales of the Company’s equity securities.</w:t>
      </w:r>
    </w:p>
    <w:p>
      <w:pPr>
        <w:sectPr>
          <w:pgSz w:w="11900" w:h="16838" w:orient="portrait"/>
          <w:cols w:equalWidth="0" w:num="1">
            <w:col w:w="11240"/>
          </w:cols>
          <w:pgMar w:left="320" w:top="445"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342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purposes of the above, the Company’s equity securities include securities acquired by a Covered Person as part of his or her compensation or otherwise. Pursuant to the Third Amended and Restated Cooperation Agreement between the Company and SRS, an exception for Mr. Sarma to this policy is provided. In his capacity as an advisor, director, general partner or manager of SRS or any affiliated fund, Mr. Sarma is not prohibited from pledging or making purchases on margin of, or entering into derivative or hedging arrangements (including options) with respect to, the securities of the Company, which transactions are otherwise in compliance with applicable law and the Cooperation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Recoupment (Clawback) Policy</w:t>
      </w:r>
    </w:p>
    <w:p>
      <w:pPr>
        <w:spacing w:after="0" w:line="23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Board of Directors has adopted a policy that provides that if the Board learns of any intentional misconduct by an “executive officer” (as defined under Section 16 of the Exchange Act) that resulted in an increase to incentive income awarded to that officer, the Board will, to the full extent permitted by applicable law, in all appropriate cases, require reimbursement of the increased portion of incentive income awarded to that officer. We intend to amend our clawback policy, if necessary, to comply with any rules adopted by the SEC.</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Compensation Committee Report</w:t>
      </w:r>
    </w:p>
    <w:p>
      <w:pPr>
        <w:spacing w:after="0" w:line="23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this review and discussion, the Compensation Committee recommended to the Board that the Compensation Discussion and Analysis be included in this Proxy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COMPENSATION COMMITTEE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Karthik Sarma (Chair)</w:t>
      </w:r>
    </w:p>
    <w:p>
      <w:pPr>
        <w:jc w:val="center"/>
        <w:spacing w:after="0" w:line="234" w:lineRule="auto"/>
        <w:rPr>
          <w:sz w:val="20"/>
          <w:szCs w:val="20"/>
          <w:color w:val="auto"/>
        </w:rPr>
      </w:pPr>
      <w:r>
        <w:rPr>
          <w:rFonts w:ascii="Arial" w:cs="Arial" w:eastAsia="Arial" w:hAnsi="Arial"/>
          <w:sz w:val="18"/>
          <w:szCs w:val="18"/>
          <w:i w:val="1"/>
          <w:iCs w:val="1"/>
          <w:color w:val="auto"/>
        </w:rPr>
        <w:t>Lynn Krominga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Glenn Lurie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Summary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Change in</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Pension</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ind w:left="280"/>
              <w:spacing w:after="0"/>
              <w:rPr>
                <w:sz w:val="20"/>
                <w:szCs w:val="20"/>
                <w:color w:val="auto"/>
              </w:rPr>
            </w:pPr>
            <w:r>
              <w:rPr>
                <w:rFonts w:ascii="Arial" w:cs="Arial" w:eastAsia="Arial" w:hAnsi="Arial"/>
                <w:sz w:val="14"/>
                <w:szCs w:val="14"/>
                <w:b w:val="1"/>
                <w:bCs w:val="1"/>
                <w:color w:val="auto"/>
              </w:rPr>
              <w:t>Value and</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9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Non-Equity</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980" w:type="dxa"/>
            <w:vAlign w:val="bottom"/>
          </w:tcPr>
          <w:p>
            <w:pPr>
              <w:jc w:val="center"/>
              <w:ind w:right="148"/>
              <w:spacing w:after="0"/>
              <w:rPr>
                <w:sz w:val="20"/>
                <w:szCs w:val="20"/>
                <w:color w:val="auto"/>
              </w:rPr>
            </w:pPr>
            <w:r>
              <w:rPr>
                <w:rFonts w:ascii="Arial" w:cs="Arial" w:eastAsia="Arial" w:hAnsi="Arial"/>
                <w:sz w:val="14"/>
                <w:szCs w:val="14"/>
                <w:b w:val="1"/>
                <w:bCs w:val="1"/>
                <w:color w:val="auto"/>
              </w:rPr>
              <w:t>All</w:t>
            </w:r>
          </w:p>
        </w:tc>
        <w:tc>
          <w:tcPr>
            <w:tcW w:w="92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Stock</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Incentive Plan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920" w:type="dxa"/>
            <w:vAlign w:val="bottom"/>
          </w:tcPr>
          <w:p>
            <w:pPr>
              <w:spacing w:after="0"/>
              <w:rPr>
                <w:sz w:val="14"/>
                <w:szCs w:val="14"/>
                <w:color w:val="auto"/>
              </w:rPr>
            </w:pPr>
          </w:p>
        </w:tc>
      </w:tr>
      <w:tr>
        <w:trPr>
          <w:trHeight w:val="162"/>
        </w:trPr>
        <w:tc>
          <w:tcPr>
            <w:tcW w:w="2500" w:type="dxa"/>
            <w:vAlign w:val="bottom"/>
          </w:tcPr>
          <w:p>
            <w:pPr>
              <w:ind w:left="40"/>
              <w:spacing w:after="0"/>
              <w:rPr>
                <w:sz w:val="20"/>
                <w:szCs w:val="20"/>
                <w:color w:val="auto"/>
              </w:rPr>
            </w:pPr>
            <w:r>
              <w:rPr>
                <w:rFonts w:ascii="Arial" w:cs="Arial" w:eastAsia="Arial" w:hAnsi="Arial"/>
                <w:sz w:val="14"/>
                <w:szCs w:val="14"/>
                <w:b w:val="1"/>
                <w:bCs w:val="1"/>
                <w:color w:val="auto"/>
              </w:rPr>
              <w:t>Name and</w:t>
            </w:r>
          </w:p>
        </w:tc>
        <w:tc>
          <w:tcPr>
            <w:tcW w:w="7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Bonus</w:t>
            </w:r>
          </w:p>
        </w:tc>
        <w:tc>
          <w:tcPr>
            <w:tcW w:w="1020" w:type="dxa"/>
            <w:vAlign w:val="bottom"/>
          </w:tcPr>
          <w:p>
            <w:pPr>
              <w:jc w:val="center"/>
              <w:ind w:right="28"/>
              <w:spacing w:after="0"/>
              <w:rPr>
                <w:sz w:val="20"/>
                <w:szCs w:val="20"/>
                <w:color w:val="auto"/>
              </w:rPr>
            </w:pPr>
            <w:r>
              <w:rPr>
                <w:rFonts w:ascii="Arial" w:cs="Arial" w:eastAsia="Arial" w:hAnsi="Arial"/>
                <w:sz w:val="14"/>
                <w:szCs w:val="14"/>
                <w:b w:val="1"/>
                <w:bCs w:val="1"/>
                <w:color w:val="auto"/>
              </w:rPr>
              <w:t>Awards</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Awards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w:t>
            </w:r>
          </w:p>
        </w:tc>
        <w:tc>
          <w:tcPr>
            <w:tcW w:w="9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09"/>
        </w:trPr>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Principal Position</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9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w:t>
            </w: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w:t>
            </w:r>
          </w:p>
        </w:tc>
        <w:tc>
          <w:tcPr>
            <w:tcW w:w="9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w:t>
            </w:r>
          </w:p>
        </w:tc>
      </w:tr>
      <w:tr>
        <w:trPr>
          <w:trHeight w:val="175"/>
        </w:trPr>
        <w:tc>
          <w:tcPr>
            <w:tcW w:w="2500" w:type="dxa"/>
            <w:vAlign w:val="bottom"/>
            <w:shd w:val="clear" w:color="auto" w:fill="CCCCCC"/>
          </w:tcPr>
          <w:p>
            <w:pPr>
              <w:ind w:left="40"/>
              <w:spacing w:after="0"/>
              <w:rPr>
                <w:sz w:val="20"/>
                <w:szCs w:val="20"/>
                <w:color w:val="auto"/>
              </w:rPr>
            </w:pPr>
            <w:r>
              <w:rPr>
                <w:rFonts w:ascii="Arial" w:cs="Arial" w:eastAsia="Arial" w:hAnsi="Arial"/>
                <w:sz w:val="14"/>
                <w:szCs w:val="14"/>
                <w:color w:val="auto"/>
              </w:rPr>
              <w:t>Ferraro, Joseph A.</w:t>
            </w:r>
          </w:p>
        </w:tc>
        <w:tc>
          <w:tcPr>
            <w:tcW w:w="720" w:type="dxa"/>
            <w:vAlign w:val="bottom"/>
            <w:shd w:val="clear" w:color="auto" w:fill="CCCCCC"/>
          </w:tcPr>
          <w:p>
            <w:pPr>
              <w:ind w:left="240"/>
              <w:spacing w:after="0"/>
              <w:rPr>
                <w:sz w:val="20"/>
                <w:szCs w:val="20"/>
                <w:color w:val="auto"/>
              </w:rPr>
            </w:pPr>
            <w:r>
              <w:rPr>
                <w:rFonts w:ascii="Arial" w:cs="Arial" w:eastAsia="Arial" w:hAnsi="Arial"/>
                <w:sz w:val="14"/>
                <w:szCs w:val="14"/>
                <w:color w:val="auto"/>
              </w:rPr>
              <w:t>2020</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842,596</w:t>
            </w:r>
          </w:p>
        </w:tc>
        <w:tc>
          <w:tcPr>
            <w:tcW w:w="90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3,122,680</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81,463</w:t>
            </w:r>
          </w:p>
        </w:tc>
        <w:tc>
          <w:tcPr>
            <w:tcW w:w="9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868,413</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4,915,152</w:t>
            </w:r>
          </w:p>
        </w:tc>
      </w:tr>
      <w:tr>
        <w:trPr>
          <w:trHeight w:val="176"/>
        </w:trPr>
        <w:tc>
          <w:tcPr>
            <w:tcW w:w="2500" w:type="dxa"/>
            <w:vAlign w:val="bottom"/>
            <w:shd w:val="clear" w:color="auto" w:fill="CCCCCC"/>
          </w:tcPr>
          <w:p>
            <w:pPr>
              <w:ind w:left="180"/>
              <w:spacing w:after="0"/>
              <w:rPr>
                <w:sz w:val="20"/>
                <w:szCs w:val="20"/>
                <w:color w:val="auto"/>
              </w:rPr>
            </w:pPr>
            <w:r>
              <w:rPr>
                <w:rFonts w:ascii="Arial" w:cs="Arial" w:eastAsia="Arial" w:hAnsi="Arial"/>
                <w:sz w:val="14"/>
                <w:szCs w:val="14"/>
                <w:color w:val="auto"/>
              </w:rPr>
              <w:t>President and CEO</w:t>
            </w:r>
          </w:p>
        </w:tc>
        <w:tc>
          <w:tcPr>
            <w:tcW w:w="720" w:type="dxa"/>
            <w:vAlign w:val="bottom"/>
            <w:shd w:val="clear" w:color="auto" w:fill="CCCCCC"/>
          </w:tcPr>
          <w:p>
            <w:pPr>
              <w:ind w:left="240"/>
              <w:spacing w:after="0"/>
              <w:rPr>
                <w:sz w:val="20"/>
                <w:szCs w:val="20"/>
                <w:color w:val="auto"/>
              </w:rPr>
            </w:pPr>
            <w:r>
              <w:rPr>
                <w:rFonts w:ascii="Arial" w:cs="Arial" w:eastAsia="Arial" w:hAnsi="Arial"/>
                <w:sz w:val="14"/>
                <w:szCs w:val="14"/>
                <w:color w:val="auto"/>
              </w:rPr>
              <w:t>2019</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725,000</w:t>
            </w:r>
          </w:p>
        </w:tc>
        <w:tc>
          <w:tcPr>
            <w:tcW w:w="90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2,999,991</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jc w:val="right"/>
              <w:ind w:right="428"/>
              <w:spacing w:after="0"/>
              <w:rPr>
                <w:sz w:val="20"/>
                <w:szCs w:val="20"/>
                <w:color w:val="auto"/>
              </w:rPr>
            </w:pPr>
            <w:r>
              <w:rPr>
                <w:rFonts w:ascii="Arial" w:cs="Arial" w:eastAsia="Arial" w:hAnsi="Arial"/>
                <w:sz w:val="14"/>
                <w:szCs w:val="14"/>
                <w:color w:val="auto"/>
              </w:rPr>
              <w:t>1,022,250</w:t>
            </w:r>
          </w:p>
        </w:tc>
        <w:tc>
          <w:tcPr>
            <w:tcW w:w="1260" w:type="dxa"/>
            <w:vAlign w:val="bottom"/>
            <w:shd w:val="clear" w:color="auto" w:fill="CCCCCC"/>
          </w:tcPr>
          <w:p>
            <w:pPr>
              <w:ind w:left="160"/>
              <w:spacing w:after="0"/>
              <w:rPr>
                <w:sz w:val="20"/>
                <w:szCs w:val="20"/>
                <w:color w:val="auto"/>
              </w:rPr>
            </w:pPr>
            <w:r>
              <w:rPr>
                <w:rFonts w:ascii="Arial" w:cs="Arial" w:eastAsia="Arial" w:hAnsi="Arial"/>
                <w:sz w:val="14"/>
                <w:szCs w:val="14"/>
                <w:color w:val="auto"/>
              </w:rPr>
              <w:t>44,988</w:t>
            </w:r>
          </w:p>
        </w:tc>
        <w:tc>
          <w:tcPr>
            <w:tcW w:w="9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136,777</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4,929,006</w:t>
            </w:r>
          </w:p>
        </w:tc>
      </w:tr>
      <w:tr>
        <w:trPr>
          <w:trHeight w:val="175"/>
        </w:trPr>
        <w:tc>
          <w:tcPr>
            <w:tcW w:w="2500" w:type="dxa"/>
            <w:vAlign w:val="bottom"/>
            <w:tcBorders>
              <w:bottom w:val="single" w:sz="8" w:color="auto"/>
            </w:tcBorders>
            <w:shd w:val="clear" w:color="auto" w:fill="CCCCCC"/>
          </w:tcPr>
          <w:p>
            <w:pPr>
              <w:spacing w:after="0"/>
              <w:rPr>
                <w:sz w:val="15"/>
                <w:szCs w:val="15"/>
                <w:color w:val="auto"/>
              </w:rPr>
            </w:pPr>
          </w:p>
        </w:tc>
        <w:tc>
          <w:tcPr>
            <w:tcW w:w="720" w:type="dxa"/>
            <w:vAlign w:val="bottom"/>
            <w:tcBorders>
              <w:bottom w:val="single" w:sz="8" w:color="auto"/>
            </w:tcBorders>
            <w:shd w:val="clear" w:color="auto" w:fill="CCCCCC"/>
          </w:tcPr>
          <w:p>
            <w:pPr>
              <w:ind w:left="240"/>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650,000</w:t>
            </w:r>
          </w:p>
        </w:tc>
        <w:tc>
          <w:tcPr>
            <w:tcW w:w="900" w:type="dxa"/>
            <w:vAlign w:val="bottom"/>
            <w:tcBorders>
              <w:bottom w:val="single" w:sz="8" w:color="auto"/>
            </w:tcBorders>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shd w:val="clear" w:color="auto" w:fill="CCCCCC"/>
          </w:tcPr>
          <w:p>
            <w:pPr>
              <w:jc w:val="right"/>
              <w:ind w:right="88"/>
              <w:spacing w:after="0"/>
              <w:rPr>
                <w:sz w:val="20"/>
                <w:szCs w:val="20"/>
                <w:color w:val="auto"/>
              </w:rPr>
            </w:pPr>
            <w:r>
              <w:rPr>
                <w:rFonts w:ascii="Arial" w:cs="Arial" w:eastAsia="Arial" w:hAnsi="Arial"/>
                <w:sz w:val="14"/>
                <w:szCs w:val="14"/>
                <w:color w:val="auto"/>
              </w:rPr>
              <w:t>1,199,974</w:t>
            </w:r>
          </w:p>
        </w:tc>
        <w:tc>
          <w:tcPr>
            <w:tcW w:w="8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CCCC"/>
          </w:tcPr>
          <w:p>
            <w:pPr>
              <w:jc w:val="right"/>
              <w:ind w:right="428"/>
              <w:spacing w:after="0"/>
              <w:rPr>
                <w:sz w:val="20"/>
                <w:szCs w:val="20"/>
                <w:color w:val="auto"/>
              </w:rPr>
            </w:pPr>
            <w:r>
              <w:rPr>
                <w:rFonts w:ascii="Arial" w:cs="Arial" w:eastAsia="Arial" w:hAnsi="Arial"/>
                <w:sz w:val="14"/>
                <w:szCs w:val="14"/>
                <w:color w:val="auto"/>
              </w:rPr>
              <w:t>902,525</w:t>
            </w:r>
          </w:p>
        </w:tc>
        <w:tc>
          <w:tcPr>
            <w:tcW w:w="1260" w:type="dxa"/>
            <w:vAlign w:val="bottom"/>
            <w:tcBorders>
              <w:bottom w:val="single" w:sz="8" w:color="auto"/>
            </w:tcBorders>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52,895</w:t>
            </w:r>
          </w:p>
        </w:tc>
        <w:tc>
          <w:tcPr>
            <w:tcW w:w="92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2,805,394</w:t>
            </w:r>
          </w:p>
        </w:tc>
      </w:tr>
      <w:tr>
        <w:trPr>
          <w:trHeight w:val="171"/>
        </w:trPr>
        <w:tc>
          <w:tcPr>
            <w:tcW w:w="2500" w:type="dxa"/>
            <w:vAlign w:val="bottom"/>
          </w:tcPr>
          <w:p>
            <w:pPr>
              <w:ind w:left="40"/>
              <w:spacing w:after="0"/>
              <w:rPr>
                <w:sz w:val="20"/>
                <w:szCs w:val="20"/>
                <w:color w:val="auto"/>
              </w:rPr>
            </w:pPr>
            <w:r>
              <w:rPr>
                <w:rFonts w:ascii="Arial" w:cs="Arial" w:eastAsia="Arial" w:hAnsi="Arial"/>
                <w:sz w:val="14"/>
                <w:szCs w:val="14"/>
                <w:color w:val="auto"/>
              </w:rPr>
              <w:t>Choi, Brian J.</w:t>
            </w:r>
          </w:p>
        </w:tc>
        <w:tc>
          <w:tcPr>
            <w:tcW w:w="720" w:type="dxa"/>
            <w:vAlign w:val="bottom"/>
          </w:tcPr>
          <w:p>
            <w:pPr>
              <w:ind w:left="240"/>
              <w:spacing w:after="0"/>
              <w:rPr>
                <w:sz w:val="20"/>
                <w:szCs w:val="20"/>
                <w:color w:val="auto"/>
              </w:rPr>
            </w:pPr>
            <w:r>
              <w:rPr>
                <w:rFonts w:ascii="Arial" w:cs="Arial" w:eastAsia="Arial" w:hAnsi="Arial"/>
                <w:sz w:val="14"/>
                <w:szCs w:val="14"/>
                <w:color w:val="auto"/>
              </w:rPr>
              <w:t>2020</w:t>
            </w:r>
          </w:p>
        </w:tc>
        <w:tc>
          <w:tcPr>
            <w:tcW w:w="840" w:type="dxa"/>
            <w:vAlign w:val="bottom"/>
          </w:tcPr>
          <w:p>
            <w:pPr>
              <w:jc w:val="center"/>
              <w:spacing w:after="0"/>
              <w:rPr>
                <w:sz w:val="20"/>
                <w:szCs w:val="20"/>
                <w:color w:val="auto"/>
              </w:rPr>
            </w:pPr>
            <w:r>
              <w:rPr>
                <w:rFonts w:ascii="Arial" w:cs="Arial" w:eastAsia="Arial" w:hAnsi="Arial"/>
                <w:sz w:val="14"/>
                <w:szCs w:val="14"/>
                <w:color w:val="auto"/>
              </w:rPr>
              <w:t>167,308</w:t>
            </w: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3,000,009</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tcPr>
          <w:p>
            <w:pPr>
              <w:ind w:left="2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5,401</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3,172,718</w:t>
            </w:r>
          </w:p>
        </w:tc>
      </w:tr>
      <w:tr>
        <w:trPr>
          <w:trHeight w:val="188"/>
        </w:trPr>
        <w:tc>
          <w:tcPr>
            <w:tcW w:w="25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EVP and CFO</w:t>
            </w:r>
          </w:p>
        </w:tc>
        <w:tc>
          <w:tcPr>
            <w:tcW w:w="7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69"/>
        </w:trPr>
        <w:tc>
          <w:tcPr>
            <w:tcW w:w="2500" w:type="dxa"/>
            <w:vAlign w:val="bottom"/>
            <w:shd w:val="clear" w:color="auto" w:fill="CCCCCC"/>
          </w:tcPr>
          <w:p>
            <w:pPr>
              <w:ind w:left="40"/>
              <w:spacing w:after="0"/>
              <w:rPr>
                <w:sz w:val="20"/>
                <w:szCs w:val="20"/>
                <w:color w:val="auto"/>
              </w:rPr>
            </w:pPr>
            <w:r>
              <w:rPr>
                <w:rFonts w:ascii="Arial" w:cs="Arial" w:eastAsia="Arial" w:hAnsi="Arial"/>
                <w:sz w:val="14"/>
                <w:szCs w:val="14"/>
                <w:color w:val="auto"/>
              </w:rPr>
              <w:t>Hees, Bernardo</w:t>
            </w:r>
          </w:p>
        </w:tc>
        <w:tc>
          <w:tcPr>
            <w:tcW w:w="720" w:type="dxa"/>
            <w:vAlign w:val="bottom"/>
            <w:shd w:val="clear" w:color="auto" w:fill="CCCCCC"/>
          </w:tcPr>
          <w:p>
            <w:pPr>
              <w:ind w:left="240"/>
              <w:spacing w:after="0"/>
              <w:rPr>
                <w:sz w:val="20"/>
                <w:szCs w:val="20"/>
                <w:color w:val="auto"/>
              </w:rPr>
            </w:pPr>
            <w:r>
              <w:rPr>
                <w:rFonts w:ascii="Arial" w:cs="Arial" w:eastAsia="Arial" w:hAnsi="Arial"/>
                <w:sz w:val="14"/>
                <w:szCs w:val="14"/>
                <w:color w:val="auto"/>
              </w:rPr>
              <w:t>2020</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229,616</w:t>
            </w:r>
          </w:p>
        </w:tc>
        <w:tc>
          <w:tcPr>
            <w:tcW w:w="90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3,519,262</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74,246</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3,823,124</w:t>
            </w:r>
          </w:p>
        </w:tc>
      </w:tr>
      <w:tr>
        <w:trPr>
          <w:trHeight w:val="203"/>
        </w:trPr>
        <w:tc>
          <w:tcPr>
            <w:tcW w:w="250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4"/>
                <w:szCs w:val="14"/>
                <w:color w:val="auto"/>
              </w:rPr>
              <w:t>Executive Chairman</w:t>
            </w:r>
          </w:p>
        </w:tc>
        <w:tc>
          <w:tcPr>
            <w:tcW w:w="720" w:type="dxa"/>
            <w:vAlign w:val="bottom"/>
            <w:tcBorders>
              <w:bottom w:val="single" w:sz="8" w:color="auto"/>
            </w:tcBorders>
            <w:shd w:val="clear" w:color="auto" w:fill="CCCCCC"/>
          </w:tcPr>
          <w:p>
            <w:pPr>
              <w:spacing w:after="0"/>
              <w:rPr>
                <w:sz w:val="17"/>
                <w:szCs w:val="17"/>
                <w:color w:val="auto"/>
              </w:rPr>
            </w:pPr>
          </w:p>
        </w:tc>
        <w:tc>
          <w:tcPr>
            <w:tcW w:w="840" w:type="dxa"/>
            <w:vAlign w:val="bottom"/>
            <w:tcBorders>
              <w:bottom w:val="single" w:sz="8" w:color="auto"/>
            </w:tcBorders>
            <w:shd w:val="clear" w:color="auto" w:fill="CCCCCC"/>
          </w:tcPr>
          <w:p>
            <w:pPr>
              <w:spacing w:after="0"/>
              <w:rPr>
                <w:sz w:val="17"/>
                <w:szCs w:val="17"/>
                <w:color w:val="auto"/>
              </w:rPr>
            </w:pPr>
          </w:p>
        </w:tc>
        <w:tc>
          <w:tcPr>
            <w:tcW w:w="900" w:type="dxa"/>
            <w:vAlign w:val="bottom"/>
            <w:tcBorders>
              <w:bottom w:val="single" w:sz="8" w:color="auto"/>
            </w:tcBorders>
            <w:shd w:val="clear" w:color="auto" w:fill="CCCCCC"/>
          </w:tcPr>
          <w:p>
            <w:pPr>
              <w:spacing w:after="0"/>
              <w:rPr>
                <w:sz w:val="17"/>
                <w:szCs w:val="17"/>
                <w:color w:val="auto"/>
              </w:rPr>
            </w:pPr>
          </w:p>
        </w:tc>
        <w:tc>
          <w:tcPr>
            <w:tcW w:w="1020" w:type="dxa"/>
            <w:vAlign w:val="bottom"/>
            <w:tcBorders>
              <w:bottom w:val="single" w:sz="8" w:color="auto"/>
            </w:tcBorders>
            <w:shd w:val="clear" w:color="auto" w:fill="CCCCCC"/>
          </w:tcPr>
          <w:p>
            <w:pPr>
              <w:spacing w:after="0"/>
              <w:rPr>
                <w:sz w:val="17"/>
                <w:szCs w:val="17"/>
                <w:color w:val="auto"/>
              </w:rPr>
            </w:pPr>
          </w:p>
        </w:tc>
        <w:tc>
          <w:tcPr>
            <w:tcW w:w="840" w:type="dxa"/>
            <w:vAlign w:val="bottom"/>
            <w:tcBorders>
              <w:bottom w:val="single" w:sz="8" w:color="auto"/>
            </w:tcBorders>
            <w:shd w:val="clear" w:color="auto" w:fill="CCCCCC"/>
          </w:tcPr>
          <w:p>
            <w:pPr>
              <w:spacing w:after="0"/>
              <w:rPr>
                <w:sz w:val="17"/>
                <w:szCs w:val="17"/>
                <w:color w:val="auto"/>
              </w:rPr>
            </w:pPr>
          </w:p>
        </w:tc>
        <w:tc>
          <w:tcPr>
            <w:tcW w:w="1260" w:type="dxa"/>
            <w:vAlign w:val="bottom"/>
            <w:tcBorders>
              <w:bottom w:val="single" w:sz="8" w:color="auto"/>
            </w:tcBorders>
            <w:shd w:val="clear" w:color="auto" w:fill="CCCCCC"/>
          </w:tcPr>
          <w:p>
            <w:pPr>
              <w:spacing w:after="0"/>
              <w:rPr>
                <w:sz w:val="17"/>
                <w:szCs w:val="17"/>
                <w:color w:val="auto"/>
              </w:rPr>
            </w:pPr>
          </w:p>
        </w:tc>
        <w:tc>
          <w:tcPr>
            <w:tcW w:w="1260" w:type="dxa"/>
            <w:vAlign w:val="bottom"/>
            <w:tcBorders>
              <w:bottom w:val="single" w:sz="8" w:color="auto"/>
            </w:tcBorders>
            <w:shd w:val="clear" w:color="auto" w:fill="CCCCCC"/>
          </w:tcPr>
          <w:p>
            <w:pPr>
              <w:spacing w:after="0"/>
              <w:rPr>
                <w:sz w:val="17"/>
                <w:szCs w:val="17"/>
                <w:color w:val="auto"/>
              </w:rPr>
            </w:pPr>
          </w:p>
        </w:tc>
        <w:tc>
          <w:tcPr>
            <w:tcW w:w="980" w:type="dxa"/>
            <w:vAlign w:val="bottom"/>
            <w:tcBorders>
              <w:bottom w:val="single" w:sz="8" w:color="auto"/>
            </w:tcBorders>
            <w:shd w:val="clear" w:color="auto" w:fill="CCCCCC"/>
          </w:tcPr>
          <w:p>
            <w:pPr>
              <w:spacing w:after="0"/>
              <w:rPr>
                <w:sz w:val="17"/>
                <w:szCs w:val="17"/>
                <w:color w:val="auto"/>
              </w:rPr>
            </w:pPr>
          </w:p>
        </w:tc>
        <w:tc>
          <w:tcPr>
            <w:tcW w:w="920" w:type="dxa"/>
            <w:vAlign w:val="bottom"/>
            <w:tcBorders>
              <w:bottom w:val="single" w:sz="8" w:color="auto"/>
            </w:tcBorders>
            <w:shd w:val="clear" w:color="auto" w:fill="CCCCCC"/>
          </w:tcPr>
          <w:p>
            <w:pPr>
              <w:spacing w:after="0"/>
              <w:rPr>
                <w:sz w:val="17"/>
                <w:szCs w:val="17"/>
                <w:color w:val="auto"/>
              </w:rPr>
            </w:pPr>
          </w:p>
        </w:tc>
      </w:tr>
      <w:tr>
        <w:trPr>
          <w:trHeight w:val="160"/>
        </w:trPr>
        <w:tc>
          <w:tcPr>
            <w:tcW w:w="2500" w:type="dxa"/>
            <w:vAlign w:val="bottom"/>
          </w:tcPr>
          <w:p>
            <w:pPr>
              <w:ind w:left="40"/>
              <w:spacing w:after="0"/>
              <w:rPr>
                <w:sz w:val="20"/>
                <w:szCs w:val="20"/>
                <w:color w:val="auto"/>
              </w:rPr>
            </w:pPr>
            <w:r>
              <w:rPr>
                <w:rFonts w:ascii="Arial" w:cs="Arial" w:eastAsia="Arial" w:hAnsi="Arial"/>
                <w:sz w:val="14"/>
                <w:szCs w:val="14"/>
                <w:color w:val="auto"/>
              </w:rPr>
              <w:t>Rankin, Keith</w:t>
            </w:r>
          </w:p>
        </w:tc>
        <w:tc>
          <w:tcPr>
            <w:tcW w:w="720" w:type="dxa"/>
            <w:vAlign w:val="bottom"/>
          </w:tcPr>
          <w:p>
            <w:pPr>
              <w:ind w:left="240"/>
              <w:spacing w:after="0"/>
              <w:rPr>
                <w:sz w:val="20"/>
                <w:szCs w:val="20"/>
                <w:color w:val="auto"/>
              </w:rPr>
            </w:pPr>
            <w:r>
              <w:rPr>
                <w:rFonts w:ascii="Arial" w:cs="Arial" w:eastAsia="Arial" w:hAnsi="Arial"/>
                <w:sz w:val="14"/>
                <w:szCs w:val="14"/>
                <w:color w:val="auto"/>
              </w:rPr>
              <w:t>2020</w:t>
            </w:r>
          </w:p>
        </w:tc>
        <w:tc>
          <w:tcPr>
            <w:tcW w:w="840" w:type="dxa"/>
            <w:vAlign w:val="bottom"/>
          </w:tcPr>
          <w:p>
            <w:pPr>
              <w:jc w:val="center"/>
              <w:spacing w:after="0"/>
              <w:rPr>
                <w:sz w:val="20"/>
                <w:szCs w:val="20"/>
                <w:color w:val="auto"/>
              </w:rPr>
            </w:pPr>
            <w:r>
              <w:rPr>
                <w:rFonts w:ascii="Arial" w:cs="Arial" w:eastAsia="Arial" w:hAnsi="Arial"/>
                <w:sz w:val="14"/>
                <w:szCs w:val="14"/>
                <w:color w:val="auto"/>
              </w:rPr>
              <w:t>500,777</w:t>
            </w: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1,049,986</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tcPr>
          <w:p>
            <w:pPr>
              <w:ind w:left="2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95,200</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1,645,963</w:t>
            </w:r>
          </w:p>
        </w:tc>
      </w:tr>
      <w:tr>
        <w:trPr>
          <w:trHeight w:val="198"/>
        </w:trPr>
        <w:tc>
          <w:tcPr>
            <w:tcW w:w="25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President, International</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294,346</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253,549</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2,000,031</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166,610</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2,714,536</w:t>
            </w:r>
          </w:p>
        </w:tc>
      </w:tr>
      <w:tr>
        <w:trPr>
          <w:trHeight w:val="169"/>
        </w:trPr>
        <w:tc>
          <w:tcPr>
            <w:tcW w:w="2500" w:type="dxa"/>
            <w:vAlign w:val="bottom"/>
            <w:shd w:val="clear" w:color="auto" w:fill="CCCCCC"/>
          </w:tcPr>
          <w:p>
            <w:pPr>
              <w:ind w:left="40"/>
              <w:spacing w:after="0"/>
              <w:rPr>
                <w:sz w:val="20"/>
                <w:szCs w:val="20"/>
                <w:color w:val="auto"/>
              </w:rPr>
            </w:pPr>
            <w:r>
              <w:rPr>
                <w:rFonts w:ascii="Arial" w:cs="Arial" w:eastAsia="Arial" w:hAnsi="Arial"/>
                <w:sz w:val="14"/>
                <w:szCs w:val="14"/>
                <w:color w:val="auto"/>
              </w:rPr>
              <w:t>Martins, Izilda P.</w:t>
            </w:r>
          </w:p>
        </w:tc>
        <w:tc>
          <w:tcPr>
            <w:tcW w:w="720" w:type="dxa"/>
            <w:vAlign w:val="bottom"/>
            <w:shd w:val="clear" w:color="auto" w:fill="CCCCCC"/>
          </w:tcPr>
          <w:p>
            <w:pPr>
              <w:ind w:left="240"/>
              <w:spacing w:after="0"/>
              <w:rPr>
                <w:sz w:val="20"/>
                <w:szCs w:val="20"/>
                <w:color w:val="auto"/>
              </w:rPr>
            </w:pPr>
            <w:r>
              <w:rPr>
                <w:rFonts w:ascii="Arial" w:cs="Arial" w:eastAsia="Arial" w:hAnsi="Arial"/>
                <w:sz w:val="14"/>
                <w:szCs w:val="14"/>
                <w:color w:val="auto"/>
              </w:rPr>
              <w:t>2020</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425,861</w:t>
            </w:r>
          </w:p>
        </w:tc>
        <w:tc>
          <w:tcPr>
            <w:tcW w:w="90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594,403</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492,527</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1,512,791</w:t>
            </w:r>
          </w:p>
        </w:tc>
      </w:tr>
      <w:tr>
        <w:trPr>
          <w:trHeight w:val="176"/>
        </w:trPr>
        <w:tc>
          <w:tcPr>
            <w:tcW w:w="250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4"/>
                <w:szCs w:val="14"/>
                <w:color w:val="auto"/>
              </w:rPr>
              <w:t>EVP, Americas</w:t>
            </w:r>
          </w:p>
        </w:tc>
        <w:tc>
          <w:tcPr>
            <w:tcW w:w="720" w:type="dxa"/>
            <w:vAlign w:val="bottom"/>
            <w:tcBorders>
              <w:bottom w:val="single" w:sz="8" w:color="auto"/>
            </w:tcBorders>
            <w:shd w:val="clear" w:color="auto" w:fill="CCCCCC"/>
          </w:tcPr>
          <w:p>
            <w:pPr>
              <w:spacing w:after="0"/>
              <w:rPr>
                <w:sz w:val="15"/>
                <w:szCs w:val="15"/>
                <w:color w:val="auto"/>
              </w:rPr>
            </w:pPr>
          </w:p>
        </w:tc>
        <w:tc>
          <w:tcPr>
            <w:tcW w:w="840" w:type="dxa"/>
            <w:vAlign w:val="bottom"/>
            <w:tcBorders>
              <w:bottom w:val="single" w:sz="8" w:color="auto"/>
            </w:tcBorders>
            <w:shd w:val="clear" w:color="auto" w:fill="CCCCCC"/>
          </w:tcPr>
          <w:p>
            <w:pPr>
              <w:spacing w:after="0"/>
              <w:rPr>
                <w:sz w:val="15"/>
                <w:szCs w:val="15"/>
                <w:color w:val="auto"/>
              </w:rPr>
            </w:pPr>
          </w:p>
        </w:tc>
        <w:tc>
          <w:tcPr>
            <w:tcW w:w="900" w:type="dxa"/>
            <w:vAlign w:val="bottom"/>
            <w:tcBorders>
              <w:bottom w:val="single" w:sz="8" w:color="auto"/>
            </w:tcBorders>
            <w:shd w:val="clear" w:color="auto" w:fill="CCCCCC"/>
          </w:tcPr>
          <w:p>
            <w:pPr>
              <w:spacing w:after="0"/>
              <w:rPr>
                <w:sz w:val="15"/>
                <w:szCs w:val="15"/>
                <w:color w:val="auto"/>
              </w:rPr>
            </w:pPr>
          </w:p>
        </w:tc>
        <w:tc>
          <w:tcPr>
            <w:tcW w:w="1020" w:type="dxa"/>
            <w:vAlign w:val="bottom"/>
            <w:tcBorders>
              <w:bottom w:val="single" w:sz="8" w:color="auto"/>
            </w:tcBorders>
            <w:shd w:val="clear" w:color="auto" w:fill="CCCCCC"/>
          </w:tcPr>
          <w:p>
            <w:pPr>
              <w:spacing w:after="0"/>
              <w:rPr>
                <w:sz w:val="15"/>
                <w:szCs w:val="15"/>
                <w:color w:val="auto"/>
              </w:rPr>
            </w:pPr>
          </w:p>
        </w:tc>
        <w:tc>
          <w:tcPr>
            <w:tcW w:w="840" w:type="dxa"/>
            <w:vAlign w:val="bottom"/>
            <w:tcBorders>
              <w:bottom w:val="single" w:sz="8" w:color="auto"/>
            </w:tcBorders>
            <w:shd w:val="clear" w:color="auto" w:fill="CCCCCC"/>
          </w:tcPr>
          <w:p>
            <w:pPr>
              <w:spacing w:after="0"/>
              <w:rPr>
                <w:sz w:val="15"/>
                <w:szCs w:val="15"/>
                <w:color w:val="auto"/>
              </w:rPr>
            </w:pPr>
          </w:p>
        </w:tc>
        <w:tc>
          <w:tcPr>
            <w:tcW w:w="1260" w:type="dxa"/>
            <w:vAlign w:val="bottom"/>
            <w:tcBorders>
              <w:bottom w:val="single" w:sz="8" w:color="auto"/>
            </w:tcBorders>
            <w:shd w:val="clear" w:color="auto" w:fill="CCCCCC"/>
          </w:tcPr>
          <w:p>
            <w:pPr>
              <w:spacing w:after="0"/>
              <w:rPr>
                <w:sz w:val="15"/>
                <w:szCs w:val="15"/>
                <w:color w:val="auto"/>
              </w:rPr>
            </w:pPr>
          </w:p>
        </w:tc>
        <w:tc>
          <w:tcPr>
            <w:tcW w:w="1260" w:type="dxa"/>
            <w:vAlign w:val="bottom"/>
            <w:tcBorders>
              <w:bottom w:val="single" w:sz="8" w:color="auto"/>
            </w:tcBorders>
            <w:shd w:val="clear" w:color="auto" w:fill="CCCCCC"/>
          </w:tcPr>
          <w:p>
            <w:pPr>
              <w:spacing w:after="0"/>
              <w:rPr>
                <w:sz w:val="15"/>
                <w:szCs w:val="15"/>
                <w:color w:val="auto"/>
              </w:rPr>
            </w:pPr>
          </w:p>
        </w:tc>
        <w:tc>
          <w:tcPr>
            <w:tcW w:w="980" w:type="dxa"/>
            <w:vAlign w:val="bottom"/>
            <w:tcBorders>
              <w:bottom w:val="single" w:sz="8" w:color="auto"/>
            </w:tcBorders>
            <w:shd w:val="clear" w:color="auto" w:fill="CCCCCC"/>
          </w:tcPr>
          <w:p>
            <w:pPr>
              <w:spacing w:after="0"/>
              <w:rPr>
                <w:sz w:val="15"/>
                <w:szCs w:val="15"/>
                <w:color w:val="auto"/>
              </w:rPr>
            </w:pPr>
          </w:p>
        </w:tc>
        <w:tc>
          <w:tcPr>
            <w:tcW w:w="920" w:type="dxa"/>
            <w:vAlign w:val="bottom"/>
            <w:tcBorders>
              <w:bottom w:val="single" w:sz="8" w:color="auto"/>
            </w:tcBorders>
            <w:shd w:val="clear" w:color="auto" w:fill="CCCCCC"/>
          </w:tcPr>
          <w:p>
            <w:pPr>
              <w:spacing w:after="0"/>
              <w:rPr>
                <w:sz w:val="15"/>
                <w:szCs w:val="15"/>
                <w:color w:val="auto"/>
              </w:rPr>
            </w:pPr>
          </w:p>
        </w:tc>
      </w:tr>
      <w:tr>
        <w:trPr>
          <w:trHeight w:val="160"/>
        </w:trPr>
        <w:tc>
          <w:tcPr>
            <w:tcW w:w="2500" w:type="dxa"/>
            <w:vAlign w:val="bottom"/>
          </w:tcPr>
          <w:p>
            <w:pPr>
              <w:ind w:left="40"/>
              <w:spacing w:after="0"/>
              <w:rPr>
                <w:sz w:val="20"/>
                <w:szCs w:val="20"/>
                <w:color w:val="auto"/>
              </w:rPr>
            </w:pPr>
            <w:r>
              <w:rPr>
                <w:rFonts w:ascii="Arial" w:cs="Arial" w:eastAsia="Arial" w:hAnsi="Arial"/>
                <w:sz w:val="14"/>
                <w:szCs w:val="14"/>
                <w:color w:val="auto"/>
              </w:rPr>
              <w:t>North, John F.</w:t>
            </w:r>
          </w:p>
        </w:tc>
        <w:tc>
          <w:tcPr>
            <w:tcW w:w="720" w:type="dxa"/>
            <w:vAlign w:val="bottom"/>
          </w:tcPr>
          <w:p>
            <w:pPr>
              <w:ind w:left="240"/>
              <w:spacing w:after="0"/>
              <w:rPr>
                <w:sz w:val="20"/>
                <w:szCs w:val="20"/>
                <w:color w:val="auto"/>
              </w:rPr>
            </w:pPr>
            <w:r>
              <w:rPr>
                <w:rFonts w:ascii="Arial" w:cs="Arial" w:eastAsia="Arial" w:hAnsi="Arial"/>
                <w:sz w:val="14"/>
                <w:szCs w:val="14"/>
                <w:color w:val="auto"/>
              </w:rPr>
              <w:t>2020</w:t>
            </w:r>
          </w:p>
        </w:tc>
        <w:tc>
          <w:tcPr>
            <w:tcW w:w="840" w:type="dxa"/>
            <w:vAlign w:val="bottom"/>
          </w:tcPr>
          <w:p>
            <w:pPr>
              <w:jc w:val="center"/>
              <w:spacing w:after="0"/>
              <w:rPr>
                <w:sz w:val="20"/>
                <w:szCs w:val="20"/>
                <w:color w:val="auto"/>
              </w:rPr>
            </w:pPr>
            <w:r>
              <w:rPr>
                <w:rFonts w:ascii="Arial" w:cs="Arial" w:eastAsia="Arial" w:hAnsi="Arial"/>
                <w:sz w:val="14"/>
                <w:szCs w:val="14"/>
                <w:color w:val="auto"/>
              </w:rPr>
              <w:t>447,231</w:t>
            </w:r>
          </w:p>
        </w:tc>
        <w:tc>
          <w:tcPr>
            <w:tcW w:w="900" w:type="dxa"/>
            <w:vAlign w:val="bottom"/>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1,600,014</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tcPr>
          <w:p>
            <w:pPr>
              <w:ind w:left="2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2,557,097</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4,604,342</w:t>
            </w:r>
          </w:p>
        </w:tc>
      </w:tr>
      <w:tr>
        <w:trPr>
          <w:trHeight w:val="198"/>
        </w:trPr>
        <w:tc>
          <w:tcPr>
            <w:tcW w:w="25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Former EVP and CFO</w:t>
            </w:r>
          </w:p>
        </w:tc>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2019</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461,538</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500,000</w:t>
            </w: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3,999,968</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481,007</w:t>
            </w:r>
          </w:p>
        </w:tc>
        <w:tc>
          <w:tcPr>
            <w:tcW w:w="12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279,637</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5,722,150</w:t>
            </w:r>
          </w:p>
        </w:tc>
      </w:tr>
      <w:tr>
        <w:trPr>
          <w:trHeight w:val="169"/>
        </w:trPr>
        <w:tc>
          <w:tcPr>
            <w:tcW w:w="2500" w:type="dxa"/>
            <w:vAlign w:val="bottom"/>
            <w:shd w:val="clear" w:color="auto" w:fill="CCCCCC"/>
          </w:tcPr>
          <w:p>
            <w:pPr>
              <w:ind w:left="40"/>
              <w:spacing w:after="0"/>
              <w:rPr>
                <w:sz w:val="20"/>
                <w:szCs w:val="20"/>
                <w:color w:val="auto"/>
              </w:rPr>
            </w:pPr>
            <w:r>
              <w:rPr>
                <w:rFonts w:ascii="Arial" w:cs="Arial" w:eastAsia="Arial" w:hAnsi="Arial"/>
                <w:sz w:val="14"/>
                <w:szCs w:val="14"/>
                <w:color w:val="auto"/>
              </w:rPr>
              <w:t>Tucker, Michael K.</w:t>
            </w:r>
          </w:p>
        </w:tc>
        <w:tc>
          <w:tcPr>
            <w:tcW w:w="720" w:type="dxa"/>
            <w:vAlign w:val="bottom"/>
            <w:shd w:val="clear" w:color="auto" w:fill="CCCCCC"/>
          </w:tcPr>
          <w:p>
            <w:pPr>
              <w:ind w:left="240"/>
              <w:spacing w:after="0"/>
              <w:rPr>
                <w:sz w:val="20"/>
                <w:szCs w:val="20"/>
                <w:color w:val="auto"/>
              </w:rPr>
            </w:pPr>
            <w:r>
              <w:rPr>
                <w:rFonts w:ascii="Arial" w:cs="Arial" w:eastAsia="Arial" w:hAnsi="Arial"/>
                <w:sz w:val="14"/>
                <w:szCs w:val="14"/>
                <w:color w:val="auto"/>
              </w:rPr>
              <w:t>2020</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138,654</w:t>
            </w:r>
          </w:p>
        </w:tc>
        <w:tc>
          <w:tcPr>
            <w:tcW w:w="90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500,002</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jc w:val="right"/>
              <w:ind w:right="6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1,863,917</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2,502,573</w:t>
            </w:r>
          </w:p>
        </w:tc>
      </w:tr>
      <w:tr>
        <w:trPr>
          <w:trHeight w:val="176"/>
        </w:trPr>
        <w:tc>
          <w:tcPr>
            <w:tcW w:w="2500" w:type="dxa"/>
            <w:vAlign w:val="bottom"/>
            <w:shd w:val="clear" w:color="auto" w:fill="CCCCCC"/>
          </w:tcPr>
          <w:p>
            <w:pPr>
              <w:ind w:left="180"/>
              <w:spacing w:after="0"/>
              <w:rPr>
                <w:sz w:val="20"/>
                <w:szCs w:val="20"/>
                <w:color w:val="auto"/>
              </w:rPr>
            </w:pPr>
            <w:r>
              <w:rPr>
                <w:rFonts w:ascii="Arial" w:cs="Arial" w:eastAsia="Arial" w:hAnsi="Arial"/>
                <w:sz w:val="14"/>
                <w:szCs w:val="14"/>
                <w:color w:val="auto"/>
              </w:rPr>
              <w:t>Former EVP, GC</w:t>
            </w:r>
          </w:p>
        </w:tc>
        <w:tc>
          <w:tcPr>
            <w:tcW w:w="720" w:type="dxa"/>
            <w:vAlign w:val="bottom"/>
            <w:shd w:val="clear" w:color="auto" w:fill="CCCCCC"/>
          </w:tcPr>
          <w:p>
            <w:pPr>
              <w:ind w:left="240"/>
              <w:spacing w:after="0"/>
              <w:rPr>
                <w:sz w:val="20"/>
                <w:szCs w:val="20"/>
                <w:color w:val="auto"/>
              </w:rPr>
            </w:pPr>
            <w:r>
              <w:rPr>
                <w:rFonts w:ascii="Arial" w:cs="Arial" w:eastAsia="Arial" w:hAnsi="Arial"/>
                <w:sz w:val="14"/>
                <w:szCs w:val="14"/>
                <w:color w:val="auto"/>
              </w:rPr>
              <w:t>2019</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515,288</w:t>
            </w:r>
          </w:p>
        </w:tc>
        <w:tc>
          <w:tcPr>
            <w:tcW w:w="900" w:type="dxa"/>
            <w:vAlign w:val="bottom"/>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500,016</w:t>
            </w:r>
          </w:p>
        </w:tc>
        <w:tc>
          <w:tcPr>
            <w:tcW w:w="84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CCCC"/>
          </w:tcPr>
          <w:p>
            <w:pPr>
              <w:jc w:val="right"/>
              <w:ind w:right="428"/>
              <w:spacing w:after="0"/>
              <w:rPr>
                <w:sz w:val="20"/>
                <w:szCs w:val="20"/>
                <w:color w:val="auto"/>
              </w:rPr>
            </w:pPr>
            <w:r>
              <w:rPr>
                <w:rFonts w:ascii="Arial" w:cs="Arial" w:eastAsia="Arial" w:hAnsi="Arial"/>
                <w:sz w:val="14"/>
                <w:szCs w:val="14"/>
                <w:color w:val="auto"/>
              </w:rPr>
              <w:t>342,797</w:t>
            </w:r>
          </w:p>
        </w:tc>
        <w:tc>
          <w:tcPr>
            <w:tcW w:w="1260" w:type="dxa"/>
            <w:vAlign w:val="bottom"/>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16,567</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1,374,668</w:t>
            </w:r>
          </w:p>
        </w:tc>
      </w:tr>
      <w:tr>
        <w:trPr>
          <w:trHeight w:val="196"/>
        </w:trPr>
        <w:tc>
          <w:tcPr>
            <w:tcW w:w="2500" w:type="dxa"/>
            <w:vAlign w:val="bottom"/>
            <w:tcBorders>
              <w:bottom w:val="single" w:sz="8" w:color="auto"/>
            </w:tcBorders>
            <w:shd w:val="clear" w:color="auto" w:fill="CCCCCC"/>
          </w:tcPr>
          <w:p>
            <w:pPr>
              <w:ind w:left="180"/>
              <w:spacing w:after="0"/>
              <w:rPr>
                <w:sz w:val="20"/>
                <w:szCs w:val="20"/>
                <w:color w:val="auto"/>
              </w:rPr>
            </w:pPr>
            <w:r>
              <w:rPr>
                <w:rFonts w:ascii="Arial" w:cs="Arial" w:eastAsia="Arial" w:hAnsi="Arial"/>
                <w:sz w:val="14"/>
                <w:szCs w:val="14"/>
                <w:color w:val="auto"/>
              </w:rPr>
              <w:t>and CCO</w:t>
            </w:r>
          </w:p>
        </w:tc>
        <w:tc>
          <w:tcPr>
            <w:tcW w:w="720" w:type="dxa"/>
            <w:vAlign w:val="bottom"/>
            <w:tcBorders>
              <w:bottom w:val="single" w:sz="8" w:color="auto"/>
            </w:tcBorders>
            <w:shd w:val="clear" w:color="auto" w:fill="CCCCCC"/>
          </w:tcPr>
          <w:p>
            <w:pPr>
              <w:ind w:left="240"/>
              <w:spacing w:after="0"/>
              <w:rPr>
                <w:sz w:val="20"/>
                <w:szCs w:val="20"/>
                <w:color w:val="auto"/>
              </w:rPr>
            </w:pPr>
            <w:r>
              <w:rPr>
                <w:rFonts w:ascii="Arial" w:cs="Arial" w:eastAsia="Arial" w:hAnsi="Arial"/>
                <w:sz w:val="14"/>
                <w:szCs w:val="14"/>
                <w:color w:val="auto"/>
              </w:rPr>
              <w:t>2018</w:t>
            </w:r>
          </w:p>
        </w:tc>
        <w:tc>
          <w:tcPr>
            <w:tcW w:w="8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500,000</w:t>
            </w:r>
          </w:p>
        </w:tc>
        <w:tc>
          <w:tcPr>
            <w:tcW w:w="900" w:type="dxa"/>
            <w:vAlign w:val="bottom"/>
            <w:tcBorders>
              <w:bottom w:val="single" w:sz="8" w:color="auto"/>
            </w:tcBorders>
            <w:shd w:val="clear" w:color="auto" w:fill="CCCCCC"/>
          </w:tcPr>
          <w:p>
            <w:pPr>
              <w:jc w:val="center"/>
              <w:ind w:right="88"/>
              <w:spacing w:after="0"/>
              <w:rPr>
                <w:sz w:val="20"/>
                <w:szCs w:val="20"/>
                <w:color w:val="auto"/>
              </w:rPr>
            </w:pPr>
            <w:r>
              <w:rPr>
                <w:rFonts w:ascii="Arial" w:cs="Arial" w:eastAsia="Arial" w:hAnsi="Arial"/>
                <w:sz w:val="14"/>
                <w:szCs w:val="14"/>
                <w:color w:val="auto"/>
                <w:w w:val="99"/>
              </w:rPr>
              <w:t>—</w:t>
            </w:r>
          </w:p>
        </w:tc>
        <w:tc>
          <w:tcPr>
            <w:tcW w:w="1020" w:type="dxa"/>
            <w:vAlign w:val="bottom"/>
            <w:tcBorders>
              <w:bottom w:val="single" w:sz="8" w:color="auto"/>
            </w:tcBorders>
            <w:shd w:val="clear" w:color="auto" w:fill="CCCCCC"/>
          </w:tcPr>
          <w:p>
            <w:pPr>
              <w:jc w:val="right"/>
              <w:ind w:right="88"/>
              <w:spacing w:after="0"/>
              <w:rPr>
                <w:sz w:val="20"/>
                <w:szCs w:val="20"/>
                <w:color w:val="auto"/>
              </w:rPr>
            </w:pPr>
            <w:r>
              <w:rPr>
                <w:rFonts w:ascii="Arial" w:cs="Arial" w:eastAsia="Arial" w:hAnsi="Arial"/>
                <w:sz w:val="14"/>
                <w:szCs w:val="14"/>
                <w:color w:val="auto"/>
              </w:rPr>
              <w:t>500,013</w:t>
            </w:r>
          </w:p>
        </w:tc>
        <w:tc>
          <w:tcPr>
            <w:tcW w:w="8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CCCC"/>
          </w:tcPr>
          <w:p>
            <w:pPr>
              <w:jc w:val="right"/>
              <w:ind w:right="428"/>
              <w:spacing w:after="0"/>
              <w:rPr>
                <w:sz w:val="20"/>
                <w:szCs w:val="20"/>
                <w:color w:val="auto"/>
              </w:rPr>
            </w:pPr>
            <w:r>
              <w:rPr>
                <w:rFonts w:ascii="Arial" w:cs="Arial" w:eastAsia="Arial" w:hAnsi="Arial"/>
                <w:sz w:val="14"/>
                <w:szCs w:val="14"/>
                <w:color w:val="auto"/>
              </w:rPr>
              <w:t>386,250</w:t>
            </w:r>
          </w:p>
        </w:tc>
        <w:tc>
          <w:tcPr>
            <w:tcW w:w="1260" w:type="dxa"/>
            <w:vAlign w:val="bottom"/>
            <w:tcBorders>
              <w:bottom w:val="single" w:sz="8" w:color="auto"/>
            </w:tcBorders>
            <w:shd w:val="clear" w:color="auto" w:fill="CCCCCC"/>
          </w:tcPr>
          <w:p>
            <w:pPr>
              <w:ind w:left="28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33,718</w:t>
            </w:r>
          </w:p>
        </w:tc>
        <w:tc>
          <w:tcPr>
            <w:tcW w:w="92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1,419,981</w:t>
            </w:r>
          </w:p>
        </w:tc>
      </w:tr>
    </w:tbl>
    <w:p>
      <w:pPr>
        <w:spacing w:after="0" w:line="99" w:lineRule="exact"/>
        <w:rPr>
          <w:sz w:val="20"/>
          <w:szCs w:val="20"/>
          <w:color w:val="auto"/>
        </w:rPr>
      </w:pPr>
    </w:p>
    <w:p>
      <w:pPr>
        <w:jc w:val="both"/>
        <w:ind w:left="340" w:hanging="332"/>
        <w:spacing w:after="0" w:line="25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Salary includes amounts deferred under the Company’s Deferred Compensation Plan or 401(k) Plan. For Messrs. Hees and Choi, their 2020 salary is prorated to reflect when their employment with the Company commenced. For Mr. Rankin, base salary reflects a monthly average £/$exchange rate as of the date paid, received or allocated.</w:t>
      </w:r>
    </w:p>
    <w:p>
      <w:pPr>
        <w:spacing w:after="0" w:line="72"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aggregate grant date fair value computed in accordance with Financial Accounting Standards Board (“FASB”) Accounting Standards Codification (“ASC”) Topic 718, Compensation—Stock Compensation. Assumptions used in the calculation of the grant date fair value of the 2020 stock awards are included in Note 17 to our audited financial statements for the fiscal year ended December 31, 2020, included in our 2020 Form 10-K. The grant date value of the 2020 stock awards assuming achievement of the highest level of performance conditions are: for Mr. Ferraro, $4,122,684; Mr. Choi, $3,000,009; Mr. Hees, $3,519,262; Mr. Rankin, $1,574,980; Ms. Martins, $691,902; Mr. North, $2,400,021; and Mr. Tucker, $649,994. The 2020 stock awards are further discussed in the Compensation Discussion and Analysis (the “CD&amp;A”). In connection with their separation from the Company, Mr. Tucker forfeited the full amount of such stock award, and Mr. North forfeited two-thirds of such award.</w:t>
      </w:r>
    </w:p>
    <w:p>
      <w:pPr>
        <w:spacing w:after="0" w:line="84"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2020, no payments were made under the AIP as further discussed in the CD&amp;A. For prior years, amounts were earned based on pre-established annual performance goals and include amounts deferred under the Company’s Deferred Compensation Plan.</w:t>
      </w:r>
    </w:p>
    <w:p>
      <w:pPr>
        <w:spacing w:after="0" w:line="72"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Mr. Ferraro, in 2018, his pension value decreased by $20,594, primarily driven by an increase in the discount rate. During 2019 and 2020, Mr. Ferraro’s change in pension value increased by $44,988 and $81,463, respectively, primarily driven by a decrease in the discount rate. Avis froze this qualified defined benefit pension plan to new participation and future benefit accruals as of December 31, 1998. Please see the “Pension Benefits Table” for further information regarding this plan.</w:t>
      </w:r>
    </w:p>
    <w:p>
      <w:pPr>
        <w:spacing w:after="0" w:line="79"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All Other Compensation is comprised of the compensation described in the following tables, including cash compensation of $750,000 and $450,000 for Mr. Ferraro and Ms. Martins, respectively, for their interim assignments in the first half of 2020, and cash severance of $2.5 million and $1.8 million for Mr. North and Mr. Tucker, respectively, all as more fully discussed in the CD&amp;A.</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All Other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Company</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Contributions</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rPr>
              <w:t>To Deferred</w:t>
            </w:r>
          </w:p>
        </w:tc>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spacing w:after="0"/>
              <w:rPr>
                <w:sz w:val="14"/>
                <w:szCs w:val="14"/>
                <w:color w:val="auto"/>
              </w:rPr>
            </w:pP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Other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Total All Other</w:t>
            </w:r>
          </w:p>
        </w:tc>
      </w:tr>
      <w:tr>
        <w:trPr>
          <w:trHeight w:val="162"/>
        </w:trPr>
        <w:tc>
          <w:tcPr>
            <w:tcW w:w="5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Plans</w:t>
            </w: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rPr>
              <w:t>Perquisites</w:t>
            </w:r>
          </w:p>
        </w:tc>
        <w:tc>
          <w:tcPr>
            <w:tcW w:w="1040" w:type="dxa"/>
            <w:vAlign w:val="bottom"/>
          </w:tcPr>
          <w:p>
            <w:pPr>
              <w:jc w:val="center"/>
              <w:ind w:right="28"/>
              <w:spacing w:after="0"/>
              <w:rPr>
                <w:sz w:val="20"/>
                <w:szCs w:val="20"/>
                <w:color w:val="auto"/>
              </w:rPr>
            </w:pPr>
            <w:r>
              <w:rPr>
                <w:rFonts w:ascii="Arial" w:cs="Arial" w:eastAsia="Arial" w:hAnsi="Arial"/>
                <w:sz w:val="14"/>
                <w:szCs w:val="14"/>
                <w:b w:val="1"/>
                <w:bCs w:val="1"/>
                <w:color w:val="auto"/>
              </w:rPr>
              <w:t>Amounts</w:t>
            </w:r>
          </w:p>
        </w:tc>
        <w:tc>
          <w:tcPr>
            <w:tcW w:w="126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Compensation</w:t>
            </w:r>
          </w:p>
        </w:tc>
      </w:tr>
      <w:tr>
        <w:trPr>
          <w:trHeight w:val="182"/>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Year</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1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($)(b)</w:t>
            </w: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($)(c)</w:t>
            </w: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w:t>
            </w:r>
          </w:p>
        </w:tc>
      </w:tr>
      <w:tr>
        <w:trPr>
          <w:trHeight w:val="175"/>
        </w:trPr>
        <w:tc>
          <w:tcPr>
            <w:tcW w:w="5640" w:type="dxa"/>
            <w:vAlign w:val="bottom"/>
            <w:shd w:val="clear" w:color="auto" w:fill="CCCCCC"/>
          </w:tcPr>
          <w:p>
            <w:pPr>
              <w:ind w:left="60"/>
              <w:spacing w:after="0"/>
              <w:rPr>
                <w:sz w:val="20"/>
                <w:szCs w:val="20"/>
                <w:color w:val="auto"/>
              </w:rPr>
            </w:pPr>
            <w:r>
              <w:rPr>
                <w:rFonts w:ascii="Arial" w:cs="Arial" w:eastAsia="Arial" w:hAnsi="Arial"/>
                <w:sz w:val="14"/>
                <w:szCs w:val="14"/>
                <w:color w:val="auto"/>
              </w:rPr>
              <w:t>Mr. Ferraro</w:t>
            </w:r>
          </w:p>
        </w:tc>
        <w:tc>
          <w:tcPr>
            <w:tcW w:w="88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2020</w:t>
            </w:r>
          </w:p>
        </w:tc>
        <w:tc>
          <w:tcPr>
            <w:tcW w:w="12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81,931</w:t>
            </w:r>
          </w:p>
        </w:tc>
        <w:tc>
          <w:tcPr>
            <w:tcW w:w="116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35,726</w:t>
            </w:r>
          </w:p>
        </w:tc>
        <w:tc>
          <w:tcPr>
            <w:tcW w:w="104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750,756</w:t>
            </w:r>
          </w:p>
        </w:tc>
        <w:tc>
          <w:tcPr>
            <w:tcW w:w="12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868,413</w:t>
            </w:r>
          </w:p>
        </w:tc>
      </w:tr>
      <w:tr>
        <w:trPr>
          <w:trHeight w:val="176"/>
        </w:trPr>
        <w:tc>
          <w:tcPr>
            <w:tcW w:w="5640" w:type="dxa"/>
            <w:vAlign w:val="bottom"/>
            <w:shd w:val="clear" w:color="auto" w:fill="CCCCCC"/>
          </w:tcPr>
          <w:p>
            <w:pPr>
              <w:spacing w:after="0"/>
              <w:rPr>
                <w:sz w:val="15"/>
                <w:szCs w:val="15"/>
                <w:color w:val="auto"/>
              </w:rPr>
            </w:pPr>
          </w:p>
        </w:tc>
        <w:tc>
          <w:tcPr>
            <w:tcW w:w="88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2019</w:t>
            </w:r>
          </w:p>
        </w:tc>
        <w:tc>
          <w:tcPr>
            <w:tcW w:w="12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96,959</w:t>
            </w:r>
          </w:p>
        </w:tc>
        <w:tc>
          <w:tcPr>
            <w:tcW w:w="116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39,081</w:t>
            </w:r>
          </w:p>
        </w:tc>
        <w:tc>
          <w:tcPr>
            <w:tcW w:w="104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737</w:t>
            </w:r>
          </w:p>
        </w:tc>
        <w:tc>
          <w:tcPr>
            <w:tcW w:w="12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136,777</w:t>
            </w:r>
          </w:p>
        </w:tc>
      </w:tr>
      <w:tr>
        <w:trPr>
          <w:trHeight w:val="175"/>
        </w:trPr>
        <w:tc>
          <w:tcPr>
            <w:tcW w:w="5640" w:type="dxa"/>
            <w:vAlign w:val="bottom"/>
            <w:tcBorders>
              <w:bottom w:val="single" w:sz="8" w:color="auto"/>
            </w:tcBorders>
            <w:shd w:val="clear" w:color="auto" w:fill="CCCCCC"/>
          </w:tcPr>
          <w:p>
            <w:pPr>
              <w:spacing w:after="0"/>
              <w:rPr>
                <w:sz w:val="15"/>
                <w:szCs w:val="15"/>
                <w:color w:val="auto"/>
              </w:rPr>
            </w:pPr>
          </w:p>
        </w:tc>
        <w:tc>
          <w:tcPr>
            <w:tcW w:w="88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2018</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11,500</w:t>
            </w:r>
          </w:p>
        </w:tc>
        <w:tc>
          <w:tcPr>
            <w:tcW w:w="116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40,658</w:t>
            </w:r>
          </w:p>
        </w:tc>
        <w:tc>
          <w:tcPr>
            <w:tcW w:w="104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737</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52,895</w:t>
            </w:r>
          </w:p>
        </w:tc>
      </w:tr>
      <w:tr>
        <w:trPr>
          <w:trHeight w:val="196"/>
        </w:trPr>
        <w:tc>
          <w:tcPr>
            <w:tcW w:w="56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Mr. Choi</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769</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4,121</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510</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5,401</w:t>
            </w:r>
          </w:p>
        </w:tc>
      </w:tr>
      <w:tr>
        <w:trPr>
          <w:trHeight w:val="169"/>
        </w:trPr>
        <w:tc>
          <w:tcPr>
            <w:tcW w:w="564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Mr. Hees</w:t>
            </w:r>
          </w:p>
        </w:tc>
        <w:tc>
          <w:tcPr>
            <w:tcW w:w="88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936</w:t>
            </w:r>
          </w:p>
        </w:tc>
        <w:tc>
          <w:tcPr>
            <w:tcW w:w="104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73,310</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74,246</w:t>
            </w:r>
          </w:p>
        </w:tc>
      </w:tr>
      <w:tr>
        <w:trPr>
          <w:trHeight w:val="160"/>
        </w:trPr>
        <w:tc>
          <w:tcPr>
            <w:tcW w:w="5640" w:type="dxa"/>
            <w:vAlign w:val="bottom"/>
          </w:tcPr>
          <w:p>
            <w:pPr>
              <w:ind w:left="60"/>
              <w:spacing w:after="0"/>
              <w:rPr>
                <w:sz w:val="20"/>
                <w:szCs w:val="20"/>
                <w:color w:val="auto"/>
              </w:rPr>
            </w:pPr>
            <w:r>
              <w:rPr>
                <w:rFonts w:ascii="Arial" w:cs="Arial" w:eastAsia="Arial" w:hAnsi="Arial"/>
                <w:sz w:val="14"/>
                <w:szCs w:val="14"/>
                <w:color w:val="auto"/>
              </w:rPr>
              <w:t>Mr. Rankin</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9,257</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19,250</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66,693</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95,200</w:t>
            </w:r>
          </w:p>
        </w:tc>
      </w:tr>
      <w:tr>
        <w:trPr>
          <w:trHeight w:val="198"/>
        </w:trPr>
        <w:tc>
          <w:tcPr>
            <w:tcW w:w="5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2019</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4,407</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11,038</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151,165</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166,610</w:t>
            </w:r>
          </w:p>
        </w:tc>
      </w:tr>
      <w:tr>
        <w:trPr>
          <w:trHeight w:val="169"/>
        </w:trPr>
        <w:tc>
          <w:tcPr>
            <w:tcW w:w="564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Ms. Martins</w:t>
            </w:r>
          </w:p>
        </w:tc>
        <w:tc>
          <w:tcPr>
            <w:tcW w:w="88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2020</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20,839</w:t>
            </w:r>
          </w:p>
        </w:tc>
        <w:tc>
          <w:tcPr>
            <w:tcW w:w="116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21,260</w:t>
            </w:r>
          </w:p>
        </w:tc>
        <w:tc>
          <w:tcPr>
            <w:tcW w:w="104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450,428</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492,527</w:t>
            </w:r>
          </w:p>
        </w:tc>
      </w:tr>
      <w:tr>
        <w:trPr>
          <w:trHeight w:val="160"/>
        </w:trPr>
        <w:tc>
          <w:tcPr>
            <w:tcW w:w="5640" w:type="dxa"/>
            <w:vAlign w:val="bottom"/>
          </w:tcPr>
          <w:p>
            <w:pPr>
              <w:ind w:left="60"/>
              <w:spacing w:after="0"/>
              <w:rPr>
                <w:sz w:val="20"/>
                <w:szCs w:val="20"/>
                <w:color w:val="auto"/>
              </w:rPr>
            </w:pPr>
            <w:r>
              <w:rPr>
                <w:rFonts w:ascii="Arial" w:cs="Arial" w:eastAsia="Arial" w:hAnsi="Arial"/>
                <w:sz w:val="14"/>
                <w:szCs w:val="14"/>
                <w:color w:val="auto"/>
              </w:rPr>
              <w:t>Mr. North</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2020</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2,649</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24,448</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2,530,000</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2,557,097</w:t>
            </w:r>
          </w:p>
        </w:tc>
      </w:tr>
      <w:tr>
        <w:trPr>
          <w:trHeight w:val="198"/>
        </w:trPr>
        <w:tc>
          <w:tcPr>
            <w:tcW w:w="56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2019</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23,539</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29,206</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226,892</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279,637</w:t>
            </w:r>
          </w:p>
        </w:tc>
      </w:tr>
      <w:tr>
        <w:trPr>
          <w:trHeight w:val="156"/>
        </w:trPr>
        <w:tc>
          <w:tcPr>
            <w:tcW w:w="5640" w:type="dxa"/>
            <w:vAlign w:val="bottom"/>
            <w:shd w:val="clear" w:color="auto" w:fill="CCCCCC"/>
          </w:tcPr>
          <w:p>
            <w:pPr>
              <w:ind w:left="60"/>
              <w:spacing w:after="0" w:line="155" w:lineRule="exact"/>
              <w:rPr>
                <w:sz w:val="20"/>
                <w:szCs w:val="20"/>
                <w:color w:val="auto"/>
              </w:rPr>
            </w:pPr>
            <w:r>
              <w:rPr>
                <w:rFonts w:ascii="Arial" w:cs="Arial" w:eastAsia="Arial" w:hAnsi="Arial"/>
                <w:sz w:val="14"/>
                <w:szCs w:val="14"/>
                <w:color w:val="auto"/>
              </w:rPr>
              <w:t>Mr. Tucker</w:t>
            </w:r>
          </w:p>
        </w:tc>
        <w:tc>
          <w:tcPr>
            <w:tcW w:w="880" w:type="dxa"/>
            <w:vAlign w:val="bottom"/>
            <w:shd w:val="clear" w:color="auto" w:fill="CCCCCC"/>
          </w:tcPr>
          <w:p>
            <w:pPr>
              <w:jc w:val="right"/>
              <w:ind w:right="8"/>
              <w:spacing w:after="0" w:line="155" w:lineRule="exact"/>
              <w:rPr>
                <w:sz w:val="20"/>
                <w:szCs w:val="20"/>
                <w:color w:val="auto"/>
              </w:rPr>
            </w:pPr>
            <w:r>
              <w:rPr>
                <w:rFonts w:ascii="Arial" w:cs="Arial" w:eastAsia="Arial" w:hAnsi="Arial"/>
                <w:sz w:val="14"/>
                <w:szCs w:val="14"/>
                <w:color w:val="auto"/>
              </w:rPr>
              <w:t>2020</w:t>
            </w:r>
          </w:p>
        </w:tc>
        <w:tc>
          <w:tcPr>
            <w:tcW w:w="1260" w:type="dxa"/>
            <w:vAlign w:val="bottom"/>
            <w:shd w:val="clear" w:color="auto" w:fill="CCCCCC"/>
          </w:tcPr>
          <w:p>
            <w:pPr>
              <w:jc w:val="right"/>
              <w:ind w:right="28"/>
              <w:spacing w:after="0" w:line="155" w:lineRule="exact"/>
              <w:rPr>
                <w:sz w:val="20"/>
                <w:szCs w:val="20"/>
                <w:color w:val="auto"/>
              </w:rPr>
            </w:pPr>
            <w:r>
              <w:rPr>
                <w:rFonts w:ascii="Arial" w:cs="Arial" w:eastAsia="Arial" w:hAnsi="Arial"/>
                <w:sz w:val="14"/>
                <w:szCs w:val="14"/>
                <w:color w:val="auto"/>
              </w:rPr>
              <w:t>24,525</w:t>
            </w:r>
          </w:p>
        </w:tc>
        <w:tc>
          <w:tcPr>
            <w:tcW w:w="1160" w:type="dxa"/>
            <w:vAlign w:val="bottom"/>
            <w:shd w:val="clear" w:color="auto" w:fill="CCCCCC"/>
          </w:tcPr>
          <w:p>
            <w:pPr>
              <w:jc w:val="right"/>
              <w:ind w:right="68"/>
              <w:spacing w:after="0" w:line="155" w:lineRule="exact"/>
              <w:rPr>
                <w:sz w:val="20"/>
                <w:szCs w:val="20"/>
                <w:color w:val="auto"/>
              </w:rPr>
            </w:pPr>
            <w:r>
              <w:rPr>
                <w:rFonts w:ascii="Arial" w:cs="Arial" w:eastAsia="Arial" w:hAnsi="Arial"/>
                <w:sz w:val="14"/>
                <w:szCs w:val="14"/>
                <w:color w:val="auto"/>
              </w:rPr>
              <w:t>4,308</w:t>
            </w:r>
          </w:p>
        </w:tc>
        <w:tc>
          <w:tcPr>
            <w:tcW w:w="1040" w:type="dxa"/>
            <w:vAlign w:val="bottom"/>
            <w:shd w:val="clear" w:color="auto" w:fill="CCCCCC"/>
          </w:tcPr>
          <w:p>
            <w:pPr>
              <w:jc w:val="right"/>
              <w:ind w:right="8"/>
              <w:spacing w:after="0" w:line="155" w:lineRule="exact"/>
              <w:rPr>
                <w:sz w:val="20"/>
                <w:szCs w:val="20"/>
                <w:color w:val="auto"/>
              </w:rPr>
            </w:pPr>
            <w:r>
              <w:rPr>
                <w:rFonts w:ascii="Arial" w:cs="Arial" w:eastAsia="Arial" w:hAnsi="Arial"/>
                <w:sz w:val="14"/>
                <w:szCs w:val="14"/>
                <w:color w:val="auto"/>
              </w:rPr>
              <w:t>1,835,084</w:t>
            </w:r>
          </w:p>
        </w:tc>
        <w:tc>
          <w:tcPr>
            <w:tcW w:w="1260" w:type="dxa"/>
            <w:vAlign w:val="bottom"/>
            <w:shd w:val="clear" w:color="auto" w:fill="CCCCCC"/>
          </w:tcPr>
          <w:p>
            <w:pPr>
              <w:jc w:val="right"/>
              <w:ind w:right="28"/>
              <w:spacing w:after="0" w:line="155" w:lineRule="exact"/>
              <w:rPr>
                <w:sz w:val="20"/>
                <w:szCs w:val="20"/>
                <w:color w:val="auto"/>
              </w:rPr>
            </w:pPr>
            <w:r>
              <w:rPr>
                <w:rFonts w:ascii="Arial" w:cs="Arial" w:eastAsia="Arial" w:hAnsi="Arial"/>
                <w:sz w:val="14"/>
                <w:szCs w:val="14"/>
                <w:color w:val="auto"/>
              </w:rPr>
              <w:t>1,863,917</w:t>
            </w:r>
          </w:p>
        </w:tc>
      </w:tr>
      <w:tr>
        <w:trPr>
          <w:trHeight w:val="162"/>
        </w:trPr>
        <w:tc>
          <w:tcPr>
            <w:tcW w:w="5640" w:type="dxa"/>
            <w:vAlign w:val="bottom"/>
            <w:shd w:val="clear" w:color="auto" w:fill="CCCCCC"/>
          </w:tcPr>
          <w:p>
            <w:pPr>
              <w:spacing w:after="0"/>
              <w:rPr>
                <w:sz w:val="14"/>
                <w:szCs w:val="14"/>
                <w:color w:val="auto"/>
              </w:rPr>
            </w:pPr>
          </w:p>
        </w:tc>
        <w:tc>
          <w:tcPr>
            <w:tcW w:w="88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2019</w:t>
            </w:r>
          </w:p>
        </w:tc>
        <w:tc>
          <w:tcPr>
            <w:tcW w:w="12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16,000</w:t>
            </w:r>
          </w:p>
        </w:tc>
        <w:tc>
          <w:tcPr>
            <w:tcW w:w="1040" w:type="dxa"/>
            <w:vAlign w:val="bottom"/>
            <w:shd w:val="clear" w:color="auto" w:fill="CCCCCC"/>
          </w:tcPr>
          <w:p>
            <w:pPr>
              <w:jc w:val="right"/>
              <w:ind w:right="8"/>
              <w:spacing w:after="0"/>
              <w:rPr>
                <w:sz w:val="20"/>
                <w:szCs w:val="20"/>
                <w:color w:val="auto"/>
              </w:rPr>
            </w:pPr>
            <w:r>
              <w:rPr>
                <w:rFonts w:ascii="Arial" w:cs="Arial" w:eastAsia="Arial" w:hAnsi="Arial"/>
                <w:sz w:val="14"/>
                <w:szCs w:val="14"/>
                <w:color w:val="auto"/>
              </w:rPr>
              <w:t>567</w:t>
            </w:r>
          </w:p>
        </w:tc>
        <w:tc>
          <w:tcPr>
            <w:tcW w:w="12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16,567</w:t>
            </w:r>
          </w:p>
        </w:tc>
      </w:tr>
      <w:tr>
        <w:trPr>
          <w:trHeight w:val="183"/>
        </w:trPr>
        <w:tc>
          <w:tcPr>
            <w:tcW w:w="5640" w:type="dxa"/>
            <w:vAlign w:val="bottom"/>
            <w:tcBorders>
              <w:bottom w:val="single" w:sz="8" w:color="auto"/>
            </w:tcBorders>
            <w:shd w:val="clear" w:color="auto" w:fill="CCCCCC"/>
          </w:tcPr>
          <w:p>
            <w:pPr>
              <w:spacing w:after="0"/>
              <w:rPr>
                <w:sz w:val="15"/>
                <w:szCs w:val="15"/>
                <w:color w:val="auto"/>
              </w:rPr>
            </w:pPr>
          </w:p>
        </w:tc>
        <w:tc>
          <w:tcPr>
            <w:tcW w:w="88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2018</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16,000</w:t>
            </w:r>
          </w:p>
        </w:tc>
        <w:tc>
          <w:tcPr>
            <w:tcW w:w="116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17,151</w:t>
            </w:r>
          </w:p>
        </w:tc>
        <w:tc>
          <w:tcPr>
            <w:tcW w:w="1040" w:type="dxa"/>
            <w:vAlign w:val="bottom"/>
            <w:tcBorders>
              <w:bottom w:val="single" w:sz="8" w:color="auto"/>
            </w:tcBorders>
            <w:shd w:val="clear" w:color="auto" w:fill="CCCCCC"/>
          </w:tcPr>
          <w:p>
            <w:pPr>
              <w:jc w:val="right"/>
              <w:ind w:right="8"/>
              <w:spacing w:after="0"/>
              <w:rPr>
                <w:sz w:val="20"/>
                <w:szCs w:val="20"/>
                <w:color w:val="auto"/>
              </w:rPr>
            </w:pPr>
            <w:r>
              <w:rPr>
                <w:rFonts w:ascii="Arial" w:cs="Arial" w:eastAsia="Arial" w:hAnsi="Arial"/>
                <w:sz w:val="14"/>
                <w:szCs w:val="14"/>
                <w:color w:val="auto"/>
              </w:rPr>
              <w:t>567</w:t>
            </w:r>
          </w:p>
        </w:tc>
        <w:tc>
          <w:tcPr>
            <w:tcW w:w="12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33,718</w:t>
            </w:r>
          </w:p>
        </w:tc>
      </w:tr>
    </w:tbl>
    <w:p>
      <w:pPr>
        <w:spacing w:after="0" w:line="99" w:lineRule="exact"/>
        <w:rPr>
          <w:sz w:val="20"/>
          <w:szCs w:val="20"/>
          <w:color w:val="auto"/>
        </w:rPr>
      </w:pPr>
    </w:p>
    <w:p>
      <w:pPr>
        <w:jc w:val="both"/>
        <w:ind w:left="340" w:hanging="332"/>
        <w:spacing w:after="0" w:line="247"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For Messrs. Ferraro, Choi, North and Tucker, and Ms. Martins, amounts represent Company matching contributions under the Company’s Executive Deferred Compensation Plan or 401(k) Plan. For Mr. Rankin, represents Company matching contributions under the “Defined Contribution” section of the Avis UK Pension Plan. Under the terms of the Deferred Compensation Plan and the Avis UK Pension Plan, participants may receive Company matching contributions up to a maximum cap of 6% and 4%, respectively. In response to effects to the Company’s business during COVID-19, matching contributions were suspended from April 2020 to November 2020.</w:t>
      </w:r>
    </w:p>
    <w:p>
      <w:pPr>
        <w:spacing w:after="0" w:line="79"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Represents the perquisites presented in the “Perquisites Table” set forth below.</w:t>
      </w:r>
    </w:p>
    <w:p>
      <w:pPr>
        <w:spacing w:after="0" w:line="95" w:lineRule="exact"/>
        <w:rPr>
          <w:rFonts w:ascii="Arial" w:cs="Arial" w:eastAsia="Arial" w:hAnsi="Arial"/>
          <w:sz w:val="14"/>
          <w:szCs w:val="14"/>
          <w:color w:val="auto"/>
        </w:rPr>
      </w:pPr>
    </w:p>
    <w:p>
      <w:pPr>
        <w:jc w:val="both"/>
        <w:ind w:left="340" w:hanging="332"/>
        <w:spacing w:after="0" w:line="244"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Includes the value of insurance premiums paid by the Company for a broad-based life insurance benefit. For Mr. Ferraro and Ms. Martins, also includes cash compensation of $750,000 and $450,000, respectively, per the terms of their interim assignments as further discussed in the CD&amp;A. For Mr. Hees, represents the amount received in respect of Board compensation from his appointment to the Board in February through his appointment as Executive Chairman, effective July 1, 2020. For additional information, please see “2020 Director Compensation Table”. For Mr. Rankin, amount includes tuition reimbursement in accordance with his agreement with the Company. For Messrs. North and Tucker, also includes cash severance payments in the amounts of $2,500,000, and $1,834,500, respectively, as further described in the CD&amp;A and under “Employment and Change of Control Agreements; Severance Arrangements.” For Mr. North, also includes $30,000 for advisory transition services post-separation from the Company.</w:t>
      </w: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Perquisites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rPr>
              <w:t>Personal</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center"/>
              <w:ind w:right="48"/>
              <w:spacing w:after="0"/>
              <w:rPr>
                <w:sz w:val="20"/>
                <w:szCs w:val="20"/>
                <w:color w:val="auto"/>
              </w:rPr>
            </w:pPr>
            <w:r>
              <w:rPr>
                <w:rFonts w:ascii="Arial" w:cs="Arial" w:eastAsia="Arial" w:hAnsi="Arial"/>
                <w:sz w:val="14"/>
                <w:szCs w:val="14"/>
                <w:b w:val="1"/>
                <w:bCs w:val="1"/>
                <w:color w:val="auto"/>
              </w:rPr>
              <w:t>Use of</w:t>
            </w: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2"/>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center"/>
              <w:ind w:right="28"/>
              <w:spacing w:after="0"/>
              <w:rPr>
                <w:sz w:val="20"/>
                <w:szCs w:val="20"/>
                <w:color w:val="auto"/>
              </w:rPr>
            </w:pPr>
            <w:r>
              <w:rPr>
                <w:rFonts w:ascii="Arial" w:cs="Arial" w:eastAsia="Arial" w:hAnsi="Arial"/>
                <w:sz w:val="14"/>
                <w:szCs w:val="14"/>
                <w:b w:val="1"/>
                <w:bCs w:val="1"/>
                <w:color w:val="auto"/>
              </w:rPr>
              <w:t>Company</w:t>
            </w:r>
          </w:p>
        </w:tc>
        <w:tc>
          <w:tcPr>
            <w:tcW w:w="1180" w:type="dxa"/>
            <w:vAlign w:val="bottom"/>
          </w:tcPr>
          <w:p>
            <w:pPr>
              <w:jc w:val="right"/>
              <w:ind w:right="288"/>
              <w:spacing w:after="0"/>
              <w:rPr>
                <w:sz w:val="20"/>
                <w:szCs w:val="20"/>
                <w:color w:val="auto"/>
              </w:rPr>
            </w:pPr>
            <w:r>
              <w:rPr>
                <w:rFonts w:ascii="Arial" w:cs="Arial" w:eastAsia="Arial" w:hAnsi="Arial"/>
                <w:sz w:val="14"/>
                <w:szCs w:val="14"/>
                <w:b w:val="1"/>
                <w:bCs w:val="1"/>
                <w:color w:val="auto"/>
              </w:rPr>
              <w:t>Financial</w:t>
            </w:r>
          </w:p>
        </w:tc>
        <w:tc>
          <w:tcPr>
            <w:tcW w:w="10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162"/>
        </w:trPr>
        <w:tc>
          <w:tcPr>
            <w:tcW w:w="6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jc w:val="center"/>
              <w:ind w:right="68"/>
              <w:spacing w:after="0"/>
              <w:rPr>
                <w:sz w:val="20"/>
                <w:szCs w:val="20"/>
                <w:color w:val="auto"/>
              </w:rPr>
            </w:pPr>
            <w:r>
              <w:rPr>
                <w:rFonts w:ascii="Arial" w:cs="Arial" w:eastAsia="Arial" w:hAnsi="Arial"/>
                <w:sz w:val="14"/>
                <w:szCs w:val="14"/>
                <w:b w:val="1"/>
                <w:bCs w:val="1"/>
                <w:color w:val="auto"/>
              </w:rPr>
              <w:t>Aircraft</w:t>
            </w:r>
          </w:p>
        </w:tc>
        <w:tc>
          <w:tcPr>
            <w:tcW w:w="1180" w:type="dxa"/>
            <w:vAlign w:val="bottom"/>
          </w:tcPr>
          <w:p>
            <w:pPr>
              <w:jc w:val="right"/>
              <w:ind w:right="308"/>
              <w:spacing w:after="0"/>
              <w:rPr>
                <w:sz w:val="20"/>
                <w:szCs w:val="20"/>
                <w:color w:val="auto"/>
              </w:rPr>
            </w:pPr>
            <w:r>
              <w:rPr>
                <w:rFonts w:ascii="Arial" w:cs="Arial" w:eastAsia="Arial" w:hAnsi="Arial"/>
                <w:sz w:val="14"/>
                <w:szCs w:val="14"/>
                <w:b w:val="1"/>
                <w:bCs w:val="1"/>
                <w:color w:val="auto"/>
              </w:rPr>
              <w:t>Services</w:t>
            </w: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Car</w:t>
            </w: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Perquisites</w:t>
            </w:r>
          </w:p>
        </w:tc>
      </w:tr>
      <w:tr>
        <w:trPr>
          <w:trHeight w:val="18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6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w:t>
            </w: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9"/>
              </w:rPr>
              <w:t>($)(a)</w:t>
            </w:r>
          </w:p>
        </w:tc>
        <w:tc>
          <w:tcPr>
            <w:tcW w:w="11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($)(b)</w:t>
            </w:r>
          </w:p>
        </w:tc>
        <w:tc>
          <w:tcPr>
            <w:tcW w:w="10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($)(c)</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($)(d)</w:t>
            </w:r>
          </w:p>
        </w:tc>
      </w:tr>
      <w:tr>
        <w:trPr>
          <w:trHeight w:val="176"/>
        </w:trPr>
        <w:tc>
          <w:tcPr>
            <w:tcW w:w="6280" w:type="dxa"/>
            <w:vAlign w:val="bottom"/>
            <w:shd w:val="clear" w:color="auto" w:fill="CCCCCC"/>
          </w:tcPr>
          <w:p>
            <w:pPr>
              <w:ind w:left="40"/>
              <w:spacing w:after="0"/>
              <w:rPr>
                <w:sz w:val="20"/>
                <w:szCs w:val="20"/>
                <w:color w:val="auto"/>
              </w:rPr>
            </w:pPr>
            <w:r>
              <w:rPr>
                <w:rFonts w:ascii="Arial" w:cs="Arial" w:eastAsia="Arial" w:hAnsi="Arial"/>
                <w:sz w:val="14"/>
                <w:szCs w:val="14"/>
                <w:color w:val="auto"/>
              </w:rPr>
              <w:t>Mr. Ferraro</w:t>
            </w:r>
          </w:p>
        </w:tc>
        <w:tc>
          <w:tcPr>
            <w:tcW w:w="66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96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CCCC"/>
          </w:tcPr>
          <w:p>
            <w:pPr>
              <w:jc w:val="right"/>
              <w:ind w:right="308"/>
              <w:spacing w:after="0"/>
              <w:rPr>
                <w:sz w:val="20"/>
                <w:szCs w:val="20"/>
                <w:color w:val="auto"/>
              </w:rPr>
            </w:pPr>
            <w:r>
              <w:rPr>
                <w:rFonts w:ascii="Arial" w:cs="Arial" w:eastAsia="Arial" w:hAnsi="Arial"/>
                <w:sz w:val="14"/>
                <w:szCs w:val="14"/>
                <w:color w:val="auto"/>
              </w:rPr>
              <w:t>13,956</w:t>
            </w:r>
          </w:p>
        </w:tc>
        <w:tc>
          <w:tcPr>
            <w:tcW w:w="106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21,770</w:t>
            </w:r>
          </w:p>
        </w:tc>
        <w:tc>
          <w:tcPr>
            <w:tcW w:w="110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35,726</w:t>
            </w:r>
          </w:p>
        </w:tc>
      </w:tr>
      <w:tr>
        <w:trPr>
          <w:trHeight w:val="176"/>
        </w:trPr>
        <w:tc>
          <w:tcPr>
            <w:tcW w:w="6280" w:type="dxa"/>
            <w:vAlign w:val="bottom"/>
            <w:shd w:val="clear" w:color="auto" w:fill="CCCCCC"/>
          </w:tcPr>
          <w:p>
            <w:pPr>
              <w:spacing w:after="0"/>
              <w:rPr>
                <w:sz w:val="15"/>
                <w:szCs w:val="15"/>
                <w:color w:val="auto"/>
              </w:rPr>
            </w:pPr>
          </w:p>
        </w:tc>
        <w:tc>
          <w:tcPr>
            <w:tcW w:w="66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2019</w:t>
            </w:r>
          </w:p>
        </w:tc>
        <w:tc>
          <w:tcPr>
            <w:tcW w:w="96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CCCC"/>
          </w:tcPr>
          <w:p>
            <w:pPr>
              <w:jc w:val="right"/>
              <w:ind w:right="308"/>
              <w:spacing w:after="0"/>
              <w:rPr>
                <w:sz w:val="20"/>
                <w:szCs w:val="20"/>
                <w:color w:val="auto"/>
              </w:rPr>
            </w:pPr>
            <w:r>
              <w:rPr>
                <w:rFonts w:ascii="Arial" w:cs="Arial" w:eastAsia="Arial" w:hAnsi="Arial"/>
                <w:sz w:val="14"/>
                <w:szCs w:val="14"/>
                <w:color w:val="auto"/>
              </w:rPr>
              <w:t>13,461</w:t>
            </w:r>
          </w:p>
        </w:tc>
        <w:tc>
          <w:tcPr>
            <w:tcW w:w="106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21,770</w:t>
            </w:r>
          </w:p>
        </w:tc>
        <w:tc>
          <w:tcPr>
            <w:tcW w:w="110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39,081</w:t>
            </w:r>
          </w:p>
        </w:tc>
      </w:tr>
      <w:tr>
        <w:trPr>
          <w:trHeight w:val="175"/>
        </w:trPr>
        <w:tc>
          <w:tcPr>
            <w:tcW w:w="6280" w:type="dxa"/>
            <w:vAlign w:val="bottom"/>
            <w:tcBorders>
              <w:bottom w:val="single" w:sz="8" w:color="auto"/>
            </w:tcBorders>
            <w:shd w:val="clear" w:color="auto" w:fill="CCCCCC"/>
          </w:tcPr>
          <w:p>
            <w:pPr>
              <w:spacing w:after="0"/>
              <w:rPr>
                <w:sz w:val="15"/>
                <w:szCs w:val="15"/>
                <w:color w:val="auto"/>
              </w:rPr>
            </w:pPr>
          </w:p>
        </w:tc>
        <w:tc>
          <w:tcPr>
            <w:tcW w:w="66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4"/>
                <w:szCs w:val="14"/>
                <w:color w:val="auto"/>
              </w:rPr>
              <w:t>2018</w:t>
            </w:r>
          </w:p>
        </w:tc>
        <w:tc>
          <w:tcPr>
            <w:tcW w:w="960" w:type="dxa"/>
            <w:vAlign w:val="bottom"/>
            <w:tcBorders>
              <w:bottom w:val="single" w:sz="8" w:color="auto"/>
            </w:tcBorders>
            <w:shd w:val="clear" w:color="auto" w:fill="CCCCCC"/>
          </w:tcPr>
          <w:p>
            <w:pPr>
              <w:jc w:val="center"/>
              <w:ind w:right="8"/>
              <w:spacing w:after="0"/>
              <w:rPr>
                <w:sz w:val="20"/>
                <w:szCs w:val="20"/>
                <w:color w:val="auto"/>
              </w:rPr>
            </w:pPr>
            <w:r>
              <w:rPr>
                <w:rFonts w:ascii="Arial" w:cs="Arial" w:eastAsia="Arial" w:hAnsi="Arial"/>
                <w:sz w:val="14"/>
                <w:szCs w:val="14"/>
                <w:color w:val="auto"/>
              </w:rPr>
              <w:t>2,461</w:t>
            </w:r>
          </w:p>
        </w:tc>
        <w:tc>
          <w:tcPr>
            <w:tcW w:w="1180" w:type="dxa"/>
            <w:vAlign w:val="bottom"/>
            <w:tcBorders>
              <w:bottom w:val="single" w:sz="8" w:color="auto"/>
            </w:tcBorders>
            <w:shd w:val="clear" w:color="auto" w:fill="CCCCCC"/>
          </w:tcPr>
          <w:p>
            <w:pPr>
              <w:jc w:val="right"/>
              <w:ind w:right="308"/>
              <w:spacing w:after="0"/>
              <w:rPr>
                <w:sz w:val="20"/>
                <w:szCs w:val="20"/>
                <w:color w:val="auto"/>
              </w:rPr>
            </w:pPr>
            <w:r>
              <w:rPr>
                <w:rFonts w:ascii="Arial" w:cs="Arial" w:eastAsia="Arial" w:hAnsi="Arial"/>
                <w:sz w:val="14"/>
                <w:szCs w:val="14"/>
                <w:color w:val="auto"/>
              </w:rPr>
              <w:t>12,953</w:t>
            </w:r>
          </w:p>
        </w:tc>
        <w:tc>
          <w:tcPr>
            <w:tcW w:w="1060" w:type="dxa"/>
            <w:vAlign w:val="bottom"/>
            <w:tcBorders>
              <w:bottom w:val="single" w:sz="8" w:color="auto"/>
            </w:tcBorders>
            <w:shd w:val="clear" w:color="auto" w:fill="CCCCCC"/>
          </w:tcPr>
          <w:p>
            <w:pPr>
              <w:jc w:val="right"/>
              <w:ind w:right="148"/>
              <w:spacing w:after="0"/>
              <w:rPr>
                <w:sz w:val="20"/>
                <w:szCs w:val="20"/>
                <w:color w:val="auto"/>
              </w:rPr>
            </w:pPr>
            <w:r>
              <w:rPr>
                <w:rFonts w:ascii="Arial" w:cs="Arial" w:eastAsia="Arial" w:hAnsi="Arial"/>
                <w:sz w:val="14"/>
                <w:szCs w:val="14"/>
                <w:color w:val="auto"/>
              </w:rPr>
              <w:t>21,394</w:t>
            </w:r>
          </w:p>
        </w:tc>
        <w:tc>
          <w:tcPr>
            <w:tcW w:w="110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40,658</w:t>
            </w:r>
          </w:p>
        </w:tc>
      </w:tr>
      <w:tr>
        <w:trPr>
          <w:trHeight w:val="170"/>
        </w:trPr>
        <w:tc>
          <w:tcPr>
            <w:tcW w:w="6280" w:type="dxa"/>
            <w:vAlign w:val="bottom"/>
          </w:tcPr>
          <w:p>
            <w:pPr>
              <w:ind w:left="40"/>
              <w:spacing w:after="0"/>
              <w:rPr>
                <w:sz w:val="20"/>
                <w:szCs w:val="20"/>
                <w:color w:val="auto"/>
              </w:rPr>
            </w:pPr>
            <w:r>
              <w:rPr>
                <w:rFonts w:ascii="Arial" w:cs="Arial" w:eastAsia="Arial" w:hAnsi="Arial"/>
                <w:sz w:val="14"/>
                <w:szCs w:val="14"/>
                <w:color w:val="auto"/>
              </w:rPr>
              <w:t>Mr. Choi</w:t>
            </w:r>
          </w:p>
        </w:tc>
        <w:tc>
          <w:tcPr>
            <w:tcW w:w="660" w:type="dxa"/>
            <w:vAlign w:val="bottom"/>
          </w:tcPr>
          <w:p>
            <w:pPr>
              <w:ind w:left="220"/>
              <w:spacing w:after="0"/>
              <w:rPr>
                <w:sz w:val="20"/>
                <w:szCs w:val="20"/>
                <w:color w:val="auto"/>
              </w:rPr>
            </w:pPr>
            <w:r>
              <w:rPr>
                <w:rFonts w:ascii="Arial" w:cs="Arial" w:eastAsia="Arial" w:hAnsi="Arial"/>
                <w:sz w:val="14"/>
                <w:szCs w:val="14"/>
                <w:color w:val="auto"/>
              </w:rPr>
              <w:t>2020</w:t>
            </w: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506</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3,615</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4,121</w:t>
            </w:r>
          </w:p>
        </w:tc>
      </w:tr>
      <w:tr>
        <w:trPr>
          <w:trHeight w:val="26"/>
        </w:trPr>
        <w:tc>
          <w:tcPr>
            <w:tcW w:w="6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628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4"/>
                <w:szCs w:val="14"/>
                <w:color w:val="auto"/>
              </w:rPr>
              <w:t>Mr. Hees</w:t>
            </w:r>
          </w:p>
        </w:tc>
        <w:tc>
          <w:tcPr>
            <w:tcW w:w="66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960" w:type="dxa"/>
            <w:vAlign w:val="bottom"/>
            <w:tcBorders>
              <w:bottom w:val="single" w:sz="8" w:color="auto"/>
            </w:tcBorders>
            <w:shd w:val="clear" w:color="auto" w:fill="CCCCCC"/>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tcBorders>
            <w:shd w:val="clear" w:color="auto" w:fill="CCCCCC"/>
          </w:tcPr>
          <w:p>
            <w:pPr>
              <w:jc w:val="right"/>
              <w:ind w:right="308"/>
              <w:spacing w:after="0"/>
              <w:rPr>
                <w:sz w:val="20"/>
                <w:szCs w:val="20"/>
                <w:color w:val="auto"/>
              </w:rPr>
            </w:pPr>
            <w:r>
              <w:rPr>
                <w:rFonts w:ascii="Arial" w:cs="Arial" w:eastAsia="Arial" w:hAnsi="Arial"/>
                <w:sz w:val="14"/>
                <w:szCs w:val="14"/>
                <w:color w:val="auto"/>
              </w:rPr>
              <w:t>936</w:t>
            </w:r>
          </w:p>
        </w:tc>
        <w:tc>
          <w:tcPr>
            <w:tcW w:w="1060" w:type="dxa"/>
            <w:vAlign w:val="bottom"/>
            <w:tcBorders>
              <w:bottom w:val="single" w:sz="8" w:color="auto"/>
            </w:tcBorders>
            <w:shd w:val="clear" w:color="auto" w:fill="CCCCCC"/>
          </w:tcPr>
          <w:p>
            <w:pPr>
              <w:jc w:val="right"/>
              <w:ind w:right="2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936</w:t>
            </w:r>
          </w:p>
        </w:tc>
      </w:tr>
      <w:tr>
        <w:trPr>
          <w:trHeight w:val="160"/>
        </w:trPr>
        <w:tc>
          <w:tcPr>
            <w:tcW w:w="6280" w:type="dxa"/>
            <w:vAlign w:val="bottom"/>
          </w:tcPr>
          <w:p>
            <w:pPr>
              <w:ind w:left="40"/>
              <w:spacing w:after="0"/>
              <w:rPr>
                <w:sz w:val="20"/>
                <w:szCs w:val="20"/>
                <w:color w:val="auto"/>
              </w:rPr>
            </w:pPr>
            <w:r>
              <w:rPr>
                <w:rFonts w:ascii="Arial" w:cs="Arial" w:eastAsia="Arial" w:hAnsi="Arial"/>
                <w:sz w:val="14"/>
                <w:szCs w:val="14"/>
                <w:color w:val="auto"/>
              </w:rPr>
              <w:t>Mr. Rankin</w:t>
            </w:r>
          </w:p>
        </w:tc>
        <w:tc>
          <w:tcPr>
            <w:tcW w:w="660" w:type="dxa"/>
            <w:vAlign w:val="bottom"/>
          </w:tcPr>
          <w:p>
            <w:pPr>
              <w:ind w:left="220"/>
              <w:spacing w:after="0"/>
              <w:rPr>
                <w:sz w:val="20"/>
                <w:szCs w:val="20"/>
                <w:color w:val="auto"/>
              </w:rPr>
            </w:pPr>
            <w:r>
              <w:rPr>
                <w:rFonts w:ascii="Arial" w:cs="Arial" w:eastAsia="Arial" w:hAnsi="Arial"/>
                <w:sz w:val="14"/>
                <w:szCs w:val="14"/>
                <w:color w:val="auto"/>
              </w:rPr>
              <w:t>2020</w:t>
            </w: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19,250</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19,250</w:t>
            </w:r>
          </w:p>
        </w:tc>
      </w:tr>
      <w:tr>
        <w:trPr>
          <w:trHeight w:val="172"/>
        </w:trPr>
        <w:tc>
          <w:tcPr>
            <w:tcW w:w="6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rPr>
              <w:t>2019</w:t>
            </w: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11,038</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11,038</w:t>
            </w:r>
          </w:p>
        </w:tc>
      </w:tr>
      <w:tr>
        <w:trPr>
          <w:trHeight w:val="26"/>
        </w:trPr>
        <w:tc>
          <w:tcPr>
            <w:tcW w:w="6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6280" w:type="dxa"/>
            <w:vAlign w:val="bottom"/>
            <w:tcBorders>
              <w:bottom w:val="single" w:sz="8" w:color="auto"/>
            </w:tcBorders>
            <w:shd w:val="clear" w:color="auto" w:fill="CCCCCC"/>
          </w:tcPr>
          <w:p>
            <w:pPr>
              <w:ind w:left="40"/>
              <w:spacing w:after="0"/>
              <w:rPr>
                <w:sz w:val="20"/>
                <w:szCs w:val="20"/>
                <w:color w:val="auto"/>
              </w:rPr>
            </w:pPr>
            <w:r>
              <w:rPr>
                <w:rFonts w:ascii="Arial" w:cs="Arial" w:eastAsia="Arial" w:hAnsi="Arial"/>
                <w:sz w:val="14"/>
                <w:szCs w:val="14"/>
                <w:color w:val="auto"/>
              </w:rPr>
              <w:t>Ms. Martins</w:t>
            </w:r>
          </w:p>
        </w:tc>
        <w:tc>
          <w:tcPr>
            <w:tcW w:w="66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960" w:type="dxa"/>
            <w:vAlign w:val="bottom"/>
            <w:tcBorders>
              <w:bottom w:val="single" w:sz="8" w:color="auto"/>
            </w:tcBorders>
            <w:shd w:val="clear" w:color="auto" w:fill="CCCCCC"/>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tcBorders>
            <w:shd w:val="clear" w:color="auto" w:fill="CCCCCC"/>
          </w:tcPr>
          <w:p>
            <w:pPr>
              <w:jc w:val="right"/>
              <w:ind w:right="308"/>
              <w:spacing w:after="0"/>
              <w:rPr>
                <w:sz w:val="20"/>
                <w:szCs w:val="20"/>
                <w:color w:val="auto"/>
              </w:rPr>
            </w:pPr>
            <w:r>
              <w:rPr>
                <w:rFonts w:ascii="Arial" w:cs="Arial" w:eastAsia="Arial" w:hAnsi="Arial"/>
                <w:sz w:val="14"/>
                <w:szCs w:val="14"/>
                <w:color w:val="auto"/>
              </w:rPr>
              <w:t>906</w:t>
            </w:r>
          </w:p>
        </w:tc>
        <w:tc>
          <w:tcPr>
            <w:tcW w:w="1060" w:type="dxa"/>
            <w:vAlign w:val="bottom"/>
            <w:tcBorders>
              <w:bottom w:val="single" w:sz="8" w:color="auto"/>
            </w:tcBorders>
            <w:shd w:val="clear" w:color="auto" w:fill="CCCCCC"/>
          </w:tcPr>
          <w:p>
            <w:pPr>
              <w:jc w:val="right"/>
              <w:ind w:right="148"/>
              <w:spacing w:after="0"/>
              <w:rPr>
                <w:sz w:val="20"/>
                <w:szCs w:val="20"/>
                <w:color w:val="auto"/>
              </w:rPr>
            </w:pPr>
            <w:r>
              <w:rPr>
                <w:rFonts w:ascii="Arial" w:cs="Arial" w:eastAsia="Arial" w:hAnsi="Arial"/>
                <w:sz w:val="14"/>
                <w:szCs w:val="14"/>
                <w:color w:val="auto"/>
              </w:rPr>
              <w:t>20,354</w:t>
            </w:r>
          </w:p>
        </w:tc>
        <w:tc>
          <w:tcPr>
            <w:tcW w:w="110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21,260</w:t>
            </w:r>
          </w:p>
        </w:tc>
      </w:tr>
      <w:tr>
        <w:trPr>
          <w:trHeight w:val="160"/>
        </w:trPr>
        <w:tc>
          <w:tcPr>
            <w:tcW w:w="6280" w:type="dxa"/>
            <w:vAlign w:val="bottom"/>
          </w:tcPr>
          <w:p>
            <w:pPr>
              <w:ind w:left="40"/>
              <w:spacing w:after="0"/>
              <w:rPr>
                <w:sz w:val="20"/>
                <w:szCs w:val="20"/>
                <w:color w:val="auto"/>
              </w:rPr>
            </w:pPr>
            <w:r>
              <w:rPr>
                <w:rFonts w:ascii="Arial" w:cs="Arial" w:eastAsia="Arial" w:hAnsi="Arial"/>
                <w:sz w:val="14"/>
                <w:szCs w:val="14"/>
                <w:color w:val="auto"/>
              </w:rPr>
              <w:t>Mr. North</w:t>
            </w:r>
          </w:p>
        </w:tc>
        <w:tc>
          <w:tcPr>
            <w:tcW w:w="660" w:type="dxa"/>
            <w:vAlign w:val="bottom"/>
          </w:tcPr>
          <w:p>
            <w:pPr>
              <w:ind w:left="220"/>
              <w:spacing w:after="0"/>
              <w:rPr>
                <w:sz w:val="20"/>
                <w:szCs w:val="20"/>
                <w:color w:val="auto"/>
              </w:rPr>
            </w:pPr>
            <w:r>
              <w:rPr>
                <w:rFonts w:ascii="Arial" w:cs="Arial" w:eastAsia="Arial" w:hAnsi="Arial"/>
                <w:sz w:val="14"/>
                <w:szCs w:val="14"/>
                <w:color w:val="auto"/>
              </w:rPr>
              <w:t>2020</w:t>
            </w: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5,957</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14,641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24,448</w:t>
            </w:r>
          </w:p>
        </w:tc>
      </w:tr>
      <w:tr>
        <w:trPr>
          <w:trHeight w:val="172"/>
        </w:trPr>
        <w:tc>
          <w:tcPr>
            <w:tcW w:w="6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4"/>
                <w:szCs w:val="14"/>
                <w:color w:val="auto"/>
              </w:rPr>
              <w:t>2019</w:t>
            </w:r>
          </w:p>
        </w:tc>
        <w:tc>
          <w:tcPr>
            <w:tcW w:w="960" w:type="dxa"/>
            <w:vAlign w:val="bottom"/>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13,255</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12,101</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29,206</w:t>
            </w:r>
          </w:p>
        </w:tc>
      </w:tr>
      <w:tr>
        <w:trPr>
          <w:trHeight w:val="26"/>
        </w:trPr>
        <w:tc>
          <w:tcPr>
            <w:tcW w:w="6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69"/>
        </w:trPr>
        <w:tc>
          <w:tcPr>
            <w:tcW w:w="6280" w:type="dxa"/>
            <w:vAlign w:val="bottom"/>
            <w:shd w:val="clear" w:color="auto" w:fill="CCCCCC"/>
          </w:tcPr>
          <w:p>
            <w:pPr>
              <w:ind w:left="40"/>
              <w:spacing w:after="0"/>
              <w:rPr>
                <w:sz w:val="20"/>
                <w:szCs w:val="20"/>
                <w:color w:val="auto"/>
              </w:rPr>
            </w:pPr>
            <w:r>
              <w:rPr>
                <w:rFonts w:ascii="Arial" w:cs="Arial" w:eastAsia="Arial" w:hAnsi="Arial"/>
                <w:sz w:val="14"/>
                <w:szCs w:val="14"/>
                <w:color w:val="auto"/>
              </w:rPr>
              <w:t>Mr. Tucker</w:t>
            </w:r>
          </w:p>
        </w:tc>
        <w:tc>
          <w:tcPr>
            <w:tcW w:w="66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2020</w:t>
            </w:r>
          </w:p>
        </w:tc>
        <w:tc>
          <w:tcPr>
            <w:tcW w:w="96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CCCC"/>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4,308</w:t>
            </w:r>
          </w:p>
        </w:tc>
        <w:tc>
          <w:tcPr>
            <w:tcW w:w="110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4,308</w:t>
            </w:r>
          </w:p>
        </w:tc>
      </w:tr>
      <w:tr>
        <w:trPr>
          <w:trHeight w:val="175"/>
        </w:trPr>
        <w:tc>
          <w:tcPr>
            <w:tcW w:w="6280" w:type="dxa"/>
            <w:vAlign w:val="bottom"/>
            <w:shd w:val="clear" w:color="auto" w:fill="CCCCCC"/>
          </w:tcPr>
          <w:p>
            <w:pPr>
              <w:spacing w:after="0"/>
              <w:rPr>
                <w:sz w:val="15"/>
                <w:szCs w:val="15"/>
                <w:color w:val="auto"/>
              </w:rPr>
            </w:pPr>
          </w:p>
        </w:tc>
        <w:tc>
          <w:tcPr>
            <w:tcW w:w="660" w:type="dxa"/>
            <w:vAlign w:val="bottom"/>
            <w:shd w:val="clear" w:color="auto" w:fill="CCCCCC"/>
          </w:tcPr>
          <w:p>
            <w:pPr>
              <w:ind w:left="220"/>
              <w:spacing w:after="0"/>
              <w:rPr>
                <w:sz w:val="20"/>
                <w:szCs w:val="20"/>
                <w:color w:val="auto"/>
              </w:rPr>
            </w:pPr>
            <w:r>
              <w:rPr>
                <w:rFonts w:ascii="Arial" w:cs="Arial" w:eastAsia="Arial" w:hAnsi="Arial"/>
                <w:sz w:val="14"/>
                <w:szCs w:val="14"/>
                <w:color w:val="auto"/>
              </w:rPr>
              <w:t>2019</w:t>
            </w:r>
          </w:p>
        </w:tc>
        <w:tc>
          <w:tcPr>
            <w:tcW w:w="960" w:type="dxa"/>
            <w:vAlign w:val="bottom"/>
            <w:shd w:val="clear" w:color="auto" w:fill="CCCCCC"/>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shd w:val="clear" w:color="auto" w:fill="CCCCCC"/>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CCCC"/>
          </w:tcPr>
          <w:p>
            <w:pPr>
              <w:jc w:val="right"/>
              <w:ind w:right="148"/>
              <w:spacing w:after="0"/>
              <w:rPr>
                <w:sz w:val="20"/>
                <w:szCs w:val="20"/>
                <w:color w:val="auto"/>
              </w:rPr>
            </w:pPr>
            <w:r>
              <w:rPr>
                <w:rFonts w:ascii="Arial" w:cs="Arial" w:eastAsia="Arial" w:hAnsi="Arial"/>
                <w:sz w:val="14"/>
                <w:szCs w:val="14"/>
                <w:color w:val="auto"/>
              </w:rPr>
              <w:t>16,000</w:t>
            </w:r>
          </w:p>
        </w:tc>
        <w:tc>
          <w:tcPr>
            <w:tcW w:w="110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16,000</w:t>
            </w:r>
          </w:p>
        </w:tc>
      </w:tr>
      <w:tr>
        <w:trPr>
          <w:trHeight w:val="183"/>
        </w:trPr>
        <w:tc>
          <w:tcPr>
            <w:tcW w:w="6280" w:type="dxa"/>
            <w:vAlign w:val="bottom"/>
            <w:tcBorders>
              <w:bottom w:val="single" w:sz="8" w:color="auto"/>
            </w:tcBorders>
            <w:shd w:val="clear" w:color="auto" w:fill="CCCCCC"/>
          </w:tcPr>
          <w:p>
            <w:pPr>
              <w:spacing w:after="0"/>
              <w:rPr>
                <w:sz w:val="15"/>
                <w:szCs w:val="15"/>
                <w:color w:val="auto"/>
              </w:rPr>
            </w:pPr>
          </w:p>
        </w:tc>
        <w:tc>
          <w:tcPr>
            <w:tcW w:w="660" w:type="dxa"/>
            <w:vAlign w:val="bottom"/>
            <w:tcBorders>
              <w:bottom w:val="single" w:sz="8" w:color="auto"/>
            </w:tcBorders>
            <w:shd w:val="clear" w:color="auto" w:fill="CCCCCC"/>
          </w:tcPr>
          <w:p>
            <w:pPr>
              <w:ind w:left="220"/>
              <w:spacing w:after="0"/>
              <w:rPr>
                <w:sz w:val="20"/>
                <w:szCs w:val="20"/>
                <w:color w:val="auto"/>
              </w:rPr>
            </w:pPr>
            <w:r>
              <w:rPr>
                <w:rFonts w:ascii="Arial" w:cs="Arial" w:eastAsia="Arial" w:hAnsi="Arial"/>
                <w:sz w:val="14"/>
                <w:szCs w:val="14"/>
                <w:color w:val="auto"/>
              </w:rPr>
              <w:t>2018</w:t>
            </w:r>
          </w:p>
        </w:tc>
        <w:tc>
          <w:tcPr>
            <w:tcW w:w="960" w:type="dxa"/>
            <w:vAlign w:val="bottom"/>
            <w:tcBorders>
              <w:bottom w:val="single" w:sz="8" w:color="auto"/>
            </w:tcBorders>
            <w:shd w:val="clear" w:color="auto" w:fill="CCCCCC"/>
          </w:tcPr>
          <w:p>
            <w:pPr>
              <w:jc w:val="center"/>
              <w:ind w:right="28"/>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tcBorders>
            <w:shd w:val="clear" w:color="auto" w:fill="CCCCCC"/>
          </w:tcPr>
          <w:p>
            <w:pPr>
              <w:jc w:val="right"/>
              <w:ind w:right="308"/>
              <w:spacing w:after="0"/>
              <w:rPr>
                <w:sz w:val="20"/>
                <w:szCs w:val="20"/>
                <w:color w:val="auto"/>
              </w:rPr>
            </w:pPr>
            <w:r>
              <w:rPr>
                <w:rFonts w:ascii="Arial" w:cs="Arial" w:eastAsia="Arial" w:hAnsi="Arial"/>
                <w:sz w:val="14"/>
                <w:szCs w:val="14"/>
                <w:color w:val="auto"/>
              </w:rPr>
              <w:t>1,151</w:t>
            </w:r>
          </w:p>
        </w:tc>
        <w:tc>
          <w:tcPr>
            <w:tcW w:w="1060" w:type="dxa"/>
            <w:vAlign w:val="bottom"/>
            <w:tcBorders>
              <w:bottom w:val="single" w:sz="8" w:color="auto"/>
            </w:tcBorders>
            <w:shd w:val="clear" w:color="auto" w:fill="CCCCCC"/>
          </w:tcPr>
          <w:p>
            <w:pPr>
              <w:jc w:val="right"/>
              <w:ind w:right="148"/>
              <w:spacing w:after="0"/>
              <w:rPr>
                <w:sz w:val="20"/>
                <w:szCs w:val="20"/>
                <w:color w:val="auto"/>
              </w:rPr>
            </w:pPr>
            <w:r>
              <w:rPr>
                <w:rFonts w:ascii="Arial" w:cs="Arial" w:eastAsia="Arial" w:hAnsi="Arial"/>
                <w:sz w:val="14"/>
                <w:szCs w:val="14"/>
                <w:color w:val="auto"/>
              </w:rPr>
              <w:t>16,000</w:t>
            </w:r>
          </w:p>
        </w:tc>
        <w:tc>
          <w:tcPr>
            <w:tcW w:w="110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17,151</w:t>
            </w:r>
          </w:p>
        </w:tc>
      </w:tr>
    </w:tbl>
    <w:p>
      <w:pPr>
        <w:spacing w:after="0" w:line="99" w:lineRule="exact"/>
        <w:rPr>
          <w:sz w:val="20"/>
          <w:szCs w:val="20"/>
          <w:color w:val="auto"/>
        </w:rPr>
      </w:pPr>
    </w:p>
    <w:p>
      <w:pPr>
        <w:jc w:val="both"/>
        <w:ind w:left="340" w:hanging="332"/>
        <w:spacing w:after="0" w:line="244"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Under our aircraft policy, our CEO has reasonable non-business access to leased jet services, subject to prevailing market practices. For our other NEOs, non-business access is subject to approval by our CEO in his sole discretion. The incremental cost of personal use of the leased jet services was calculated based on the contracted per hour cost, which includes flight-specific direct operating costs such as standard fuel, maintenance, repairs, catering and miscellaneous fees such as variable fuel surcharge as applicable, and international fees for travel outside the United States. Since the aircraft is leased primarily for business travel, fixed costs, such as crew salaries, training, hangaring, insurance and services support are not included. Spouses of NEOs are occasionally additional passengers on business flights provided by our leased jet services. In such cases, there is no incremental cost to the Company, and as a result, no amount is reflected in the table.</w:t>
      </w:r>
    </w:p>
    <w:p>
      <w:pPr>
        <w:spacing w:after="0" w:line="15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Messrs. Ferraro and North, includes actual costs we incurred for financial services, including tax return preparation, financial planning and estate planning. Amounts also include Company-paid premiums in connection with a group excess liability umbrella insurance policy, which for 2020 did not exceed $2,700 for any NEO.</w:t>
      </w:r>
    </w:p>
    <w:p>
      <w:pPr>
        <w:spacing w:after="0" w:line="139"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annual lease value of a Company-provided car, or annual car allowance. For Mr. Rankin, reflects a monthly average £/$exchange rate for the vehicle use period. NEOs are eligible to participate in the Company’s employee auto insurance program and employee car lease program; however, no amounts are included for these programs as the Company does not incur any associated incremental cost.</w:t>
      </w:r>
    </w:p>
    <w:p>
      <w:pPr>
        <w:spacing w:after="0" w:line="146"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Mr. North, amount includes payments for annual physical examination (annual costs did not exceed $3,850).</w:t>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CEO Pay Ratio</w:t>
      </w:r>
    </w:p>
    <w:p>
      <w:pPr>
        <w:spacing w:after="0" w:line="25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For 2020, the Company reviewed a comparison of CEO pay to the pay of all of its employees for 2020. The review included all employees employed by the Company as of October 1, 2020 and excluded 329, 161, 155, 80, 72, 19, 19, 13, 3 and 1 of non-U.S. based employees in India, Portugal, Poland, Belgium, Argentina, Brazil, Singapore, the Czech Republic, Monaco and the Isle of Man, respectively. We identified our median employee by (i) examining payroll records of each employee as previously described, whether on a full-time, part-time, furloughed, seasonal or temporary basis, to calculate each employee’s gross earnings for a twelve-month period starting October 1, 2019 through September 30, 2020; (ii) ranking, by total amount of gross earnings, all employees, except the CEO, from highest to lowest; and (iii) selecting the median employee (the “Median Employee”) ranked on the list. After identifying our Median Employee, we calculated total annual compensation for such employee, using the same methodology used for our NEOs as set forth in the Summary Compensation Table above.</w:t>
      </w: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compensation for 2020 for our CEO was $4,915,152. Our Median Employee’s total compensation for 2020 was $31,496. The ratio of our CEO’s pay to the pay of our Median Employee for 2020 is 156:1.</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2020 Grants of Plan-Based Awards Table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6"/>
              </w:rPr>
              <w:t>All</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8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9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All Other</w:t>
            </w:r>
          </w:p>
        </w:tc>
        <w:tc>
          <w:tcPr>
            <w:tcW w:w="880" w:type="dxa"/>
            <w:vAlign w:val="bottom"/>
          </w:tcPr>
          <w:p>
            <w:pPr>
              <w:spacing w:after="0"/>
              <w:rPr>
                <w:sz w:val="11"/>
                <w:szCs w:val="11"/>
                <w:color w:val="auto"/>
              </w:rPr>
            </w:pPr>
          </w:p>
        </w:tc>
        <w:tc>
          <w:tcPr>
            <w:tcW w:w="78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9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Option</w:t>
            </w: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Exercise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80" w:type="dxa"/>
            <w:vAlign w:val="bottom"/>
            <w:gridSpan w:val="4"/>
            <w:vMerge w:val="restart"/>
          </w:tcPr>
          <w:p>
            <w:pPr>
              <w:jc w:val="center"/>
              <w:ind w:right="120"/>
              <w:spacing w:after="0"/>
              <w:rPr>
                <w:sz w:val="20"/>
                <w:szCs w:val="20"/>
                <w:color w:val="auto"/>
              </w:rPr>
            </w:pPr>
            <w:r>
              <w:rPr>
                <w:rFonts w:ascii="Arial" w:cs="Arial" w:eastAsia="Arial" w:hAnsi="Arial"/>
                <w:sz w:val="13"/>
                <w:szCs w:val="13"/>
                <w:b w:val="1"/>
                <w:bCs w:val="1"/>
                <w:color w:val="auto"/>
                <w:w w:val="96"/>
              </w:rPr>
              <w:t>Estimated Possible Payouts</w:t>
            </w:r>
          </w:p>
        </w:tc>
        <w:tc>
          <w:tcPr>
            <w:tcW w:w="20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Estimated Future Payouts</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9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Awards</w:t>
            </w:r>
          </w:p>
        </w:tc>
        <w:tc>
          <w:tcPr>
            <w:tcW w:w="88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or Base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Value of</w:t>
            </w: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80" w:type="dxa"/>
            <w:vAlign w:val="bottom"/>
            <w:gridSpan w:val="4"/>
            <w:vMerge w:val="continue"/>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9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7"/>
              </w:rPr>
              <w:t>Number</w:t>
            </w:r>
          </w:p>
        </w:tc>
        <w:tc>
          <w:tcPr>
            <w:tcW w:w="920" w:type="dxa"/>
            <w:vAlign w:val="bottom"/>
          </w:tcPr>
          <w:p>
            <w:pPr>
              <w:jc w:val="center"/>
              <w:ind w:right="37"/>
              <w:spacing w:after="0" w:line="130" w:lineRule="exact"/>
              <w:rPr>
                <w:sz w:val="20"/>
                <w:szCs w:val="20"/>
                <w:color w:val="auto"/>
              </w:rPr>
            </w:pPr>
            <w:r>
              <w:rPr>
                <w:rFonts w:ascii="Arial" w:cs="Arial" w:eastAsia="Arial" w:hAnsi="Arial"/>
                <w:sz w:val="13"/>
                <w:szCs w:val="13"/>
                <w:b w:val="1"/>
                <w:bCs w:val="1"/>
                <w:color w:val="auto"/>
                <w:w w:val="95"/>
              </w:rPr>
              <w:t>Number of</w:t>
            </w:r>
          </w:p>
        </w:tc>
        <w:tc>
          <w:tcPr>
            <w:tcW w:w="880" w:type="dxa"/>
            <w:vAlign w:val="bottom"/>
          </w:tcPr>
          <w:p>
            <w:pPr>
              <w:jc w:val="center"/>
              <w:ind w:right="77"/>
              <w:spacing w:after="0" w:line="130" w:lineRule="exact"/>
              <w:rPr>
                <w:sz w:val="20"/>
                <w:szCs w:val="20"/>
                <w:color w:val="auto"/>
              </w:rPr>
            </w:pPr>
            <w:r>
              <w:rPr>
                <w:rFonts w:ascii="Arial" w:cs="Arial" w:eastAsia="Arial" w:hAnsi="Arial"/>
                <w:sz w:val="13"/>
                <w:szCs w:val="13"/>
                <w:b w:val="1"/>
                <w:bCs w:val="1"/>
                <w:color w:val="auto"/>
                <w:w w:val="96"/>
              </w:rPr>
              <w:t>Price of</w:t>
            </w: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auto"/>
                <w:w w:val="95"/>
              </w:rPr>
              <w:t>Stock</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80" w:type="dxa"/>
            <w:vAlign w:val="bottom"/>
            <w:gridSpan w:val="4"/>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Under Non-Equity Incentive</w:t>
            </w:r>
          </w:p>
        </w:tc>
        <w:tc>
          <w:tcPr>
            <w:tcW w:w="20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6"/>
              </w:rPr>
              <w:t>Under Equity Incentive</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of Shares</w:t>
            </w:r>
          </w:p>
        </w:tc>
        <w:tc>
          <w:tcPr>
            <w:tcW w:w="92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Securities</w:t>
            </w:r>
          </w:p>
        </w:tc>
        <w:tc>
          <w:tcPr>
            <w:tcW w:w="88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7"/>
              </w:rPr>
              <w:t>Options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and</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9"/>
              </w:rPr>
              <w:t>Grant/</w:t>
            </w:r>
          </w:p>
        </w:tc>
        <w:tc>
          <w:tcPr>
            <w:tcW w:w="1560" w:type="dxa"/>
            <w:vAlign w:val="bottom"/>
            <w:tcBorders>
              <w:bottom w:val="single" w:sz="8" w:color="auto"/>
            </w:tcBorders>
            <w:gridSpan w:val="2"/>
          </w:tcPr>
          <w:p>
            <w:pPr>
              <w:jc w:val="center"/>
              <w:ind w:left="557"/>
              <w:spacing w:after="0"/>
              <w:rPr>
                <w:sz w:val="20"/>
                <w:szCs w:val="20"/>
                <w:color w:val="auto"/>
              </w:rPr>
            </w:pPr>
            <w:r>
              <w:rPr>
                <w:rFonts w:ascii="Arial" w:cs="Arial" w:eastAsia="Arial" w:hAnsi="Arial"/>
                <w:sz w:val="13"/>
                <w:szCs w:val="13"/>
                <w:b w:val="1"/>
                <w:bCs w:val="1"/>
                <w:color w:val="auto"/>
                <w:w w:val="96"/>
              </w:rPr>
              <w:t>Plan Awards (a)</w:t>
            </w:r>
          </w:p>
        </w:tc>
        <w:tc>
          <w:tcPr>
            <w:tcW w:w="6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Borders>
              <w:bottom w:val="single" w:sz="8" w:color="auto"/>
            </w:tcBorders>
            <w:gridSpan w:val="2"/>
          </w:tcPr>
          <w:p>
            <w:pPr>
              <w:jc w:val="center"/>
              <w:ind w:left="417"/>
              <w:spacing w:after="0"/>
              <w:rPr>
                <w:sz w:val="20"/>
                <w:szCs w:val="20"/>
                <w:color w:val="auto"/>
              </w:rPr>
            </w:pPr>
            <w:r>
              <w:rPr>
                <w:rFonts w:ascii="Arial" w:cs="Arial" w:eastAsia="Arial" w:hAnsi="Arial"/>
                <w:sz w:val="13"/>
                <w:szCs w:val="13"/>
                <w:b w:val="1"/>
                <w:bCs w:val="1"/>
                <w:color w:val="auto"/>
                <w:w w:val="97"/>
              </w:rPr>
              <w:t>Plan Awards (b)</w:t>
            </w:r>
          </w:p>
        </w:tc>
        <w:tc>
          <w:tcPr>
            <w:tcW w:w="480" w:type="dxa"/>
            <w:vAlign w:val="bottom"/>
            <w:tcBorders>
              <w:bottom w:val="single" w:sz="8" w:color="auto"/>
            </w:tcBorders>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7"/>
              </w:rPr>
              <w:t>of Stock</w:t>
            </w:r>
          </w:p>
        </w:tc>
        <w:tc>
          <w:tcPr>
            <w:tcW w:w="92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Underlying</w:t>
            </w: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3"/>
              </w:rPr>
              <w:t>Awards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13"/>
        </w:trPr>
        <w:tc>
          <w:tcPr>
            <w:tcW w:w="11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Approval</w:t>
            </w:r>
          </w:p>
        </w:tc>
        <w:tc>
          <w:tcPr>
            <w:tcW w:w="920" w:type="dxa"/>
            <w:vAlign w:val="bottom"/>
          </w:tcPr>
          <w:p>
            <w:pPr>
              <w:jc w:val="right"/>
              <w:ind w:right="57"/>
              <w:spacing w:after="0" w:line="113" w:lineRule="exact"/>
              <w:rPr>
                <w:sz w:val="20"/>
                <w:szCs w:val="20"/>
                <w:color w:val="auto"/>
              </w:rPr>
            </w:pPr>
            <w:r>
              <w:rPr>
                <w:rFonts w:ascii="Arial" w:cs="Arial" w:eastAsia="Arial" w:hAnsi="Arial"/>
                <w:sz w:val="13"/>
                <w:szCs w:val="13"/>
                <w:b w:val="1"/>
                <w:bCs w:val="1"/>
                <w:color w:val="auto"/>
              </w:rPr>
              <w:t>Threshold</w:t>
            </w:r>
          </w:p>
        </w:tc>
        <w:tc>
          <w:tcPr>
            <w:tcW w:w="640" w:type="dxa"/>
            <w:vAlign w:val="bottom"/>
          </w:tcPr>
          <w:p>
            <w:pPr>
              <w:jc w:val="right"/>
              <w:ind w:right="17"/>
              <w:spacing w:after="0" w:line="113" w:lineRule="exact"/>
              <w:rPr>
                <w:sz w:val="20"/>
                <w:szCs w:val="20"/>
                <w:color w:val="auto"/>
              </w:rPr>
            </w:pPr>
            <w:r>
              <w:rPr>
                <w:rFonts w:ascii="Arial" w:cs="Arial" w:eastAsia="Arial" w:hAnsi="Arial"/>
                <w:sz w:val="13"/>
                <w:szCs w:val="13"/>
                <w:b w:val="1"/>
                <w:bCs w:val="1"/>
                <w:color w:val="auto"/>
              </w:rPr>
              <w:t>Target</w:t>
            </w:r>
          </w:p>
        </w:tc>
        <w:tc>
          <w:tcPr>
            <w:tcW w:w="600" w:type="dxa"/>
            <w:vAlign w:val="bottom"/>
          </w:tcPr>
          <w:p>
            <w:pPr>
              <w:jc w:val="right"/>
              <w:spacing w:after="0" w:line="113" w:lineRule="exact"/>
              <w:rPr>
                <w:sz w:val="20"/>
                <w:szCs w:val="20"/>
                <w:color w:val="auto"/>
              </w:rPr>
            </w:pPr>
            <w:r>
              <w:rPr>
                <w:rFonts w:ascii="Arial" w:cs="Arial" w:eastAsia="Arial" w:hAnsi="Arial"/>
                <w:sz w:val="13"/>
                <w:szCs w:val="13"/>
                <w:b w:val="1"/>
                <w:bCs w:val="1"/>
                <w:color w:val="auto"/>
                <w:w w:val="96"/>
              </w:rPr>
              <w:t>Maximum</w:t>
            </w:r>
          </w:p>
        </w:tc>
        <w:tc>
          <w:tcPr>
            <w:tcW w:w="120" w:type="dxa"/>
            <w:vAlign w:val="bottom"/>
          </w:tcPr>
          <w:p>
            <w:pPr>
              <w:spacing w:after="0"/>
              <w:rPr>
                <w:sz w:val="9"/>
                <w:szCs w:val="9"/>
                <w:color w:val="auto"/>
              </w:rPr>
            </w:pPr>
          </w:p>
        </w:tc>
        <w:tc>
          <w:tcPr>
            <w:tcW w:w="740" w:type="dxa"/>
            <w:vAlign w:val="bottom"/>
          </w:tcPr>
          <w:p>
            <w:pPr>
              <w:jc w:val="right"/>
              <w:ind w:right="57"/>
              <w:spacing w:after="0" w:line="113" w:lineRule="exact"/>
              <w:rPr>
                <w:sz w:val="20"/>
                <w:szCs w:val="20"/>
                <w:color w:val="auto"/>
              </w:rPr>
            </w:pPr>
            <w:r>
              <w:rPr>
                <w:rFonts w:ascii="Arial" w:cs="Arial" w:eastAsia="Arial" w:hAnsi="Arial"/>
                <w:sz w:val="13"/>
                <w:szCs w:val="13"/>
                <w:b w:val="1"/>
                <w:bCs w:val="1"/>
                <w:color w:val="auto"/>
                <w:w w:val="95"/>
              </w:rPr>
              <w:t>Threshold</w:t>
            </w:r>
          </w:p>
        </w:tc>
        <w:tc>
          <w:tcPr>
            <w:tcW w:w="1260" w:type="dxa"/>
            <w:vAlign w:val="bottom"/>
            <w:gridSpan w:val="2"/>
          </w:tcPr>
          <w:p>
            <w:pPr>
              <w:jc w:val="right"/>
              <w:spacing w:after="0" w:line="113" w:lineRule="exact"/>
              <w:rPr>
                <w:sz w:val="20"/>
                <w:szCs w:val="20"/>
                <w:color w:val="auto"/>
              </w:rPr>
            </w:pPr>
            <w:r>
              <w:rPr>
                <w:rFonts w:ascii="Arial" w:cs="Arial" w:eastAsia="Arial" w:hAnsi="Arial"/>
                <w:sz w:val="13"/>
                <w:szCs w:val="13"/>
                <w:b w:val="1"/>
                <w:bCs w:val="1"/>
                <w:color w:val="auto"/>
              </w:rPr>
              <w:t>Target   Maximum</w:t>
            </w:r>
          </w:p>
        </w:tc>
        <w:tc>
          <w:tcPr>
            <w:tcW w:w="9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7"/>
              </w:rPr>
              <w:t>or Units</w:t>
            </w:r>
          </w:p>
        </w:tc>
        <w:tc>
          <w:tcPr>
            <w:tcW w:w="920" w:type="dxa"/>
            <w:vAlign w:val="bottom"/>
          </w:tcPr>
          <w:p>
            <w:pPr>
              <w:jc w:val="center"/>
              <w:ind w:right="57"/>
              <w:spacing w:after="0" w:line="113" w:lineRule="exact"/>
              <w:rPr>
                <w:sz w:val="20"/>
                <w:szCs w:val="20"/>
                <w:color w:val="auto"/>
              </w:rPr>
            </w:pPr>
            <w:r>
              <w:rPr>
                <w:rFonts w:ascii="Arial" w:cs="Arial" w:eastAsia="Arial" w:hAnsi="Arial"/>
                <w:sz w:val="13"/>
                <w:szCs w:val="13"/>
                <w:b w:val="1"/>
                <w:bCs w:val="1"/>
                <w:color w:val="auto"/>
                <w:w w:val="97"/>
              </w:rPr>
              <w:t>Options</w:t>
            </w:r>
          </w:p>
        </w:tc>
        <w:tc>
          <w:tcPr>
            <w:tcW w:w="880" w:type="dxa"/>
            <w:vAlign w:val="bottom"/>
          </w:tcPr>
          <w:p>
            <w:pPr>
              <w:jc w:val="center"/>
              <w:ind w:right="77"/>
              <w:spacing w:after="0" w:line="113" w:lineRule="exact"/>
              <w:rPr>
                <w:sz w:val="20"/>
                <w:szCs w:val="20"/>
                <w:color w:val="auto"/>
              </w:rPr>
            </w:pPr>
            <w:r>
              <w:rPr>
                <w:rFonts w:ascii="Arial" w:cs="Arial" w:eastAsia="Arial" w:hAnsi="Arial"/>
                <w:sz w:val="13"/>
                <w:szCs w:val="13"/>
                <w:b w:val="1"/>
                <w:bCs w:val="1"/>
                <w:color w:val="auto"/>
                <w:w w:val="95"/>
              </w:rPr>
              <w:t>($ per</w:t>
            </w:r>
          </w:p>
        </w:tc>
        <w:tc>
          <w:tcPr>
            <w:tcW w:w="78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7"/>
              </w:rPr>
              <w:t>Awards</w:t>
            </w:r>
          </w:p>
        </w:tc>
        <w:tc>
          <w:tcPr>
            <w:tcW w:w="0" w:type="dxa"/>
            <w:vAlign w:val="bottom"/>
          </w:tcPr>
          <w:p>
            <w:pPr>
              <w:spacing w:after="0"/>
              <w:rPr>
                <w:sz w:val="1"/>
                <w:szCs w:val="1"/>
                <w:color w:val="auto"/>
              </w:rPr>
            </w:pPr>
          </w:p>
        </w:tc>
      </w:tr>
      <w:tr>
        <w:trPr>
          <w:trHeight w:val="164"/>
        </w:trPr>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4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Award Type</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center"/>
              <w:ind w:right="237"/>
              <w:spacing w:after="0"/>
              <w:rPr>
                <w:sz w:val="20"/>
                <w:szCs w:val="20"/>
                <w:color w:val="auto"/>
              </w:rPr>
            </w:pPr>
            <w:r>
              <w:rPr>
                <w:rFonts w:ascii="Arial" w:cs="Arial" w:eastAsia="Arial" w:hAnsi="Arial"/>
                <w:sz w:val="13"/>
                <w:szCs w:val="13"/>
                <w:b w:val="1"/>
                <w:bCs w:val="1"/>
                <w:color w:val="auto"/>
              </w:rPr>
              <w:t>(#)</w:t>
            </w:r>
          </w:p>
        </w:tc>
        <w:tc>
          <w:tcPr>
            <w:tcW w:w="4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(#)(c)</w:t>
            </w:r>
          </w:p>
        </w:tc>
        <w:tc>
          <w:tcPr>
            <w:tcW w:w="9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7"/>
              </w:rPr>
              <w:t>share)</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w:t>
            </w:r>
          </w:p>
        </w:tc>
        <w:tc>
          <w:tcPr>
            <w:tcW w:w="0" w:type="dxa"/>
            <w:vAlign w:val="bottom"/>
          </w:tcPr>
          <w:p>
            <w:pPr>
              <w:spacing w:after="0"/>
              <w:rPr>
                <w:sz w:val="1"/>
                <w:szCs w:val="1"/>
                <w:color w:val="auto"/>
              </w:rPr>
            </w:pPr>
          </w:p>
        </w:tc>
      </w:tr>
      <w:tr>
        <w:trPr>
          <w:trHeight w:val="143"/>
        </w:trPr>
        <w:tc>
          <w:tcPr>
            <w:tcW w:w="1140" w:type="dxa"/>
            <w:vAlign w:val="bottom"/>
            <w:shd w:val="clear" w:color="auto" w:fill="CCCCCC"/>
          </w:tcPr>
          <w:p>
            <w:pPr>
              <w:ind w:left="40"/>
              <w:spacing w:after="0" w:line="143" w:lineRule="exact"/>
              <w:rPr>
                <w:sz w:val="20"/>
                <w:szCs w:val="20"/>
                <w:color w:val="auto"/>
              </w:rPr>
            </w:pPr>
            <w:r>
              <w:rPr>
                <w:rFonts w:ascii="Arial" w:cs="Arial" w:eastAsia="Arial" w:hAnsi="Arial"/>
                <w:sz w:val="13"/>
                <w:szCs w:val="13"/>
                <w:color w:val="auto"/>
              </w:rPr>
              <w:t>Mr. Ferraro</w:t>
            </w:r>
          </w:p>
        </w:tc>
        <w:tc>
          <w:tcPr>
            <w:tcW w:w="1480" w:type="dxa"/>
            <w:vAlign w:val="bottom"/>
            <w:shd w:val="clear" w:color="auto" w:fill="CCCCCC"/>
          </w:tcPr>
          <w:p>
            <w:pPr>
              <w:ind w:left="120"/>
              <w:spacing w:after="0" w:line="143" w:lineRule="exact"/>
              <w:rPr>
                <w:sz w:val="20"/>
                <w:szCs w:val="20"/>
                <w:color w:val="auto"/>
              </w:rPr>
            </w:pPr>
            <w:r>
              <w:rPr>
                <w:rFonts w:ascii="Arial" w:cs="Arial" w:eastAsia="Arial" w:hAnsi="Arial"/>
                <w:sz w:val="13"/>
                <w:szCs w:val="13"/>
                <w:color w:val="auto"/>
              </w:rPr>
              <w:t>Annual Incentive</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line="143" w:lineRule="exact"/>
              <w:rPr>
                <w:sz w:val="20"/>
                <w:szCs w:val="20"/>
                <w:color w:val="auto"/>
              </w:rPr>
            </w:pPr>
            <w:r>
              <w:rPr>
                <w:rFonts w:ascii="Arial" w:cs="Arial" w:eastAsia="Arial" w:hAnsi="Arial"/>
                <w:sz w:val="13"/>
                <w:szCs w:val="13"/>
                <w:color w:val="auto"/>
              </w:rPr>
              <w:t>—</w:t>
            </w:r>
          </w:p>
        </w:tc>
        <w:tc>
          <w:tcPr>
            <w:tcW w:w="920" w:type="dxa"/>
            <w:vAlign w:val="bottom"/>
            <w:shd w:val="clear" w:color="auto" w:fill="CCCCCC"/>
          </w:tcPr>
          <w:p>
            <w:pPr>
              <w:jc w:val="right"/>
              <w:ind w:right="57"/>
              <w:spacing w:after="0" w:line="143" w:lineRule="exact"/>
              <w:rPr>
                <w:sz w:val="20"/>
                <w:szCs w:val="20"/>
                <w:color w:val="auto"/>
              </w:rPr>
            </w:pPr>
            <w:r>
              <w:rPr>
                <w:rFonts w:ascii="Arial" w:cs="Arial" w:eastAsia="Arial" w:hAnsi="Arial"/>
                <w:sz w:val="13"/>
                <w:szCs w:val="13"/>
                <w:color w:val="auto"/>
              </w:rPr>
              <w:t>210,649</w:t>
            </w:r>
          </w:p>
        </w:tc>
        <w:tc>
          <w:tcPr>
            <w:tcW w:w="640" w:type="dxa"/>
            <w:vAlign w:val="bottom"/>
            <w:shd w:val="clear" w:color="auto" w:fill="CCCCCC"/>
          </w:tcPr>
          <w:p>
            <w:pPr>
              <w:jc w:val="right"/>
              <w:ind w:right="17"/>
              <w:spacing w:after="0" w:line="143" w:lineRule="exact"/>
              <w:rPr>
                <w:sz w:val="20"/>
                <w:szCs w:val="20"/>
                <w:color w:val="auto"/>
              </w:rPr>
            </w:pPr>
            <w:r>
              <w:rPr>
                <w:rFonts w:ascii="Arial" w:cs="Arial" w:eastAsia="Arial" w:hAnsi="Arial"/>
                <w:sz w:val="13"/>
                <w:szCs w:val="13"/>
                <w:color w:val="auto"/>
              </w:rPr>
              <w:t>842,596</w:t>
            </w:r>
          </w:p>
        </w:tc>
        <w:tc>
          <w:tcPr>
            <w:tcW w:w="720" w:type="dxa"/>
            <w:vAlign w:val="bottom"/>
            <w:gridSpan w:val="2"/>
            <w:shd w:val="clear" w:color="auto" w:fill="CCCCCC"/>
          </w:tcPr>
          <w:p>
            <w:pPr>
              <w:jc w:val="right"/>
              <w:ind w:right="120"/>
              <w:spacing w:after="0" w:line="143" w:lineRule="exact"/>
              <w:rPr>
                <w:sz w:val="20"/>
                <w:szCs w:val="20"/>
                <w:color w:val="auto"/>
              </w:rPr>
            </w:pPr>
            <w:r>
              <w:rPr>
                <w:rFonts w:ascii="Arial" w:cs="Arial" w:eastAsia="Arial" w:hAnsi="Arial"/>
                <w:sz w:val="13"/>
                <w:szCs w:val="13"/>
                <w:color w:val="auto"/>
              </w:rPr>
              <w:t>1,685,192</w:t>
            </w: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1/2/2020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7,501</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250,008</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2/3/2020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7,501</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246,258</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3/2/2020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7,501</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242,132</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47,416</w:t>
            </w:r>
          </w:p>
        </w:tc>
        <w:tc>
          <w:tcPr>
            <w:tcW w:w="9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1,000,003</w:t>
            </w:r>
          </w:p>
        </w:tc>
        <w:tc>
          <w:tcPr>
            <w:tcW w:w="0" w:type="dxa"/>
            <w:vAlign w:val="bottom"/>
          </w:tcPr>
          <w:p>
            <w:pPr>
              <w:spacing w:after="0"/>
              <w:rPr>
                <w:sz w:val="1"/>
                <w:szCs w:val="1"/>
                <w:color w:val="auto"/>
              </w:rPr>
            </w:pPr>
          </w:p>
        </w:tc>
      </w:tr>
      <w:tr>
        <w:trPr>
          <w:trHeight w:val="149"/>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PSU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23,708</w:t>
            </w:r>
          </w:p>
        </w:tc>
        <w:tc>
          <w:tcPr>
            <w:tcW w:w="780" w:type="dxa"/>
            <w:vAlign w:val="bottom"/>
            <w:shd w:val="clear" w:color="auto" w:fill="CCCCCC"/>
          </w:tcPr>
          <w:p>
            <w:pPr>
              <w:jc w:val="right"/>
              <w:ind w:right="117"/>
              <w:spacing w:after="0"/>
              <w:rPr>
                <w:sz w:val="20"/>
                <w:szCs w:val="20"/>
                <w:color w:val="auto"/>
              </w:rPr>
            </w:pPr>
            <w:r>
              <w:rPr>
                <w:rFonts w:ascii="Arial" w:cs="Arial" w:eastAsia="Arial" w:hAnsi="Arial"/>
                <w:sz w:val="13"/>
                <w:szCs w:val="13"/>
                <w:color w:val="auto"/>
              </w:rPr>
              <w:t>47,416</w:t>
            </w:r>
          </w:p>
        </w:tc>
        <w:tc>
          <w:tcPr>
            <w:tcW w:w="4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94,832</w:t>
            </w:r>
          </w:p>
        </w:tc>
        <w:tc>
          <w:tcPr>
            <w:tcW w:w="98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1,000,003</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4/1/2020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7,501</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96,388</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5/1/2020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7,501</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104,264</w:t>
            </w:r>
          </w:p>
        </w:tc>
        <w:tc>
          <w:tcPr>
            <w:tcW w:w="0" w:type="dxa"/>
            <w:vAlign w:val="bottom"/>
          </w:tcPr>
          <w:p>
            <w:pPr>
              <w:spacing w:after="0"/>
              <w:rPr>
                <w:sz w:val="1"/>
                <w:szCs w:val="1"/>
                <w:color w:val="auto"/>
              </w:rPr>
            </w:pPr>
          </w:p>
        </w:tc>
      </w:tr>
      <w:tr>
        <w:trPr>
          <w:trHeight w:val="153"/>
        </w:trPr>
        <w:tc>
          <w:tcPr>
            <w:tcW w:w="1140" w:type="dxa"/>
            <w:vAlign w:val="bottom"/>
            <w:tcBorders>
              <w:bottom w:val="single" w:sz="8" w:color="auto"/>
            </w:tcBorders>
            <w:shd w:val="clear" w:color="auto" w:fill="CCCCCC"/>
          </w:tcPr>
          <w:p>
            <w:pPr>
              <w:spacing w:after="0"/>
              <w:rPr>
                <w:sz w:val="13"/>
                <w:szCs w:val="13"/>
                <w:color w:val="auto"/>
              </w:rPr>
            </w:pPr>
          </w:p>
        </w:tc>
        <w:tc>
          <w:tcPr>
            <w:tcW w:w="148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tcBorders>
              <w:bottom w:val="single" w:sz="8" w:color="auto"/>
            </w:tcBorders>
            <w:shd w:val="clear" w:color="auto" w:fill="CCCCCC"/>
          </w:tcPr>
          <w:p>
            <w:pPr>
              <w:spacing w:after="0"/>
              <w:rPr>
                <w:sz w:val="13"/>
                <w:szCs w:val="13"/>
                <w:color w:val="auto"/>
              </w:rPr>
            </w:pPr>
          </w:p>
        </w:tc>
        <w:tc>
          <w:tcPr>
            <w:tcW w:w="6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6/1/2020</w:t>
            </w:r>
          </w:p>
        </w:tc>
        <w:tc>
          <w:tcPr>
            <w:tcW w:w="920" w:type="dxa"/>
            <w:vAlign w:val="bottom"/>
            <w:tcBorders>
              <w:bottom w:val="single" w:sz="8" w:color="auto"/>
            </w:tcBorders>
            <w:shd w:val="clear" w:color="auto" w:fill="CCCCCC"/>
          </w:tcPr>
          <w:p>
            <w:pPr>
              <w:spacing w:after="0"/>
              <w:rPr>
                <w:sz w:val="13"/>
                <w:szCs w:val="13"/>
                <w:color w:val="auto"/>
              </w:rPr>
            </w:pPr>
          </w:p>
        </w:tc>
        <w:tc>
          <w:tcPr>
            <w:tcW w:w="640" w:type="dxa"/>
            <w:vAlign w:val="bottom"/>
            <w:tcBorders>
              <w:bottom w:val="single" w:sz="8" w:color="auto"/>
            </w:tcBorders>
            <w:shd w:val="clear" w:color="auto" w:fill="CCCCCC"/>
          </w:tcPr>
          <w:p>
            <w:pPr>
              <w:spacing w:after="0"/>
              <w:rPr>
                <w:sz w:val="13"/>
                <w:szCs w:val="13"/>
                <w:color w:val="auto"/>
              </w:rPr>
            </w:pPr>
          </w:p>
        </w:tc>
        <w:tc>
          <w:tcPr>
            <w:tcW w:w="600" w:type="dxa"/>
            <w:vAlign w:val="bottom"/>
            <w:tcBorders>
              <w:bottom w:val="single" w:sz="8" w:color="auto"/>
            </w:tcBorders>
            <w:shd w:val="clear" w:color="auto" w:fill="CCCCCC"/>
          </w:tcPr>
          <w:p>
            <w:pPr>
              <w:spacing w:after="0"/>
              <w:rPr>
                <w:sz w:val="13"/>
                <w:szCs w:val="13"/>
                <w:color w:val="auto"/>
              </w:rPr>
            </w:pPr>
          </w:p>
        </w:tc>
        <w:tc>
          <w:tcPr>
            <w:tcW w:w="120" w:type="dxa"/>
            <w:vAlign w:val="bottom"/>
            <w:tcBorders>
              <w:bottom w:val="single" w:sz="8" w:color="auto"/>
            </w:tcBorders>
            <w:shd w:val="clear" w:color="auto" w:fill="CCCCCC"/>
          </w:tcPr>
          <w:p>
            <w:pPr>
              <w:spacing w:after="0"/>
              <w:rPr>
                <w:sz w:val="13"/>
                <w:szCs w:val="13"/>
                <w:color w:val="auto"/>
              </w:rPr>
            </w:pPr>
          </w:p>
        </w:tc>
        <w:tc>
          <w:tcPr>
            <w:tcW w:w="740" w:type="dxa"/>
            <w:vAlign w:val="bottom"/>
            <w:tcBorders>
              <w:bottom w:val="single" w:sz="8" w:color="auto"/>
            </w:tcBorders>
            <w:shd w:val="clear" w:color="auto" w:fill="CCCCCC"/>
          </w:tcPr>
          <w:p>
            <w:pPr>
              <w:spacing w:after="0"/>
              <w:rPr>
                <w:sz w:val="13"/>
                <w:szCs w:val="13"/>
                <w:color w:val="auto"/>
              </w:rPr>
            </w:pPr>
          </w:p>
        </w:tc>
        <w:tc>
          <w:tcPr>
            <w:tcW w:w="780" w:type="dxa"/>
            <w:vAlign w:val="bottom"/>
            <w:tcBorders>
              <w:bottom w:val="single" w:sz="8" w:color="auto"/>
            </w:tcBorders>
            <w:shd w:val="clear" w:color="auto" w:fill="CCCCCC"/>
          </w:tcPr>
          <w:p>
            <w:pPr>
              <w:spacing w:after="0"/>
              <w:rPr>
                <w:sz w:val="13"/>
                <w:szCs w:val="13"/>
                <w:color w:val="auto"/>
              </w:rPr>
            </w:pPr>
          </w:p>
        </w:tc>
        <w:tc>
          <w:tcPr>
            <w:tcW w:w="480" w:type="dxa"/>
            <w:vAlign w:val="bottom"/>
            <w:tcBorders>
              <w:bottom w:val="single" w:sz="8" w:color="auto"/>
            </w:tcBorders>
            <w:shd w:val="clear" w:color="auto" w:fill="CCCCCC"/>
          </w:tcPr>
          <w:p>
            <w:pPr>
              <w:spacing w:after="0"/>
              <w:rPr>
                <w:sz w:val="13"/>
                <w:szCs w:val="13"/>
                <w:color w:val="auto"/>
              </w:rPr>
            </w:pPr>
          </w:p>
        </w:tc>
        <w:tc>
          <w:tcPr>
            <w:tcW w:w="980" w:type="dxa"/>
            <w:vAlign w:val="bottom"/>
            <w:tcBorders>
              <w:bottom w:val="single" w:sz="8" w:color="auto"/>
            </w:tcBorders>
            <w:shd w:val="clear" w:color="auto" w:fill="CCCCCC"/>
          </w:tcPr>
          <w:p>
            <w:pPr>
              <w:jc w:val="right"/>
              <w:ind w:right="37"/>
              <w:spacing w:after="0"/>
              <w:rPr>
                <w:sz w:val="20"/>
                <w:szCs w:val="20"/>
                <w:color w:val="auto"/>
              </w:rPr>
            </w:pPr>
            <w:r>
              <w:rPr>
                <w:rFonts w:ascii="Arial" w:cs="Arial" w:eastAsia="Arial" w:hAnsi="Arial"/>
                <w:sz w:val="13"/>
                <w:szCs w:val="13"/>
                <w:color w:val="auto"/>
              </w:rPr>
              <w:t>7,501</w:t>
            </w:r>
          </w:p>
        </w:tc>
        <w:tc>
          <w:tcPr>
            <w:tcW w:w="920" w:type="dxa"/>
            <w:vAlign w:val="bottom"/>
            <w:tcBorders>
              <w:bottom w:val="single" w:sz="8" w:color="auto"/>
            </w:tcBorders>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183,624</w:t>
            </w:r>
          </w:p>
        </w:tc>
        <w:tc>
          <w:tcPr>
            <w:tcW w:w="0" w:type="dxa"/>
            <w:vAlign w:val="bottom"/>
          </w:tcPr>
          <w:p>
            <w:pPr>
              <w:spacing w:after="0"/>
              <w:rPr>
                <w:sz w:val="1"/>
                <w:szCs w:val="1"/>
                <w:color w:val="auto"/>
              </w:rPr>
            </w:pPr>
          </w:p>
        </w:tc>
      </w:tr>
      <w:tr>
        <w:trPr>
          <w:trHeight w:val="124"/>
        </w:trPr>
        <w:tc>
          <w:tcPr>
            <w:tcW w:w="1140" w:type="dxa"/>
            <w:vAlign w:val="bottom"/>
          </w:tcPr>
          <w:p>
            <w:pPr>
              <w:ind w:left="40"/>
              <w:spacing w:after="0" w:line="124" w:lineRule="exact"/>
              <w:rPr>
                <w:sz w:val="20"/>
                <w:szCs w:val="20"/>
                <w:color w:val="auto"/>
              </w:rPr>
            </w:pPr>
            <w:r>
              <w:rPr>
                <w:rFonts w:ascii="Arial" w:cs="Arial" w:eastAsia="Arial" w:hAnsi="Arial"/>
                <w:sz w:val="13"/>
                <w:szCs w:val="13"/>
                <w:color w:val="auto"/>
              </w:rPr>
              <w:t>Mr. Choi</w:t>
            </w:r>
          </w:p>
        </w:tc>
        <w:tc>
          <w:tcPr>
            <w:tcW w:w="1480" w:type="dxa"/>
            <w:vAlign w:val="bottom"/>
          </w:tcPr>
          <w:p>
            <w:pPr>
              <w:ind w:left="120"/>
              <w:spacing w:after="0" w:line="124" w:lineRule="exact"/>
              <w:rPr>
                <w:sz w:val="20"/>
                <w:szCs w:val="20"/>
                <w:color w:val="auto"/>
              </w:rPr>
            </w:pPr>
            <w:r>
              <w:rPr>
                <w:rFonts w:ascii="Arial" w:cs="Arial" w:eastAsia="Arial" w:hAnsi="Arial"/>
                <w:sz w:val="13"/>
                <w:szCs w:val="13"/>
                <w:color w:val="auto"/>
              </w:rPr>
              <w:t>Annual Incentive</w:t>
            </w:r>
          </w:p>
        </w:tc>
        <w:tc>
          <w:tcPr>
            <w:tcW w:w="12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line="124" w:lineRule="exact"/>
              <w:rPr>
                <w:sz w:val="20"/>
                <w:szCs w:val="20"/>
                <w:color w:val="auto"/>
              </w:rPr>
            </w:pPr>
            <w:r>
              <w:rPr>
                <w:rFonts w:ascii="Arial" w:cs="Arial" w:eastAsia="Arial" w:hAnsi="Arial"/>
                <w:sz w:val="13"/>
                <w:szCs w:val="13"/>
                <w:color w:val="auto"/>
              </w:rPr>
              <w:t>41,827</w:t>
            </w:r>
          </w:p>
        </w:tc>
        <w:tc>
          <w:tcPr>
            <w:tcW w:w="640" w:type="dxa"/>
            <w:vAlign w:val="bottom"/>
          </w:tcPr>
          <w:p>
            <w:pPr>
              <w:jc w:val="right"/>
              <w:ind w:right="17"/>
              <w:spacing w:after="0" w:line="124" w:lineRule="exact"/>
              <w:rPr>
                <w:sz w:val="20"/>
                <w:szCs w:val="20"/>
                <w:color w:val="auto"/>
              </w:rPr>
            </w:pPr>
            <w:r>
              <w:rPr>
                <w:rFonts w:ascii="Arial" w:cs="Arial" w:eastAsia="Arial" w:hAnsi="Arial"/>
                <w:sz w:val="13"/>
                <w:szCs w:val="13"/>
                <w:color w:val="auto"/>
              </w:rPr>
              <w:t>167,308</w:t>
            </w:r>
          </w:p>
        </w:tc>
        <w:tc>
          <w:tcPr>
            <w:tcW w:w="600" w:type="dxa"/>
            <w:vAlign w:val="bottom"/>
          </w:tcPr>
          <w:p>
            <w:pPr>
              <w:jc w:val="right"/>
              <w:spacing w:after="0" w:line="124" w:lineRule="exact"/>
              <w:rPr>
                <w:sz w:val="20"/>
                <w:szCs w:val="20"/>
                <w:color w:val="auto"/>
              </w:rPr>
            </w:pPr>
            <w:r>
              <w:rPr>
                <w:rFonts w:ascii="Arial" w:cs="Arial" w:eastAsia="Arial" w:hAnsi="Arial"/>
                <w:sz w:val="13"/>
                <w:szCs w:val="13"/>
                <w:color w:val="auto"/>
              </w:rPr>
              <w:t>334,616</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1480" w:type="dxa"/>
            <w:vAlign w:val="bottom"/>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8/31/2020</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87,951</w:t>
            </w: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880" w:type="dxa"/>
            <w:vAlign w:val="bottom"/>
          </w:tcPr>
          <w:p>
            <w:pPr>
              <w:ind w:left="6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3,000,009</w:t>
            </w:r>
          </w:p>
        </w:tc>
        <w:tc>
          <w:tcPr>
            <w:tcW w:w="0" w:type="dxa"/>
            <w:vAlign w:val="bottom"/>
          </w:tcPr>
          <w:p>
            <w:pPr>
              <w:spacing w:after="0"/>
              <w:rPr>
                <w:sz w:val="1"/>
                <w:szCs w:val="1"/>
                <w:color w:val="auto"/>
              </w:rPr>
            </w:pPr>
          </w:p>
        </w:tc>
      </w:tr>
      <w:tr>
        <w:trPr>
          <w:trHeight w:val="29"/>
        </w:trPr>
        <w:tc>
          <w:tcPr>
            <w:tcW w:w="1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1140" w:type="dxa"/>
            <w:vAlign w:val="bottom"/>
            <w:shd w:val="clear" w:color="auto" w:fill="CCCCCC"/>
          </w:tcPr>
          <w:p>
            <w:pPr>
              <w:ind w:left="40"/>
              <w:spacing w:after="0" w:line="136" w:lineRule="exact"/>
              <w:rPr>
                <w:sz w:val="20"/>
                <w:szCs w:val="20"/>
                <w:color w:val="auto"/>
              </w:rPr>
            </w:pPr>
            <w:r>
              <w:rPr>
                <w:rFonts w:ascii="Arial" w:cs="Arial" w:eastAsia="Arial" w:hAnsi="Arial"/>
                <w:sz w:val="13"/>
                <w:szCs w:val="13"/>
                <w:color w:val="auto"/>
              </w:rPr>
              <w:t>Mr. Hees</w:t>
            </w:r>
          </w:p>
        </w:tc>
        <w:tc>
          <w:tcPr>
            <w:tcW w:w="1480" w:type="dxa"/>
            <w:vAlign w:val="bottom"/>
            <w:shd w:val="clear" w:color="auto" w:fill="CCCCCC"/>
          </w:tcPr>
          <w:p>
            <w:pPr>
              <w:ind w:left="120"/>
              <w:spacing w:after="0" w:line="136" w:lineRule="exact"/>
              <w:rPr>
                <w:sz w:val="20"/>
                <w:szCs w:val="20"/>
                <w:color w:val="auto"/>
              </w:rPr>
            </w:pPr>
            <w:r>
              <w:rPr>
                <w:rFonts w:ascii="Arial" w:cs="Arial" w:eastAsia="Arial" w:hAnsi="Arial"/>
                <w:sz w:val="13"/>
                <w:szCs w:val="13"/>
                <w:color w:val="auto"/>
              </w:rPr>
              <w:t>Annual Incentive</w:t>
            </w:r>
          </w:p>
        </w:tc>
        <w:tc>
          <w:tcPr>
            <w:tcW w:w="120" w:type="dxa"/>
            <w:vAlign w:val="bottom"/>
            <w:shd w:val="clear" w:color="auto" w:fill="CCCCCC"/>
          </w:tcPr>
          <w:p>
            <w:pPr>
              <w:spacing w:after="0"/>
              <w:rPr>
                <w:sz w:val="11"/>
                <w:szCs w:val="11"/>
                <w:color w:val="auto"/>
              </w:rPr>
            </w:pPr>
          </w:p>
        </w:tc>
        <w:tc>
          <w:tcPr>
            <w:tcW w:w="660" w:type="dxa"/>
            <w:vAlign w:val="bottom"/>
            <w:shd w:val="clear" w:color="auto" w:fill="CCCCCC"/>
          </w:tcPr>
          <w:p>
            <w:pPr>
              <w:jc w:val="right"/>
              <w:spacing w:after="0" w:line="136" w:lineRule="exact"/>
              <w:rPr>
                <w:sz w:val="20"/>
                <w:szCs w:val="20"/>
                <w:color w:val="auto"/>
              </w:rPr>
            </w:pPr>
            <w:r>
              <w:rPr>
                <w:rFonts w:ascii="Arial" w:cs="Arial" w:eastAsia="Arial" w:hAnsi="Arial"/>
                <w:sz w:val="13"/>
                <w:szCs w:val="13"/>
                <w:color w:val="auto"/>
              </w:rPr>
              <w:t>—</w:t>
            </w:r>
          </w:p>
        </w:tc>
        <w:tc>
          <w:tcPr>
            <w:tcW w:w="920" w:type="dxa"/>
            <w:vAlign w:val="bottom"/>
            <w:shd w:val="clear" w:color="auto" w:fill="CCCCCC"/>
          </w:tcPr>
          <w:p>
            <w:pPr>
              <w:jc w:val="right"/>
              <w:ind w:right="57"/>
              <w:spacing w:after="0" w:line="136" w:lineRule="exact"/>
              <w:rPr>
                <w:sz w:val="20"/>
                <w:szCs w:val="20"/>
                <w:color w:val="auto"/>
              </w:rPr>
            </w:pPr>
            <w:r>
              <w:rPr>
                <w:rFonts w:ascii="Arial" w:cs="Arial" w:eastAsia="Arial" w:hAnsi="Arial"/>
                <w:sz w:val="13"/>
                <w:szCs w:val="13"/>
                <w:color w:val="auto"/>
              </w:rPr>
              <w:t>—</w:t>
            </w:r>
          </w:p>
        </w:tc>
        <w:tc>
          <w:tcPr>
            <w:tcW w:w="640" w:type="dxa"/>
            <w:vAlign w:val="bottom"/>
            <w:shd w:val="clear" w:color="auto" w:fill="CCCCCC"/>
          </w:tcPr>
          <w:p>
            <w:pPr>
              <w:jc w:val="right"/>
              <w:ind w:right="17"/>
              <w:spacing w:after="0" w:line="136"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CCCC"/>
          </w:tcPr>
          <w:p>
            <w:pPr>
              <w:jc w:val="right"/>
              <w:ind w:right="120"/>
              <w:spacing w:after="0" w:line="136" w:lineRule="exact"/>
              <w:rPr>
                <w:sz w:val="20"/>
                <w:szCs w:val="20"/>
                <w:color w:val="auto"/>
              </w:rPr>
            </w:pPr>
            <w:r>
              <w:rPr>
                <w:rFonts w:ascii="Arial" w:cs="Arial" w:eastAsia="Arial" w:hAnsi="Arial"/>
                <w:sz w:val="13"/>
                <w:szCs w:val="13"/>
                <w:color w:val="auto"/>
              </w:rPr>
              <w:t>—</w:t>
            </w:r>
          </w:p>
        </w:tc>
        <w:tc>
          <w:tcPr>
            <w:tcW w:w="74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c>
          <w:tcPr>
            <w:tcW w:w="480" w:type="dxa"/>
            <w:vAlign w:val="bottom"/>
            <w:shd w:val="clear" w:color="auto" w:fill="CCCCCC"/>
          </w:tcPr>
          <w:p>
            <w:pPr>
              <w:spacing w:after="0"/>
              <w:rPr>
                <w:sz w:val="11"/>
                <w:szCs w:val="11"/>
                <w:color w:val="auto"/>
              </w:rPr>
            </w:pPr>
          </w:p>
        </w:tc>
        <w:tc>
          <w:tcPr>
            <w:tcW w:w="980" w:type="dxa"/>
            <w:vAlign w:val="bottom"/>
            <w:shd w:val="clear" w:color="auto" w:fill="CCCCCC"/>
          </w:tcPr>
          <w:p>
            <w:pPr>
              <w:spacing w:after="0"/>
              <w:rPr>
                <w:sz w:val="11"/>
                <w:szCs w:val="11"/>
                <w:color w:val="auto"/>
              </w:rPr>
            </w:pPr>
          </w:p>
        </w:tc>
        <w:tc>
          <w:tcPr>
            <w:tcW w:w="920" w:type="dxa"/>
            <w:vAlign w:val="bottom"/>
            <w:shd w:val="clear" w:color="auto" w:fill="CCCCCC"/>
          </w:tcPr>
          <w:p>
            <w:pPr>
              <w:spacing w:after="0"/>
              <w:rPr>
                <w:sz w:val="11"/>
                <w:szCs w:val="11"/>
                <w:color w:val="auto"/>
              </w:rPr>
            </w:pPr>
          </w:p>
        </w:tc>
        <w:tc>
          <w:tcPr>
            <w:tcW w:w="880" w:type="dxa"/>
            <w:vAlign w:val="bottom"/>
            <w:shd w:val="clear" w:color="auto" w:fill="CCCCCC"/>
          </w:tcPr>
          <w:p>
            <w:pPr>
              <w:spacing w:after="0"/>
              <w:rPr>
                <w:sz w:val="11"/>
                <w:szCs w:val="11"/>
                <w:color w:val="auto"/>
              </w:rPr>
            </w:pPr>
          </w:p>
        </w:tc>
        <w:tc>
          <w:tcPr>
            <w:tcW w:w="78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2/21/2020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3,356</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160,887</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6/30/2020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65,531</w:t>
            </w:r>
          </w:p>
        </w:tc>
        <w:tc>
          <w:tcPr>
            <w:tcW w:w="9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1,500,005</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6/30/2020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43,687</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999,995</w:t>
            </w:r>
          </w:p>
        </w:tc>
        <w:tc>
          <w:tcPr>
            <w:tcW w:w="0" w:type="dxa"/>
            <w:vAlign w:val="bottom"/>
          </w:tcPr>
          <w:p>
            <w:pPr>
              <w:spacing w:after="0"/>
              <w:rPr>
                <w:sz w:val="1"/>
                <w:szCs w:val="1"/>
                <w:color w:val="auto"/>
              </w:rPr>
            </w:pPr>
          </w:p>
        </w:tc>
      </w:tr>
      <w:tr>
        <w:trPr>
          <w:trHeight w:val="153"/>
        </w:trPr>
        <w:tc>
          <w:tcPr>
            <w:tcW w:w="1140" w:type="dxa"/>
            <w:vAlign w:val="bottom"/>
            <w:tcBorders>
              <w:bottom w:val="single" w:sz="8" w:color="auto"/>
            </w:tcBorders>
            <w:shd w:val="clear" w:color="auto" w:fill="CCCCCC"/>
          </w:tcPr>
          <w:p>
            <w:pPr>
              <w:spacing w:after="0"/>
              <w:rPr>
                <w:sz w:val="13"/>
                <w:szCs w:val="13"/>
                <w:color w:val="auto"/>
              </w:rPr>
            </w:pPr>
          </w:p>
        </w:tc>
        <w:tc>
          <w:tcPr>
            <w:tcW w:w="148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3"/>
                <w:szCs w:val="13"/>
                <w:color w:val="auto"/>
              </w:rPr>
              <w:t>PSU</w:t>
            </w:r>
          </w:p>
        </w:tc>
        <w:tc>
          <w:tcPr>
            <w:tcW w:w="120" w:type="dxa"/>
            <w:vAlign w:val="bottom"/>
            <w:tcBorders>
              <w:bottom w:val="single" w:sz="8" w:color="auto"/>
            </w:tcBorders>
            <w:shd w:val="clear" w:color="auto" w:fill="CCCCCC"/>
          </w:tcPr>
          <w:p>
            <w:pPr>
              <w:spacing w:after="0"/>
              <w:rPr>
                <w:sz w:val="13"/>
                <w:szCs w:val="13"/>
                <w:color w:val="auto"/>
              </w:rPr>
            </w:pPr>
          </w:p>
        </w:tc>
        <w:tc>
          <w:tcPr>
            <w:tcW w:w="6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6/30/2020</w:t>
            </w:r>
          </w:p>
        </w:tc>
        <w:tc>
          <w:tcPr>
            <w:tcW w:w="920" w:type="dxa"/>
            <w:vAlign w:val="bottom"/>
            <w:tcBorders>
              <w:bottom w:val="single" w:sz="8" w:color="auto"/>
            </w:tcBorders>
            <w:shd w:val="clear" w:color="auto" w:fill="CCCCCC"/>
          </w:tcPr>
          <w:p>
            <w:pPr>
              <w:spacing w:after="0"/>
              <w:rPr>
                <w:sz w:val="13"/>
                <w:szCs w:val="13"/>
                <w:color w:val="auto"/>
              </w:rPr>
            </w:pPr>
          </w:p>
        </w:tc>
        <w:tc>
          <w:tcPr>
            <w:tcW w:w="640" w:type="dxa"/>
            <w:vAlign w:val="bottom"/>
            <w:tcBorders>
              <w:bottom w:val="single" w:sz="8" w:color="auto"/>
            </w:tcBorders>
            <w:shd w:val="clear" w:color="auto" w:fill="CCCCCC"/>
          </w:tcPr>
          <w:p>
            <w:pPr>
              <w:spacing w:after="0"/>
              <w:rPr>
                <w:sz w:val="13"/>
                <w:szCs w:val="13"/>
                <w:color w:val="auto"/>
              </w:rPr>
            </w:pPr>
          </w:p>
        </w:tc>
        <w:tc>
          <w:tcPr>
            <w:tcW w:w="600" w:type="dxa"/>
            <w:vAlign w:val="bottom"/>
            <w:tcBorders>
              <w:bottom w:val="single" w:sz="8" w:color="auto"/>
            </w:tcBorders>
            <w:shd w:val="clear" w:color="auto" w:fill="CCCCCC"/>
          </w:tcPr>
          <w:p>
            <w:pPr>
              <w:spacing w:after="0"/>
              <w:rPr>
                <w:sz w:val="13"/>
                <w:szCs w:val="13"/>
                <w:color w:val="auto"/>
              </w:rPr>
            </w:pPr>
          </w:p>
        </w:tc>
        <w:tc>
          <w:tcPr>
            <w:tcW w:w="120" w:type="dxa"/>
            <w:vAlign w:val="bottom"/>
            <w:tcBorders>
              <w:bottom w:val="single" w:sz="8" w:color="auto"/>
            </w:tcBorders>
            <w:shd w:val="clear" w:color="auto" w:fill="CCCCCC"/>
          </w:tcPr>
          <w:p>
            <w:pPr>
              <w:spacing w:after="0"/>
              <w:rPr>
                <w:sz w:val="13"/>
                <w:szCs w:val="13"/>
                <w:color w:val="auto"/>
              </w:rPr>
            </w:pPr>
          </w:p>
        </w:tc>
        <w:tc>
          <w:tcPr>
            <w:tcW w:w="740" w:type="dxa"/>
            <w:vAlign w:val="bottom"/>
            <w:tcBorders>
              <w:bottom w:val="single" w:sz="8" w:color="auto"/>
            </w:tcBorders>
            <w:shd w:val="clear" w:color="auto" w:fill="CCCCCC"/>
          </w:tcPr>
          <w:p>
            <w:pPr>
              <w:spacing w:after="0"/>
              <w:rPr>
                <w:sz w:val="13"/>
                <w:szCs w:val="13"/>
                <w:color w:val="auto"/>
              </w:rPr>
            </w:pPr>
          </w:p>
        </w:tc>
        <w:tc>
          <w:tcPr>
            <w:tcW w:w="780" w:type="dxa"/>
            <w:vAlign w:val="bottom"/>
            <w:tcBorders>
              <w:bottom w:val="single" w:sz="8" w:color="auto"/>
            </w:tcBorders>
            <w:shd w:val="clear" w:color="auto" w:fill="CCCCCC"/>
          </w:tcPr>
          <w:p>
            <w:pPr>
              <w:jc w:val="right"/>
              <w:ind w:right="157"/>
              <w:spacing w:after="0"/>
              <w:rPr>
                <w:sz w:val="20"/>
                <w:szCs w:val="20"/>
                <w:color w:val="auto"/>
              </w:rPr>
            </w:pPr>
            <w:r>
              <w:rPr>
                <w:rFonts w:ascii="Arial" w:cs="Arial" w:eastAsia="Arial" w:hAnsi="Arial"/>
                <w:sz w:val="13"/>
                <w:szCs w:val="13"/>
                <w:color w:val="auto"/>
              </w:rPr>
              <w:t>37,500</w:t>
            </w:r>
          </w:p>
        </w:tc>
        <w:tc>
          <w:tcPr>
            <w:tcW w:w="480" w:type="dxa"/>
            <w:vAlign w:val="bottom"/>
            <w:tcBorders>
              <w:bottom w:val="single" w:sz="8" w:color="auto"/>
            </w:tcBorders>
            <w:shd w:val="clear" w:color="auto" w:fill="CCCCCC"/>
          </w:tcPr>
          <w:p>
            <w:pPr>
              <w:spacing w:after="0"/>
              <w:rPr>
                <w:sz w:val="13"/>
                <w:szCs w:val="13"/>
                <w:color w:val="auto"/>
              </w:rPr>
            </w:pPr>
          </w:p>
        </w:tc>
        <w:tc>
          <w:tcPr>
            <w:tcW w:w="980" w:type="dxa"/>
            <w:vAlign w:val="bottom"/>
            <w:tcBorders>
              <w:bottom w:val="single" w:sz="8" w:color="auto"/>
            </w:tcBorders>
            <w:shd w:val="clear" w:color="auto" w:fill="CCCCCC"/>
          </w:tcPr>
          <w:p>
            <w:pPr>
              <w:spacing w:after="0"/>
              <w:rPr>
                <w:sz w:val="13"/>
                <w:szCs w:val="13"/>
                <w:color w:val="auto"/>
              </w:rPr>
            </w:pPr>
          </w:p>
        </w:tc>
        <w:tc>
          <w:tcPr>
            <w:tcW w:w="920" w:type="dxa"/>
            <w:vAlign w:val="bottom"/>
            <w:tcBorders>
              <w:bottom w:val="single" w:sz="8" w:color="auto"/>
            </w:tcBorders>
            <w:shd w:val="clear" w:color="auto" w:fill="CCCCCC"/>
          </w:tcPr>
          <w:p>
            <w:pPr>
              <w:spacing w:after="0"/>
              <w:rPr>
                <w:sz w:val="13"/>
                <w:szCs w:val="13"/>
                <w:color w:val="auto"/>
              </w:rPr>
            </w:pPr>
          </w:p>
        </w:tc>
        <w:tc>
          <w:tcPr>
            <w:tcW w:w="880" w:type="dxa"/>
            <w:vAlign w:val="bottom"/>
            <w:tcBorders>
              <w:bottom w:val="single" w:sz="8" w:color="auto"/>
            </w:tcBorders>
            <w:shd w:val="clear" w:color="auto" w:fill="CCCCCC"/>
          </w:tcPr>
          <w:p>
            <w:pPr>
              <w:spacing w:after="0"/>
              <w:rPr>
                <w:sz w:val="13"/>
                <w:szCs w:val="13"/>
                <w:color w:val="auto"/>
              </w:rPr>
            </w:pPr>
          </w:p>
        </w:tc>
        <w:tc>
          <w:tcPr>
            <w:tcW w:w="7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858,375</w:t>
            </w:r>
          </w:p>
        </w:tc>
        <w:tc>
          <w:tcPr>
            <w:tcW w:w="0" w:type="dxa"/>
            <w:vAlign w:val="bottom"/>
          </w:tcPr>
          <w:p>
            <w:pPr>
              <w:spacing w:after="0"/>
              <w:rPr>
                <w:sz w:val="1"/>
                <w:szCs w:val="1"/>
                <w:color w:val="auto"/>
              </w:rPr>
            </w:pPr>
          </w:p>
        </w:tc>
      </w:tr>
      <w:tr>
        <w:trPr>
          <w:trHeight w:val="124"/>
        </w:trPr>
        <w:tc>
          <w:tcPr>
            <w:tcW w:w="1140" w:type="dxa"/>
            <w:vAlign w:val="bottom"/>
          </w:tcPr>
          <w:p>
            <w:pPr>
              <w:ind w:left="40"/>
              <w:spacing w:after="0" w:line="124" w:lineRule="exact"/>
              <w:rPr>
                <w:sz w:val="20"/>
                <w:szCs w:val="20"/>
                <w:color w:val="auto"/>
              </w:rPr>
            </w:pPr>
            <w:r>
              <w:rPr>
                <w:rFonts w:ascii="Arial" w:cs="Arial" w:eastAsia="Arial" w:hAnsi="Arial"/>
                <w:sz w:val="13"/>
                <w:szCs w:val="13"/>
                <w:color w:val="auto"/>
              </w:rPr>
              <w:t>Mr. Rankin</w:t>
            </w:r>
          </w:p>
        </w:tc>
        <w:tc>
          <w:tcPr>
            <w:tcW w:w="1480" w:type="dxa"/>
            <w:vAlign w:val="bottom"/>
          </w:tcPr>
          <w:p>
            <w:pPr>
              <w:ind w:left="120"/>
              <w:spacing w:after="0" w:line="124" w:lineRule="exact"/>
              <w:rPr>
                <w:sz w:val="20"/>
                <w:szCs w:val="20"/>
                <w:color w:val="auto"/>
              </w:rPr>
            </w:pPr>
            <w:r>
              <w:rPr>
                <w:rFonts w:ascii="Arial" w:cs="Arial" w:eastAsia="Arial" w:hAnsi="Arial"/>
                <w:sz w:val="13"/>
                <w:szCs w:val="13"/>
                <w:color w:val="auto"/>
              </w:rPr>
              <w:t>Annual Incentive</w:t>
            </w:r>
          </w:p>
        </w:tc>
        <w:tc>
          <w:tcPr>
            <w:tcW w:w="12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line="124" w:lineRule="exact"/>
              <w:rPr>
                <w:sz w:val="20"/>
                <w:szCs w:val="20"/>
                <w:color w:val="auto"/>
              </w:rPr>
            </w:pPr>
            <w:r>
              <w:rPr>
                <w:rFonts w:ascii="Arial" w:cs="Arial" w:eastAsia="Arial" w:hAnsi="Arial"/>
                <w:sz w:val="13"/>
                <w:szCs w:val="13"/>
                <w:color w:val="auto"/>
              </w:rPr>
              <w:t>125,194</w:t>
            </w:r>
          </w:p>
        </w:tc>
        <w:tc>
          <w:tcPr>
            <w:tcW w:w="640" w:type="dxa"/>
            <w:vAlign w:val="bottom"/>
          </w:tcPr>
          <w:p>
            <w:pPr>
              <w:jc w:val="right"/>
              <w:ind w:right="17"/>
              <w:spacing w:after="0" w:line="124" w:lineRule="exact"/>
              <w:rPr>
                <w:sz w:val="20"/>
                <w:szCs w:val="20"/>
                <w:color w:val="auto"/>
              </w:rPr>
            </w:pPr>
            <w:r>
              <w:rPr>
                <w:rFonts w:ascii="Arial" w:cs="Arial" w:eastAsia="Arial" w:hAnsi="Arial"/>
                <w:sz w:val="13"/>
                <w:szCs w:val="13"/>
                <w:color w:val="auto"/>
              </w:rPr>
              <w:t>500,777</w:t>
            </w:r>
          </w:p>
        </w:tc>
        <w:tc>
          <w:tcPr>
            <w:tcW w:w="720" w:type="dxa"/>
            <w:vAlign w:val="bottom"/>
            <w:gridSpan w:val="2"/>
          </w:tcPr>
          <w:p>
            <w:pPr>
              <w:jc w:val="right"/>
              <w:ind w:right="120"/>
              <w:spacing w:after="0" w:line="124" w:lineRule="exact"/>
              <w:rPr>
                <w:sz w:val="20"/>
                <w:szCs w:val="20"/>
                <w:color w:val="auto"/>
              </w:rPr>
            </w:pPr>
            <w:r>
              <w:rPr>
                <w:rFonts w:ascii="Arial" w:cs="Arial" w:eastAsia="Arial" w:hAnsi="Arial"/>
                <w:sz w:val="13"/>
                <w:szCs w:val="13"/>
                <w:color w:val="auto"/>
              </w:rPr>
              <w:t>1,001,554</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80" w:type="dxa"/>
            <w:vAlign w:val="bottom"/>
          </w:tcPr>
          <w:p>
            <w:pPr>
              <w:ind w:left="120"/>
              <w:spacing w:after="0" w:line="135" w:lineRule="exact"/>
              <w:rPr>
                <w:sz w:val="20"/>
                <w:szCs w:val="20"/>
                <w:color w:val="auto"/>
              </w:rPr>
            </w:pPr>
            <w:r>
              <w:rPr>
                <w:rFonts w:ascii="Arial" w:cs="Arial" w:eastAsia="Arial" w:hAnsi="Arial"/>
                <w:sz w:val="13"/>
                <w:szCs w:val="13"/>
                <w:color w:val="auto"/>
              </w:rPr>
              <w:t>RSU</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3/9/2020</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24,893</w:t>
            </w:r>
          </w:p>
        </w:tc>
        <w:tc>
          <w:tcPr>
            <w:tcW w:w="920" w:type="dxa"/>
            <w:vAlign w:val="bottom"/>
          </w:tcPr>
          <w:p>
            <w:pPr>
              <w:ind w:left="68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6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524,993</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1480" w:type="dxa"/>
            <w:vAlign w:val="bottom"/>
          </w:tcPr>
          <w:p>
            <w:pPr>
              <w:ind w:left="120"/>
              <w:spacing w:after="0"/>
              <w:rPr>
                <w:sz w:val="20"/>
                <w:szCs w:val="20"/>
                <w:color w:val="auto"/>
              </w:rPr>
            </w:pPr>
            <w:r>
              <w:rPr>
                <w:rFonts w:ascii="Arial" w:cs="Arial" w:eastAsia="Arial" w:hAnsi="Arial"/>
                <w:sz w:val="13"/>
                <w:szCs w:val="13"/>
                <w:color w:val="auto"/>
              </w:rPr>
              <w:t>PSU</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12,447</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24,893</w:t>
            </w:r>
          </w:p>
        </w:tc>
        <w:tc>
          <w:tcPr>
            <w:tcW w:w="480" w:type="dxa"/>
            <w:vAlign w:val="bottom"/>
          </w:tcPr>
          <w:p>
            <w:pPr>
              <w:jc w:val="right"/>
              <w:spacing w:after="0"/>
              <w:rPr>
                <w:sz w:val="20"/>
                <w:szCs w:val="20"/>
                <w:color w:val="auto"/>
              </w:rPr>
            </w:pPr>
            <w:r>
              <w:rPr>
                <w:rFonts w:ascii="Arial" w:cs="Arial" w:eastAsia="Arial" w:hAnsi="Arial"/>
                <w:sz w:val="13"/>
                <w:szCs w:val="13"/>
                <w:color w:val="auto"/>
              </w:rPr>
              <w:t>49,786</w:t>
            </w:r>
          </w:p>
        </w:tc>
        <w:tc>
          <w:tcPr>
            <w:tcW w:w="980" w:type="dxa"/>
            <w:vAlign w:val="bottom"/>
          </w:tcPr>
          <w:p>
            <w:pPr>
              <w:spacing w:after="0"/>
              <w:rPr>
                <w:sz w:val="13"/>
                <w:szCs w:val="1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880" w:type="dxa"/>
            <w:vAlign w:val="bottom"/>
          </w:tcPr>
          <w:p>
            <w:pPr>
              <w:ind w:left="6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524,993</w:t>
            </w:r>
          </w:p>
        </w:tc>
        <w:tc>
          <w:tcPr>
            <w:tcW w:w="0" w:type="dxa"/>
            <w:vAlign w:val="bottom"/>
          </w:tcPr>
          <w:p>
            <w:pPr>
              <w:spacing w:after="0"/>
              <w:rPr>
                <w:sz w:val="1"/>
                <w:szCs w:val="1"/>
                <w:color w:val="auto"/>
              </w:rPr>
            </w:pPr>
          </w:p>
        </w:tc>
      </w:tr>
      <w:tr>
        <w:trPr>
          <w:trHeight w:val="37"/>
        </w:trPr>
        <w:tc>
          <w:tcPr>
            <w:tcW w:w="1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CCCC"/>
          </w:tcPr>
          <w:p>
            <w:pPr>
              <w:ind w:left="40"/>
              <w:spacing w:after="0" w:line="143" w:lineRule="exact"/>
              <w:rPr>
                <w:sz w:val="20"/>
                <w:szCs w:val="20"/>
                <w:color w:val="auto"/>
              </w:rPr>
            </w:pPr>
            <w:r>
              <w:rPr>
                <w:rFonts w:ascii="Arial" w:cs="Arial" w:eastAsia="Arial" w:hAnsi="Arial"/>
                <w:sz w:val="13"/>
                <w:szCs w:val="13"/>
                <w:color w:val="auto"/>
              </w:rPr>
              <w:t>Ms. Martins</w:t>
            </w:r>
          </w:p>
        </w:tc>
        <w:tc>
          <w:tcPr>
            <w:tcW w:w="1480" w:type="dxa"/>
            <w:vAlign w:val="bottom"/>
            <w:shd w:val="clear" w:color="auto" w:fill="CCCCCC"/>
          </w:tcPr>
          <w:p>
            <w:pPr>
              <w:ind w:left="120"/>
              <w:spacing w:after="0" w:line="143" w:lineRule="exact"/>
              <w:rPr>
                <w:sz w:val="20"/>
                <w:szCs w:val="20"/>
                <w:color w:val="auto"/>
              </w:rPr>
            </w:pPr>
            <w:r>
              <w:rPr>
                <w:rFonts w:ascii="Arial" w:cs="Arial" w:eastAsia="Arial" w:hAnsi="Arial"/>
                <w:sz w:val="13"/>
                <w:szCs w:val="13"/>
                <w:color w:val="auto"/>
              </w:rPr>
              <w:t>Annual Incentive</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line="143" w:lineRule="exact"/>
              <w:rPr>
                <w:sz w:val="20"/>
                <w:szCs w:val="20"/>
                <w:color w:val="auto"/>
              </w:rPr>
            </w:pPr>
            <w:r>
              <w:rPr>
                <w:rFonts w:ascii="Arial" w:cs="Arial" w:eastAsia="Arial" w:hAnsi="Arial"/>
                <w:sz w:val="13"/>
                <w:szCs w:val="13"/>
                <w:color w:val="auto"/>
              </w:rPr>
              <w:t>—</w:t>
            </w:r>
          </w:p>
        </w:tc>
        <w:tc>
          <w:tcPr>
            <w:tcW w:w="920" w:type="dxa"/>
            <w:vAlign w:val="bottom"/>
            <w:shd w:val="clear" w:color="auto" w:fill="CCCCCC"/>
          </w:tcPr>
          <w:p>
            <w:pPr>
              <w:jc w:val="right"/>
              <w:ind w:right="57"/>
              <w:spacing w:after="0" w:line="143" w:lineRule="exact"/>
              <w:rPr>
                <w:sz w:val="20"/>
                <w:szCs w:val="20"/>
                <w:color w:val="auto"/>
              </w:rPr>
            </w:pPr>
            <w:r>
              <w:rPr>
                <w:rFonts w:ascii="Arial" w:cs="Arial" w:eastAsia="Arial" w:hAnsi="Arial"/>
                <w:sz w:val="13"/>
                <w:szCs w:val="13"/>
                <w:color w:val="auto"/>
              </w:rPr>
              <w:t>47,909</w:t>
            </w:r>
          </w:p>
        </w:tc>
        <w:tc>
          <w:tcPr>
            <w:tcW w:w="640" w:type="dxa"/>
            <w:vAlign w:val="bottom"/>
            <w:shd w:val="clear" w:color="auto" w:fill="CCCCCC"/>
          </w:tcPr>
          <w:p>
            <w:pPr>
              <w:jc w:val="right"/>
              <w:ind w:right="17"/>
              <w:spacing w:after="0" w:line="143" w:lineRule="exact"/>
              <w:rPr>
                <w:sz w:val="20"/>
                <w:szCs w:val="20"/>
                <w:color w:val="auto"/>
              </w:rPr>
            </w:pPr>
            <w:r>
              <w:rPr>
                <w:rFonts w:ascii="Arial" w:cs="Arial" w:eastAsia="Arial" w:hAnsi="Arial"/>
                <w:sz w:val="13"/>
                <w:szCs w:val="13"/>
                <w:color w:val="auto"/>
              </w:rPr>
              <w:t>191,637</w:t>
            </w:r>
          </w:p>
        </w:tc>
        <w:tc>
          <w:tcPr>
            <w:tcW w:w="600" w:type="dxa"/>
            <w:vAlign w:val="bottom"/>
            <w:shd w:val="clear" w:color="auto" w:fill="CCCCCC"/>
          </w:tcPr>
          <w:p>
            <w:pPr>
              <w:jc w:val="right"/>
              <w:spacing w:after="0" w:line="143" w:lineRule="exact"/>
              <w:rPr>
                <w:sz w:val="20"/>
                <w:szCs w:val="20"/>
                <w:color w:val="auto"/>
              </w:rPr>
            </w:pPr>
            <w:r>
              <w:rPr>
                <w:rFonts w:ascii="Arial" w:cs="Arial" w:eastAsia="Arial" w:hAnsi="Arial"/>
                <w:sz w:val="13"/>
                <w:szCs w:val="13"/>
                <w:color w:val="auto"/>
              </w:rPr>
              <w:t>383,275</w:t>
            </w: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1/2/2020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1,800</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59,994</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2/3/2020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1,800</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59,094</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3/2/2020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1,800</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58,104</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10,787</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227,498</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PSU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2,312</w:t>
            </w:r>
          </w:p>
        </w:tc>
        <w:tc>
          <w:tcPr>
            <w:tcW w:w="780" w:type="dxa"/>
            <w:vAlign w:val="bottom"/>
            <w:shd w:val="clear" w:color="auto" w:fill="CCCCCC"/>
          </w:tcPr>
          <w:p>
            <w:pPr>
              <w:jc w:val="right"/>
              <w:ind w:right="157"/>
              <w:spacing w:after="0"/>
              <w:rPr>
                <w:sz w:val="20"/>
                <w:szCs w:val="20"/>
                <w:color w:val="auto"/>
              </w:rPr>
            </w:pPr>
            <w:r>
              <w:rPr>
                <w:rFonts w:ascii="Arial" w:cs="Arial" w:eastAsia="Arial" w:hAnsi="Arial"/>
                <w:sz w:val="13"/>
                <w:szCs w:val="13"/>
                <w:color w:val="auto"/>
              </w:rPr>
              <w:t>4,623</w:t>
            </w:r>
          </w:p>
        </w:tc>
        <w:tc>
          <w:tcPr>
            <w:tcW w:w="4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9,246</w:t>
            </w:r>
          </w:p>
        </w:tc>
        <w:tc>
          <w:tcPr>
            <w:tcW w:w="98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97,499</w:t>
            </w:r>
          </w:p>
        </w:tc>
        <w:tc>
          <w:tcPr>
            <w:tcW w:w="0" w:type="dxa"/>
            <w:vAlign w:val="bottom"/>
          </w:tcPr>
          <w:p>
            <w:pPr>
              <w:spacing w:after="0"/>
              <w:rPr>
                <w:sz w:val="1"/>
                <w:szCs w:val="1"/>
                <w:color w:val="auto"/>
              </w:rPr>
            </w:pPr>
          </w:p>
        </w:tc>
      </w:tr>
      <w:tr>
        <w:trPr>
          <w:trHeight w:val="149"/>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4/1/2020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1,800</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23,130</w:t>
            </w: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rPr>
                <w:sz w:val="20"/>
                <w:szCs w:val="20"/>
                <w:color w:val="auto"/>
              </w:rPr>
            </w:pPr>
            <w:r>
              <w:rPr>
                <w:rFonts w:ascii="Arial" w:cs="Arial" w:eastAsia="Arial" w:hAnsi="Arial"/>
                <w:sz w:val="13"/>
                <w:szCs w:val="13"/>
                <w:color w:val="auto"/>
              </w:rPr>
              <w:t>5/1/2020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1,800</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25,020</w:t>
            </w:r>
          </w:p>
        </w:tc>
        <w:tc>
          <w:tcPr>
            <w:tcW w:w="0" w:type="dxa"/>
            <w:vAlign w:val="bottom"/>
          </w:tcPr>
          <w:p>
            <w:pPr>
              <w:spacing w:after="0"/>
              <w:rPr>
                <w:sz w:val="1"/>
                <w:szCs w:val="1"/>
                <w:color w:val="auto"/>
              </w:rPr>
            </w:pPr>
          </w:p>
        </w:tc>
      </w:tr>
      <w:tr>
        <w:trPr>
          <w:trHeight w:val="153"/>
        </w:trPr>
        <w:tc>
          <w:tcPr>
            <w:tcW w:w="1140" w:type="dxa"/>
            <w:vAlign w:val="bottom"/>
            <w:tcBorders>
              <w:bottom w:val="single" w:sz="8" w:color="auto"/>
            </w:tcBorders>
            <w:shd w:val="clear" w:color="auto" w:fill="CCCCCC"/>
          </w:tcPr>
          <w:p>
            <w:pPr>
              <w:spacing w:after="0"/>
              <w:rPr>
                <w:sz w:val="13"/>
                <w:szCs w:val="13"/>
                <w:color w:val="auto"/>
              </w:rPr>
            </w:pPr>
          </w:p>
        </w:tc>
        <w:tc>
          <w:tcPr>
            <w:tcW w:w="148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120" w:type="dxa"/>
            <w:vAlign w:val="bottom"/>
            <w:tcBorders>
              <w:bottom w:val="single" w:sz="8" w:color="auto"/>
            </w:tcBorders>
            <w:shd w:val="clear" w:color="auto" w:fill="CCCCCC"/>
          </w:tcPr>
          <w:p>
            <w:pPr>
              <w:spacing w:after="0"/>
              <w:rPr>
                <w:sz w:val="13"/>
                <w:szCs w:val="13"/>
                <w:color w:val="auto"/>
              </w:rPr>
            </w:pPr>
          </w:p>
        </w:tc>
        <w:tc>
          <w:tcPr>
            <w:tcW w:w="66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6/1/2020</w:t>
            </w:r>
          </w:p>
        </w:tc>
        <w:tc>
          <w:tcPr>
            <w:tcW w:w="920" w:type="dxa"/>
            <w:vAlign w:val="bottom"/>
            <w:tcBorders>
              <w:bottom w:val="single" w:sz="8" w:color="auto"/>
            </w:tcBorders>
            <w:shd w:val="clear" w:color="auto" w:fill="CCCCCC"/>
          </w:tcPr>
          <w:p>
            <w:pPr>
              <w:spacing w:after="0"/>
              <w:rPr>
                <w:sz w:val="13"/>
                <w:szCs w:val="13"/>
                <w:color w:val="auto"/>
              </w:rPr>
            </w:pPr>
          </w:p>
        </w:tc>
        <w:tc>
          <w:tcPr>
            <w:tcW w:w="640" w:type="dxa"/>
            <w:vAlign w:val="bottom"/>
            <w:tcBorders>
              <w:bottom w:val="single" w:sz="8" w:color="auto"/>
            </w:tcBorders>
            <w:shd w:val="clear" w:color="auto" w:fill="CCCCCC"/>
          </w:tcPr>
          <w:p>
            <w:pPr>
              <w:spacing w:after="0"/>
              <w:rPr>
                <w:sz w:val="13"/>
                <w:szCs w:val="13"/>
                <w:color w:val="auto"/>
              </w:rPr>
            </w:pPr>
          </w:p>
        </w:tc>
        <w:tc>
          <w:tcPr>
            <w:tcW w:w="600" w:type="dxa"/>
            <w:vAlign w:val="bottom"/>
            <w:tcBorders>
              <w:bottom w:val="single" w:sz="8" w:color="auto"/>
            </w:tcBorders>
            <w:shd w:val="clear" w:color="auto" w:fill="CCCCCC"/>
          </w:tcPr>
          <w:p>
            <w:pPr>
              <w:spacing w:after="0"/>
              <w:rPr>
                <w:sz w:val="13"/>
                <w:szCs w:val="13"/>
                <w:color w:val="auto"/>
              </w:rPr>
            </w:pPr>
          </w:p>
        </w:tc>
        <w:tc>
          <w:tcPr>
            <w:tcW w:w="120" w:type="dxa"/>
            <w:vAlign w:val="bottom"/>
            <w:tcBorders>
              <w:bottom w:val="single" w:sz="8" w:color="auto"/>
            </w:tcBorders>
            <w:shd w:val="clear" w:color="auto" w:fill="CCCCCC"/>
          </w:tcPr>
          <w:p>
            <w:pPr>
              <w:spacing w:after="0"/>
              <w:rPr>
                <w:sz w:val="13"/>
                <w:szCs w:val="13"/>
                <w:color w:val="auto"/>
              </w:rPr>
            </w:pPr>
          </w:p>
        </w:tc>
        <w:tc>
          <w:tcPr>
            <w:tcW w:w="740" w:type="dxa"/>
            <w:vAlign w:val="bottom"/>
            <w:tcBorders>
              <w:bottom w:val="single" w:sz="8" w:color="auto"/>
            </w:tcBorders>
            <w:shd w:val="clear" w:color="auto" w:fill="CCCCCC"/>
          </w:tcPr>
          <w:p>
            <w:pPr>
              <w:spacing w:after="0"/>
              <w:rPr>
                <w:sz w:val="13"/>
                <w:szCs w:val="13"/>
                <w:color w:val="auto"/>
              </w:rPr>
            </w:pPr>
          </w:p>
        </w:tc>
        <w:tc>
          <w:tcPr>
            <w:tcW w:w="780" w:type="dxa"/>
            <w:vAlign w:val="bottom"/>
            <w:tcBorders>
              <w:bottom w:val="single" w:sz="8" w:color="auto"/>
            </w:tcBorders>
            <w:shd w:val="clear" w:color="auto" w:fill="CCCCCC"/>
          </w:tcPr>
          <w:p>
            <w:pPr>
              <w:spacing w:after="0"/>
              <w:rPr>
                <w:sz w:val="13"/>
                <w:szCs w:val="13"/>
                <w:color w:val="auto"/>
              </w:rPr>
            </w:pPr>
          </w:p>
        </w:tc>
        <w:tc>
          <w:tcPr>
            <w:tcW w:w="480" w:type="dxa"/>
            <w:vAlign w:val="bottom"/>
            <w:tcBorders>
              <w:bottom w:val="single" w:sz="8" w:color="auto"/>
            </w:tcBorders>
            <w:shd w:val="clear" w:color="auto" w:fill="CCCCCC"/>
          </w:tcPr>
          <w:p>
            <w:pPr>
              <w:spacing w:after="0"/>
              <w:rPr>
                <w:sz w:val="13"/>
                <w:szCs w:val="13"/>
                <w:color w:val="auto"/>
              </w:rPr>
            </w:pPr>
          </w:p>
        </w:tc>
        <w:tc>
          <w:tcPr>
            <w:tcW w:w="980" w:type="dxa"/>
            <w:vAlign w:val="bottom"/>
            <w:tcBorders>
              <w:bottom w:val="single" w:sz="8" w:color="auto"/>
            </w:tcBorders>
            <w:shd w:val="clear" w:color="auto" w:fill="CCCCCC"/>
          </w:tcPr>
          <w:p>
            <w:pPr>
              <w:jc w:val="right"/>
              <w:ind w:right="37"/>
              <w:spacing w:after="0"/>
              <w:rPr>
                <w:sz w:val="20"/>
                <w:szCs w:val="20"/>
                <w:color w:val="auto"/>
              </w:rPr>
            </w:pPr>
            <w:r>
              <w:rPr>
                <w:rFonts w:ascii="Arial" w:cs="Arial" w:eastAsia="Arial" w:hAnsi="Arial"/>
                <w:sz w:val="13"/>
                <w:szCs w:val="13"/>
                <w:color w:val="auto"/>
              </w:rPr>
              <w:t>1,800</w:t>
            </w:r>
          </w:p>
        </w:tc>
        <w:tc>
          <w:tcPr>
            <w:tcW w:w="920" w:type="dxa"/>
            <w:vAlign w:val="bottom"/>
            <w:tcBorders>
              <w:bottom w:val="single" w:sz="8" w:color="auto"/>
            </w:tcBorders>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44,064</w:t>
            </w:r>
          </w:p>
        </w:tc>
        <w:tc>
          <w:tcPr>
            <w:tcW w:w="0" w:type="dxa"/>
            <w:vAlign w:val="bottom"/>
          </w:tcPr>
          <w:p>
            <w:pPr>
              <w:spacing w:after="0"/>
              <w:rPr>
                <w:sz w:val="1"/>
                <w:szCs w:val="1"/>
                <w:color w:val="auto"/>
              </w:rPr>
            </w:pPr>
          </w:p>
        </w:tc>
      </w:tr>
      <w:tr>
        <w:trPr>
          <w:trHeight w:val="124"/>
        </w:trPr>
        <w:tc>
          <w:tcPr>
            <w:tcW w:w="1140" w:type="dxa"/>
            <w:vAlign w:val="bottom"/>
          </w:tcPr>
          <w:p>
            <w:pPr>
              <w:ind w:left="40"/>
              <w:spacing w:after="0" w:line="124" w:lineRule="exact"/>
              <w:rPr>
                <w:sz w:val="20"/>
                <w:szCs w:val="20"/>
                <w:color w:val="auto"/>
              </w:rPr>
            </w:pPr>
            <w:r>
              <w:rPr>
                <w:rFonts w:ascii="Arial" w:cs="Arial" w:eastAsia="Arial" w:hAnsi="Arial"/>
                <w:sz w:val="13"/>
                <w:szCs w:val="13"/>
                <w:color w:val="auto"/>
              </w:rPr>
              <w:t>Mr. North</w:t>
            </w:r>
          </w:p>
        </w:tc>
        <w:tc>
          <w:tcPr>
            <w:tcW w:w="1480" w:type="dxa"/>
            <w:vAlign w:val="bottom"/>
          </w:tcPr>
          <w:p>
            <w:pPr>
              <w:ind w:left="120"/>
              <w:spacing w:after="0" w:line="124" w:lineRule="exact"/>
              <w:rPr>
                <w:sz w:val="20"/>
                <w:szCs w:val="20"/>
                <w:color w:val="auto"/>
              </w:rPr>
            </w:pPr>
            <w:r>
              <w:rPr>
                <w:rFonts w:ascii="Arial" w:cs="Arial" w:eastAsia="Arial" w:hAnsi="Arial"/>
                <w:sz w:val="13"/>
                <w:szCs w:val="13"/>
                <w:color w:val="auto"/>
              </w:rPr>
              <w:t>Annual Incentive</w:t>
            </w:r>
          </w:p>
        </w:tc>
        <w:tc>
          <w:tcPr>
            <w:tcW w:w="120" w:type="dxa"/>
            <w:vAlign w:val="bottom"/>
          </w:tcPr>
          <w:p>
            <w:pPr>
              <w:spacing w:after="0"/>
              <w:rPr>
                <w:sz w:val="10"/>
                <w:szCs w:val="10"/>
                <w:color w:val="auto"/>
              </w:rPr>
            </w:pPr>
          </w:p>
        </w:tc>
        <w:tc>
          <w:tcPr>
            <w:tcW w:w="660" w:type="dxa"/>
            <w:vAlign w:val="bottom"/>
          </w:tcPr>
          <w:p>
            <w:pPr>
              <w:jc w:val="right"/>
              <w:spacing w:after="0" w:line="124" w:lineRule="exact"/>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line="124" w:lineRule="exact"/>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line="124"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20"/>
              <w:spacing w:after="0" w:line="124" w:lineRule="exact"/>
              <w:rPr>
                <w:sz w:val="20"/>
                <w:szCs w:val="20"/>
                <w:color w:val="auto"/>
              </w:rPr>
            </w:pPr>
            <w:r>
              <w:rPr>
                <w:rFonts w:ascii="Arial" w:cs="Arial" w:eastAsia="Arial" w:hAnsi="Arial"/>
                <w:sz w:val="13"/>
                <w:szCs w:val="13"/>
                <w:color w:val="auto"/>
              </w:rPr>
              <w:t>—</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480" w:type="dxa"/>
            <w:vAlign w:val="bottom"/>
          </w:tcPr>
          <w:p>
            <w:pPr>
              <w:ind w:left="120"/>
              <w:spacing w:after="0" w:line="135" w:lineRule="exact"/>
              <w:rPr>
                <w:sz w:val="20"/>
                <w:szCs w:val="20"/>
                <w:color w:val="auto"/>
              </w:rPr>
            </w:pPr>
            <w:r>
              <w:rPr>
                <w:rFonts w:ascii="Arial" w:cs="Arial" w:eastAsia="Arial" w:hAnsi="Arial"/>
                <w:sz w:val="13"/>
                <w:szCs w:val="13"/>
                <w:color w:val="auto"/>
              </w:rPr>
              <w:t>RSU</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3/9/2020</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37,933</w:t>
            </w:r>
          </w:p>
        </w:tc>
        <w:tc>
          <w:tcPr>
            <w:tcW w:w="920" w:type="dxa"/>
            <w:vAlign w:val="bottom"/>
          </w:tcPr>
          <w:p>
            <w:pPr>
              <w:ind w:left="68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ind w:left="640"/>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800,007</w:t>
            </w:r>
          </w:p>
        </w:tc>
        <w:tc>
          <w:tcPr>
            <w:tcW w:w="0" w:type="dxa"/>
            <w:vAlign w:val="bottom"/>
          </w:tcPr>
          <w:p>
            <w:pPr>
              <w:spacing w:after="0"/>
              <w:rPr>
                <w:sz w:val="1"/>
                <w:szCs w:val="1"/>
                <w:color w:val="auto"/>
              </w:rPr>
            </w:pPr>
          </w:p>
        </w:tc>
      </w:tr>
      <w:tr>
        <w:trPr>
          <w:trHeight w:val="152"/>
        </w:trPr>
        <w:tc>
          <w:tcPr>
            <w:tcW w:w="1140" w:type="dxa"/>
            <w:vAlign w:val="bottom"/>
          </w:tcPr>
          <w:p>
            <w:pPr>
              <w:spacing w:after="0"/>
              <w:rPr>
                <w:sz w:val="13"/>
                <w:szCs w:val="13"/>
                <w:color w:val="auto"/>
              </w:rPr>
            </w:pPr>
          </w:p>
        </w:tc>
        <w:tc>
          <w:tcPr>
            <w:tcW w:w="1480" w:type="dxa"/>
            <w:vAlign w:val="bottom"/>
          </w:tcPr>
          <w:p>
            <w:pPr>
              <w:ind w:left="120"/>
              <w:spacing w:after="0"/>
              <w:rPr>
                <w:sz w:val="20"/>
                <w:szCs w:val="20"/>
                <w:color w:val="auto"/>
              </w:rPr>
            </w:pPr>
            <w:r>
              <w:rPr>
                <w:rFonts w:ascii="Arial" w:cs="Arial" w:eastAsia="Arial" w:hAnsi="Arial"/>
                <w:sz w:val="13"/>
                <w:szCs w:val="13"/>
                <w:color w:val="auto"/>
              </w:rPr>
              <w:t>PSU</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18,967</w:t>
            </w:r>
          </w:p>
        </w:tc>
        <w:tc>
          <w:tcPr>
            <w:tcW w:w="780" w:type="dxa"/>
            <w:vAlign w:val="bottom"/>
          </w:tcPr>
          <w:p>
            <w:pPr>
              <w:jc w:val="right"/>
              <w:ind w:right="157"/>
              <w:spacing w:after="0"/>
              <w:rPr>
                <w:sz w:val="20"/>
                <w:szCs w:val="20"/>
                <w:color w:val="auto"/>
              </w:rPr>
            </w:pPr>
            <w:r>
              <w:rPr>
                <w:rFonts w:ascii="Arial" w:cs="Arial" w:eastAsia="Arial" w:hAnsi="Arial"/>
                <w:sz w:val="13"/>
                <w:szCs w:val="13"/>
                <w:color w:val="auto"/>
              </w:rPr>
              <w:t>37,933</w:t>
            </w:r>
          </w:p>
        </w:tc>
        <w:tc>
          <w:tcPr>
            <w:tcW w:w="480" w:type="dxa"/>
            <w:vAlign w:val="bottom"/>
          </w:tcPr>
          <w:p>
            <w:pPr>
              <w:jc w:val="right"/>
              <w:spacing w:after="0"/>
              <w:rPr>
                <w:sz w:val="20"/>
                <w:szCs w:val="20"/>
                <w:color w:val="auto"/>
              </w:rPr>
            </w:pPr>
            <w:r>
              <w:rPr>
                <w:rFonts w:ascii="Arial" w:cs="Arial" w:eastAsia="Arial" w:hAnsi="Arial"/>
                <w:sz w:val="13"/>
                <w:szCs w:val="13"/>
                <w:color w:val="auto"/>
              </w:rPr>
              <w:t>75,866</w:t>
            </w:r>
          </w:p>
        </w:tc>
        <w:tc>
          <w:tcPr>
            <w:tcW w:w="980" w:type="dxa"/>
            <w:vAlign w:val="bottom"/>
          </w:tcPr>
          <w:p>
            <w:pPr>
              <w:spacing w:after="0"/>
              <w:rPr>
                <w:sz w:val="13"/>
                <w:szCs w:val="13"/>
                <w:color w:val="auto"/>
              </w:rPr>
            </w:pPr>
          </w:p>
        </w:tc>
        <w:tc>
          <w:tcPr>
            <w:tcW w:w="920" w:type="dxa"/>
            <w:vAlign w:val="bottom"/>
          </w:tcPr>
          <w:p>
            <w:pPr>
              <w:ind w:left="680"/>
              <w:spacing w:after="0"/>
              <w:rPr>
                <w:sz w:val="20"/>
                <w:szCs w:val="20"/>
                <w:color w:val="auto"/>
              </w:rPr>
            </w:pPr>
            <w:r>
              <w:rPr>
                <w:rFonts w:ascii="Arial" w:cs="Arial" w:eastAsia="Arial" w:hAnsi="Arial"/>
                <w:sz w:val="13"/>
                <w:szCs w:val="13"/>
                <w:color w:val="auto"/>
              </w:rPr>
              <w:t>—</w:t>
            </w:r>
          </w:p>
        </w:tc>
        <w:tc>
          <w:tcPr>
            <w:tcW w:w="880" w:type="dxa"/>
            <w:vAlign w:val="bottom"/>
          </w:tcPr>
          <w:p>
            <w:pPr>
              <w:ind w:left="64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800,007</w:t>
            </w:r>
          </w:p>
        </w:tc>
        <w:tc>
          <w:tcPr>
            <w:tcW w:w="0" w:type="dxa"/>
            <w:vAlign w:val="bottom"/>
          </w:tcPr>
          <w:p>
            <w:pPr>
              <w:spacing w:after="0"/>
              <w:rPr>
                <w:sz w:val="1"/>
                <w:szCs w:val="1"/>
                <w:color w:val="auto"/>
              </w:rPr>
            </w:pPr>
          </w:p>
        </w:tc>
      </w:tr>
      <w:tr>
        <w:trPr>
          <w:trHeight w:val="37"/>
        </w:trPr>
        <w:tc>
          <w:tcPr>
            <w:tcW w:w="114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gridSpan w:val="2"/>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1140" w:type="dxa"/>
            <w:vAlign w:val="bottom"/>
            <w:shd w:val="clear" w:color="auto" w:fill="CCCCCC"/>
          </w:tcPr>
          <w:p>
            <w:pPr>
              <w:ind w:left="40"/>
              <w:spacing w:after="0" w:line="143" w:lineRule="exact"/>
              <w:rPr>
                <w:sz w:val="20"/>
                <w:szCs w:val="20"/>
                <w:color w:val="auto"/>
              </w:rPr>
            </w:pPr>
            <w:r>
              <w:rPr>
                <w:rFonts w:ascii="Arial" w:cs="Arial" w:eastAsia="Arial" w:hAnsi="Arial"/>
                <w:sz w:val="13"/>
                <w:szCs w:val="13"/>
                <w:color w:val="auto"/>
              </w:rPr>
              <w:t>Mr. Tucker</w:t>
            </w:r>
          </w:p>
        </w:tc>
        <w:tc>
          <w:tcPr>
            <w:tcW w:w="1480" w:type="dxa"/>
            <w:vAlign w:val="bottom"/>
            <w:shd w:val="clear" w:color="auto" w:fill="CCCCCC"/>
          </w:tcPr>
          <w:p>
            <w:pPr>
              <w:ind w:left="120"/>
              <w:spacing w:after="0" w:line="143" w:lineRule="exact"/>
              <w:rPr>
                <w:sz w:val="20"/>
                <w:szCs w:val="20"/>
                <w:color w:val="auto"/>
              </w:rPr>
            </w:pPr>
            <w:r>
              <w:rPr>
                <w:rFonts w:ascii="Arial" w:cs="Arial" w:eastAsia="Arial" w:hAnsi="Arial"/>
                <w:sz w:val="13"/>
                <w:szCs w:val="13"/>
                <w:color w:val="auto"/>
              </w:rPr>
              <w:t>Annual Incentive</w:t>
            </w:r>
          </w:p>
        </w:tc>
        <w:tc>
          <w:tcPr>
            <w:tcW w:w="120" w:type="dxa"/>
            <w:vAlign w:val="bottom"/>
            <w:shd w:val="clear" w:color="auto" w:fill="CCCCCC"/>
          </w:tcPr>
          <w:p>
            <w:pPr>
              <w:spacing w:after="0"/>
              <w:rPr>
                <w:sz w:val="12"/>
                <w:szCs w:val="12"/>
                <w:color w:val="auto"/>
              </w:rPr>
            </w:pPr>
          </w:p>
        </w:tc>
        <w:tc>
          <w:tcPr>
            <w:tcW w:w="660" w:type="dxa"/>
            <w:vAlign w:val="bottom"/>
            <w:shd w:val="clear" w:color="auto" w:fill="CCCCCC"/>
          </w:tcPr>
          <w:p>
            <w:pPr>
              <w:jc w:val="right"/>
              <w:spacing w:after="0" w:line="143" w:lineRule="exact"/>
              <w:rPr>
                <w:sz w:val="20"/>
                <w:szCs w:val="20"/>
                <w:color w:val="auto"/>
              </w:rPr>
            </w:pPr>
            <w:r>
              <w:rPr>
                <w:rFonts w:ascii="Arial" w:cs="Arial" w:eastAsia="Arial" w:hAnsi="Arial"/>
                <w:sz w:val="13"/>
                <w:szCs w:val="13"/>
                <w:color w:val="auto"/>
              </w:rPr>
              <w:t>—</w:t>
            </w:r>
          </w:p>
        </w:tc>
        <w:tc>
          <w:tcPr>
            <w:tcW w:w="920" w:type="dxa"/>
            <w:vAlign w:val="bottom"/>
            <w:shd w:val="clear" w:color="auto" w:fill="CCCCCC"/>
          </w:tcPr>
          <w:p>
            <w:pPr>
              <w:jc w:val="right"/>
              <w:ind w:right="57"/>
              <w:spacing w:after="0" w:line="143" w:lineRule="exact"/>
              <w:rPr>
                <w:sz w:val="20"/>
                <w:szCs w:val="20"/>
                <w:color w:val="auto"/>
              </w:rPr>
            </w:pPr>
            <w:r>
              <w:rPr>
                <w:rFonts w:ascii="Arial" w:cs="Arial" w:eastAsia="Arial" w:hAnsi="Arial"/>
                <w:sz w:val="13"/>
                <w:szCs w:val="13"/>
                <w:color w:val="auto"/>
              </w:rPr>
              <w:t>—</w:t>
            </w:r>
          </w:p>
        </w:tc>
        <w:tc>
          <w:tcPr>
            <w:tcW w:w="640" w:type="dxa"/>
            <w:vAlign w:val="bottom"/>
            <w:shd w:val="clear" w:color="auto" w:fill="CCCCCC"/>
          </w:tcPr>
          <w:p>
            <w:pPr>
              <w:jc w:val="right"/>
              <w:ind w:right="17"/>
              <w:spacing w:after="0" w:line="143"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CCCC"/>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spacing w:after="0"/>
              <w:rPr>
                <w:sz w:val="12"/>
                <w:szCs w:val="12"/>
                <w:color w:val="auto"/>
              </w:rPr>
            </w:pPr>
          </w:p>
        </w:tc>
        <w:tc>
          <w:tcPr>
            <w:tcW w:w="92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CCCC"/>
          </w:tcPr>
          <w:p>
            <w:pPr>
              <w:spacing w:after="0"/>
              <w:rPr>
                <w:sz w:val="12"/>
                <w:szCs w:val="12"/>
                <w:color w:val="auto"/>
              </w:rPr>
            </w:pPr>
          </w:p>
        </w:tc>
        <w:tc>
          <w:tcPr>
            <w:tcW w:w="1480" w:type="dxa"/>
            <w:vAlign w:val="bottom"/>
            <w:shd w:val="clear" w:color="auto" w:fill="CCCCCC"/>
          </w:tcPr>
          <w:p>
            <w:pPr>
              <w:ind w:left="120"/>
              <w:spacing w:after="0"/>
              <w:rPr>
                <w:sz w:val="20"/>
                <w:szCs w:val="20"/>
                <w:color w:val="auto"/>
              </w:rPr>
            </w:pPr>
            <w:r>
              <w:rPr>
                <w:rFonts w:ascii="Arial" w:cs="Arial" w:eastAsia="Arial" w:hAnsi="Arial"/>
                <w:sz w:val="13"/>
                <w:szCs w:val="13"/>
                <w:color w:val="auto"/>
              </w:rPr>
              <w:t>RSU</w:t>
            </w:r>
          </w:p>
        </w:tc>
        <w:tc>
          <w:tcPr>
            <w:tcW w:w="78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shd w:val="clear" w:color="auto" w:fill="CCCCCC"/>
          </w:tcPr>
          <w:p>
            <w:pPr>
              <w:spacing w:after="0"/>
              <w:rPr>
                <w:sz w:val="12"/>
                <w:szCs w:val="12"/>
                <w:color w:val="auto"/>
              </w:rPr>
            </w:pPr>
          </w:p>
        </w:tc>
        <w:tc>
          <w:tcPr>
            <w:tcW w:w="640" w:type="dxa"/>
            <w:vAlign w:val="bottom"/>
            <w:shd w:val="clear" w:color="auto" w:fill="CCCCCC"/>
          </w:tcPr>
          <w:p>
            <w:pPr>
              <w:spacing w:after="0"/>
              <w:rPr>
                <w:sz w:val="12"/>
                <w:szCs w:val="12"/>
                <w:color w:val="auto"/>
              </w:rPr>
            </w:pPr>
          </w:p>
        </w:tc>
        <w:tc>
          <w:tcPr>
            <w:tcW w:w="600" w:type="dxa"/>
            <w:vAlign w:val="bottom"/>
            <w:shd w:val="clear" w:color="auto" w:fill="CCCCCC"/>
          </w:tcPr>
          <w:p>
            <w:pPr>
              <w:spacing w:after="0"/>
              <w:rPr>
                <w:sz w:val="12"/>
                <w:szCs w:val="12"/>
                <w:color w:val="auto"/>
              </w:rPr>
            </w:pPr>
          </w:p>
        </w:tc>
        <w:tc>
          <w:tcPr>
            <w:tcW w:w="120" w:type="dxa"/>
            <w:vAlign w:val="bottom"/>
            <w:shd w:val="clear" w:color="auto" w:fill="CCCCCC"/>
          </w:tcPr>
          <w:p>
            <w:pPr>
              <w:spacing w:after="0"/>
              <w:rPr>
                <w:sz w:val="12"/>
                <w:szCs w:val="12"/>
                <w:color w:val="auto"/>
              </w:rPr>
            </w:pPr>
          </w:p>
        </w:tc>
        <w:tc>
          <w:tcPr>
            <w:tcW w:w="740" w:type="dxa"/>
            <w:vAlign w:val="bottom"/>
            <w:shd w:val="clear" w:color="auto" w:fill="CCCCCC"/>
          </w:tcPr>
          <w:p>
            <w:pPr>
              <w:spacing w:after="0"/>
              <w:rPr>
                <w:sz w:val="12"/>
                <w:szCs w:val="12"/>
                <w:color w:val="auto"/>
              </w:rPr>
            </w:pPr>
          </w:p>
        </w:tc>
        <w:tc>
          <w:tcPr>
            <w:tcW w:w="780" w:type="dxa"/>
            <w:vAlign w:val="bottom"/>
            <w:shd w:val="clear" w:color="auto" w:fill="CCCCCC"/>
          </w:tcPr>
          <w:p>
            <w:pPr>
              <w:spacing w:after="0"/>
              <w:rPr>
                <w:sz w:val="12"/>
                <w:szCs w:val="12"/>
                <w:color w:val="auto"/>
              </w:rPr>
            </w:pPr>
          </w:p>
        </w:tc>
        <w:tc>
          <w:tcPr>
            <w:tcW w:w="480" w:type="dxa"/>
            <w:vAlign w:val="bottom"/>
            <w:shd w:val="clear" w:color="auto" w:fill="CCCCCC"/>
          </w:tcPr>
          <w:p>
            <w:pPr>
              <w:spacing w:after="0"/>
              <w:rPr>
                <w:sz w:val="12"/>
                <w:szCs w:val="12"/>
                <w:color w:val="auto"/>
              </w:rPr>
            </w:pPr>
          </w:p>
        </w:tc>
        <w:tc>
          <w:tcPr>
            <w:tcW w:w="980" w:type="dxa"/>
            <w:vAlign w:val="bottom"/>
            <w:shd w:val="clear" w:color="auto" w:fill="CCCCCC"/>
          </w:tcPr>
          <w:p>
            <w:pPr>
              <w:jc w:val="right"/>
              <w:ind w:right="37"/>
              <w:spacing w:after="0"/>
              <w:rPr>
                <w:sz w:val="20"/>
                <w:szCs w:val="20"/>
                <w:color w:val="auto"/>
              </w:rPr>
            </w:pPr>
            <w:r>
              <w:rPr>
                <w:rFonts w:ascii="Arial" w:cs="Arial" w:eastAsia="Arial" w:hAnsi="Arial"/>
                <w:sz w:val="13"/>
                <w:szCs w:val="13"/>
                <w:color w:val="auto"/>
              </w:rPr>
              <w:t>16,596</w:t>
            </w:r>
          </w:p>
        </w:tc>
        <w:tc>
          <w:tcPr>
            <w:tcW w:w="920" w:type="dxa"/>
            <w:vAlign w:val="bottom"/>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CCCC"/>
          </w:tcPr>
          <w:p>
            <w:pPr>
              <w:jc w:val="right"/>
              <w:spacing w:after="0"/>
              <w:rPr>
                <w:sz w:val="20"/>
                <w:szCs w:val="20"/>
                <w:color w:val="auto"/>
              </w:rPr>
            </w:pPr>
            <w:r>
              <w:rPr>
                <w:rFonts w:ascii="Arial" w:cs="Arial" w:eastAsia="Arial" w:hAnsi="Arial"/>
                <w:sz w:val="13"/>
                <w:szCs w:val="13"/>
                <w:color w:val="auto"/>
              </w:rPr>
              <w:t>350,010</w:t>
            </w:r>
          </w:p>
        </w:tc>
        <w:tc>
          <w:tcPr>
            <w:tcW w:w="0" w:type="dxa"/>
            <w:vAlign w:val="bottom"/>
          </w:tcPr>
          <w:p>
            <w:pPr>
              <w:spacing w:after="0"/>
              <w:rPr>
                <w:sz w:val="1"/>
                <w:szCs w:val="1"/>
                <w:color w:val="auto"/>
              </w:rPr>
            </w:pPr>
          </w:p>
        </w:tc>
      </w:tr>
      <w:tr>
        <w:trPr>
          <w:trHeight w:val="161"/>
        </w:trPr>
        <w:tc>
          <w:tcPr>
            <w:tcW w:w="1140" w:type="dxa"/>
            <w:vAlign w:val="bottom"/>
            <w:tcBorders>
              <w:bottom w:val="single" w:sz="8" w:color="auto"/>
            </w:tcBorders>
            <w:shd w:val="clear" w:color="auto" w:fill="CCCCCC"/>
          </w:tcPr>
          <w:p>
            <w:pPr>
              <w:spacing w:after="0"/>
              <w:rPr>
                <w:sz w:val="14"/>
                <w:szCs w:val="14"/>
                <w:color w:val="auto"/>
              </w:rPr>
            </w:pPr>
          </w:p>
        </w:tc>
        <w:tc>
          <w:tcPr>
            <w:tcW w:w="1480" w:type="dxa"/>
            <w:vAlign w:val="bottom"/>
            <w:tcBorders>
              <w:bottom w:val="single" w:sz="8" w:color="auto"/>
            </w:tcBorders>
            <w:shd w:val="clear" w:color="auto" w:fill="CCCCCC"/>
          </w:tcPr>
          <w:p>
            <w:pPr>
              <w:ind w:left="120"/>
              <w:spacing w:after="0"/>
              <w:rPr>
                <w:sz w:val="20"/>
                <w:szCs w:val="20"/>
                <w:color w:val="auto"/>
              </w:rPr>
            </w:pPr>
            <w:r>
              <w:rPr>
                <w:rFonts w:ascii="Arial" w:cs="Arial" w:eastAsia="Arial" w:hAnsi="Arial"/>
                <w:sz w:val="13"/>
                <w:szCs w:val="13"/>
                <w:color w:val="auto"/>
              </w:rPr>
              <w:t>PSU</w:t>
            </w:r>
          </w:p>
        </w:tc>
        <w:tc>
          <w:tcPr>
            <w:tcW w:w="780" w:type="dxa"/>
            <w:vAlign w:val="bottom"/>
            <w:tcBorders>
              <w:bottom w:val="single" w:sz="8" w:color="auto"/>
            </w:tcBorders>
            <w:gridSpan w:val="2"/>
            <w:shd w:val="clear" w:color="auto" w:fill="CCCCCC"/>
          </w:tcPr>
          <w:p>
            <w:pPr>
              <w:jc w:val="right"/>
              <w:spacing w:after="0"/>
              <w:rPr>
                <w:sz w:val="20"/>
                <w:szCs w:val="20"/>
                <w:color w:val="auto"/>
              </w:rPr>
            </w:pPr>
            <w:r>
              <w:rPr>
                <w:rFonts w:ascii="Arial" w:cs="Arial" w:eastAsia="Arial" w:hAnsi="Arial"/>
                <w:sz w:val="13"/>
                <w:szCs w:val="13"/>
                <w:color w:val="auto"/>
              </w:rPr>
              <w:t>3/9/2020</w:t>
            </w:r>
          </w:p>
        </w:tc>
        <w:tc>
          <w:tcPr>
            <w:tcW w:w="920" w:type="dxa"/>
            <w:vAlign w:val="bottom"/>
            <w:tcBorders>
              <w:bottom w:val="single" w:sz="8" w:color="auto"/>
            </w:tcBorders>
            <w:shd w:val="clear" w:color="auto" w:fill="CCCCCC"/>
          </w:tcPr>
          <w:p>
            <w:pPr>
              <w:spacing w:after="0"/>
              <w:rPr>
                <w:sz w:val="14"/>
                <w:szCs w:val="14"/>
                <w:color w:val="auto"/>
              </w:rPr>
            </w:pPr>
          </w:p>
        </w:tc>
        <w:tc>
          <w:tcPr>
            <w:tcW w:w="640" w:type="dxa"/>
            <w:vAlign w:val="bottom"/>
            <w:tcBorders>
              <w:bottom w:val="single" w:sz="8" w:color="auto"/>
            </w:tcBorders>
            <w:shd w:val="clear" w:color="auto" w:fill="CCCCCC"/>
          </w:tcPr>
          <w:p>
            <w:pPr>
              <w:spacing w:after="0"/>
              <w:rPr>
                <w:sz w:val="14"/>
                <w:szCs w:val="14"/>
                <w:color w:val="auto"/>
              </w:rPr>
            </w:pPr>
          </w:p>
        </w:tc>
        <w:tc>
          <w:tcPr>
            <w:tcW w:w="600" w:type="dxa"/>
            <w:vAlign w:val="bottom"/>
            <w:tcBorders>
              <w:bottom w:val="single" w:sz="8" w:color="auto"/>
            </w:tcBorders>
            <w:shd w:val="clear" w:color="auto" w:fill="CCCCCC"/>
          </w:tcPr>
          <w:p>
            <w:pPr>
              <w:spacing w:after="0"/>
              <w:rPr>
                <w:sz w:val="14"/>
                <w:szCs w:val="14"/>
                <w:color w:val="auto"/>
              </w:rPr>
            </w:pPr>
          </w:p>
        </w:tc>
        <w:tc>
          <w:tcPr>
            <w:tcW w:w="120" w:type="dxa"/>
            <w:vAlign w:val="bottom"/>
            <w:tcBorders>
              <w:bottom w:val="single" w:sz="8" w:color="auto"/>
            </w:tcBorders>
            <w:shd w:val="clear" w:color="auto" w:fill="CCCCCC"/>
          </w:tcPr>
          <w:p>
            <w:pPr>
              <w:spacing w:after="0"/>
              <w:rPr>
                <w:sz w:val="14"/>
                <w:szCs w:val="14"/>
                <w:color w:val="auto"/>
              </w:rPr>
            </w:pPr>
          </w:p>
        </w:tc>
        <w:tc>
          <w:tcPr>
            <w:tcW w:w="740" w:type="dxa"/>
            <w:vAlign w:val="bottom"/>
            <w:tcBorders>
              <w:bottom w:val="single" w:sz="8" w:color="auto"/>
            </w:tcBorders>
            <w:shd w:val="clear" w:color="auto" w:fill="CCCCCC"/>
          </w:tcPr>
          <w:p>
            <w:pPr>
              <w:jc w:val="right"/>
              <w:ind w:right="37"/>
              <w:spacing w:after="0"/>
              <w:rPr>
                <w:sz w:val="20"/>
                <w:szCs w:val="20"/>
                <w:color w:val="auto"/>
              </w:rPr>
            </w:pPr>
            <w:r>
              <w:rPr>
                <w:rFonts w:ascii="Arial" w:cs="Arial" w:eastAsia="Arial" w:hAnsi="Arial"/>
                <w:sz w:val="13"/>
                <w:szCs w:val="13"/>
                <w:color w:val="auto"/>
              </w:rPr>
              <w:t>3,556</w:t>
            </w:r>
          </w:p>
        </w:tc>
        <w:tc>
          <w:tcPr>
            <w:tcW w:w="780" w:type="dxa"/>
            <w:vAlign w:val="bottom"/>
            <w:tcBorders>
              <w:bottom w:val="single" w:sz="8" w:color="auto"/>
            </w:tcBorders>
            <w:shd w:val="clear" w:color="auto" w:fill="CCCCCC"/>
          </w:tcPr>
          <w:p>
            <w:pPr>
              <w:jc w:val="right"/>
              <w:ind w:right="157"/>
              <w:spacing w:after="0"/>
              <w:rPr>
                <w:sz w:val="20"/>
                <w:szCs w:val="20"/>
                <w:color w:val="auto"/>
              </w:rPr>
            </w:pPr>
            <w:r>
              <w:rPr>
                <w:rFonts w:ascii="Arial" w:cs="Arial" w:eastAsia="Arial" w:hAnsi="Arial"/>
                <w:sz w:val="13"/>
                <w:szCs w:val="13"/>
                <w:color w:val="auto"/>
              </w:rPr>
              <w:t>7,112</w:t>
            </w:r>
          </w:p>
        </w:tc>
        <w:tc>
          <w:tcPr>
            <w:tcW w:w="4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14,224</w:t>
            </w:r>
          </w:p>
        </w:tc>
        <w:tc>
          <w:tcPr>
            <w:tcW w:w="980" w:type="dxa"/>
            <w:vAlign w:val="bottom"/>
            <w:tcBorders>
              <w:bottom w:val="single" w:sz="8" w:color="auto"/>
            </w:tcBorders>
            <w:shd w:val="clear" w:color="auto" w:fill="CCCCCC"/>
          </w:tcPr>
          <w:p>
            <w:pPr>
              <w:spacing w:after="0"/>
              <w:rPr>
                <w:sz w:val="14"/>
                <w:szCs w:val="14"/>
                <w:color w:val="auto"/>
              </w:rPr>
            </w:pPr>
          </w:p>
        </w:tc>
        <w:tc>
          <w:tcPr>
            <w:tcW w:w="920" w:type="dxa"/>
            <w:vAlign w:val="bottom"/>
            <w:tcBorders>
              <w:bottom w:val="single" w:sz="8" w:color="auto"/>
            </w:tcBorders>
            <w:shd w:val="clear" w:color="auto" w:fill="CCCCCC"/>
          </w:tcPr>
          <w:p>
            <w:pPr>
              <w:ind w:left="6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CCCC"/>
          </w:tcPr>
          <w:p>
            <w:pPr>
              <w:ind w:left="64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CCCC"/>
          </w:tcPr>
          <w:p>
            <w:pPr>
              <w:jc w:val="right"/>
              <w:spacing w:after="0"/>
              <w:rPr>
                <w:sz w:val="20"/>
                <w:szCs w:val="20"/>
                <w:color w:val="auto"/>
              </w:rPr>
            </w:pPr>
            <w:r>
              <w:rPr>
                <w:rFonts w:ascii="Arial" w:cs="Arial" w:eastAsia="Arial" w:hAnsi="Arial"/>
                <w:sz w:val="13"/>
                <w:szCs w:val="13"/>
                <w:color w:val="auto"/>
              </w:rPr>
              <w:t>149,992</w:t>
            </w: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40" w:hanging="332"/>
        <w:spacing w:after="0" w:line="249"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Reflects pay opportunity under the 2020 AIP, which is discussed in the CD&amp;A. No amounts were earned under this program in 2020 as further discussed in the CD&amp;A. For Mr. Choi, 2020 AIP opportunity is prorated to reflect time in position in 2020. For Messrs. North and Tucker, due to the timing of their terminations from the Company, they were not eligible to participate in the 2020 AIP. Mr. Hees did not participate in the 2020 AIP as further discussed in the CD&amp;A.</w:t>
      </w:r>
    </w:p>
    <w:p>
      <w:pPr>
        <w:spacing w:after="0" w:line="79" w:lineRule="exact"/>
        <w:rPr>
          <w:rFonts w:ascii="Arial" w:cs="Arial" w:eastAsia="Arial" w:hAnsi="Arial"/>
          <w:sz w:val="14"/>
          <w:szCs w:val="14"/>
          <w:color w:val="auto"/>
        </w:rPr>
      </w:pPr>
    </w:p>
    <w:p>
      <w:pPr>
        <w:jc w:val="both"/>
        <w:ind w:left="340" w:hanging="332"/>
        <w:spacing w:after="0" w:line="253"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awards of PSUs which are scheduled to vest on March 9, 2023, subject to continued service and based on three-year cumulative Adjusted EBITDA goals, as more fully described in the CD&amp;A under “2020 Long-Term Incentive Awards.” Upon separation from the Company, Mr. North and Mr. Tucker forfeited these awards in their entirety.</w:t>
      </w:r>
    </w:p>
    <w:p>
      <w:pPr>
        <w:spacing w:after="0" w:line="241"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Represents awards for RSUs which are scheduled to vest in equal installments on each of the first three anniversaries of the date of grant, generally subject to continued service. Upon separation from the Company, Mr. Tucker forfeited this award in its entirety, and Mr. North forfeited one-third of this award. For Mr. Hees, RSU award of 3,356 units was granted in connection with Board service from February through June 2020 and 1,831 units were cancelled in connection with Mr. Hees’ appointment to Executive Chairman.</w:t>
      </w:r>
    </w:p>
    <w:p>
      <w:pPr>
        <w:spacing w:after="0" w:line="79"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Assumptions used in the calculation of the grant date fair value of the awards are included in Note 17 to our audited financial statements for the fiscal year ended December 31, 2020, included in our 2020 Form 10-K. The grant date fair value of the stock underlying the PSUs assuming attainment of the highest level of performance conditions were: for Mr. Ferraro, $2,000,007; Mr. Hees, $858,375; Mr. Rankin, $1,049,987; Ms. Martins, $194,998; Mr. North, $1,600,014; and Mr. Tucker, $299,984. As noted above, Mr. North and Mr. Tucker forfeited these awards in their entirety.</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Outstanding Equity Awards at Fiscal Year-End Table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ind w:left="860"/>
              <w:spacing w:after="0"/>
              <w:rPr>
                <w:sz w:val="20"/>
                <w:szCs w:val="20"/>
                <w:color w:val="auto"/>
              </w:rPr>
            </w:pPr>
            <w:r>
              <w:rPr>
                <w:rFonts w:ascii="Arial" w:cs="Arial" w:eastAsia="Arial" w:hAnsi="Arial"/>
                <w:sz w:val="13"/>
                <w:szCs w:val="13"/>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497"/>
              <w:spacing w:after="0"/>
              <w:rPr>
                <w:sz w:val="20"/>
                <w:szCs w:val="20"/>
                <w:color w:val="auto"/>
              </w:rPr>
            </w:pPr>
            <w:r>
              <w:rPr>
                <w:rFonts w:ascii="Arial" w:cs="Arial" w:eastAsia="Arial" w:hAnsi="Arial"/>
                <w:sz w:val="13"/>
                <w:szCs w:val="13"/>
                <w:b w:val="1"/>
                <w:bCs w:val="1"/>
                <w:color w:val="auto"/>
              </w:rPr>
              <w:t>Stock Awards(a)</w:t>
            </w:r>
          </w:p>
        </w:tc>
        <w:tc>
          <w:tcPr>
            <w:tcW w:w="840" w:type="dxa"/>
            <w:vAlign w:val="bottom"/>
            <w:tcBorders>
              <w:bottom w:val="single" w:sz="8" w:color="auto"/>
            </w:tcBorders>
          </w:tcPr>
          <w:p>
            <w:pPr>
              <w:spacing w:after="0"/>
              <w:rPr>
                <w:sz w:val="14"/>
                <w:szCs w:val="14"/>
                <w:color w:val="auto"/>
              </w:rPr>
            </w:pPr>
          </w:p>
        </w:tc>
      </w:tr>
      <w:tr>
        <w:trPr>
          <w:trHeight w:val="113"/>
        </w:trPr>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Equity</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Equity</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Incentive</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Plan</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Plan</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Awards: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 or</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Equity</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Number of</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Payout</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Incentive Plan</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7"/>
              </w:rPr>
              <w:t>Number</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Market</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6"/>
              </w:rPr>
              <w:t>Unearned</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Awards:</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7"/>
              </w:rPr>
              <w:t>of</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Value of</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Shares,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6"/>
              </w:rPr>
              <w:t>Shares</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 or</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7"/>
              </w:rPr>
              <w:t>Units or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Shares,</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Number of</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9"/>
              </w:rPr>
              <w:t>Securities</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7"/>
              </w:rPr>
              <w:t>or Units</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Units of</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7"/>
              </w:rPr>
              <w:t>Other</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Units or</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Securities</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w w:val="97"/>
              </w:rPr>
              <w:t>of Stock</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Stock</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Rights</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Other</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Underlying</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6"/>
              </w:rPr>
              <w:t>That Have</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4"/>
              </w:rPr>
              <w:t>That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Rights</w:t>
            </w:r>
          </w:p>
        </w:tc>
      </w:tr>
      <w:tr>
        <w:trPr>
          <w:trHeight w:val="135"/>
        </w:trPr>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Unexercised</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Unearned</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00" w:type="dxa"/>
            <w:vAlign w:val="bottom"/>
          </w:tcPr>
          <w:p>
            <w:pPr>
              <w:spacing w:after="0"/>
              <w:rPr>
                <w:sz w:val="11"/>
                <w:szCs w:val="11"/>
                <w:color w:val="auto"/>
              </w:rPr>
            </w:pPr>
          </w:p>
        </w:tc>
        <w:tc>
          <w:tcPr>
            <w:tcW w:w="920" w:type="dxa"/>
            <w:vAlign w:val="bottom"/>
          </w:tcPr>
          <w:p>
            <w:pPr>
              <w:jc w:val="center"/>
              <w:ind w:left="157"/>
              <w:spacing w:after="0" w:line="135" w:lineRule="exact"/>
              <w:rPr>
                <w:sz w:val="20"/>
                <w:szCs w:val="20"/>
                <w:color w:val="auto"/>
              </w:rPr>
            </w:pPr>
            <w:r>
              <w:rPr>
                <w:rFonts w:ascii="Arial" w:cs="Arial" w:eastAsia="Arial" w:hAnsi="Arial"/>
                <w:sz w:val="13"/>
                <w:szCs w:val="13"/>
                <w:b w:val="1"/>
                <w:bCs w:val="1"/>
                <w:color w:val="auto"/>
              </w:rPr>
              <w:t>Not</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Not</w:t>
            </w:r>
          </w:p>
        </w:tc>
        <w:tc>
          <w:tcPr>
            <w:tcW w:w="9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5"/>
              </w:rPr>
              <w:t>Have Not</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That Have</w:t>
            </w:r>
          </w:p>
        </w:tc>
      </w:tr>
      <w:tr>
        <w:trPr>
          <w:trHeight w:val="135"/>
        </w:trPr>
        <w:tc>
          <w:tcPr>
            <w:tcW w:w="1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1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rPr>
              <w:t>Price</w:t>
            </w: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Expiration</w:t>
            </w:r>
          </w:p>
        </w:tc>
        <w:tc>
          <w:tcPr>
            <w:tcW w:w="100" w:type="dxa"/>
            <w:vAlign w:val="bottom"/>
          </w:tcPr>
          <w:p>
            <w:pPr>
              <w:spacing w:after="0"/>
              <w:rPr>
                <w:sz w:val="11"/>
                <w:szCs w:val="11"/>
                <w:color w:val="auto"/>
              </w:rPr>
            </w:pPr>
          </w:p>
        </w:tc>
        <w:tc>
          <w:tcPr>
            <w:tcW w:w="920" w:type="dxa"/>
            <w:vAlign w:val="bottom"/>
          </w:tcPr>
          <w:p>
            <w:pPr>
              <w:jc w:val="center"/>
              <w:ind w:left="137"/>
              <w:spacing w:after="0" w:line="135" w:lineRule="exact"/>
              <w:rPr>
                <w:sz w:val="20"/>
                <w:szCs w:val="20"/>
                <w:color w:val="auto"/>
              </w:rPr>
            </w:pPr>
            <w:r>
              <w:rPr>
                <w:rFonts w:ascii="Arial" w:cs="Arial" w:eastAsia="Arial" w:hAnsi="Arial"/>
                <w:sz w:val="13"/>
                <w:szCs w:val="13"/>
                <w:b w:val="1"/>
                <w:bCs w:val="1"/>
                <w:color w:val="auto"/>
                <w:w w:val="93"/>
              </w:rPr>
              <w:t>Vested</w:t>
            </w:r>
          </w:p>
        </w:tc>
        <w:tc>
          <w:tcPr>
            <w:tcW w:w="2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Vested</w:t>
            </w: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3"/>
              </w:rPr>
              <w:t>Vested</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Not Vested</w:t>
            </w:r>
          </w:p>
        </w:tc>
      </w:tr>
      <w:tr>
        <w:trPr>
          <w:trHeight w:val="164"/>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 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 Unexercisable</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20" w:type="dxa"/>
            <w:vAlign w:val="bottom"/>
            <w:tcBorders>
              <w:bottom w:val="single" w:sz="8" w:color="auto"/>
            </w:tcBorders>
            <w:gridSpan w:val="2"/>
          </w:tcPr>
          <w:p>
            <w:pPr>
              <w:jc w:val="center"/>
              <w:ind w:left="237"/>
              <w:spacing w:after="0"/>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rPr>
              <w:t>(#)</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r>
      <w:tr>
        <w:trPr>
          <w:trHeight w:val="143"/>
        </w:trPr>
        <w:tc>
          <w:tcPr>
            <w:tcW w:w="1360" w:type="dxa"/>
            <w:vAlign w:val="bottom"/>
            <w:shd w:val="clear" w:color="auto" w:fill="CCCCCC"/>
          </w:tcPr>
          <w:p>
            <w:pPr>
              <w:ind w:left="40"/>
              <w:spacing w:after="0" w:line="143" w:lineRule="exact"/>
              <w:rPr>
                <w:sz w:val="20"/>
                <w:szCs w:val="20"/>
                <w:color w:val="auto"/>
              </w:rPr>
            </w:pPr>
            <w:r>
              <w:rPr>
                <w:rFonts w:ascii="Arial" w:cs="Arial" w:eastAsia="Arial" w:hAnsi="Arial"/>
                <w:sz w:val="13"/>
                <w:szCs w:val="13"/>
                <w:color w:val="auto"/>
              </w:rPr>
              <w:t>Mr. Ferraro</w:t>
            </w:r>
          </w:p>
        </w:tc>
        <w:tc>
          <w:tcPr>
            <w:tcW w:w="900" w:type="dxa"/>
            <w:vAlign w:val="bottom"/>
            <w:shd w:val="clear" w:color="auto" w:fill="CCCCCC"/>
          </w:tcPr>
          <w:p>
            <w:pPr>
              <w:jc w:val="center"/>
              <w:spacing w:after="0" w:line="143" w:lineRule="exact"/>
              <w:rPr>
                <w:sz w:val="20"/>
                <w:szCs w:val="20"/>
                <w:color w:val="auto"/>
              </w:rPr>
            </w:pPr>
            <w:r>
              <w:rPr>
                <w:rFonts w:ascii="Arial" w:cs="Arial" w:eastAsia="Arial" w:hAnsi="Arial"/>
                <w:sz w:val="13"/>
                <w:szCs w:val="13"/>
                <w:color w:val="auto"/>
                <w:w w:val="98"/>
              </w:rPr>
              <w:t>6/1/2020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line="143" w:lineRule="exact"/>
              <w:rPr>
                <w:sz w:val="20"/>
                <w:szCs w:val="20"/>
                <w:color w:val="auto"/>
              </w:rPr>
            </w:pPr>
            <w:r>
              <w:rPr>
                <w:rFonts w:ascii="Arial" w:cs="Arial" w:eastAsia="Arial" w:hAnsi="Arial"/>
                <w:sz w:val="13"/>
                <w:szCs w:val="13"/>
                <w:color w:val="auto"/>
              </w:rPr>
              <w:t>3,751</w:t>
            </w:r>
          </w:p>
        </w:tc>
        <w:tc>
          <w:tcPr>
            <w:tcW w:w="200" w:type="dxa"/>
            <w:vAlign w:val="bottom"/>
            <w:shd w:val="clear" w:color="auto" w:fill="CCCCCC"/>
          </w:tcPr>
          <w:p>
            <w:pPr>
              <w:jc w:val="right"/>
              <w:spacing w:after="0" w:line="143" w:lineRule="exact"/>
              <w:rPr>
                <w:sz w:val="20"/>
                <w:szCs w:val="20"/>
                <w:color w:val="auto"/>
              </w:rPr>
            </w:pPr>
            <w:r>
              <w:rPr>
                <w:rFonts w:ascii="Arial" w:cs="Arial" w:eastAsia="Arial" w:hAnsi="Arial"/>
                <w:sz w:val="13"/>
                <w:szCs w:val="13"/>
                <w:color w:val="auto"/>
              </w:rPr>
              <w:t>(b)</w:t>
            </w:r>
          </w:p>
        </w:tc>
        <w:tc>
          <w:tcPr>
            <w:tcW w:w="940" w:type="dxa"/>
            <w:vAlign w:val="bottom"/>
            <w:shd w:val="clear" w:color="auto" w:fill="CCCCCC"/>
          </w:tcPr>
          <w:p>
            <w:pPr>
              <w:jc w:val="right"/>
              <w:ind w:right="17"/>
              <w:spacing w:after="0" w:line="143" w:lineRule="exact"/>
              <w:rPr>
                <w:sz w:val="20"/>
                <w:szCs w:val="20"/>
                <w:color w:val="auto"/>
              </w:rPr>
            </w:pPr>
            <w:r>
              <w:rPr>
                <w:rFonts w:ascii="Arial" w:cs="Arial" w:eastAsia="Arial" w:hAnsi="Arial"/>
                <w:sz w:val="13"/>
                <w:szCs w:val="13"/>
                <w:color w:val="auto"/>
              </w:rPr>
              <w:t>139,912</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9"/>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5/1/2020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3,751 (c)</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139,912</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4/1/2020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3,751</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(d)</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139,912</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3/9/2020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47,416</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(e)</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1,768,617</w:t>
            </w:r>
          </w:p>
        </w:tc>
        <w:tc>
          <w:tcPr>
            <w:tcW w:w="9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47,416(p)</w:t>
            </w:r>
          </w:p>
        </w:tc>
        <w:tc>
          <w:tcPr>
            <w:tcW w:w="8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1,768,617</w:t>
            </w: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3/2/2020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3,751 (f)</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139,912</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2/3/2020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3,751</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(g)</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139,912</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9"/>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1/2/2020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3,751</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(h)</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139,912</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8/7/2019</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48,062 (i)</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1,792,713</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6"/>
              </w:rPr>
              <w:t>3/15/2019</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14,360 (j)</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535,628</w:t>
            </w:r>
          </w:p>
        </w:tc>
        <w:tc>
          <w:tcPr>
            <w:tcW w:w="9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21,539(q)</w:t>
            </w:r>
          </w:p>
        </w:tc>
        <w:tc>
          <w:tcPr>
            <w:tcW w:w="8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803,405</w:t>
            </w:r>
          </w:p>
        </w:tc>
      </w:tr>
      <w:tr>
        <w:trPr>
          <w:trHeight w:val="141"/>
        </w:trPr>
        <w:tc>
          <w:tcPr>
            <w:tcW w:w="136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jc w:val="center"/>
              <w:spacing w:after="0" w:line="141" w:lineRule="exact"/>
              <w:rPr>
                <w:sz w:val="20"/>
                <w:szCs w:val="20"/>
                <w:color w:val="auto"/>
              </w:rPr>
            </w:pPr>
            <w:r>
              <w:rPr>
                <w:rFonts w:ascii="Arial" w:cs="Arial" w:eastAsia="Arial" w:hAnsi="Arial"/>
                <w:sz w:val="13"/>
                <w:szCs w:val="13"/>
                <w:color w:val="auto"/>
                <w:w w:val="96"/>
              </w:rPr>
              <w:t>3/15/2018</w:t>
            </w:r>
          </w:p>
        </w:tc>
        <w:tc>
          <w:tcPr>
            <w:tcW w:w="1240" w:type="dxa"/>
            <w:vAlign w:val="bottom"/>
            <w:tcBorders>
              <w:bottom w:val="single" w:sz="8" w:color="auto"/>
            </w:tcBorders>
            <w:shd w:val="clear" w:color="auto" w:fill="CCCCCC"/>
          </w:tcPr>
          <w:p>
            <w:pPr>
              <w:spacing w:after="0"/>
              <w:rPr>
                <w:sz w:val="12"/>
                <w:szCs w:val="12"/>
                <w:color w:val="auto"/>
              </w:rPr>
            </w:pPr>
          </w:p>
        </w:tc>
        <w:tc>
          <w:tcPr>
            <w:tcW w:w="1120" w:type="dxa"/>
            <w:vAlign w:val="bottom"/>
            <w:tcBorders>
              <w:bottom w:val="single" w:sz="8" w:color="auto"/>
            </w:tcBorders>
            <w:shd w:val="clear" w:color="auto" w:fill="CCCCCC"/>
          </w:tcPr>
          <w:p>
            <w:pPr>
              <w:spacing w:after="0"/>
              <w:rPr>
                <w:sz w:val="12"/>
                <w:szCs w:val="12"/>
                <w:color w:val="auto"/>
              </w:rPr>
            </w:pPr>
          </w:p>
        </w:tc>
        <w:tc>
          <w:tcPr>
            <w:tcW w:w="940" w:type="dxa"/>
            <w:vAlign w:val="bottom"/>
            <w:tcBorders>
              <w:bottom w:val="single" w:sz="8" w:color="auto"/>
            </w:tcBorders>
            <w:shd w:val="clear" w:color="auto" w:fill="CCCCCC"/>
          </w:tcPr>
          <w:p>
            <w:pPr>
              <w:spacing w:after="0"/>
              <w:rPr>
                <w:sz w:val="12"/>
                <w:szCs w:val="12"/>
                <w:color w:val="auto"/>
              </w:rPr>
            </w:pPr>
          </w:p>
        </w:tc>
        <w:tc>
          <w:tcPr>
            <w:tcW w:w="88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120" w:type="dxa"/>
            <w:vAlign w:val="bottom"/>
            <w:tcBorders>
              <w:bottom w:val="single" w:sz="8" w:color="auto"/>
            </w:tcBorders>
            <w:gridSpan w:val="2"/>
            <w:shd w:val="clear" w:color="auto" w:fill="CCCCCC"/>
          </w:tcPr>
          <w:p>
            <w:pPr>
              <w:jc w:val="right"/>
              <w:spacing w:after="0" w:line="141" w:lineRule="exact"/>
              <w:rPr>
                <w:sz w:val="20"/>
                <w:szCs w:val="20"/>
                <w:color w:val="auto"/>
              </w:rPr>
            </w:pPr>
            <w:r>
              <w:rPr>
                <w:rFonts w:ascii="Arial" w:cs="Arial" w:eastAsia="Arial" w:hAnsi="Arial"/>
                <w:sz w:val="13"/>
                <w:szCs w:val="13"/>
                <w:color w:val="auto"/>
              </w:rPr>
              <w:t>4,105 (k)</w:t>
            </w:r>
          </w:p>
        </w:tc>
        <w:tc>
          <w:tcPr>
            <w:tcW w:w="940" w:type="dxa"/>
            <w:vAlign w:val="bottom"/>
            <w:tcBorders>
              <w:bottom w:val="single" w:sz="8" w:color="auto"/>
            </w:tcBorders>
            <w:shd w:val="clear" w:color="auto" w:fill="CCCCCC"/>
          </w:tcPr>
          <w:p>
            <w:pPr>
              <w:jc w:val="right"/>
              <w:ind w:right="17"/>
              <w:spacing w:after="0" w:line="141" w:lineRule="exact"/>
              <w:rPr>
                <w:sz w:val="20"/>
                <w:szCs w:val="20"/>
                <w:color w:val="auto"/>
              </w:rPr>
            </w:pPr>
            <w:r>
              <w:rPr>
                <w:rFonts w:ascii="Arial" w:cs="Arial" w:eastAsia="Arial" w:hAnsi="Arial"/>
                <w:sz w:val="13"/>
                <w:szCs w:val="13"/>
                <w:color w:val="auto"/>
              </w:rPr>
              <w:t>153,117</w:t>
            </w:r>
          </w:p>
        </w:tc>
        <w:tc>
          <w:tcPr>
            <w:tcW w:w="900" w:type="dxa"/>
            <w:vAlign w:val="bottom"/>
            <w:tcBorders>
              <w:bottom w:val="single" w:sz="8" w:color="auto"/>
            </w:tcBorders>
            <w:shd w:val="clear" w:color="auto" w:fill="CCCCCC"/>
          </w:tcPr>
          <w:p>
            <w:pPr>
              <w:jc w:val="right"/>
              <w:ind w:right="17"/>
              <w:spacing w:after="0" w:line="141" w:lineRule="exact"/>
              <w:rPr>
                <w:sz w:val="20"/>
                <w:szCs w:val="20"/>
                <w:color w:val="auto"/>
              </w:rPr>
            </w:pPr>
            <w:r>
              <w:rPr>
                <w:rFonts w:ascii="Arial" w:cs="Arial" w:eastAsia="Arial" w:hAnsi="Arial"/>
                <w:sz w:val="13"/>
                <w:szCs w:val="13"/>
                <w:color w:val="auto"/>
              </w:rPr>
              <w:t>12,315(r)</w:t>
            </w:r>
          </w:p>
        </w:tc>
        <w:tc>
          <w:tcPr>
            <w:tcW w:w="84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459,350</w:t>
            </w:r>
          </w:p>
        </w:tc>
      </w:tr>
      <w:tr>
        <w:trPr>
          <w:trHeight w:val="129"/>
        </w:trPr>
        <w:tc>
          <w:tcPr>
            <w:tcW w:w="1360" w:type="dxa"/>
            <w:vAlign w:val="bottom"/>
            <w:tcBorders>
              <w:bottom w:val="single" w:sz="8" w:color="auto"/>
            </w:tcBorders>
          </w:tcPr>
          <w:p>
            <w:pPr>
              <w:ind w:left="40"/>
              <w:spacing w:after="0" w:line="129" w:lineRule="exact"/>
              <w:rPr>
                <w:sz w:val="20"/>
                <w:szCs w:val="20"/>
                <w:color w:val="auto"/>
              </w:rPr>
            </w:pPr>
            <w:r>
              <w:rPr>
                <w:rFonts w:ascii="Arial" w:cs="Arial" w:eastAsia="Arial" w:hAnsi="Arial"/>
                <w:sz w:val="13"/>
                <w:szCs w:val="13"/>
                <w:color w:val="auto"/>
              </w:rPr>
              <w:t>Mr. Choi</w:t>
            </w:r>
          </w:p>
        </w:tc>
        <w:tc>
          <w:tcPr>
            <w:tcW w:w="90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3"/>
                <w:szCs w:val="13"/>
                <w:color w:val="auto"/>
                <w:w w:val="96"/>
              </w:rPr>
              <w:t>8/31/2020</w:t>
            </w:r>
          </w:p>
        </w:tc>
        <w:tc>
          <w:tcPr>
            <w:tcW w:w="1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87,951 (l)</w:t>
            </w:r>
          </w:p>
        </w:tc>
        <w:tc>
          <w:tcPr>
            <w:tcW w:w="940" w:type="dxa"/>
            <w:vAlign w:val="bottom"/>
            <w:tcBorders>
              <w:bottom w:val="single" w:sz="8" w:color="auto"/>
            </w:tcBorders>
          </w:tcPr>
          <w:p>
            <w:pPr>
              <w:jc w:val="right"/>
              <w:ind w:right="17"/>
              <w:spacing w:after="0" w:line="129" w:lineRule="exact"/>
              <w:rPr>
                <w:sz w:val="20"/>
                <w:szCs w:val="20"/>
                <w:color w:val="auto"/>
              </w:rPr>
            </w:pPr>
            <w:r>
              <w:rPr>
                <w:rFonts w:ascii="Arial" w:cs="Arial" w:eastAsia="Arial" w:hAnsi="Arial"/>
                <w:sz w:val="13"/>
                <w:szCs w:val="13"/>
                <w:color w:val="auto"/>
              </w:rPr>
              <w:t>3,280,572</w:t>
            </w:r>
          </w:p>
        </w:tc>
        <w:tc>
          <w:tcPr>
            <w:tcW w:w="9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36"/>
        </w:trPr>
        <w:tc>
          <w:tcPr>
            <w:tcW w:w="1360" w:type="dxa"/>
            <w:vAlign w:val="bottom"/>
            <w:shd w:val="clear" w:color="auto" w:fill="CCCCCC"/>
          </w:tcPr>
          <w:p>
            <w:pPr>
              <w:ind w:left="40"/>
              <w:spacing w:after="0" w:line="136" w:lineRule="exact"/>
              <w:rPr>
                <w:sz w:val="20"/>
                <w:szCs w:val="20"/>
                <w:color w:val="auto"/>
              </w:rPr>
            </w:pPr>
            <w:r>
              <w:rPr>
                <w:rFonts w:ascii="Arial" w:cs="Arial" w:eastAsia="Arial" w:hAnsi="Arial"/>
                <w:sz w:val="13"/>
                <w:szCs w:val="13"/>
                <w:color w:val="auto"/>
              </w:rPr>
              <w:t>Mr. Hees</w:t>
            </w:r>
          </w:p>
        </w:tc>
        <w:tc>
          <w:tcPr>
            <w:tcW w:w="900" w:type="dxa"/>
            <w:vAlign w:val="bottom"/>
            <w:shd w:val="clear" w:color="auto" w:fill="CCCCCC"/>
          </w:tcPr>
          <w:p>
            <w:pPr>
              <w:jc w:val="center"/>
              <w:spacing w:after="0" w:line="136" w:lineRule="exact"/>
              <w:rPr>
                <w:sz w:val="20"/>
                <w:szCs w:val="20"/>
                <w:color w:val="auto"/>
              </w:rPr>
            </w:pPr>
            <w:r>
              <w:rPr>
                <w:rFonts w:ascii="Arial" w:cs="Arial" w:eastAsia="Arial" w:hAnsi="Arial"/>
                <w:sz w:val="13"/>
                <w:szCs w:val="13"/>
                <w:color w:val="auto"/>
                <w:w w:val="96"/>
              </w:rPr>
              <w:t>6/30/2020</w:t>
            </w:r>
          </w:p>
        </w:tc>
        <w:tc>
          <w:tcPr>
            <w:tcW w:w="12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88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100" w:type="dxa"/>
            <w:vAlign w:val="bottom"/>
            <w:shd w:val="clear" w:color="auto" w:fill="CCCCCC"/>
          </w:tcPr>
          <w:p>
            <w:pPr>
              <w:spacing w:after="0"/>
              <w:rPr>
                <w:sz w:val="11"/>
                <w:szCs w:val="11"/>
                <w:color w:val="auto"/>
              </w:rPr>
            </w:pPr>
          </w:p>
        </w:tc>
        <w:tc>
          <w:tcPr>
            <w:tcW w:w="1120" w:type="dxa"/>
            <w:vAlign w:val="bottom"/>
            <w:gridSpan w:val="2"/>
            <w:shd w:val="clear" w:color="auto" w:fill="CCCCCC"/>
          </w:tcPr>
          <w:p>
            <w:pPr>
              <w:jc w:val="right"/>
              <w:spacing w:after="0" w:line="136" w:lineRule="exact"/>
              <w:rPr>
                <w:sz w:val="20"/>
                <w:szCs w:val="20"/>
                <w:color w:val="auto"/>
              </w:rPr>
            </w:pPr>
            <w:r>
              <w:rPr>
                <w:rFonts w:ascii="Arial" w:cs="Arial" w:eastAsia="Arial" w:hAnsi="Arial"/>
                <w:sz w:val="13"/>
                <w:szCs w:val="13"/>
                <w:color w:val="auto"/>
              </w:rPr>
              <w:t>109,218 (m)</w:t>
            </w:r>
          </w:p>
        </w:tc>
        <w:tc>
          <w:tcPr>
            <w:tcW w:w="940" w:type="dxa"/>
            <w:vAlign w:val="bottom"/>
            <w:shd w:val="clear" w:color="auto" w:fill="CCCCCC"/>
          </w:tcPr>
          <w:p>
            <w:pPr>
              <w:jc w:val="right"/>
              <w:ind w:right="17"/>
              <w:spacing w:after="0" w:line="136" w:lineRule="exact"/>
              <w:rPr>
                <w:sz w:val="20"/>
                <w:szCs w:val="20"/>
                <w:color w:val="auto"/>
              </w:rPr>
            </w:pPr>
            <w:r>
              <w:rPr>
                <w:rFonts w:ascii="Arial" w:cs="Arial" w:eastAsia="Arial" w:hAnsi="Arial"/>
                <w:sz w:val="13"/>
                <w:szCs w:val="13"/>
                <w:color w:val="auto"/>
              </w:rPr>
              <w:t>4,073,831</w:t>
            </w:r>
          </w:p>
        </w:tc>
        <w:tc>
          <w:tcPr>
            <w:tcW w:w="900" w:type="dxa"/>
            <w:vAlign w:val="bottom"/>
            <w:shd w:val="clear" w:color="auto" w:fill="CCCCCC"/>
          </w:tcPr>
          <w:p>
            <w:pPr>
              <w:jc w:val="right"/>
              <w:ind w:right="17"/>
              <w:spacing w:after="0" w:line="136" w:lineRule="exact"/>
              <w:rPr>
                <w:sz w:val="20"/>
                <w:szCs w:val="20"/>
                <w:color w:val="auto"/>
              </w:rPr>
            </w:pPr>
            <w:r>
              <w:rPr>
                <w:rFonts w:ascii="Arial" w:cs="Arial" w:eastAsia="Arial" w:hAnsi="Arial"/>
                <w:sz w:val="13"/>
                <w:szCs w:val="13"/>
                <w:color w:val="auto"/>
              </w:rPr>
              <w:t>37,500(s)</w:t>
            </w:r>
          </w:p>
        </w:tc>
        <w:tc>
          <w:tcPr>
            <w:tcW w:w="840" w:type="dxa"/>
            <w:vAlign w:val="bottom"/>
            <w:shd w:val="clear" w:color="auto" w:fill="CCCCCC"/>
          </w:tcPr>
          <w:p>
            <w:pPr>
              <w:jc w:val="right"/>
              <w:spacing w:after="0" w:line="136" w:lineRule="exact"/>
              <w:rPr>
                <w:sz w:val="20"/>
                <w:szCs w:val="20"/>
                <w:color w:val="auto"/>
              </w:rPr>
            </w:pPr>
            <w:r>
              <w:rPr>
                <w:rFonts w:ascii="Arial" w:cs="Arial" w:eastAsia="Arial" w:hAnsi="Arial"/>
                <w:sz w:val="13"/>
                <w:szCs w:val="13"/>
                <w:color w:val="auto"/>
              </w:rPr>
              <w:t>1,398,750</w:t>
            </w:r>
          </w:p>
        </w:tc>
      </w:tr>
      <w:tr>
        <w:trPr>
          <w:trHeight w:val="141"/>
        </w:trPr>
        <w:tc>
          <w:tcPr>
            <w:tcW w:w="136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jc w:val="center"/>
              <w:spacing w:after="0" w:line="141" w:lineRule="exact"/>
              <w:rPr>
                <w:sz w:val="20"/>
                <w:szCs w:val="20"/>
                <w:color w:val="auto"/>
              </w:rPr>
            </w:pPr>
            <w:r>
              <w:rPr>
                <w:rFonts w:ascii="Arial" w:cs="Arial" w:eastAsia="Arial" w:hAnsi="Arial"/>
                <w:sz w:val="13"/>
                <w:szCs w:val="13"/>
                <w:color w:val="auto"/>
                <w:w w:val="96"/>
              </w:rPr>
              <w:t>2/21/2020</w:t>
            </w:r>
          </w:p>
        </w:tc>
        <w:tc>
          <w:tcPr>
            <w:tcW w:w="1240" w:type="dxa"/>
            <w:vAlign w:val="bottom"/>
            <w:tcBorders>
              <w:bottom w:val="single" w:sz="8" w:color="auto"/>
            </w:tcBorders>
            <w:shd w:val="clear" w:color="auto" w:fill="CCCCCC"/>
          </w:tcPr>
          <w:p>
            <w:pPr>
              <w:spacing w:after="0"/>
              <w:rPr>
                <w:sz w:val="12"/>
                <w:szCs w:val="12"/>
                <w:color w:val="auto"/>
              </w:rPr>
            </w:pPr>
          </w:p>
        </w:tc>
        <w:tc>
          <w:tcPr>
            <w:tcW w:w="1120" w:type="dxa"/>
            <w:vAlign w:val="bottom"/>
            <w:tcBorders>
              <w:bottom w:val="single" w:sz="8" w:color="auto"/>
            </w:tcBorders>
            <w:shd w:val="clear" w:color="auto" w:fill="CCCCCC"/>
          </w:tcPr>
          <w:p>
            <w:pPr>
              <w:spacing w:after="0"/>
              <w:rPr>
                <w:sz w:val="12"/>
                <w:szCs w:val="12"/>
                <w:color w:val="auto"/>
              </w:rPr>
            </w:pPr>
          </w:p>
        </w:tc>
        <w:tc>
          <w:tcPr>
            <w:tcW w:w="940" w:type="dxa"/>
            <w:vAlign w:val="bottom"/>
            <w:tcBorders>
              <w:bottom w:val="single" w:sz="8" w:color="auto"/>
            </w:tcBorders>
            <w:shd w:val="clear" w:color="auto" w:fill="CCCCCC"/>
          </w:tcPr>
          <w:p>
            <w:pPr>
              <w:spacing w:after="0"/>
              <w:rPr>
                <w:sz w:val="12"/>
                <w:szCs w:val="12"/>
                <w:color w:val="auto"/>
              </w:rPr>
            </w:pPr>
          </w:p>
        </w:tc>
        <w:tc>
          <w:tcPr>
            <w:tcW w:w="88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1020" w:type="dxa"/>
            <w:vAlign w:val="bottom"/>
            <w:tcBorders>
              <w:bottom w:val="single" w:sz="8" w:color="auto"/>
            </w:tcBorders>
            <w:gridSpan w:val="2"/>
            <w:shd w:val="clear" w:color="auto" w:fill="CCCCCC"/>
          </w:tcPr>
          <w:p>
            <w:pPr>
              <w:jc w:val="right"/>
              <w:spacing w:after="0" w:line="141" w:lineRule="exact"/>
              <w:rPr>
                <w:sz w:val="20"/>
                <w:szCs w:val="20"/>
                <w:color w:val="auto"/>
              </w:rPr>
            </w:pPr>
            <w:r>
              <w:rPr>
                <w:rFonts w:ascii="Arial" w:cs="Arial" w:eastAsia="Arial" w:hAnsi="Arial"/>
                <w:sz w:val="13"/>
                <w:szCs w:val="13"/>
                <w:color w:val="auto"/>
              </w:rPr>
              <w:t>1,525</w:t>
            </w:r>
          </w:p>
        </w:tc>
        <w:tc>
          <w:tcPr>
            <w:tcW w:w="20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(n)</w:t>
            </w:r>
          </w:p>
        </w:tc>
        <w:tc>
          <w:tcPr>
            <w:tcW w:w="940" w:type="dxa"/>
            <w:vAlign w:val="bottom"/>
            <w:tcBorders>
              <w:bottom w:val="single" w:sz="8" w:color="auto"/>
            </w:tcBorders>
            <w:shd w:val="clear" w:color="auto" w:fill="CCCCCC"/>
          </w:tcPr>
          <w:p>
            <w:pPr>
              <w:jc w:val="right"/>
              <w:ind w:right="17"/>
              <w:spacing w:after="0" w:line="141" w:lineRule="exact"/>
              <w:rPr>
                <w:sz w:val="20"/>
                <w:szCs w:val="20"/>
                <w:color w:val="auto"/>
              </w:rPr>
            </w:pPr>
            <w:r>
              <w:rPr>
                <w:rFonts w:ascii="Arial" w:cs="Arial" w:eastAsia="Arial" w:hAnsi="Arial"/>
                <w:sz w:val="13"/>
                <w:szCs w:val="13"/>
                <w:color w:val="auto"/>
              </w:rPr>
              <w:t>56,883</w:t>
            </w:r>
          </w:p>
        </w:tc>
        <w:tc>
          <w:tcPr>
            <w:tcW w:w="900" w:type="dxa"/>
            <w:vAlign w:val="bottom"/>
            <w:tcBorders>
              <w:bottom w:val="single" w:sz="8" w:color="auto"/>
            </w:tcBorders>
            <w:shd w:val="clear" w:color="auto" w:fill="CCCCCC"/>
          </w:tcPr>
          <w:p>
            <w:pPr>
              <w:spacing w:after="0"/>
              <w:rPr>
                <w:sz w:val="12"/>
                <w:szCs w:val="12"/>
                <w:color w:val="auto"/>
              </w:rPr>
            </w:pPr>
          </w:p>
        </w:tc>
        <w:tc>
          <w:tcPr>
            <w:tcW w:w="840" w:type="dxa"/>
            <w:vAlign w:val="bottom"/>
            <w:tcBorders>
              <w:bottom w:val="single" w:sz="8" w:color="auto"/>
            </w:tcBorders>
            <w:shd w:val="clear" w:color="auto" w:fill="CCCCCC"/>
          </w:tcPr>
          <w:p>
            <w:pPr>
              <w:spacing w:after="0"/>
              <w:rPr>
                <w:sz w:val="12"/>
                <w:szCs w:val="12"/>
                <w:color w:val="auto"/>
              </w:rPr>
            </w:pPr>
          </w:p>
        </w:tc>
      </w:tr>
      <w:tr>
        <w:trPr>
          <w:trHeight w:val="123"/>
        </w:trPr>
        <w:tc>
          <w:tcPr>
            <w:tcW w:w="1360" w:type="dxa"/>
            <w:vAlign w:val="bottom"/>
          </w:tcPr>
          <w:p>
            <w:pPr>
              <w:ind w:left="40"/>
              <w:spacing w:after="0" w:line="123" w:lineRule="exact"/>
              <w:rPr>
                <w:sz w:val="20"/>
                <w:szCs w:val="20"/>
                <w:color w:val="auto"/>
              </w:rPr>
            </w:pPr>
            <w:r>
              <w:rPr>
                <w:rFonts w:ascii="Arial" w:cs="Arial" w:eastAsia="Arial" w:hAnsi="Arial"/>
                <w:sz w:val="13"/>
                <w:szCs w:val="13"/>
                <w:color w:val="auto"/>
              </w:rPr>
              <w:t>Mr. Rankin</w:t>
            </w:r>
          </w:p>
        </w:tc>
        <w:tc>
          <w:tcPr>
            <w:tcW w:w="900" w:type="dxa"/>
            <w:vAlign w:val="bottom"/>
          </w:tcPr>
          <w:p>
            <w:pPr>
              <w:jc w:val="center"/>
              <w:spacing w:after="0" w:line="123" w:lineRule="exact"/>
              <w:rPr>
                <w:sz w:val="20"/>
                <w:szCs w:val="20"/>
                <w:color w:val="auto"/>
              </w:rPr>
            </w:pPr>
            <w:r>
              <w:rPr>
                <w:rFonts w:ascii="Arial" w:cs="Arial" w:eastAsia="Arial" w:hAnsi="Arial"/>
                <w:sz w:val="13"/>
                <w:szCs w:val="13"/>
                <w:color w:val="auto"/>
                <w:w w:val="98"/>
              </w:rPr>
              <w:t>3/9/2020</w:t>
            </w:r>
          </w:p>
        </w:tc>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24,893</w:t>
            </w:r>
          </w:p>
        </w:tc>
        <w:tc>
          <w:tcPr>
            <w:tcW w:w="200" w:type="dxa"/>
            <w:vAlign w:val="bottom"/>
          </w:tcPr>
          <w:p>
            <w:pPr>
              <w:jc w:val="right"/>
              <w:spacing w:after="0" w:line="123" w:lineRule="exact"/>
              <w:rPr>
                <w:sz w:val="20"/>
                <w:szCs w:val="20"/>
                <w:color w:val="auto"/>
              </w:rPr>
            </w:pPr>
            <w:r>
              <w:rPr>
                <w:rFonts w:ascii="Arial" w:cs="Arial" w:eastAsia="Arial" w:hAnsi="Arial"/>
                <w:sz w:val="13"/>
                <w:szCs w:val="13"/>
                <w:color w:val="auto"/>
              </w:rPr>
              <w:t>(e)</w:t>
            </w:r>
          </w:p>
        </w:tc>
        <w:tc>
          <w:tcPr>
            <w:tcW w:w="940" w:type="dxa"/>
            <w:vAlign w:val="bottom"/>
          </w:tcPr>
          <w:p>
            <w:pPr>
              <w:jc w:val="right"/>
              <w:ind w:right="17"/>
              <w:spacing w:after="0" w:line="123" w:lineRule="exact"/>
              <w:rPr>
                <w:sz w:val="20"/>
                <w:szCs w:val="20"/>
                <w:color w:val="auto"/>
              </w:rPr>
            </w:pPr>
            <w:r>
              <w:rPr>
                <w:rFonts w:ascii="Arial" w:cs="Arial" w:eastAsia="Arial" w:hAnsi="Arial"/>
                <w:sz w:val="13"/>
                <w:szCs w:val="13"/>
                <w:color w:val="auto"/>
              </w:rPr>
              <w:t>928,509</w:t>
            </w:r>
          </w:p>
        </w:tc>
        <w:tc>
          <w:tcPr>
            <w:tcW w:w="900" w:type="dxa"/>
            <w:vAlign w:val="bottom"/>
          </w:tcPr>
          <w:p>
            <w:pPr>
              <w:jc w:val="right"/>
              <w:ind w:right="17"/>
              <w:spacing w:after="0" w:line="123" w:lineRule="exact"/>
              <w:rPr>
                <w:sz w:val="20"/>
                <w:szCs w:val="20"/>
                <w:color w:val="auto"/>
              </w:rPr>
            </w:pPr>
            <w:r>
              <w:rPr>
                <w:rFonts w:ascii="Arial" w:cs="Arial" w:eastAsia="Arial" w:hAnsi="Arial"/>
                <w:sz w:val="13"/>
                <w:szCs w:val="13"/>
                <w:color w:val="auto"/>
              </w:rPr>
              <w:t>24,893(p)</w:t>
            </w:r>
          </w:p>
        </w:tc>
        <w:tc>
          <w:tcPr>
            <w:tcW w:w="840" w:type="dxa"/>
            <w:vAlign w:val="bottom"/>
          </w:tcPr>
          <w:p>
            <w:pPr>
              <w:jc w:val="right"/>
              <w:spacing w:after="0" w:line="123" w:lineRule="exact"/>
              <w:rPr>
                <w:sz w:val="20"/>
                <w:szCs w:val="20"/>
                <w:color w:val="auto"/>
              </w:rPr>
            </w:pPr>
            <w:r>
              <w:rPr>
                <w:rFonts w:ascii="Arial" w:cs="Arial" w:eastAsia="Arial" w:hAnsi="Arial"/>
                <w:sz w:val="13"/>
                <w:szCs w:val="13"/>
                <w:color w:val="auto"/>
              </w:rPr>
              <w:t>928,509</w:t>
            </w:r>
          </w:p>
        </w:tc>
      </w:tr>
      <w:tr>
        <w:trPr>
          <w:trHeight w:val="141"/>
        </w:trPr>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8"/>
              </w:rPr>
              <w:t>8/7/2019</w:t>
            </w:r>
          </w:p>
        </w:tc>
        <w:tc>
          <w:tcPr>
            <w:tcW w:w="1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32,042 (i)</w:t>
            </w:r>
          </w:p>
        </w:tc>
        <w:tc>
          <w:tcPr>
            <w:tcW w:w="940" w:type="dxa"/>
            <w:vAlign w:val="bottom"/>
            <w:tcBorders>
              <w:bottom w:val="single" w:sz="8" w:color="auto"/>
            </w:tcBorders>
          </w:tcPr>
          <w:p>
            <w:pPr>
              <w:jc w:val="right"/>
              <w:ind w:right="17"/>
              <w:spacing w:after="0" w:line="141" w:lineRule="exact"/>
              <w:rPr>
                <w:sz w:val="20"/>
                <w:szCs w:val="20"/>
                <w:color w:val="auto"/>
              </w:rPr>
            </w:pPr>
            <w:r>
              <w:rPr>
                <w:rFonts w:ascii="Arial" w:cs="Arial" w:eastAsia="Arial" w:hAnsi="Arial"/>
                <w:sz w:val="13"/>
                <w:szCs w:val="13"/>
                <w:color w:val="auto"/>
              </w:rPr>
              <w:t>1,195,167</w:t>
            </w:r>
          </w:p>
        </w:tc>
        <w:tc>
          <w:tcPr>
            <w:tcW w:w="900" w:type="dxa"/>
            <w:vAlign w:val="bottom"/>
            <w:tcBorders>
              <w:bottom w:val="single" w:sz="8" w:color="auto"/>
            </w:tcBorders>
          </w:tcPr>
          <w:p>
            <w:pPr>
              <w:jc w:val="right"/>
              <w:ind w:right="17"/>
              <w:spacing w:after="0" w:line="141" w:lineRule="exact"/>
              <w:rPr>
                <w:sz w:val="20"/>
                <w:szCs w:val="20"/>
                <w:color w:val="auto"/>
              </w:rPr>
            </w:pPr>
            <w:r>
              <w:rPr>
                <w:rFonts w:ascii="Arial" w:cs="Arial" w:eastAsia="Arial" w:hAnsi="Arial"/>
                <w:sz w:val="13"/>
                <w:szCs w:val="13"/>
                <w:color w:val="auto"/>
              </w:rPr>
              <w:t>24,031(t)</w:t>
            </w:r>
          </w:p>
        </w:tc>
        <w:tc>
          <w:tcPr>
            <w:tcW w:w="8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896,356</w:t>
            </w:r>
          </w:p>
        </w:tc>
      </w:tr>
      <w:tr>
        <w:trPr>
          <w:trHeight w:val="136"/>
        </w:trPr>
        <w:tc>
          <w:tcPr>
            <w:tcW w:w="1360" w:type="dxa"/>
            <w:vAlign w:val="bottom"/>
            <w:shd w:val="clear" w:color="auto" w:fill="CCCCCC"/>
          </w:tcPr>
          <w:p>
            <w:pPr>
              <w:ind w:left="40"/>
              <w:spacing w:after="0" w:line="136" w:lineRule="exact"/>
              <w:rPr>
                <w:sz w:val="20"/>
                <w:szCs w:val="20"/>
                <w:color w:val="auto"/>
              </w:rPr>
            </w:pPr>
            <w:r>
              <w:rPr>
                <w:rFonts w:ascii="Arial" w:cs="Arial" w:eastAsia="Arial" w:hAnsi="Arial"/>
                <w:sz w:val="13"/>
                <w:szCs w:val="13"/>
                <w:color w:val="auto"/>
              </w:rPr>
              <w:t>Ms. Martins</w:t>
            </w:r>
          </w:p>
        </w:tc>
        <w:tc>
          <w:tcPr>
            <w:tcW w:w="900" w:type="dxa"/>
            <w:vAlign w:val="bottom"/>
            <w:shd w:val="clear" w:color="auto" w:fill="CCCCCC"/>
          </w:tcPr>
          <w:p>
            <w:pPr>
              <w:jc w:val="center"/>
              <w:spacing w:after="0" w:line="136" w:lineRule="exact"/>
              <w:rPr>
                <w:sz w:val="20"/>
                <w:szCs w:val="20"/>
                <w:color w:val="auto"/>
              </w:rPr>
            </w:pPr>
            <w:r>
              <w:rPr>
                <w:rFonts w:ascii="Arial" w:cs="Arial" w:eastAsia="Arial" w:hAnsi="Arial"/>
                <w:sz w:val="13"/>
                <w:szCs w:val="13"/>
                <w:color w:val="auto"/>
                <w:w w:val="98"/>
              </w:rPr>
              <w:t>6/1/2020</w:t>
            </w:r>
          </w:p>
        </w:tc>
        <w:tc>
          <w:tcPr>
            <w:tcW w:w="1240" w:type="dxa"/>
            <w:vAlign w:val="bottom"/>
            <w:shd w:val="clear" w:color="auto" w:fill="CCCCCC"/>
          </w:tcPr>
          <w:p>
            <w:pPr>
              <w:spacing w:after="0"/>
              <w:rPr>
                <w:sz w:val="11"/>
                <w:szCs w:val="11"/>
                <w:color w:val="auto"/>
              </w:rPr>
            </w:pPr>
          </w:p>
        </w:tc>
        <w:tc>
          <w:tcPr>
            <w:tcW w:w="1120" w:type="dxa"/>
            <w:vAlign w:val="bottom"/>
            <w:shd w:val="clear" w:color="auto" w:fill="CCCCCC"/>
          </w:tcPr>
          <w:p>
            <w:pPr>
              <w:spacing w:after="0"/>
              <w:rPr>
                <w:sz w:val="11"/>
                <w:szCs w:val="11"/>
                <w:color w:val="auto"/>
              </w:rPr>
            </w:pPr>
          </w:p>
        </w:tc>
        <w:tc>
          <w:tcPr>
            <w:tcW w:w="940" w:type="dxa"/>
            <w:vAlign w:val="bottom"/>
            <w:shd w:val="clear" w:color="auto" w:fill="CCCCCC"/>
          </w:tcPr>
          <w:p>
            <w:pPr>
              <w:spacing w:after="0"/>
              <w:rPr>
                <w:sz w:val="11"/>
                <w:szCs w:val="11"/>
                <w:color w:val="auto"/>
              </w:rPr>
            </w:pPr>
          </w:p>
        </w:tc>
        <w:tc>
          <w:tcPr>
            <w:tcW w:w="880" w:type="dxa"/>
            <w:vAlign w:val="bottom"/>
            <w:shd w:val="clear" w:color="auto" w:fill="CCCCCC"/>
          </w:tcPr>
          <w:p>
            <w:pPr>
              <w:spacing w:after="0"/>
              <w:rPr>
                <w:sz w:val="11"/>
                <w:szCs w:val="11"/>
                <w:color w:val="auto"/>
              </w:rPr>
            </w:pPr>
          </w:p>
        </w:tc>
        <w:tc>
          <w:tcPr>
            <w:tcW w:w="900" w:type="dxa"/>
            <w:vAlign w:val="bottom"/>
            <w:shd w:val="clear" w:color="auto" w:fill="CCCCCC"/>
          </w:tcPr>
          <w:p>
            <w:pPr>
              <w:spacing w:after="0"/>
              <w:rPr>
                <w:sz w:val="11"/>
                <w:szCs w:val="11"/>
                <w:color w:val="auto"/>
              </w:rPr>
            </w:pPr>
          </w:p>
        </w:tc>
        <w:tc>
          <w:tcPr>
            <w:tcW w:w="1020" w:type="dxa"/>
            <w:vAlign w:val="bottom"/>
            <w:gridSpan w:val="2"/>
            <w:shd w:val="clear" w:color="auto" w:fill="CCCCCC"/>
          </w:tcPr>
          <w:p>
            <w:pPr>
              <w:jc w:val="right"/>
              <w:spacing w:after="0" w:line="136" w:lineRule="exact"/>
              <w:rPr>
                <w:sz w:val="20"/>
                <w:szCs w:val="20"/>
                <w:color w:val="auto"/>
              </w:rPr>
            </w:pPr>
            <w:r>
              <w:rPr>
                <w:rFonts w:ascii="Arial" w:cs="Arial" w:eastAsia="Arial" w:hAnsi="Arial"/>
                <w:sz w:val="13"/>
                <w:szCs w:val="13"/>
                <w:color w:val="auto"/>
              </w:rPr>
              <w:t>900</w:t>
            </w:r>
          </w:p>
        </w:tc>
        <w:tc>
          <w:tcPr>
            <w:tcW w:w="200" w:type="dxa"/>
            <w:vAlign w:val="bottom"/>
            <w:shd w:val="clear" w:color="auto" w:fill="CCCCCC"/>
          </w:tcPr>
          <w:p>
            <w:pPr>
              <w:jc w:val="right"/>
              <w:spacing w:after="0" w:line="136" w:lineRule="exact"/>
              <w:rPr>
                <w:sz w:val="20"/>
                <w:szCs w:val="20"/>
                <w:color w:val="auto"/>
              </w:rPr>
            </w:pPr>
            <w:r>
              <w:rPr>
                <w:rFonts w:ascii="Arial" w:cs="Arial" w:eastAsia="Arial" w:hAnsi="Arial"/>
                <w:sz w:val="13"/>
                <w:szCs w:val="13"/>
                <w:color w:val="auto"/>
              </w:rPr>
              <w:t>(b)</w:t>
            </w:r>
          </w:p>
        </w:tc>
        <w:tc>
          <w:tcPr>
            <w:tcW w:w="940" w:type="dxa"/>
            <w:vAlign w:val="bottom"/>
            <w:shd w:val="clear" w:color="auto" w:fill="CCCCCC"/>
          </w:tcPr>
          <w:p>
            <w:pPr>
              <w:jc w:val="right"/>
              <w:ind w:right="17"/>
              <w:spacing w:after="0" w:line="136" w:lineRule="exact"/>
              <w:rPr>
                <w:sz w:val="20"/>
                <w:szCs w:val="20"/>
                <w:color w:val="auto"/>
              </w:rPr>
            </w:pPr>
            <w:r>
              <w:rPr>
                <w:rFonts w:ascii="Arial" w:cs="Arial" w:eastAsia="Arial" w:hAnsi="Arial"/>
                <w:sz w:val="13"/>
                <w:szCs w:val="13"/>
                <w:color w:val="auto"/>
              </w:rPr>
              <w:t>33,570</w:t>
            </w:r>
          </w:p>
        </w:tc>
        <w:tc>
          <w:tcPr>
            <w:tcW w:w="900" w:type="dxa"/>
            <w:vAlign w:val="bottom"/>
            <w:shd w:val="clear" w:color="auto" w:fill="CCCCCC"/>
          </w:tcPr>
          <w:p>
            <w:pPr>
              <w:spacing w:after="0"/>
              <w:rPr>
                <w:sz w:val="11"/>
                <w:szCs w:val="11"/>
                <w:color w:val="auto"/>
              </w:rPr>
            </w:pPr>
          </w:p>
        </w:tc>
        <w:tc>
          <w:tcPr>
            <w:tcW w:w="840" w:type="dxa"/>
            <w:vAlign w:val="bottom"/>
            <w:shd w:val="clear" w:color="auto" w:fill="CCCCCC"/>
          </w:tcPr>
          <w:p>
            <w:pPr>
              <w:spacing w:after="0"/>
              <w:rPr>
                <w:sz w:val="11"/>
                <w:szCs w:val="11"/>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5/1/2020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900 (c)</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33,570</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4/1/2020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900</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(d)</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33,570</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9"/>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3/9/2020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10,787</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(e)</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402,355</w:t>
            </w:r>
          </w:p>
        </w:tc>
        <w:tc>
          <w:tcPr>
            <w:tcW w:w="9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4,623(p)</w:t>
            </w:r>
          </w:p>
        </w:tc>
        <w:tc>
          <w:tcPr>
            <w:tcW w:w="8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172,438</w:t>
            </w: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3/2/2020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900 (f)</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33,570</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2/3/2020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900</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(g)</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33,570</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8"/>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8"/>
              </w:rPr>
              <w:t>1/2/2020</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900</w:t>
            </w:r>
          </w:p>
        </w:tc>
        <w:tc>
          <w:tcPr>
            <w:tcW w:w="200" w:type="dxa"/>
            <w:vAlign w:val="bottom"/>
            <w:shd w:val="clear" w:color="auto" w:fill="CCCCCC"/>
          </w:tcPr>
          <w:p>
            <w:pPr>
              <w:jc w:val="right"/>
              <w:spacing w:after="0"/>
              <w:rPr>
                <w:sz w:val="20"/>
                <w:szCs w:val="20"/>
                <w:color w:val="auto"/>
              </w:rPr>
            </w:pPr>
            <w:r>
              <w:rPr>
                <w:rFonts w:ascii="Arial" w:cs="Arial" w:eastAsia="Arial" w:hAnsi="Arial"/>
                <w:sz w:val="13"/>
                <w:szCs w:val="13"/>
                <w:color w:val="auto"/>
              </w:rPr>
              <w:t>(h)</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33,570</w:t>
            </w:r>
          </w:p>
        </w:tc>
        <w:tc>
          <w:tcPr>
            <w:tcW w:w="900" w:type="dxa"/>
            <w:vAlign w:val="bottom"/>
            <w:shd w:val="clear" w:color="auto" w:fill="CCCCCC"/>
          </w:tcPr>
          <w:p>
            <w:pPr>
              <w:spacing w:after="0"/>
              <w:rPr>
                <w:sz w:val="12"/>
                <w:szCs w:val="12"/>
                <w:color w:val="auto"/>
              </w:rPr>
            </w:pPr>
          </w:p>
        </w:tc>
        <w:tc>
          <w:tcPr>
            <w:tcW w:w="840" w:type="dxa"/>
            <w:vAlign w:val="bottom"/>
            <w:shd w:val="clear" w:color="auto" w:fill="CCCCCC"/>
          </w:tcPr>
          <w:p>
            <w:pPr>
              <w:spacing w:after="0"/>
              <w:rPr>
                <w:sz w:val="12"/>
                <w:szCs w:val="12"/>
                <w:color w:val="auto"/>
              </w:rPr>
            </w:pPr>
          </w:p>
        </w:tc>
      </w:tr>
      <w:tr>
        <w:trPr>
          <w:trHeight w:val="149"/>
        </w:trPr>
        <w:tc>
          <w:tcPr>
            <w:tcW w:w="1360" w:type="dxa"/>
            <w:vAlign w:val="bottom"/>
            <w:shd w:val="clear" w:color="auto" w:fill="CCCCCC"/>
          </w:tcPr>
          <w:p>
            <w:pPr>
              <w:spacing w:after="0"/>
              <w:rPr>
                <w:sz w:val="12"/>
                <w:szCs w:val="12"/>
                <w:color w:val="auto"/>
              </w:rPr>
            </w:pPr>
          </w:p>
        </w:tc>
        <w:tc>
          <w:tcPr>
            <w:tcW w:w="900" w:type="dxa"/>
            <w:vAlign w:val="bottom"/>
            <w:shd w:val="clear" w:color="auto" w:fill="CCCCCC"/>
          </w:tcPr>
          <w:p>
            <w:pPr>
              <w:jc w:val="center"/>
              <w:spacing w:after="0"/>
              <w:rPr>
                <w:sz w:val="20"/>
                <w:szCs w:val="20"/>
                <w:color w:val="auto"/>
              </w:rPr>
            </w:pPr>
            <w:r>
              <w:rPr>
                <w:rFonts w:ascii="Arial" w:cs="Arial" w:eastAsia="Arial" w:hAnsi="Arial"/>
                <w:sz w:val="13"/>
                <w:szCs w:val="13"/>
                <w:color w:val="auto"/>
                <w:w w:val="96"/>
              </w:rPr>
              <w:t>3/15/2019</w:t>
            </w:r>
          </w:p>
        </w:tc>
        <w:tc>
          <w:tcPr>
            <w:tcW w:w="1240" w:type="dxa"/>
            <w:vAlign w:val="bottom"/>
            <w:shd w:val="clear" w:color="auto" w:fill="CCCCCC"/>
          </w:tcPr>
          <w:p>
            <w:pPr>
              <w:spacing w:after="0"/>
              <w:rPr>
                <w:sz w:val="12"/>
                <w:szCs w:val="12"/>
                <w:color w:val="auto"/>
              </w:rPr>
            </w:pPr>
          </w:p>
        </w:tc>
        <w:tc>
          <w:tcPr>
            <w:tcW w:w="1120" w:type="dxa"/>
            <w:vAlign w:val="bottom"/>
            <w:shd w:val="clear" w:color="auto" w:fill="CCCCCC"/>
          </w:tcPr>
          <w:p>
            <w:pPr>
              <w:spacing w:after="0"/>
              <w:rPr>
                <w:sz w:val="12"/>
                <w:szCs w:val="12"/>
                <w:color w:val="auto"/>
              </w:rPr>
            </w:pPr>
          </w:p>
        </w:tc>
        <w:tc>
          <w:tcPr>
            <w:tcW w:w="940" w:type="dxa"/>
            <w:vAlign w:val="bottom"/>
            <w:shd w:val="clear" w:color="auto" w:fill="CCCCCC"/>
          </w:tcPr>
          <w:p>
            <w:pPr>
              <w:spacing w:after="0"/>
              <w:rPr>
                <w:sz w:val="12"/>
                <w:szCs w:val="12"/>
                <w:color w:val="auto"/>
              </w:rPr>
            </w:pPr>
          </w:p>
        </w:tc>
        <w:tc>
          <w:tcPr>
            <w:tcW w:w="880" w:type="dxa"/>
            <w:vAlign w:val="bottom"/>
            <w:shd w:val="clear" w:color="auto" w:fill="CCCCCC"/>
          </w:tcPr>
          <w:p>
            <w:pPr>
              <w:spacing w:after="0"/>
              <w:rPr>
                <w:sz w:val="12"/>
                <w:szCs w:val="12"/>
                <w:color w:val="auto"/>
              </w:rPr>
            </w:pPr>
          </w:p>
        </w:tc>
        <w:tc>
          <w:tcPr>
            <w:tcW w:w="900" w:type="dxa"/>
            <w:vAlign w:val="bottom"/>
            <w:shd w:val="clear" w:color="auto" w:fill="CCCCCC"/>
          </w:tcPr>
          <w:p>
            <w:pPr>
              <w:spacing w:after="0"/>
              <w:rPr>
                <w:sz w:val="12"/>
                <w:szCs w:val="12"/>
                <w:color w:val="auto"/>
              </w:rPr>
            </w:pPr>
          </w:p>
        </w:tc>
        <w:tc>
          <w:tcPr>
            <w:tcW w:w="100" w:type="dxa"/>
            <w:vAlign w:val="bottom"/>
            <w:shd w:val="clear" w:color="auto" w:fill="CCCCCC"/>
          </w:tcPr>
          <w:p>
            <w:pPr>
              <w:spacing w:after="0"/>
              <w:rPr>
                <w:sz w:val="12"/>
                <w:szCs w:val="12"/>
                <w:color w:val="auto"/>
              </w:rPr>
            </w:pPr>
          </w:p>
        </w:tc>
        <w:tc>
          <w:tcPr>
            <w:tcW w:w="1120" w:type="dxa"/>
            <w:vAlign w:val="bottom"/>
            <w:gridSpan w:val="2"/>
            <w:shd w:val="clear" w:color="auto" w:fill="CCCCCC"/>
          </w:tcPr>
          <w:p>
            <w:pPr>
              <w:jc w:val="right"/>
              <w:spacing w:after="0"/>
              <w:rPr>
                <w:sz w:val="20"/>
                <w:szCs w:val="20"/>
                <w:color w:val="auto"/>
              </w:rPr>
            </w:pPr>
            <w:r>
              <w:rPr>
                <w:rFonts w:ascii="Arial" w:cs="Arial" w:eastAsia="Arial" w:hAnsi="Arial"/>
                <w:sz w:val="13"/>
                <w:szCs w:val="13"/>
                <w:color w:val="auto"/>
              </w:rPr>
              <w:t>4,356 (j)</w:t>
            </w:r>
          </w:p>
        </w:tc>
        <w:tc>
          <w:tcPr>
            <w:tcW w:w="94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162,479</w:t>
            </w:r>
          </w:p>
        </w:tc>
        <w:tc>
          <w:tcPr>
            <w:tcW w:w="900" w:type="dxa"/>
            <w:vAlign w:val="bottom"/>
            <w:shd w:val="clear" w:color="auto" w:fill="CCCCCC"/>
          </w:tcPr>
          <w:p>
            <w:pPr>
              <w:jc w:val="right"/>
              <w:ind w:right="17"/>
              <w:spacing w:after="0"/>
              <w:rPr>
                <w:sz w:val="20"/>
                <w:szCs w:val="20"/>
                <w:color w:val="auto"/>
              </w:rPr>
            </w:pPr>
            <w:r>
              <w:rPr>
                <w:rFonts w:ascii="Arial" w:cs="Arial" w:eastAsia="Arial" w:hAnsi="Arial"/>
                <w:sz w:val="13"/>
                <w:szCs w:val="13"/>
                <w:color w:val="auto"/>
              </w:rPr>
              <w:t>2,800(q)</w:t>
            </w:r>
          </w:p>
        </w:tc>
        <w:tc>
          <w:tcPr>
            <w:tcW w:w="840" w:type="dxa"/>
            <w:vAlign w:val="bottom"/>
            <w:shd w:val="clear" w:color="auto" w:fill="CCCCCC"/>
          </w:tcPr>
          <w:p>
            <w:pPr>
              <w:jc w:val="right"/>
              <w:spacing w:after="0"/>
              <w:rPr>
                <w:sz w:val="20"/>
                <w:szCs w:val="20"/>
                <w:color w:val="auto"/>
              </w:rPr>
            </w:pPr>
            <w:r>
              <w:rPr>
                <w:rFonts w:ascii="Arial" w:cs="Arial" w:eastAsia="Arial" w:hAnsi="Arial"/>
                <w:sz w:val="13"/>
                <w:szCs w:val="13"/>
                <w:color w:val="auto"/>
              </w:rPr>
              <w:t>104,440</w:t>
            </w:r>
          </w:p>
        </w:tc>
      </w:tr>
      <w:tr>
        <w:trPr>
          <w:trHeight w:val="141"/>
        </w:trPr>
        <w:tc>
          <w:tcPr>
            <w:tcW w:w="136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jc w:val="center"/>
              <w:spacing w:after="0" w:line="141" w:lineRule="exact"/>
              <w:rPr>
                <w:sz w:val="20"/>
                <w:szCs w:val="20"/>
                <w:color w:val="auto"/>
              </w:rPr>
            </w:pPr>
            <w:r>
              <w:rPr>
                <w:rFonts w:ascii="Arial" w:cs="Arial" w:eastAsia="Arial" w:hAnsi="Arial"/>
                <w:sz w:val="13"/>
                <w:szCs w:val="13"/>
                <w:color w:val="auto"/>
                <w:w w:val="96"/>
              </w:rPr>
              <w:t>3/15/2018</w:t>
            </w:r>
          </w:p>
        </w:tc>
        <w:tc>
          <w:tcPr>
            <w:tcW w:w="1240" w:type="dxa"/>
            <w:vAlign w:val="bottom"/>
            <w:tcBorders>
              <w:bottom w:val="single" w:sz="8" w:color="auto"/>
            </w:tcBorders>
            <w:shd w:val="clear" w:color="auto" w:fill="CCCCCC"/>
          </w:tcPr>
          <w:p>
            <w:pPr>
              <w:spacing w:after="0"/>
              <w:rPr>
                <w:sz w:val="12"/>
                <w:szCs w:val="12"/>
                <w:color w:val="auto"/>
              </w:rPr>
            </w:pPr>
          </w:p>
        </w:tc>
        <w:tc>
          <w:tcPr>
            <w:tcW w:w="1120" w:type="dxa"/>
            <w:vAlign w:val="bottom"/>
            <w:tcBorders>
              <w:bottom w:val="single" w:sz="8" w:color="auto"/>
            </w:tcBorders>
            <w:shd w:val="clear" w:color="auto" w:fill="CCCCCC"/>
          </w:tcPr>
          <w:p>
            <w:pPr>
              <w:spacing w:after="0"/>
              <w:rPr>
                <w:sz w:val="12"/>
                <w:szCs w:val="12"/>
                <w:color w:val="auto"/>
              </w:rPr>
            </w:pPr>
          </w:p>
        </w:tc>
        <w:tc>
          <w:tcPr>
            <w:tcW w:w="940" w:type="dxa"/>
            <w:vAlign w:val="bottom"/>
            <w:tcBorders>
              <w:bottom w:val="single" w:sz="8" w:color="auto"/>
            </w:tcBorders>
            <w:shd w:val="clear" w:color="auto" w:fill="CCCCCC"/>
          </w:tcPr>
          <w:p>
            <w:pPr>
              <w:spacing w:after="0"/>
              <w:rPr>
                <w:sz w:val="12"/>
                <w:szCs w:val="12"/>
                <w:color w:val="auto"/>
              </w:rPr>
            </w:pPr>
          </w:p>
        </w:tc>
        <w:tc>
          <w:tcPr>
            <w:tcW w:w="880" w:type="dxa"/>
            <w:vAlign w:val="bottom"/>
            <w:tcBorders>
              <w:bottom w:val="single" w:sz="8" w:color="auto"/>
            </w:tcBorders>
            <w:shd w:val="clear" w:color="auto" w:fill="CCCCCC"/>
          </w:tcPr>
          <w:p>
            <w:pPr>
              <w:spacing w:after="0"/>
              <w:rPr>
                <w:sz w:val="12"/>
                <w:szCs w:val="12"/>
                <w:color w:val="auto"/>
              </w:rPr>
            </w:pPr>
          </w:p>
        </w:tc>
        <w:tc>
          <w:tcPr>
            <w:tcW w:w="900" w:type="dxa"/>
            <w:vAlign w:val="bottom"/>
            <w:tcBorders>
              <w:bottom w:val="single" w:sz="8" w:color="auto"/>
            </w:tcBorders>
            <w:shd w:val="clear" w:color="auto" w:fill="CCCCCC"/>
          </w:tcPr>
          <w:p>
            <w:pPr>
              <w:spacing w:after="0"/>
              <w:rPr>
                <w:sz w:val="12"/>
                <w:szCs w:val="12"/>
                <w:color w:val="auto"/>
              </w:rPr>
            </w:pPr>
          </w:p>
        </w:tc>
        <w:tc>
          <w:tcPr>
            <w:tcW w:w="100" w:type="dxa"/>
            <w:vAlign w:val="bottom"/>
            <w:tcBorders>
              <w:bottom w:val="single" w:sz="8" w:color="auto"/>
            </w:tcBorders>
            <w:shd w:val="clear" w:color="auto" w:fill="CCCCCC"/>
          </w:tcPr>
          <w:p>
            <w:pPr>
              <w:spacing w:after="0"/>
              <w:rPr>
                <w:sz w:val="12"/>
                <w:szCs w:val="12"/>
                <w:color w:val="auto"/>
              </w:rPr>
            </w:pPr>
          </w:p>
        </w:tc>
        <w:tc>
          <w:tcPr>
            <w:tcW w:w="1120" w:type="dxa"/>
            <w:vAlign w:val="bottom"/>
            <w:tcBorders>
              <w:bottom w:val="single" w:sz="8" w:color="auto"/>
            </w:tcBorders>
            <w:gridSpan w:val="2"/>
            <w:shd w:val="clear" w:color="auto" w:fill="CCCCCC"/>
          </w:tcPr>
          <w:p>
            <w:pPr>
              <w:jc w:val="right"/>
              <w:spacing w:after="0" w:line="141" w:lineRule="exact"/>
              <w:rPr>
                <w:sz w:val="20"/>
                <w:szCs w:val="20"/>
                <w:color w:val="auto"/>
              </w:rPr>
            </w:pPr>
            <w:r>
              <w:rPr>
                <w:rFonts w:ascii="Arial" w:cs="Arial" w:eastAsia="Arial" w:hAnsi="Arial"/>
                <w:sz w:val="13"/>
                <w:szCs w:val="13"/>
                <w:color w:val="auto"/>
              </w:rPr>
              <w:t>1,317 (k)</w:t>
            </w:r>
          </w:p>
        </w:tc>
        <w:tc>
          <w:tcPr>
            <w:tcW w:w="940" w:type="dxa"/>
            <w:vAlign w:val="bottom"/>
            <w:tcBorders>
              <w:bottom w:val="single" w:sz="8" w:color="auto"/>
            </w:tcBorders>
            <w:shd w:val="clear" w:color="auto" w:fill="CCCCCC"/>
          </w:tcPr>
          <w:p>
            <w:pPr>
              <w:jc w:val="right"/>
              <w:ind w:right="17"/>
              <w:spacing w:after="0" w:line="141" w:lineRule="exact"/>
              <w:rPr>
                <w:sz w:val="20"/>
                <w:szCs w:val="20"/>
                <w:color w:val="auto"/>
              </w:rPr>
            </w:pPr>
            <w:r>
              <w:rPr>
                <w:rFonts w:ascii="Arial" w:cs="Arial" w:eastAsia="Arial" w:hAnsi="Arial"/>
                <w:sz w:val="13"/>
                <w:szCs w:val="13"/>
                <w:color w:val="auto"/>
              </w:rPr>
              <w:t>49,124</w:t>
            </w:r>
          </w:p>
        </w:tc>
        <w:tc>
          <w:tcPr>
            <w:tcW w:w="900" w:type="dxa"/>
            <w:vAlign w:val="bottom"/>
            <w:tcBorders>
              <w:bottom w:val="single" w:sz="8" w:color="auto"/>
            </w:tcBorders>
            <w:shd w:val="clear" w:color="auto" w:fill="CCCCCC"/>
          </w:tcPr>
          <w:p>
            <w:pPr>
              <w:jc w:val="right"/>
              <w:ind w:right="17"/>
              <w:spacing w:after="0" w:line="141" w:lineRule="exact"/>
              <w:rPr>
                <w:sz w:val="20"/>
                <w:szCs w:val="20"/>
                <w:color w:val="auto"/>
              </w:rPr>
            </w:pPr>
            <w:r>
              <w:rPr>
                <w:rFonts w:ascii="Arial" w:cs="Arial" w:eastAsia="Arial" w:hAnsi="Arial"/>
                <w:sz w:val="13"/>
                <w:szCs w:val="13"/>
                <w:color w:val="auto"/>
              </w:rPr>
              <w:t>1,693(r)</w:t>
            </w:r>
          </w:p>
        </w:tc>
        <w:tc>
          <w:tcPr>
            <w:tcW w:w="840" w:type="dxa"/>
            <w:vAlign w:val="bottom"/>
            <w:tcBorders>
              <w:bottom w:val="single" w:sz="8" w:color="auto"/>
            </w:tcBorders>
            <w:shd w:val="clear" w:color="auto" w:fill="CCCCCC"/>
          </w:tcPr>
          <w:p>
            <w:pPr>
              <w:jc w:val="right"/>
              <w:spacing w:after="0" w:line="141" w:lineRule="exact"/>
              <w:rPr>
                <w:sz w:val="20"/>
                <w:szCs w:val="20"/>
                <w:color w:val="auto"/>
              </w:rPr>
            </w:pPr>
            <w:r>
              <w:rPr>
                <w:rFonts w:ascii="Arial" w:cs="Arial" w:eastAsia="Arial" w:hAnsi="Arial"/>
                <w:sz w:val="13"/>
                <w:szCs w:val="13"/>
                <w:color w:val="auto"/>
              </w:rPr>
              <w:t>63,149</w:t>
            </w:r>
          </w:p>
        </w:tc>
      </w:tr>
      <w:tr>
        <w:trPr>
          <w:trHeight w:val="123"/>
        </w:trPr>
        <w:tc>
          <w:tcPr>
            <w:tcW w:w="1360" w:type="dxa"/>
            <w:vAlign w:val="bottom"/>
          </w:tcPr>
          <w:p>
            <w:pPr>
              <w:ind w:left="40"/>
              <w:spacing w:after="0" w:line="123" w:lineRule="exact"/>
              <w:rPr>
                <w:sz w:val="20"/>
                <w:szCs w:val="20"/>
                <w:color w:val="auto"/>
              </w:rPr>
            </w:pPr>
            <w:r>
              <w:rPr>
                <w:rFonts w:ascii="Arial" w:cs="Arial" w:eastAsia="Arial" w:hAnsi="Arial"/>
                <w:sz w:val="13"/>
                <w:szCs w:val="13"/>
                <w:color w:val="auto"/>
              </w:rPr>
              <w:t>Mr. North</w:t>
            </w:r>
          </w:p>
        </w:tc>
        <w:tc>
          <w:tcPr>
            <w:tcW w:w="900" w:type="dxa"/>
            <w:vAlign w:val="bottom"/>
          </w:tcPr>
          <w:p>
            <w:pPr>
              <w:jc w:val="center"/>
              <w:spacing w:after="0" w:line="123" w:lineRule="exact"/>
              <w:rPr>
                <w:sz w:val="20"/>
                <w:szCs w:val="20"/>
                <w:color w:val="auto"/>
              </w:rPr>
            </w:pPr>
            <w:r>
              <w:rPr>
                <w:rFonts w:ascii="Arial" w:cs="Arial" w:eastAsia="Arial" w:hAnsi="Arial"/>
                <w:sz w:val="13"/>
                <w:szCs w:val="13"/>
                <w:color w:val="auto"/>
                <w:w w:val="98"/>
              </w:rPr>
              <w:t>3/9/2020</w:t>
            </w:r>
          </w:p>
        </w:tc>
        <w:tc>
          <w:tcPr>
            <w:tcW w:w="1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20" w:type="dxa"/>
            <w:vAlign w:val="bottom"/>
            <w:gridSpan w:val="2"/>
          </w:tcPr>
          <w:p>
            <w:pPr>
              <w:jc w:val="right"/>
              <w:spacing w:after="0" w:line="123" w:lineRule="exact"/>
              <w:rPr>
                <w:sz w:val="20"/>
                <w:szCs w:val="20"/>
                <w:color w:val="auto"/>
              </w:rPr>
            </w:pPr>
            <w:r>
              <w:rPr>
                <w:rFonts w:ascii="Arial" w:cs="Arial" w:eastAsia="Arial" w:hAnsi="Arial"/>
                <w:sz w:val="13"/>
                <w:szCs w:val="13"/>
                <w:color w:val="auto"/>
              </w:rPr>
              <w:t>25,288</w:t>
            </w:r>
          </w:p>
        </w:tc>
        <w:tc>
          <w:tcPr>
            <w:tcW w:w="200" w:type="dxa"/>
            <w:vAlign w:val="bottom"/>
          </w:tcPr>
          <w:p>
            <w:pPr>
              <w:jc w:val="right"/>
              <w:spacing w:after="0" w:line="123" w:lineRule="exact"/>
              <w:rPr>
                <w:sz w:val="20"/>
                <w:szCs w:val="20"/>
                <w:color w:val="auto"/>
              </w:rPr>
            </w:pPr>
            <w:r>
              <w:rPr>
                <w:rFonts w:ascii="Arial" w:cs="Arial" w:eastAsia="Arial" w:hAnsi="Arial"/>
                <w:sz w:val="13"/>
                <w:szCs w:val="13"/>
                <w:color w:val="auto"/>
              </w:rPr>
              <w:t>(e)</w:t>
            </w:r>
          </w:p>
        </w:tc>
        <w:tc>
          <w:tcPr>
            <w:tcW w:w="940" w:type="dxa"/>
            <w:vAlign w:val="bottom"/>
          </w:tcPr>
          <w:p>
            <w:pPr>
              <w:jc w:val="right"/>
              <w:ind w:right="17"/>
              <w:spacing w:after="0" w:line="123" w:lineRule="exact"/>
              <w:rPr>
                <w:sz w:val="20"/>
                <w:szCs w:val="20"/>
                <w:color w:val="auto"/>
              </w:rPr>
            </w:pPr>
            <w:r>
              <w:rPr>
                <w:rFonts w:ascii="Arial" w:cs="Arial" w:eastAsia="Arial" w:hAnsi="Arial"/>
                <w:sz w:val="13"/>
                <w:szCs w:val="13"/>
                <w:color w:val="auto"/>
              </w:rPr>
              <w:t>943,242</w:t>
            </w: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5"/>
        </w:trPr>
        <w:tc>
          <w:tcPr>
            <w:tcW w:w="13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8"/>
              </w:rPr>
              <w:t>8/7/2019</w:t>
            </w:r>
          </w:p>
        </w:tc>
        <w:tc>
          <w:tcPr>
            <w:tcW w:w="1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32,041 (i)</w:t>
            </w:r>
          </w:p>
        </w:tc>
        <w:tc>
          <w:tcPr>
            <w:tcW w:w="94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1,195,129</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48"/>
        </w:trPr>
        <w:tc>
          <w:tcPr>
            <w:tcW w:w="13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spacing w:after="0" w:line="141" w:lineRule="exact"/>
              <w:rPr>
                <w:sz w:val="20"/>
                <w:szCs w:val="20"/>
                <w:color w:val="auto"/>
              </w:rPr>
            </w:pPr>
            <w:r>
              <w:rPr>
                <w:rFonts w:ascii="Arial" w:cs="Arial" w:eastAsia="Arial" w:hAnsi="Arial"/>
                <w:sz w:val="13"/>
                <w:szCs w:val="13"/>
                <w:color w:val="auto"/>
                <w:w w:val="96"/>
              </w:rPr>
              <w:t>4/17/2019</w:t>
            </w:r>
          </w:p>
        </w:tc>
        <w:tc>
          <w:tcPr>
            <w:tcW w:w="12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42,349</w:t>
            </w:r>
          </w:p>
        </w:tc>
        <w:tc>
          <w:tcPr>
            <w:tcW w:w="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(o)</w:t>
            </w:r>
          </w:p>
        </w:tc>
        <w:tc>
          <w:tcPr>
            <w:tcW w:w="940" w:type="dxa"/>
            <w:vAlign w:val="bottom"/>
            <w:tcBorders>
              <w:bottom w:val="single" w:sz="8" w:color="auto"/>
            </w:tcBorders>
          </w:tcPr>
          <w:p>
            <w:pPr>
              <w:jc w:val="right"/>
              <w:ind w:right="17"/>
              <w:spacing w:after="0" w:line="141" w:lineRule="exact"/>
              <w:rPr>
                <w:sz w:val="20"/>
                <w:szCs w:val="20"/>
                <w:color w:val="auto"/>
              </w:rPr>
            </w:pPr>
            <w:r>
              <w:rPr>
                <w:rFonts w:ascii="Arial" w:cs="Arial" w:eastAsia="Arial" w:hAnsi="Arial"/>
                <w:sz w:val="13"/>
                <w:szCs w:val="13"/>
                <w:color w:val="auto"/>
              </w:rPr>
              <w:t>1,579,618</w:t>
            </w:r>
          </w:p>
        </w:tc>
        <w:tc>
          <w:tcPr>
            <w:tcW w:w="900" w:type="dxa"/>
            <w:vAlign w:val="bottom"/>
            <w:tcBorders>
              <w:bottom w:val="single" w:sz="8" w:color="auto"/>
            </w:tcBorders>
          </w:tcPr>
          <w:p>
            <w:pPr>
              <w:jc w:val="right"/>
              <w:ind w:right="17"/>
              <w:spacing w:after="0" w:line="141" w:lineRule="exact"/>
              <w:rPr>
                <w:sz w:val="20"/>
                <w:szCs w:val="20"/>
                <w:color w:val="auto"/>
              </w:rPr>
            </w:pPr>
            <w:r>
              <w:rPr>
                <w:rFonts w:ascii="Arial" w:cs="Arial" w:eastAsia="Arial" w:hAnsi="Arial"/>
                <w:sz w:val="13"/>
                <w:szCs w:val="13"/>
                <w:color w:val="auto"/>
              </w:rPr>
              <w:t>21,174(u)</w:t>
            </w:r>
          </w:p>
        </w:tc>
        <w:tc>
          <w:tcPr>
            <w:tcW w:w="8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789,790</w:t>
            </w:r>
          </w:p>
        </w:tc>
      </w:tr>
    </w:tbl>
    <w:p>
      <w:pPr>
        <w:spacing w:after="0" w:line="72"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Stock awards include RSUs and PSUs. Values are based on the closing price of our Common Stock on December 31, 2020 of $37.30. Notes (b)-(u) are set forth below.</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20" w:type="dxa"/>
            <w:vAlign w:val="bottom"/>
          </w:tcPr>
          <w:p>
            <w:pPr>
              <w:spacing w:after="0"/>
              <w:rPr>
                <w:sz w:val="15"/>
                <w:szCs w:val="15"/>
                <w:color w:val="auto"/>
              </w:rPr>
            </w:pPr>
          </w:p>
        </w:tc>
        <w:tc>
          <w:tcPr>
            <w:tcW w:w="780" w:type="dxa"/>
            <w:vAlign w:val="bottom"/>
          </w:tcPr>
          <w:p>
            <w:pPr>
              <w:ind w:left="240"/>
              <w:spacing w:after="0"/>
              <w:rPr>
                <w:sz w:val="20"/>
                <w:szCs w:val="20"/>
                <w:color w:val="auto"/>
              </w:rPr>
            </w:pPr>
            <w:r>
              <w:rPr>
                <w:rFonts w:ascii="Arial" w:cs="Arial" w:eastAsia="Arial" w:hAnsi="Arial"/>
                <w:sz w:val="14"/>
                <w:szCs w:val="14"/>
                <w:b w:val="1"/>
                <w:bCs w:val="1"/>
                <w:color w:val="auto"/>
              </w:rPr>
              <w:t>Award</w:t>
            </w:r>
          </w:p>
        </w:tc>
        <w:tc>
          <w:tcPr>
            <w:tcW w:w="10040" w:type="dxa"/>
            <w:vAlign w:val="bottom"/>
          </w:tcPr>
          <w:p>
            <w:pPr>
              <w:ind w:left="100"/>
              <w:spacing w:after="0"/>
              <w:rPr>
                <w:sz w:val="20"/>
                <w:szCs w:val="20"/>
                <w:color w:val="auto"/>
              </w:rPr>
            </w:pPr>
            <w:r>
              <w:rPr>
                <w:rFonts w:ascii="Arial" w:cs="Arial" w:eastAsia="Arial" w:hAnsi="Arial"/>
                <w:sz w:val="14"/>
                <w:szCs w:val="14"/>
                <w:b w:val="1"/>
                <w:bCs w:val="1"/>
                <w:color w:val="auto"/>
              </w:rPr>
              <w:t>Scheduled Vesting</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(b)</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December 1, 2021.</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(c)</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November 1, 2021.</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(d)</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October 1, 2021.</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(e)</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Three equal installments on March 9, 2021, 2022 and 2023. For Mr. North, the units, which represent RSUs scheduled to vest on March 9, 2021 and 2022,</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40" w:type="dxa"/>
            <w:vAlign w:val="bottom"/>
          </w:tcPr>
          <w:p>
            <w:pPr>
              <w:ind w:left="100"/>
              <w:spacing w:after="0"/>
              <w:rPr>
                <w:sz w:val="20"/>
                <w:szCs w:val="20"/>
                <w:color w:val="auto"/>
              </w:rPr>
            </w:pPr>
            <w:r>
              <w:rPr>
                <w:rFonts w:ascii="Arial" w:cs="Arial" w:eastAsia="Arial" w:hAnsi="Arial"/>
                <w:sz w:val="14"/>
                <w:szCs w:val="14"/>
                <w:color w:val="auto"/>
              </w:rPr>
              <w:t>were accelerated in January 2021.</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(f)</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September 2, 2021.</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(g)</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August 3, 2021.</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(h)</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July 2, 2021.</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(i)</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August 7, 2021. For Mr. Rankin, 16,021 units will vest on August 7, 2021 and 16,021 units will vest in two equal installments on August 7, 2021 and 2022.</w:t>
            </w:r>
          </w:p>
        </w:tc>
      </w:tr>
      <w:tr>
        <w:trPr>
          <w:trHeight w:val="162"/>
        </w:trPr>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40" w:type="dxa"/>
            <w:vAlign w:val="bottom"/>
          </w:tcPr>
          <w:p>
            <w:pPr>
              <w:ind w:left="100"/>
              <w:spacing w:after="0"/>
              <w:rPr>
                <w:sz w:val="20"/>
                <w:szCs w:val="20"/>
                <w:color w:val="auto"/>
              </w:rPr>
            </w:pPr>
            <w:r>
              <w:rPr>
                <w:rFonts w:ascii="Arial" w:cs="Arial" w:eastAsia="Arial" w:hAnsi="Arial"/>
                <w:sz w:val="14"/>
                <w:szCs w:val="14"/>
                <w:color w:val="auto"/>
              </w:rPr>
              <w:t>For Mr. North, the units were accelerated in January 2021 in connection with his separation from the Company.</w:t>
            </w:r>
          </w:p>
        </w:tc>
      </w:tr>
      <w:tr>
        <w:trPr>
          <w:trHeight w:val="162"/>
        </w:trPr>
        <w:tc>
          <w:tcPr>
            <w:tcW w:w="420" w:type="dxa"/>
            <w:vAlign w:val="bottom"/>
          </w:tcPr>
          <w:p>
            <w:pPr>
              <w:spacing w:after="0"/>
              <w:rPr>
                <w:sz w:val="20"/>
                <w:szCs w:val="20"/>
                <w:color w:val="auto"/>
              </w:rPr>
            </w:pPr>
            <w:r>
              <w:rPr>
                <w:rFonts w:ascii="Arial" w:cs="Arial" w:eastAsia="Arial" w:hAnsi="Arial"/>
                <w:sz w:val="14"/>
                <w:szCs w:val="14"/>
                <w:color w:val="auto"/>
              </w:rPr>
              <w:t>(j)</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Two equal installments on March 15, 2021 and 2022.</w:t>
            </w:r>
          </w:p>
        </w:tc>
      </w:tr>
      <w:tr>
        <w:trPr>
          <w:trHeight w:val="172"/>
        </w:trPr>
        <w:tc>
          <w:tcPr>
            <w:tcW w:w="420" w:type="dxa"/>
            <w:vAlign w:val="bottom"/>
          </w:tcPr>
          <w:p>
            <w:pPr>
              <w:spacing w:after="0"/>
              <w:rPr>
                <w:sz w:val="20"/>
                <w:szCs w:val="20"/>
                <w:color w:val="auto"/>
              </w:rPr>
            </w:pPr>
            <w:r>
              <w:rPr>
                <w:rFonts w:ascii="Arial" w:cs="Arial" w:eastAsia="Arial" w:hAnsi="Arial"/>
                <w:sz w:val="14"/>
                <w:szCs w:val="14"/>
                <w:color w:val="auto"/>
              </w:rPr>
              <w:t>(k)</w:t>
            </w:r>
          </w:p>
        </w:tc>
        <w:tc>
          <w:tcPr>
            <w:tcW w:w="780" w:type="dxa"/>
            <w:vAlign w:val="bottom"/>
          </w:tcPr>
          <w:p>
            <w:pPr>
              <w:ind w:left="240"/>
              <w:spacing w:after="0"/>
              <w:rPr>
                <w:sz w:val="20"/>
                <w:szCs w:val="20"/>
                <w:color w:val="auto"/>
              </w:rPr>
            </w:pPr>
            <w:r>
              <w:rPr>
                <w:rFonts w:ascii="Arial" w:cs="Arial" w:eastAsia="Arial" w:hAnsi="Arial"/>
                <w:sz w:val="14"/>
                <w:szCs w:val="14"/>
                <w:color w:val="auto"/>
              </w:rPr>
              <w:t>RSUs</w:t>
            </w:r>
          </w:p>
        </w:tc>
        <w:tc>
          <w:tcPr>
            <w:tcW w:w="10040" w:type="dxa"/>
            <w:vAlign w:val="bottom"/>
          </w:tcPr>
          <w:p>
            <w:pPr>
              <w:ind w:left="100"/>
              <w:spacing w:after="0"/>
              <w:rPr>
                <w:sz w:val="20"/>
                <w:szCs w:val="20"/>
                <w:color w:val="auto"/>
              </w:rPr>
            </w:pPr>
            <w:r>
              <w:rPr>
                <w:rFonts w:ascii="Arial" w:cs="Arial" w:eastAsia="Arial" w:hAnsi="Arial"/>
                <w:sz w:val="14"/>
                <w:szCs w:val="14"/>
                <w:color w:val="auto"/>
              </w:rPr>
              <w:t>March 15, 2021</w:t>
            </w:r>
          </w:p>
        </w:tc>
      </w:tr>
      <w:tr>
        <w:trPr>
          <w:trHeight w:val="377"/>
        </w:trPr>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40" w:type="dxa"/>
            <w:vAlign w:val="bottom"/>
          </w:tcPr>
          <w:p>
            <w:pPr>
              <w:ind w:left="4300"/>
              <w:spacing w:after="0"/>
              <w:rPr>
                <w:sz w:val="20"/>
                <w:szCs w:val="20"/>
                <w:color w:val="auto"/>
              </w:rPr>
            </w:pPr>
            <w:r>
              <w:rPr>
                <w:rFonts w:ascii="Arial" w:cs="Arial" w:eastAsia="Arial" w:hAnsi="Arial"/>
                <w:sz w:val="18"/>
                <w:szCs w:val="18"/>
                <w:color w:val="auto"/>
              </w:rPr>
              <w:t>38</w:t>
            </w:r>
          </w:p>
        </w:tc>
      </w:tr>
      <w:tr>
        <w:trPr>
          <w:trHeight w:val="236"/>
        </w:trPr>
        <w:tc>
          <w:tcPr>
            <w:tcW w:w="420" w:type="dxa"/>
            <w:vAlign w:val="bottom"/>
            <w:tcBorders>
              <w:bottom w:val="single" w:sz="8" w:color="C0C0C0"/>
            </w:tcBorders>
          </w:tcPr>
          <w:p>
            <w:pPr>
              <w:spacing w:after="0"/>
              <w:rPr>
                <w:sz w:val="20"/>
                <w:szCs w:val="20"/>
                <w:color w:val="auto"/>
              </w:rPr>
            </w:pPr>
          </w:p>
        </w:tc>
        <w:tc>
          <w:tcPr>
            <w:tcW w:w="780" w:type="dxa"/>
            <w:vAlign w:val="bottom"/>
            <w:tcBorders>
              <w:bottom w:val="single" w:sz="8" w:color="C0C0C0"/>
            </w:tcBorders>
          </w:tcPr>
          <w:p>
            <w:pPr>
              <w:spacing w:after="0"/>
              <w:rPr>
                <w:sz w:val="20"/>
                <w:szCs w:val="20"/>
                <w:color w:val="auto"/>
              </w:rPr>
            </w:pPr>
          </w:p>
        </w:tc>
        <w:tc>
          <w:tcPr>
            <w:tcW w:w="10040" w:type="dxa"/>
            <w:vAlign w:val="bottom"/>
            <w:tcBorders>
              <w:bottom w:val="single" w:sz="8" w:color="C0C0C0"/>
            </w:tcBorders>
          </w:tcPr>
          <w:p>
            <w:pPr>
              <w:spacing w:after="0"/>
              <w:rPr>
                <w:sz w:val="20"/>
                <w:szCs w:val="20"/>
                <w:color w:val="auto"/>
              </w:rPr>
            </w:pPr>
          </w:p>
        </w:tc>
      </w:tr>
    </w:tbl>
    <w:p>
      <w:pPr>
        <w:sectPr>
          <w:pgSz w:w="11900" w:h="16838" w:orient="portrait"/>
          <w:cols w:equalWidth="0" w:num="1">
            <w:col w:w="11240"/>
          </w:cols>
          <w:pgMar w:left="320" w:top="121"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0" w:type="dxa"/>
            <w:vAlign w:val="bottom"/>
          </w:tcPr>
          <w:p>
            <w:pPr>
              <w:spacing w:after="0"/>
              <w:rPr>
                <w:sz w:val="15"/>
                <w:szCs w:val="15"/>
                <w:color w:val="auto"/>
              </w:rPr>
            </w:pP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Award</w:t>
            </w:r>
          </w:p>
        </w:tc>
        <w:tc>
          <w:tcPr>
            <w:tcW w:w="9400" w:type="dxa"/>
            <w:vAlign w:val="bottom"/>
          </w:tcPr>
          <w:p>
            <w:pPr>
              <w:ind w:left="100"/>
              <w:spacing w:after="0"/>
              <w:rPr>
                <w:sz w:val="20"/>
                <w:szCs w:val="20"/>
                <w:color w:val="auto"/>
              </w:rPr>
            </w:pPr>
            <w:r>
              <w:rPr>
                <w:rFonts w:ascii="Arial" w:cs="Arial" w:eastAsia="Arial" w:hAnsi="Arial"/>
                <w:sz w:val="14"/>
                <w:szCs w:val="14"/>
                <w:b w:val="1"/>
                <w:bCs w:val="1"/>
                <w:color w:val="auto"/>
              </w:rPr>
              <w:t>Scheduled Vesting</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(l)</w:t>
            </w:r>
          </w:p>
        </w:tc>
        <w:tc>
          <w:tcPr>
            <w:tcW w:w="760" w:type="dxa"/>
            <w:vAlign w:val="bottom"/>
          </w:tcPr>
          <w:p>
            <w:pPr>
              <w:ind w:left="220"/>
              <w:spacing w:after="0"/>
              <w:rPr>
                <w:sz w:val="20"/>
                <w:szCs w:val="20"/>
                <w:color w:val="auto"/>
              </w:rPr>
            </w:pPr>
            <w:r>
              <w:rPr>
                <w:rFonts w:ascii="Arial" w:cs="Arial" w:eastAsia="Arial" w:hAnsi="Arial"/>
                <w:sz w:val="14"/>
                <w:szCs w:val="14"/>
                <w:color w:val="auto"/>
              </w:rPr>
              <w:t>RSUs</w:t>
            </w:r>
          </w:p>
        </w:tc>
        <w:tc>
          <w:tcPr>
            <w:tcW w:w="9400" w:type="dxa"/>
            <w:vAlign w:val="bottom"/>
          </w:tcPr>
          <w:p>
            <w:pPr>
              <w:ind w:left="100"/>
              <w:spacing w:after="0"/>
              <w:rPr>
                <w:sz w:val="20"/>
                <w:szCs w:val="20"/>
                <w:color w:val="auto"/>
              </w:rPr>
            </w:pPr>
            <w:r>
              <w:rPr>
                <w:rFonts w:ascii="Arial" w:cs="Arial" w:eastAsia="Arial" w:hAnsi="Arial"/>
                <w:sz w:val="14"/>
                <w:szCs w:val="14"/>
                <w:color w:val="auto"/>
              </w:rPr>
              <w:t>Three equal installments on August 31, 2021, 2022 and 2023.</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(m)</w:t>
            </w:r>
          </w:p>
        </w:tc>
        <w:tc>
          <w:tcPr>
            <w:tcW w:w="760" w:type="dxa"/>
            <w:vAlign w:val="bottom"/>
          </w:tcPr>
          <w:p>
            <w:pPr>
              <w:ind w:left="220"/>
              <w:spacing w:after="0"/>
              <w:rPr>
                <w:sz w:val="20"/>
                <w:szCs w:val="20"/>
                <w:color w:val="auto"/>
              </w:rPr>
            </w:pPr>
            <w:r>
              <w:rPr>
                <w:rFonts w:ascii="Arial" w:cs="Arial" w:eastAsia="Arial" w:hAnsi="Arial"/>
                <w:sz w:val="14"/>
                <w:szCs w:val="14"/>
                <w:color w:val="auto"/>
              </w:rPr>
              <w:t>RSUs</w:t>
            </w:r>
          </w:p>
        </w:tc>
        <w:tc>
          <w:tcPr>
            <w:tcW w:w="9400" w:type="dxa"/>
            <w:vAlign w:val="bottom"/>
          </w:tcPr>
          <w:p>
            <w:pPr>
              <w:ind w:left="100"/>
              <w:spacing w:after="0"/>
              <w:rPr>
                <w:sz w:val="20"/>
                <w:szCs w:val="20"/>
                <w:color w:val="auto"/>
              </w:rPr>
            </w:pPr>
            <w:r>
              <w:rPr>
                <w:rFonts w:ascii="Arial" w:cs="Arial" w:eastAsia="Arial" w:hAnsi="Arial"/>
                <w:sz w:val="14"/>
                <w:szCs w:val="14"/>
                <w:color w:val="auto"/>
              </w:rPr>
              <w:t>65,531 units will vest on June 30, 2021 and 43,687 units will vest in three equal installments on June 30, 2021, 2022 and 2023.</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(n)</w:t>
            </w:r>
          </w:p>
        </w:tc>
        <w:tc>
          <w:tcPr>
            <w:tcW w:w="760" w:type="dxa"/>
            <w:vAlign w:val="bottom"/>
          </w:tcPr>
          <w:p>
            <w:pPr>
              <w:ind w:left="220"/>
              <w:spacing w:after="0"/>
              <w:rPr>
                <w:sz w:val="20"/>
                <w:szCs w:val="20"/>
                <w:color w:val="auto"/>
              </w:rPr>
            </w:pPr>
            <w:r>
              <w:rPr>
                <w:rFonts w:ascii="Arial" w:cs="Arial" w:eastAsia="Arial" w:hAnsi="Arial"/>
                <w:sz w:val="14"/>
                <w:szCs w:val="14"/>
                <w:color w:val="auto"/>
              </w:rPr>
              <w:t>RSUs</w:t>
            </w:r>
          </w:p>
        </w:tc>
        <w:tc>
          <w:tcPr>
            <w:tcW w:w="9400" w:type="dxa"/>
            <w:vAlign w:val="bottom"/>
          </w:tcPr>
          <w:p>
            <w:pPr>
              <w:ind w:left="100"/>
              <w:spacing w:after="0"/>
              <w:rPr>
                <w:sz w:val="20"/>
                <w:szCs w:val="20"/>
                <w:color w:val="auto"/>
              </w:rPr>
            </w:pPr>
            <w:r>
              <w:rPr>
                <w:rFonts w:ascii="Arial" w:cs="Arial" w:eastAsia="Arial" w:hAnsi="Arial"/>
                <w:sz w:val="14"/>
                <w:szCs w:val="14"/>
                <w:color w:val="auto"/>
              </w:rPr>
              <w:t>February 21, 2021.</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(o)</w:t>
            </w:r>
          </w:p>
        </w:tc>
        <w:tc>
          <w:tcPr>
            <w:tcW w:w="760" w:type="dxa"/>
            <w:vAlign w:val="bottom"/>
          </w:tcPr>
          <w:p>
            <w:pPr>
              <w:ind w:left="220"/>
              <w:spacing w:after="0"/>
              <w:rPr>
                <w:sz w:val="20"/>
                <w:szCs w:val="20"/>
                <w:color w:val="auto"/>
              </w:rPr>
            </w:pPr>
            <w:r>
              <w:rPr>
                <w:rFonts w:ascii="Arial" w:cs="Arial" w:eastAsia="Arial" w:hAnsi="Arial"/>
                <w:sz w:val="14"/>
                <w:szCs w:val="14"/>
                <w:color w:val="auto"/>
              </w:rPr>
              <w:t>RSUs</w:t>
            </w:r>
          </w:p>
        </w:tc>
        <w:tc>
          <w:tcPr>
            <w:tcW w:w="9400" w:type="dxa"/>
            <w:vAlign w:val="bottom"/>
          </w:tcPr>
          <w:p>
            <w:pPr>
              <w:ind w:left="100"/>
              <w:spacing w:after="0"/>
              <w:rPr>
                <w:sz w:val="20"/>
                <w:szCs w:val="20"/>
                <w:color w:val="auto"/>
              </w:rPr>
            </w:pPr>
            <w:r>
              <w:rPr>
                <w:rFonts w:ascii="Arial" w:cs="Arial" w:eastAsia="Arial" w:hAnsi="Arial"/>
                <w:sz w:val="14"/>
                <w:szCs w:val="14"/>
                <w:color w:val="auto"/>
              </w:rPr>
              <w:t>Units accelerated in January 2021 in connection with Mr. North’s separation from the Company.</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(p)</w:t>
            </w:r>
          </w:p>
        </w:tc>
        <w:tc>
          <w:tcPr>
            <w:tcW w:w="760" w:type="dxa"/>
            <w:vAlign w:val="bottom"/>
          </w:tcPr>
          <w:p>
            <w:pPr>
              <w:ind w:left="220"/>
              <w:spacing w:after="0"/>
              <w:rPr>
                <w:sz w:val="20"/>
                <w:szCs w:val="20"/>
                <w:color w:val="auto"/>
              </w:rPr>
            </w:pPr>
            <w:r>
              <w:rPr>
                <w:rFonts w:ascii="Arial" w:cs="Arial" w:eastAsia="Arial" w:hAnsi="Arial"/>
                <w:sz w:val="14"/>
                <w:szCs w:val="14"/>
                <w:color w:val="auto"/>
              </w:rPr>
              <w:t>PSUs</w:t>
            </w:r>
          </w:p>
        </w:tc>
        <w:tc>
          <w:tcPr>
            <w:tcW w:w="9400" w:type="dxa"/>
            <w:vAlign w:val="bottom"/>
          </w:tcPr>
          <w:p>
            <w:pPr>
              <w:ind w:left="100"/>
              <w:spacing w:after="0"/>
              <w:rPr>
                <w:sz w:val="20"/>
                <w:szCs w:val="20"/>
                <w:color w:val="auto"/>
              </w:rPr>
            </w:pPr>
            <w:r>
              <w:rPr>
                <w:rFonts w:ascii="Arial" w:cs="Arial" w:eastAsia="Arial" w:hAnsi="Arial"/>
                <w:sz w:val="14"/>
                <w:szCs w:val="14"/>
                <w:color w:val="auto"/>
              </w:rPr>
              <w:t>March 9, 2023 based on three-year cumulative Adjusted EBITDA performance.</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(q)</w:t>
            </w:r>
          </w:p>
        </w:tc>
        <w:tc>
          <w:tcPr>
            <w:tcW w:w="760" w:type="dxa"/>
            <w:vAlign w:val="bottom"/>
          </w:tcPr>
          <w:p>
            <w:pPr>
              <w:ind w:left="220"/>
              <w:spacing w:after="0"/>
              <w:rPr>
                <w:sz w:val="20"/>
                <w:szCs w:val="20"/>
                <w:color w:val="auto"/>
              </w:rPr>
            </w:pPr>
            <w:r>
              <w:rPr>
                <w:rFonts w:ascii="Arial" w:cs="Arial" w:eastAsia="Arial" w:hAnsi="Arial"/>
                <w:sz w:val="14"/>
                <w:szCs w:val="14"/>
                <w:color w:val="auto"/>
              </w:rPr>
              <w:t>PSUs</w:t>
            </w:r>
          </w:p>
        </w:tc>
        <w:tc>
          <w:tcPr>
            <w:tcW w:w="9400" w:type="dxa"/>
            <w:vAlign w:val="bottom"/>
          </w:tcPr>
          <w:p>
            <w:pPr>
              <w:ind w:left="100"/>
              <w:spacing w:after="0"/>
              <w:rPr>
                <w:sz w:val="20"/>
                <w:szCs w:val="20"/>
                <w:color w:val="auto"/>
              </w:rPr>
            </w:pPr>
            <w:r>
              <w:rPr>
                <w:rFonts w:ascii="Arial" w:cs="Arial" w:eastAsia="Arial" w:hAnsi="Arial"/>
                <w:sz w:val="14"/>
                <w:szCs w:val="14"/>
                <w:color w:val="auto"/>
              </w:rPr>
              <w:t>March 15, 2022 based on three-year cumulative Adjusted EBITDA performance.</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(r)</w:t>
            </w:r>
          </w:p>
        </w:tc>
        <w:tc>
          <w:tcPr>
            <w:tcW w:w="760" w:type="dxa"/>
            <w:vAlign w:val="bottom"/>
          </w:tcPr>
          <w:p>
            <w:pPr>
              <w:ind w:left="220"/>
              <w:spacing w:after="0"/>
              <w:rPr>
                <w:sz w:val="20"/>
                <w:szCs w:val="20"/>
                <w:color w:val="auto"/>
              </w:rPr>
            </w:pPr>
            <w:r>
              <w:rPr>
                <w:rFonts w:ascii="Arial" w:cs="Arial" w:eastAsia="Arial" w:hAnsi="Arial"/>
                <w:sz w:val="14"/>
                <w:szCs w:val="14"/>
                <w:color w:val="auto"/>
              </w:rPr>
              <w:t>PSUs</w:t>
            </w:r>
          </w:p>
        </w:tc>
        <w:tc>
          <w:tcPr>
            <w:tcW w:w="9400" w:type="dxa"/>
            <w:vAlign w:val="bottom"/>
          </w:tcPr>
          <w:p>
            <w:pPr>
              <w:ind w:left="100"/>
              <w:spacing w:after="0"/>
              <w:rPr>
                <w:sz w:val="20"/>
                <w:szCs w:val="20"/>
                <w:color w:val="auto"/>
              </w:rPr>
            </w:pPr>
            <w:r>
              <w:rPr>
                <w:rFonts w:ascii="Arial" w:cs="Arial" w:eastAsia="Arial" w:hAnsi="Arial"/>
                <w:sz w:val="14"/>
                <w:szCs w:val="14"/>
                <w:color w:val="auto"/>
              </w:rPr>
              <w:t>March 15, 2021 based on three-year cumulative Adjusted EBITDA performance. These awards were forfeited as performance goals were not met.</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(s)</w:t>
            </w:r>
          </w:p>
        </w:tc>
        <w:tc>
          <w:tcPr>
            <w:tcW w:w="760" w:type="dxa"/>
            <w:vAlign w:val="bottom"/>
          </w:tcPr>
          <w:p>
            <w:pPr>
              <w:ind w:left="220"/>
              <w:spacing w:after="0"/>
              <w:rPr>
                <w:sz w:val="20"/>
                <w:szCs w:val="20"/>
                <w:color w:val="auto"/>
              </w:rPr>
            </w:pPr>
            <w:r>
              <w:rPr>
                <w:rFonts w:ascii="Arial" w:cs="Arial" w:eastAsia="Arial" w:hAnsi="Arial"/>
                <w:sz w:val="14"/>
                <w:szCs w:val="14"/>
                <w:color w:val="auto"/>
              </w:rPr>
              <w:t>PSUs</w:t>
            </w:r>
          </w:p>
        </w:tc>
        <w:tc>
          <w:tcPr>
            <w:tcW w:w="9400" w:type="dxa"/>
            <w:vAlign w:val="bottom"/>
          </w:tcPr>
          <w:p>
            <w:pPr>
              <w:ind w:left="100"/>
              <w:spacing w:after="0"/>
              <w:rPr>
                <w:sz w:val="20"/>
                <w:szCs w:val="20"/>
                <w:color w:val="auto"/>
              </w:rPr>
            </w:pPr>
            <w:r>
              <w:rPr>
                <w:rFonts w:ascii="Arial" w:cs="Arial" w:eastAsia="Arial" w:hAnsi="Arial"/>
                <w:sz w:val="14"/>
                <w:szCs w:val="14"/>
                <w:color w:val="auto"/>
              </w:rPr>
              <w:t>July 1, 2023 based upon stock price performance.</w:t>
            </w:r>
          </w:p>
        </w:tc>
      </w:tr>
      <w:tr>
        <w:trPr>
          <w:trHeight w:val="162"/>
        </w:trPr>
        <w:tc>
          <w:tcPr>
            <w:tcW w:w="440" w:type="dxa"/>
            <w:vAlign w:val="bottom"/>
          </w:tcPr>
          <w:p>
            <w:pPr>
              <w:spacing w:after="0"/>
              <w:rPr>
                <w:sz w:val="20"/>
                <w:szCs w:val="20"/>
                <w:color w:val="auto"/>
              </w:rPr>
            </w:pPr>
            <w:r>
              <w:rPr>
                <w:rFonts w:ascii="Arial" w:cs="Arial" w:eastAsia="Arial" w:hAnsi="Arial"/>
                <w:sz w:val="14"/>
                <w:szCs w:val="14"/>
                <w:color w:val="auto"/>
              </w:rPr>
              <w:t>(t)</w:t>
            </w:r>
          </w:p>
        </w:tc>
        <w:tc>
          <w:tcPr>
            <w:tcW w:w="760" w:type="dxa"/>
            <w:vAlign w:val="bottom"/>
          </w:tcPr>
          <w:p>
            <w:pPr>
              <w:ind w:left="220"/>
              <w:spacing w:after="0"/>
              <w:rPr>
                <w:sz w:val="20"/>
                <w:szCs w:val="20"/>
                <w:color w:val="auto"/>
              </w:rPr>
            </w:pPr>
            <w:r>
              <w:rPr>
                <w:rFonts w:ascii="Arial" w:cs="Arial" w:eastAsia="Arial" w:hAnsi="Arial"/>
                <w:sz w:val="14"/>
                <w:szCs w:val="14"/>
                <w:color w:val="auto"/>
              </w:rPr>
              <w:t>PSUs</w:t>
            </w:r>
          </w:p>
        </w:tc>
        <w:tc>
          <w:tcPr>
            <w:tcW w:w="9400" w:type="dxa"/>
            <w:vAlign w:val="bottom"/>
          </w:tcPr>
          <w:p>
            <w:pPr>
              <w:ind w:left="100"/>
              <w:spacing w:after="0"/>
              <w:rPr>
                <w:sz w:val="20"/>
                <w:szCs w:val="20"/>
                <w:color w:val="auto"/>
              </w:rPr>
            </w:pPr>
            <w:r>
              <w:rPr>
                <w:rFonts w:ascii="Arial" w:cs="Arial" w:eastAsia="Arial" w:hAnsi="Arial"/>
                <w:sz w:val="14"/>
                <w:szCs w:val="14"/>
                <w:color w:val="auto"/>
              </w:rPr>
              <w:t>August 7, 2022 based on three-year cumulative Adjusted EBITDA performance.</w:t>
            </w:r>
          </w:p>
        </w:tc>
      </w:tr>
      <w:tr>
        <w:trPr>
          <w:trHeight w:val="172"/>
        </w:trPr>
        <w:tc>
          <w:tcPr>
            <w:tcW w:w="440" w:type="dxa"/>
            <w:vAlign w:val="bottom"/>
          </w:tcPr>
          <w:p>
            <w:pPr>
              <w:spacing w:after="0"/>
              <w:rPr>
                <w:sz w:val="20"/>
                <w:szCs w:val="20"/>
                <w:color w:val="auto"/>
              </w:rPr>
            </w:pPr>
            <w:r>
              <w:rPr>
                <w:rFonts w:ascii="Arial" w:cs="Arial" w:eastAsia="Arial" w:hAnsi="Arial"/>
                <w:sz w:val="14"/>
                <w:szCs w:val="14"/>
                <w:color w:val="auto"/>
              </w:rPr>
              <w:t>(u)</w:t>
            </w:r>
          </w:p>
        </w:tc>
        <w:tc>
          <w:tcPr>
            <w:tcW w:w="760" w:type="dxa"/>
            <w:vAlign w:val="bottom"/>
          </w:tcPr>
          <w:p>
            <w:pPr>
              <w:ind w:left="220"/>
              <w:spacing w:after="0"/>
              <w:rPr>
                <w:sz w:val="20"/>
                <w:szCs w:val="20"/>
                <w:color w:val="auto"/>
              </w:rPr>
            </w:pPr>
            <w:r>
              <w:rPr>
                <w:rFonts w:ascii="Arial" w:cs="Arial" w:eastAsia="Arial" w:hAnsi="Arial"/>
                <w:sz w:val="14"/>
                <w:szCs w:val="14"/>
                <w:color w:val="auto"/>
              </w:rPr>
              <w:t>PSUs</w:t>
            </w:r>
          </w:p>
        </w:tc>
        <w:tc>
          <w:tcPr>
            <w:tcW w:w="9400" w:type="dxa"/>
            <w:vAlign w:val="bottom"/>
          </w:tcPr>
          <w:p>
            <w:pPr>
              <w:ind w:left="100"/>
              <w:spacing w:after="0"/>
              <w:rPr>
                <w:sz w:val="20"/>
                <w:szCs w:val="20"/>
                <w:color w:val="auto"/>
              </w:rPr>
            </w:pPr>
            <w:r>
              <w:rPr>
                <w:rFonts w:ascii="Arial" w:cs="Arial" w:eastAsia="Arial" w:hAnsi="Arial"/>
                <w:sz w:val="14"/>
                <w:szCs w:val="14"/>
                <w:color w:val="auto"/>
              </w:rPr>
              <w:t>April 17, 2022 based on three-year cumulative Adjusted EBITDA performance.</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2020 Option Exercises and Stock Vested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80" w:type="dxa"/>
            <w:vAlign w:val="bottom"/>
          </w:tcPr>
          <w:p>
            <w:pPr>
              <w:spacing w:after="0"/>
              <w:rPr>
                <w:sz w:val="17"/>
                <w:szCs w:val="17"/>
                <w:color w:val="auto"/>
              </w:rPr>
            </w:pPr>
          </w:p>
        </w:tc>
        <w:tc>
          <w:tcPr>
            <w:tcW w:w="2700" w:type="dxa"/>
            <w:vAlign w:val="bottom"/>
            <w:gridSpan w:val="3"/>
          </w:tcPr>
          <w:p>
            <w:pPr>
              <w:ind w:left="780"/>
              <w:spacing w:after="0"/>
              <w:rPr>
                <w:sz w:val="20"/>
                <w:szCs w:val="20"/>
                <w:color w:val="auto"/>
              </w:rPr>
            </w:pPr>
            <w:r>
              <w:rPr>
                <w:rFonts w:ascii="Arial" w:cs="Arial" w:eastAsia="Arial" w:hAnsi="Arial"/>
                <w:sz w:val="14"/>
                <w:szCs w:val="14"/>
                <w:b w:val="1"/>
                <w:bCs w:val="1"/>
                <w:color w:val="auto"/>
              </w:rPr>
              <w:t>Option Awards</w:t>
            </w:r>
          </w:p>
        </w:tc>
        <w:tc>
          <w:tcPr>
            <w:tcW w:w="2460" w:type="dxa"/>
            <w:vAlign w:val="bottom"/>
            <w:gridSpan w:val="3"/>
          </w:tcPr>
          <w:p>
            <w:pPr>
              <w:ind w:left="700"/>
              <w:spacing w:after="0"/>
              <w:rPr>
                <w:sz w:val="20"/>
                <w:szCs w:val="20"/>
                <w:color w:val="auto"/>
              </w:rPr>
            </w:pPr>
            <w:r>
              <w:rPr>
                <w:rFonts w:ascii="Arial" w:cs="Arial" w:eastAsia="Arial" w:hAnsi="Arial"/>
                <w:sz w:val="14"/>
                <w:szCs w:val="14"/>
                <w:b w:val="1"/>
                <w:bCs w:val="1"/>
                <w:color w:val="auto"/>
              </w:rPr>
              <w:t>Stock Awards</w:t>
            </w:r>
          </w:p>
        </w:tc>
      </w:tr>
      <w:tr>
        <w:trPr>
          <w:trHeight w:val="149"/>
        </w:trPr>
        <w:tc>
          <w:tcPr>
            <w:tcW w:w="6080" w:type="dxa"/>
            <w:vAlign w:val="bottom"/>
          </w:tcPr>
          <w:p>
            <w:pPr>
              <w:spacing w:after="0"/>
              <w:rPr>
                <w:sz w:val="12"/>
                <w:szCs w:val="12"/>
                <w:color w:val="auto"/>
              </w:rPr>
            </w:pPr>
          </w:p>
        </w:tc>
        <w:tc>
          <w:tcPr>
            <w:tcW w:w="13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Borders>
              <w:top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rPr>
              <w:t>Number of</w:t>
            </w: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60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w:t>
            </w: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Value</w:t>
            </w:r>
          </w:p>
        </w:tc>
      </w:tr>
      <w:tr>
        <w:trPr>
          <w:trHeight w:val="162"/>
        </w:trPr>
        <w:tc>
          <w:tcPr>
            <w:tcW w:w="60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Acquired on</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Realized</w:t>
            </w: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Acquired on</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Realized</w:t>
            </w:r>
          </w:p>
        </w:tc>
      </w:tr>
      <w:tr>
        <w:trPr>
          <w:trHeight w:val="162"/>
        </w:trPr>
        <w:tc>
          <w:tcPr>
            <w:tcW w:w="60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on Exercise</w:t>
            </w:r>
          </w:p>
        </w:tc>
        <w:tc>
          <w:tcPr>
            <w:tcW w:w="1280" w:type="dxa"/>
            <w:vAlign w:val="bottom"/>
          </w:tcPr>
          <w:p>
            <w:pPr>
              <w:jc w:val="center"/>
              <w:ind w:right="88"/>
              <w:spacing w:after="0"/>
              <w:rPr>
                <w:sz w:val="20"/>
                <w:szCs w:val="20"/>
                <w:color w:val="auto"/>
              </w:rPr>
            </w:pPr>
            <w:r>
              <w:rPr>
                <w:rFonts w:ascii="Arial" w:cs="Arial" w:eastAsia="Arial" w:hAnsi="Arial"/>
                <w:sz w:val="14"/>
                <w:szCs w:val="14"/>
                <w:b w:val="1"/>
                <w:bCs w:val="1"/>
                <w:color w:val="auto"/>
              </w:rPr>
              <w:t>Vesting</w:t>
            </w: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on Vesting</w:t>
            </w:r>
          </w:p>
        </w:tc>
      </w:tr>
      <w:tr>
        <w:trPr>
          <w:trHeight w:val="223"/>
        </w:trPr>
        <w:tc>
          <w:tcPr>
            <w:tcW w:w="60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24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9"/>
                <w:szCs w:val="19"/>
                <w:color w:val="auto"/>
              </w:rPr>
            </w:pPr>
          </w:p>
        </w:tc>
      </w:tr>
      <w:tr>
        <w:trPr>
          <w:trHeight w:val="162"/>
        </w:trPr>
        <w:tc>
          <w:tcPr>
            <w:tcW w:w="6080" w:type="dxa"/>
            <w:vAlign w:val="bottom"/>
            <w:shd w:val="clear" w:color="auto" w:fill="CCCCCC"/>
          </w:tcPr>
          <w:p>
            <w:pPr>
              <w:ind w:left="60"/>
              <w:spacing w:after="0"/>
              <w:rPr>
                <w:sz w:val="20"/>
                <w:szCs w:val="20"/>
                <w:color w:val="auto"/>
              </w:rPr>
            </w:pPr>
            <w:r>
              <w:rPr>
                <w:rFonts w:ascii="Arial" w:cs="Arial" w:eastAsia="Arial" w:hAnsi="Arial"/>
                <w:sz w:val="14"/>
                <w:szCs w:val="14"/>
                <w:color w:val="auto"/>
              </w:rPr>
              <w:t>Mr. Ferraro</w:t>
            </w:r>
          </w:p>
        </w:tc>
        <w:tc>
          <w:tcPr>
            <w:tcW w:w="13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39,597</w:t>
            </w:r>
          </w:p>
        </w:tc>
        <w:tc>
          <w:tcPr>
            <w:tcW w:w="118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1,090,675</w:t>
            </w:r>
          </w:p>
        </w:tc>
      </w:tr>
      <w:tr>
        <w:trPr>
          <w:trHeight w:val="175"/>
        </w:trPr>
        <w:tc>
          <w:tcPr>
            <w:tcW w:w="6080" w:type="dxa"/>
            <w:vAlign w:val="bottom"/>
          </w:tcPr>
          <w:p>
            <w:pPr>
              <w:ind w:left="60"/>
              <w:spacing w:after="0"/>
              <w:rPr>
                <w:sz w:val="20"/>
                <w:szCs w:val="20"/>
                <w:color w:val="auto"/>
              </w:rPr>
            </w:pPr>
            <w:r>
              <w:rPr>
                <w:rFonts w:ascii="Arial" w:cs="Arial" w:eastAsia="Arial" w:hAnsi="Arial"/>
                <w:sz w:val="14"/>
                <w:szCs w:val="14"/>
                <w:color w:val="auto"/>
              </w:rPr>
              <w:t>Mr. Rankin</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8,010</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225,722</w:t>
            </w:r>
          </w:p>
        </w:tc>
      </w:tr>
      <w:tr>
        <w:trPr>
          <w:trHeight w:val="162"/>
        </w:trPr>
        <w:tc>
          <w:tcPr>
            <w:tcW w:w="6080" w:type="dxa"/>
            <w:vAlign w:val="bottom"/>
            <w:shd w:val="clear" w:color="auto" w:fill="CCCCCC"/>
          </w:tcPr>
          <w:p>
            <w:pPr>
              <w:ind w:left="60"/>
              <w:spacing w:after="0"/>
              <w:rPr>
                <w:sz w:val="20"/>
                <w:szCs w:val="20"/>
                <w:color w:val="auto"/>
              </w:rPr>
            </w:pPr>
            <w:r>
              <w:rPr>
                <w:rFonts w:ascii="Arial" w:cs="Arial" w:eastAsia="Arial" w:hAnsi="Arial"/>
                <w:sz w:val="14"/>
                <w:szCs w:val="14"/>
                <w:color w:val="auto"/>
              </w:rPr>
              <w:t>Ms. Martins</w:t>
            </w:r>
          </w:p>
        </w:tc>
        <w:tc>
          <w:tcPr>
            <w:tcW w:w="1360" w:type="dxa"/>
            <w:vAlign w:val="bottom"/>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shd w:val="clear" w:color="auto" w:fill="CCCCCC"/>
          </w:tcPr>
          <w:p>
            <w:pPr>
              <w:jc w:val="right"/>
              <w:ind w:right="88"/>
              <w:spacing w:after="0"/>
              <w:rPr>
                <w:sz w:val="20"/>
                <w:szCs w:val="20"/>
                <w:color w:val="auto"/>
              </w:rPr>
            </w:pPr>
            <w:r>
              <w:rPr>
                <w:rFonts w:ascii="Arial" w:cs="Arial" w:eastAsia="Arial" w:hAnsi="Arial"/>
                <w:sz w:val="14"/>
                <w:szCs w:val="14"/>
                <w:color w:val="auto"/>
              </w:rPr>
              <w:t>13,847</w:t>
            </w:r>
          </w:p>
        </w:tc>
        <w:tc>
          <w:tcPr>
            <w:tcW w:w="1180" w:type="dxa"/>
            <w:vAlign w:val="bottom"/>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391,105</w:t>
            </w:r>
          </w:p>
        </w:tc>
      </w:tr>
      <w:tr>
        <w:trPr>
          <w:trHeight w:val="162"/>
        </w:trPr>
        <w:tc>
          <w:tcPr>
            <w:tcW w:w="6080" w:type="dxa"/>
            <w:vAlign w:val="bottom"/>
          </w:tcPr>
          <w:p>
            <w:pPr>
              <w:ind w:left="60"/>
              <w:spacing w:after="0"/>
              <w:rPr>
                <w:sz w:val="20"/>
                <w:szCs w:val="20"/>
                <w:color w:val="auto"/>
              </w:rPr>
            </w:pPr>
            <w:r>
              <w:rPr>
                <w:rFonts w:ascii="Arial" w:cs="Arial" w:eastAsia="Arial" w:hAnsi="Arial"/>
                <w:sz w:val="14"/>
                <w:szCs w:val="14"/>
                <w:color w:val="auto"/>
              </w:rPr>
              <w:t>Mr. North</w:t>
            </w:r>
          </w:p>
        </w:tc>
        <w:tc>
          <w:tcPr>
            <w:tcW w:w="1360" w:type="dxa"/>
            <w:vAlign w:val="bottom"/>
          </w:tcPr>
          <w:p>
            <w:pPr>
              <w:jc w:val="center"/>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21,174</w:t>
            </w:r>
          </w:p>
        </w:tc>
        <w:tc>
          <w:tcPr>
            <w:tcW w:w="1180" w:type="dxa"/>
            <w:vAlign w:val="bottom"/>
            <w:gridSpan w:val="2"/>
          </w:tcPr>
          <w:p>
            <w:pPr>
              <w:jc w:val="right"/>
              <w:ind w:right="100"/>
              <w:spacing w:after="0"/>
              <w:rPr>
                <w:sz w:val="20"/>
                <w:szCs w:val="20"/>
                <w:color w:val="auto"/>
              </w:rPr>
            </w:pPr>
            <w:r>
              <w:rPr>
                <w:rFonts w:ascii="Arial" w:cs="Arial" w:eastAsia="Arial" w:hAnsi="Arial"/>
                <w:sz w:val="14"/>
                <w:szCs w:val="14"/>
                <w:color w:val="auto"/>
              </w:rPr>
              <w:t>297,071</w:t>
            </w:r>
          </w:p>
        </w:tc>
      </w:tr>
      <w:tr>
        <w:trPr>
          <w:trHeight w:val="183"/>
        </w:trPr>
        <w:tc>
          <w:tcPr>
            <w:tcW w:w="608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Mr. Tucker</w:t>
            </w:r>
          </w:p>
        </w:tc>
        <w:tc>
          <w:tcPr>
            <w:tcW w:w="13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gridSpan w:val="2"/>
            <w:shd w:val="clear" w:color="auto" w:fill="CCCCCC"/>
          </w:tcPr>
          <w:p>
            <w:pPr>
              <w:jc w:val="center"/>
              <w:spacing w:after="0"/>
              <w:rPr>
                <w:sz w:val="20"/>
                <w:szCs w:val="20"/>
                <w:color w:val="auto"/>
              </w:rPr>
            </w:pPr>
            <w:r>
              <w:rPr>
                <w:rFonts w:ascii="Arial" w:cs="Arial" w:eastAsia="Arial" w:hAnsi="Arial"/>
                <w:sz w:val="14"/>
                <w:szCs w:val="14"/>
                <w:color w:val="auto"/>
                <w:w w:val="99"/>
              </w:rPr>
              <w:t>—</w:t>
            </w:r>
          </w:p>
        </w:tc>
        <w:tc>
          <w:tcPr>
            <w:tcW w:w="1280" w:type="dxa"/>
            <w:vAlign w:val="bottom"/>
            <w:tcBorders>
              <w:bottom w:val="single" w:sz="8" w:color="auto"/>
            </w:tcBorders>
            <w:shd w:val="clear" w:color="auto" w:fill="CCCCCC"/>
          </w:tcPr>
          <w:p>
            <w:pPr>
              <w:jc w:val="right"/>
              <w:ind w:right="88"/>
              <w:spacing w:after="0"/>
              <w:rPr>
                <w:sz w:val="20"/>
                <w:szCs w:val="20"/>
                <w:color w:val="auto"/>
              </w:rPr>
            </w:pPr>
            <w:r>
              <w:rPr>
                <w:rFonts w:ascii="Arial" w:cs="Arial" w:eastAsia="Arial" w:hAnsi="Arial"/>
                <w:sz w:val="14"/>
                <w:szCs w:val="14"/>
                <w:color w:val="auto"/>
              </w:rPr>
              <w:t>13,364</w:t>
            </w:r>
          </w:p>
        </w:tc>
        <w:tc>
          <w:tcPr>
            <w:tcW w:w="1180" w:type="dxa"/>
            <w:vAlign w:val="bottom"/>
            <w:tcBorders>
              <w:bottom w:val="single" w:sz="8" w:color="auto"/>
            </w:tcBorders>
            <w:gridSpan w:val="2"/>
            <w:shd w:val="clear" w:color="auto" w:fill="CCCCCC"/>
          </w:tcPr>
          <w:p>
            <w:pPr>
              <w:jc w:val="right"/>
              <w:ind w:right="100"/>
              <w:spacing w:after="0"/>
              <w:rPr>
                <w:sz w:val="20"/>
                <w:szCs w:val="20"/>
                <w:color w:val="auto"/>
              </w:rPr>
            </w:pPr>
            <w:r>
              <w:rPr>
                <w:rFonts w:ascii="Arial" w:cs="Arial" w:eastAsia="Arial" w:hAnsi="Arial"/>
                <w:sz w:val="14"/>
                <w:szCs w:val="14"/>
                <w:color w:val="auto"/>
              </w:rPr>
              <w:t>350,171</w:t>
            </w:r>
          </w:p>
        </w:tc>
      </w:tr>
    </w:tbl>
    <w:p>
      <w:pPr>
        <w:spacing w:after="0" w:line="99" w:lineRule="exact"/>
        <w:rPr>
          <w:sz w:val="20"/>
          <w:szCs w:val="20"/>
          <w:color w:val="auto"/>
        </w:rPr>
      </w:pPr>
    </w:p>
    <w:p>
      <w:pPr>
        <w:ind w:left="340" w:hanging="332"/>
        <w:spacing w:after="0" w:line="258" w:lineRule="auto"/>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Represents partial vesting of RSU awards granted in 2017, 2018 and 2019. For Mr. Ferraro and Ms. Martins includes partial vesting of RSU awards granted in 2020. For Mr. Tucker and Ms. Martins, includes vesting of 4,228 and 2,748 PSUs, respectively, with a value realized of $136,903 and $88,980, respectively.</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Pension Benefits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1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60" w:type="dxa"/>
            <w:vAlign w:val="bottom"/>
          </w:tcPr>
          <w:p>
            <w:pPr>
              <w:jc w:val="center"/>
              <w:ind w:right="248"/>
              <w:spacing w:after="0"/>
              <w:rPr>
                <w:sz w:val="20"/>
                <w:szCs w:val="20"/>
                <w:color w:val="auto"/>
              </w:rPr>
            </w:pPr>
            <w:r>
              <w:rPr>
                <w:rFonts w:ascii="Arial" w:cs="Arial" w:eastAsia="Arial" w:hAnsi="Arial"/>
                <w:sz w:val="14"/>
                <w:szCs w:val="14"/>
                <w:b w:val="1"/>
                <w:bCs w:val="1"/>
                <w:color w:val="auto"/>
              </w:rPr>
              <w:t>Number of Years of</w:t>
            </w:r>
          </w:p>
        </w:tc>
        <w:tc>
          <w:tcPr>
            <w:tcW w:w="2140" w:type="dxa"/>
            <w:vAlign w:val="bottom"/>
          </w:tcPr>
          <w:p>
            <w:pPr>
              <w:jc w:val="center"/>
              <w:ind w:right="228"/>
              <w:spacing w:after="0"/>
              <w:rPr>
                <w:sz w:val="20"/>
                <w:szCs w:val="20"/>
                <w:color w:val="auto"/>
              </w:rPr>
            </w:pPr>
            <w:r>
              <w:rPr>
                <w:rFonts w:ascii="Arial" w:cs="Arial" w:eastAsia="Arial" w:hAnsi="Arial"/>
                <w:sz w:val="14"/>
                <w:szCs w:val="14"/>
                <w:b w:val="1"/>
                <w:bCs w:val="1"/>
                <w:color w:val="auto"/>
              </w:rPr>
              <w:t>Present Value</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During Last</w:t>
            </w:r>
          </w:p>
        </w:tc>
      </w:tr>
      <w:tr>
        <w:trPr>
          <w:trHeight w:val="162"/>
        </w:trPr>
        <w:tc>
          <w:tcPr>
            <w:tcW w:w="128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560" w:type="dxa"/>
            <w:vAlign w:val="bottom"/>
          </w:tcPr>
          <w:p>
            <w:pPr>
              <w:jc w:val="center"/>
              <w:ind w:right="228"/>
              <w:spacing w:after="0"/>
              <w:rPr>
                <w:sz w:val="20"/>
                <w:szCs w:val="20"/>
                <w:color w:val="auto"/>
              </w:rPr>
            </w:pPr>
            <w:r>
              <w:rPr>
                <w:rFonts w:ascii="Arial" w:cs="Arial" w:eastAsia="Arial" w:hAnsi="Arial"/>
                <w:sz w:val="14"/>
                <w:szCs w:val="14"/>
                <w:b w:val="1"/>
                <w:bCs w:val="1"/>
                <w:color w:val="auto"/>
              </w:rPr>
              <w:t>Credited Service</w:t>
            </w:r>
          </w:p>
        </w:tc>
        <w:tc>
          <w:tcPr>
            <w:tcW w:w="2140" w:type="dxa"/>
            <w:vAlign w:val="bottom"/>
          </w:tcPr>
          <w:p>
            <w:pPr>
              <w:jc w:val="center"/>
              <w:ind w:right="228"/>
              <w:spacing w:after="0"/>
              <w:rPr>
                <w:sz w:val="20"/>
                <w:szCs w:val="20"/>
                <w:color w:val="auto"/>
              </w:rPr>
            </w:pPr>
            <w:r>
              <w:rPr>
                <w:rFonts w:ascii="Arial" w:cs="Arial" w:eastAsia="Arial" w:hAnsi="Arial"/>
                <w:sz w:val="14"/>
                <w:szCs w:val="14"/>
                <w:b w:val="1"/>
                <w:bCs w:val="1"/>
                <w:color w:val="auto"/>
              </w:rPr>
              <w:t>of Accumulated</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Fiscal Year</w:t>
            </w:r>
          </w:p>
        </w:tc>
      </w:tr>
      <w:tr>
        <w:trPr>
          <w:trHeight w:val="196"/>
        </w:trPr>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3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Plan Name (a)</w:t>
            </w:r>
          </w:p>
        </w:tc>
        <w:tc>
          <w:tcPr>
            <w:tcW w:w="256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(#)(a)</w:t>
            </w:r>
          </w:p>
        </w:tc>
        <w:tc>
          <w:tcPr>
            <w:tcW w:w="214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rPr>
              <w:t>Benefit ($)(a)</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76"/>
        </w:trPr>
        <w:tc>
          <w:tcPr>
            <w:tcW w:w="128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Mr. Ferraro</w:t>
            </w:r>
          </w:p>
        </w:tc>
        <w:tc>
          <w:tcPr>
            <w:tcW w:w="37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4"/>
                <w:szCs w:val="14"/>
                <w:color w:val="auto"/>
              </w:rPr>
              <w:t>Avis Rent A Car System, LLC Pension Plan</w:t>
            </w:r>
          </w:p>
        </w:tc>
        <w:tc>
          <w:tcPr>
            <w:tcW w:w="2560" w:type="dxa"/>
            <w:vAlign w:val="bottom"/>
            <w:tcBorders>
              <w:bottom w:val="single" w:sz="8" w:color="auto"/>
            </w:tcBorders>
            <w:shd w:val="clear" w:color="auto" w:fill="CCCCCC"/>
          </w:tcPr>
          <w:p>
            <w:pPr>
              <w:ind w:left="1000"/>
              <w:spacing w:after="0"/>
              <w:rPr>
                <w:sz w:val="20"/>
                <w:szCs w:val="20"/>
                <w:color w:val="auto"/>
              </w:rPr>
            </w:pPr>
            <w:r>
              <w:rPr>
                <w:rFonts w:ascii="Arial" w:cs="Arial" w:eastAsia="Arial" w:hAnsi="Arial"/>
                <w:sz w:val="14"/>
                <w:szCs w:val="14"/>
                <w:color w:val="auto"/>
              </w:rPr>
              <w:t>21 years, 1 month</w:t>
            </w:r>
          </w:p>
        </w:tc>
        <w:tc>
          <w:tcPr>
            <w:tcW w:w="2140" w:type="dxa"/>
            <w:vAlign w:val="bottom"/>
            <w:tcBorders>
              <w:bottom w:val="single" w:sz="8" w:color="auto"/>
            </w:tcBorders>
            <w:shd w:val="clear" w:color="auto" w:fill="CCCCCC"/>
          </w:tcPr>
          <w:p>
            <w:pPr>
              <w:jc w:val="right"/>
              <w:ind w:right="968"/>
              <w:spacing w:after="0"/>
              <w:rPr>
                <w:sz w:val="20"/>
                <w:szCs w:val="20"/>
                <w:color w:val="auto"/>
              </w:rPr>
            </w:pPr>
            <w:r>
              <w:rPr>
                <w:rFonts w:ascii="Arial" w:cs="Arial" w:eastAsia="Arial" w:hAnsi="Arial"/>
                <w:sz w:val="14"/>
                <w:szCs w:val="14"/>
                <w:color w:val="auto"/>
              </w:rPr>
              <w:t>502,153</w:t>
            </w:r>
          </w:p>
        </w:tc>
        <w:tc>
          <w:tcPr>
            <w:tcW w:w="1520" w:type="dxa"/>
            <w:vAlign w:val="bottom"/>
            <w:tcBorders>
              <w:bottom w:val="single" w:sz="8" w:color="auto"/>
            </w:tcBorders>
            <w:shd w:val="clear" w:color="auto" w:fill="CCCCCC"/>
          </w:tcPr>
          <w:p>
            <w:pPr>
              <w:jc w:val="right"/>
              <w:ind w:right="188"/>
              <w:spacing w:after="0"/>
              <w:rPr>
                <w:sz w:val="20"/>
                <w:szCs w:val="20"/>
                <w:color w:val="auto"/>
              </w:rPr>
            </w:pPr>
            <w:r>
              <w:rPr>
                <w:rFonts w:ascii="Arial" w:cs="Arial" w:eastAsia="Arial" w:hAnsi="Arial"/>
                <w:sz w:val="14"/>
                <w:szCs w:val="14"/>
                <w:color w:val="auto"/>
              </w:rPr>
              <w:t>—</w:t>
            </w:r>
          </w:p>
        </w:tc>
      </w:tr>
    </w:tbl>
    <w:p>
      <w:pPr>
        <w:spacing w:after="0" w:line="99" w:lineRule="exact"/>
        <w:rPr>
          <w:sz w:val="20"/>
          <w:szCs w:val="20"/>
          <w:color w:val="auto"/>
        </w:rPr>
      </w:pPr>
    </w:p>
    <w:p>
      <w:pPr>
        <w:jc w:val="both"/>
        <w:ind w:left="340" w:hanging="332"/>
        <w:spacing w:after="0" w:line="247"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Avis froze its qualified defined benefit pension plan to new participation and future benefit accruals as of December 31, 1998. Mr. Ferraro is the only NEO who participated in this plan. Prior to December 31, 1998, Mr. Ferraro earned the right to receive certain benefits upon retirement at the retirement age of 65 or upon early retirement on or after age 55. For a discussion of the calculation of retirement benefits, please see Note 18 to our audited financial statements for the fiscal year ended December 31, 2020, included in our 2020 Form 10-K.</w:t>
      </w:r>
    </w:p>
    <w:p>
      <w:pPr>
        <w:spacing w:after="0" w:line="79" w:lineRule="exact"/>
        <w:rPr>
          <w:rFonts w:ascii="Arial" w:cs="Arial" w:eastAsia="Arial" w:hAnsi="Arial"/>
          <w:sz w:val="14"/>
          <w:szCs w:val="14"/>
          <w:color w:val="auto"/>
        </w:rPr>
      </w:pPr>
    </w:p>
    <w:p>
      <w:pPr>
        <w:jc w:val="both"/>
        <w:ind w:left="340"/>
        <w:spacing w:after="0" w:line="245" w:lineRule="auto"/>
        <w:rPr>
          <w:rFonts w:ascii="Arial" w:cs="Arial" w:eastAsia="Arial" w:hAnsi="Arial"/>
          <w:sz w:val="14"/>
          <w:szCs w:val="14"/>
          <w:color w:val="auto"/>
        </w:rPr>
      </w:pPr>
      <w:r>
        <w:rPr>
          <w:rFonts w:ascii="Arial" w:cs="Arial" w:eastAsia="Arial" w:hAnsi="Arial"/>
          <w:sz w:val="14"/>
          <w:szCs w:val="14"/>
          <w:color w:val="auto"/>
        </w:rPr>
        <w:t>The Avis Rent A Car System, LLC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Non-qualified Deferred Compensation Table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3060" w:type="dxa"/>
            <w:vAlign w:val="bottom"/>
          </w:tcPr>
          <w:p>
            <w:pPr>
              <w:jc w:val="center"/>
              <w:ind w:left="1297"/>
              <w:spacing w:after="0"/>
              <w:rPr>
                <w:sz w:val="20"/>
                <w:szCs w:val="20"/>
                <w:color w:val="auto"/>
              </w:rPr>
            </w:pPr>
            <w:r>
              <w:rPr>
                <w:rFonts w:ascii="Arial" w:cs="Arial" w:eastAsia="Arial" w:hAnsi="Arial"/>
                <w:sz w:val="14"/>
                <w:szCs w:val="14"/>
                <w:b w:val="1"/>
                <w:bCs w:val="1"/>
                <w:color w:val="auto"/>
              </w:rPr>
              <w:t>Executive</w:t>
            </w:r>
          </w:p>
        </w:tc>
        <w:tc>
          <w:tcPr>
            <w:tcW w:w="1480" w:type="dxa"/>
            <w:vAlign w:val="bottom"/>
          </w:tcPr>
          <w:p>
            <w:pPr>
              <w:jc w:val="center"/>
              <w:ind w:right="137"/>
              <w:spacing w:after="0"/>
              <w:rPr>
                <w:sz w:val="20"/>
                <w:szCs w:val="20"/>
                <w:color w:val="auto"/>
              </w:rPr>
            </w:pPr>
            <w:r>
              <w:rPr>
                <w:rFonts w:ascii="Arial" w:cs="Arial" w:eastAsia="Arial" w:hAnsi="Arial"/>
                <w:sz w:val="14"/>
                <w:szCs w:val="14"/>
                <w:b w:val="1"/>
                <w:bCs w:val="1"/>
                <w:color w:val="auto"/>
              </w:rPr>
              <w:t>Registrant</w:t>
            </w: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Aggregate</w:t>
            </w: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rPr>
              <w:t>Aggregate</w:t>
            </w:r>
          </w:p>
        </w:tc>
        <w:tc>
          <w:tcPr>
            <w:tcW w:w="1260" w:type="dxa"/>
            <w:vAlign w:val="bottom"/>
          </w:tcPr>
          <w:p>
            <w:pPr>
              <w:jc w:val="center"/>
              <w:ind w:right="57"/>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2740" w:type="dxa"/>
            <w:vAlign w:val="bottom"/>
          </w:tcPr>
          <w:p>
            <w:pPr>
              <w:spacing w:after="0"/>
              <w:rPr>
                <w:sz w:val="14"/>
                <w:szCs w:val="14"/>
                <w:color w:val="auto"/>
              </w:rPr>
            </w:pPr>
          </w:p>
        </w:tc>
        <w:tc>
          <w:tcPr>
            <w:tcW w:w="3060" w:type="dxa"/>
            <w:vAlign w:val="bottom"/>
          </w:tcPr>
          <w:p>
            <w:pPr>
              <w:jc w:val="center"/>
              <w:ind w:left="1317"/>
              <w:spacing w:after="0"/>
              <w:rPr>
                <w:sz w:val="20"/>
                <w:szCs w:val="20"/>
                <w:color w:val="auto"/>
              </w:rPr>
            </w:pPr>
            <w:r>
              <w:rPr>
                <w:rFonts w:ascii="Arial" w:cs="Arial" w:eastAsia="Arial" w:hAnsi="Arial"/>
                <w:sz w:val="14"/>
                <w:szCs w:val="14"/>
                <w:b w:val="1"/>
                <w:bCs w:val="1"/>
                <w:color w:val="auto"/>
              </w:rPr>
              <w:t>Contributions</w:t>
            </w:r>
          </w:p>
        </w:tc>
        <w:tc>
          <w:tcPr>
            <w:tcW w:w="1480" w:type="dxa"/>
            <w:vAlign w:val="bottom"/>
          </w:tcPr>
          <w:p>
            <w:pPr>
              <w:jc w:val="center"/>
              <w:ind w:right="137"/>
              <w:spacing w:after="0"/>
              <w:rPr>
                <w:sz w:val="20"/>
                <w:szCs w:val="20"/>
                <w:color w:val="auto"/>
              </w:rPr>
            </w:pPr>
            <w:r>
              <w:rPr>
                <w:rFonts w:ascii="Arial" w:cs="Arial" w:eastAsia="Arial" w:hAnsi="Arial"/>
                <w:sz w:val="14"/>
                <w:szCs w:val="14"/>
                <w:b w:val="1"/>
                <w:bCs w:val="1"/>
                <w:color w:val="auto"/>
              </w:rPr>
              <w:t>Contributions</w:t>
            </w: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Earnings</w:t>
            </w: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rPr>
              <w:t>Withdrawals/</w:t>
            </w:r>
          </w:p>
        </w:tc>
        <w:tc>
          <w:tcPr>
            <w:tcW w:w="1260" w:type="dxa"/>
            <w:vAlign w:val="bottom"/>
          </w:tcPr>
          <w:p>
            <w:pPr>
              <w:jc w:val="center"/>
              <w:ind w:right="57"/>
              <w:spacing w:after="0"/>
              <w:rPr>
                <w:sz w:val="20"/>
                <w:szCs w:val="20"/>
                <w:color w:val="auto"/>
              </w:rPr>
            </w:pPr>
            <w:r>
              <w:rPr>
                <w:rFonts w:ascii="Arial" w:cs="Arial" w:eastAsia="Arial" w:hAnsi="Arial"/>
                <w:sz w:val="14"/>
                <w:szCs w:val="14"/>
                <w:b w:val="1"/>
                <w:bCs w:val="1"/>
                <w:color w:val="auto"/>
              </w:rPr>
              <w:t>Balance at</w:t>
            </w:r>
          </w:p>
        </w:tc>
      </w:tr>
      <w:tr>
        <w:trPr>
          <w:trHeight w:val="162"/>
        </w:trPr>
        <w:tc>
          <w:tcPr>
            <w:tcW w:w="2740" w:type="dxa"/>
            <w:vAlign w:val="bottom"/>
          </w:tcPr>
          <w:p>
            <w:pPr>
              <w:spacing w:after="0"/>
              <w:rPr>
                <w:sz w:val="14"/>
                <w:szCs w:val="14"/>
                <w:color w:val="auto"/>
              </w:rPr>
            </w:pPr>
          </w:p>
        </w:tc>
        <w:tc>
          <w:tcPr>
            <w:tcW w:w="3060" w:type="dxa"/>
            <w:vAlign w:val="bottom"/>
          </w:tcPr>
          <w:p>
            <w:pPr>
              <w:jc w:val="center"/>
              <w:ind w:left="1297"/>
              <w:spacing w:after="0"/>
              <w:rPr>
                <w:sz w:val="20"/>
                <w:szCs w:val="20"/>
                <w:color w:val="auto"/>
              </w:rPr>
            </w:pPr>
            <w:r>
              <w:rPr>
                <w:rFonts w:ascii="Arial" w:cs="Arial" w:eastAsia="Arial" w:hAnsi="Arial"/>
                <w:sz w:val="14"/>
                <w:szCs w:val="14"/>
                <w:b w:val="1"/>
                <w:bCs w:val="1"/>
                <w:color w:val="auto"/>
              </w:rPr>
              <w:t>in Last FY</w:t>
            </w:r>
          </w:p>
        </w:tc>
        <w:tc>
          <w:tcPr>
            <w:tcW w:w="1480" w:type="dxa"/>
            <w:vAlign w:val="bottom"/>
          </w:tcPr>
          <w:p>
            <w:pPr>
              <w:jc w:val="center"/>
              <w:ind w:right="117"/>
              <w:spacing w:after="0"/>
              <w:rPr>
                <w:sz w:val="20"/>
                <w:szCs w:val="20"/>
                <w:color w:val="auto"/>
              </w:rPr>
            </w:pPr>
            <w:r>
              <w:rPr>
                <w:rFonts w:ascii="Arial" w:cs="Arial" w:eastAsia="Arial" w:hAnsi="Arial"/>
                <w:sz w:val="14"/>
                <w:szCs w:val="14"/>
                <w:b w:val="1"/>
                <w:bCs w:val="1"/>
                <w:color w:val="auto"/>
              </w:rPr>
              <w:t>in Last FY</w:t>
            </w: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in Last FY</w:t>
            </w:r>
          </w:p>
        </w:tc>
        <w:tc>
          <w:tcPr>
            <w:tcW w:w="1460" w:type="dxa"/>
            <w:vAlign w:val="bottom"/>
          </w:tcPr>
          <w:p>
            <w:pPr>
              <w:jc w:val="center"/>
              <w:ind w:right="157"/>
              <w:spacing w:after="0"/>
              <w:rPr>
                <w:sz w:val="20"/>
                <w:szCs w:val="20"/>
                <w:color w:val="auto"/>
              </w:rPr>
            </w:pPr>
            <w:r>
              <w:rPr>
                <w:rFonts w:ascii="Arial" w:cs="Arial" w:eastAsia="Arial" w:hAnsi="Arial"/>
                <w:sz w:val="14"/>
                <w:szCs w:val="14"/>
                <w:b w:val="1"/>
                <w:bCs w:val="1"/>
                <w:color w:val="auto"/>
              </w:rPr>
              <w:t>Distributions</w:t>
            </w: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rPr>
              <w:t>Last FYE</w:t>
            </w:r>
          </w:p>
        </w:tc>
      </w:tr>
      <w:tr>
        <w:trPr>
          <w:trHeight w:val="182"/>
        </w:trPr>
        <w:tc>
          <w:tcPr>
            <w:tcW w:w="27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w:t>
            </w:r>
          </w:p>
        </w:tc>
        <w:tc>
          <w:tcPr>
            <w:tcW w:w="3060" w:type="dxa"/>
            <w:vAlign w:val="bottom"/>
            <w:tcBorders>
              <w:bottom w:val="single" w:sz="8" w:color="auto"/>
            </w:tcBorders>
          </w:tcPr>
          <w:p>
            <w:pPr>
              <w:jc w:val="center"/>
              <w:ind w:left="1297"/>
              <w:spacing w:after="0"/>
              <w:rPr>
                <w:sz w:val="20"/>
                <w:szCs w:val="20"/>
                <w:color w:val="auto"/>
              </w:rPr>
            </w:pPr>
            <w:r>
              <w:rPr>
                <w:rFonts w:ascii="Arial" w:cs="Arial" w:eastAsia="Arial" w:hAnsi="Arial"/>
                <w:sz w:val="14"/>
                <w:szCs w:val="14"/>
                <w:b w:val="1"/>
                <w:bCs w:val="1"/>
                <w:color w:val="auto"/>
              </w:rPr>
              <w:t>($)(a)</w:t>
            </w:r>
          </w:p>
        </w:tc>
        <w:tc>
          <w:tcPr>
            <w:tcW w:w="14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($)(b)</w:t>
            </w:r>
          </w:p>
        </w:tc>
        <w:tc>
          <w:tcPr>
            <w:tcW w:w="12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9"/>
              </w:rPr>
              <w:t>($)(c)</w:t>
            </w:r>
          </w:p>
        </w:tc>
        <w:tc>
          <w:tcPr>
            <w:tcW w:w="146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($)(d)</w:t>
            </w: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($)(e)</w:t>
            </w:r>
          </w:p>
        </w:tc>
      </w:tr>
      <w:tr>
        <w:trPr>
          <w:trHeight w:val="203"/>
        </w:trPr>
        <w:tc>
          <w:tcPr>
            <w:tcW w:w="2740" w:type="dxa"/>
            <w:vAlign w:val="bottom"/>
            <w:tcBorders>
              <w:bottom w:val="single" w:sz="8" w:color="auto"/>
            </w:tcBorders>
            <w:shd w:val="clear" w:color="auto" w:fill="CCCCCC"/>
          </w:tcPr>
          <w:p>
            <w:pPr>
              <w:ind w:left="60"/>
              <w:spacing w:after="0" w:line="202" w:lineRule="exact"/>
              <w:rPr>
                <w:sz w:val="20"/>
                <w:szCs w:val="20"/>
                <w:color w:val="auto"/>
              </w:rPr>
            </w:pPr>
            <w:r>
              <w:rPr>
                <w:rFonts w:ascii="Arial" w:cs="Arial" w:eastAsia="Arial" w:hAnsi="Arial"/>
                <w:sz w:val="18"/>
                <w:szCs w:val="18"/>
                <w:color w:val="auto"/>
              </w:rPr>
              <w:t>Mr. Ferraro</w:t>
            </w:r>
          </w:p>
        </w:tc>
        <w:tc>
          <w:tcPr>
            <w:tcW w:w="3060" w:type="dxa"/>
            <w:vAlign w:val="bottom"/>
            <w:tcBorders>
              <w:bottom w:val="single" w:sz="8" w:color="auto"/>
            </w:tcBorders>
            <w:shd w:val="clear" w:color="auto" w:fill="CCCCCC"/>
          </w:tcPr>
          <w:p>
            <w:pPr>
              <w:jc w:val="right"/>
              <w:ind w:right="77"/>
              <w:spacing w:after="0" w:line="202" w:lineRule="exact"/>
              <w:rPr>
                <w:sz w:val="20"/>
                <w:szCs w:val="20"/>
                <w:color w:val="auto"/>
              </w:rPr>
            </w:pPr>
            <w:r>
              <w:rPr>
                <w:rFonts w:ascii="Arial" w:cs="Arial" w:eastAsia="Arial" w:hAnsi="Arial"/>
                <w:sz w:val="18"/>
                <w:szCs w:val="18"/>
                <w:color w:val="auto"/>
              </w:rPr>
              <w:t>252,663</w:t>
            </w:r>
          </w:p>
        </w:tc>
        <w:tc>
          <w:tcPr>
            <w:tcW w:w="1480" w:type="dxa"/>
            <w:vAlign w:val="bottom"/>
            <w:tcBorders>
              <w:bottom w:val="single" w:sz="8" w:color="auto"/>
            </w:tcBorders>
            <w:shd w:val="clear" w:color="auto" w:fill="CCCCCC"/>
          </w:tcPr>
          <w:p>
            <w:pPr>
              <w:jc w:val="right"/>
              <w:ind w:right="97"/>
              <w:spacing w:after="0" w:line="202" w:lineRule="exact"/>
              <w:rPr>
                <w:sz w:val="20"/>
                <w:szCs w:val="20"/>
                <w:color w:val="auto"/>
              </w:rPr>
            </w:pPr>
            <w:r>
              <w:rPr>
                <w:rFonts w:ascii="Arial" w:cs="Arial" w:eastAsia="Arial" w:hAnsi="Arial"/>
                <w:sz w:val="18"/>
                <w:szCs w:val="18"/>
                <w:color w:val="auto"/>
              </w:rPr>
              <w:t>81,931</w:t>
            </w:r>
          </w:p>
        </w:tc>
        <w:tc>
          <w:tcPr>
            <w:tcW w:w="1240" w:type="dxa"/>
            <w:vAlign w:val="bottom"/>
            <w:tcBorders>
              <w:bottom w:val="single" w:sz="8" w:color="auto"/>
            </w:tcBorders>
            <w:shd w:val="clear" w:color="auto" w:fill="CCCCCC"/>
          </w:tcPr>
          <w:p>
            <w:pPr>
              <w:jc w:val="right"/>
              <w:ind w:right="77"/>
              <w:spacing w:after="0" w:line="202" w:lineRule="exact"/>
              <w:rPr>
                <w:sz w:val="20"/>
                <w:szCs w:val="20"/>
                <w:color w:val="auto"/>
              </w:rPr>
            </w:pPr>
            <w:r>
              <w:rPr>
                <w:rFonts w:ascii="Arial" w:cs="Arial" w:eastAsia="Arial" w:hAnsi="Arial"/>
                <w:sz w:val="18"/>
                <w:szCs w:val="18"/>
                <w:color w:val="auto"/>
              </w:rPr>
              <w:t>207,346</w:t>
            </w:r>
          </w:p>
        </w:tc>
        <w:tc>
          <w:tcPr>
            <w:tcW w:w="1460" w:type="dxa"/>
            <w:vAlign w:val="bottom"/>
            <w:tcBorders>
              <w:bottom w:val="single" w:sz="8" w:color="auto"/>
            </w:tcBorders>
            <w:shd w:val="clear" w:color="auto" w:fill="CCCCCC"/>
          </w:tcPr>
          <w:p>
            <w:pPr>
              <w:jc w:val="right"/>
              <w:ind w:right="137"/>
              <w:spacing w:after="0" w:line="202" w:lineRule="exact"/>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shd w:val="clear" w:color="auto" w:fill="CCCCCC"/>
          </w:tcPr>
          <w:p>
            <w:pPr>
              <w:jc w:val="right"/>
              <w:spacing w:after="0" w:line="202" w:lineRule="exact"/>
              <w:rPr>
                <w:sz w:val="20"/>
                <w:szCs w:val="20"/>
                <w:color w:val="auto"/>
              </w:rPr>
            </w:pPr>
            <w:r>
              <w:rPr>
                <w:rFonts w:ascii="Arial" w:cs="Arial" w:eastAsia="Arial" w:hAnsi="Arial"/>
                <w:sz w:val="18"/>
                <w:szCs w:val="18"/>
                <w:color w:val="auto"/>
              </w:rPr>
              <w:t>764,099</w:t>
            </w:r>
          </w:p>
        </w:tc>
      </w:tr>
      <w:tr>
        <w:trPr>
          <w:trHeight w:val="196"/>
        </w:trPr>
        <w:tc>
          <w:tcPr>
            <w:tcW w:w="27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Mr. Choi</w:t>
            </w:r>
          </w:p>
        </w:tc>
        <w:tc>
          <w:tcPr>
            <w:tcW w:w="3060" w:type="dxa"/>
            <w:vAlign w:val="bottom"/>
            <w:tcBorders>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tcPr>
          <w:p>
            <w:pPr>
              <w:jc w:val="right"/>
              <w:ind w:right="97"/>
              <w:spacing w:after="0" w:line="196" w:lineRule="exact"/>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0</w:t>
            </w:r>
          </w:p>
        </w:tc>
        <w:tc>
          <w:tcPr>
            <w:tcW w:w="1460" w:type="dxa"/>
            <w:vAlign w:val="bottom"/>
            <w:tcBorders>
              <w:bottom w:val="single" w:sz="8" w:color="auto"/>
            </w:tcBorders>
          </w:tcPr>
          <w:p>
            <w:pPr>
              <w:jc w:val="right"/>
              <w:ind w:right="137"/>
              <w:spacing w:after="0" w:line="196" w:lineRule="exact"/>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r>
      <w:tr>
        <w:trPr>
          <w:trHeight w:val="196"/>
        </w:trPr>
        <w:tc>
          <w:tcPr>
            <w:tcW w:w="274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Mr. Hees</w:t>
            </w:r>
          </w:p>
        </w:tc>
        <w:tc>
          <w:tcPr>
            <w:tcW w:w="3060" w:type="dxa"/>
            <w:vAlign w:val="bottom"/>
            <w:tcBorders>
              <w:bottom w:val="single" w:sz="8" w:color="auto"/>
            </w:tcBorders>
            <w:shd w:val="clear" w:color="auto" w:fill="CCCCCC"/>
          </w:tcPr>
          <w:p>
            <w:pPr>
              <w:jc w:val="right"/>
              <w:ind w:right="77"/>
              <w:spacing w:after="0" w:line="196" w:lineRule="exact"/>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shd w:val="clear" w:color="auto" w:fill="CCCCCC"/>
          </w:tcPr>
          <w:p>
            <w:pPr>
              <w:jc w:val="right"/>
              <w:ind w:right="97"/>
              <w:spacing w:after="0" w:line="196" w:lineRule="exact"/>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CCCC"/>
          </w:tcPr>
          <w:p>
            <w:pPr>
              <w:jc w:val="right"/>
              <w:ind w:right="77"/>
              <w:spacing w:after="0" w:line="196" w:lineRule="exact"/>
              <w:rPr>
                <w:sz w:val="20"/>
                <w:szCs w:val="20"/>
                <w:color w:val="auto"/>
              </w:rPr>
            </w:pPr>
            <w:r>
              <w:rPr>
                <w:rFonts w:ascii="Arial" w:cs="Arial" w:eastAsia="Arial" w:hAnsi="Arial"/>
                <w:sz w:val="18"/>
                <w:szCs w:val="18"/>
                <w:color w:val="auto"/>
              </w:rPr>
              <w:t>0</w:t>
            </w:r>
          </w:p>
        </w:tc>
        <w:tc>
          <w:tcPr>
            <w:tcW w:w="1460" w:type="dxa"/>
            <w:vAlign w:val="bottom"/>
            <w:tcBorders>
              <w:bottom w:val="single" w:sz="8" w:color="auto"/>
            </w:tcBorders>
            <w:shd w:val="clear" w:color="auto" w:fill="CCCCCC"/>
          </w:tcPr>
          <w:p>
            <w:pPr>
              <w:jc w:val="right"/>
              <w:ind w:right="137"/>
              <w:spacing w:after="0" w:line="196" w:lineRule="exact"/>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shd w:val="clear" w:color="auto" w:fill="CCCCCC"/>
          </w:tcPr>
          <w:p>
            <w:pPr>
              <w:jc w:val="right"/>
              <w:spacing w:after="0" w:line="196" w:lineRule="exact"/>
              <w:rPr>
                <w:sz w:val="20"/>
                <w:szCs w:val="20"/>
                <w:color w:val="auto"/>
              </w:rPr>
            </w:pPr>
            <w:r>
              <w:rPr>
                <w:rFonts w:ascii="Arial" w:cs="Arial" w:eastAsia="Arial" w:hAnsi="Arial"/>
                <w:sz w:val="18"/>
                <w:szCs w:val="18"/>
                <w:color w:val="auto"/>
              </w:rPr>
              <w:t>0</w:t>
            </w:r>
          </w:p>
        </w:tc>
      </w:tr>
      <w:tr>
        <w:trPr>
          <w:trHeight w:val="196"/>
        </w:trPr>
        <w:tc>
          <w:tcPr>
            <w:tcW w:w="27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Ms. Martins</w:t>
            </w:r>
          </w:p>
        </w:tc>
        <w:tc>
          <w:tcPr>
            <w:tcW w:w="3060" w:type="dxa"/>
            <w:vAlign w:val="bottom"/>
            <w:tcBorders>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12,950</w:t>
            </w:r>
          </w:p>
        </w:tc>
        <w:tc>
          <w:tcPr>
            <w:tcW w:w="1480" w:type="dxa"/>
            <w:vAlign w:val="bottom"/>
            <w:tcBorders>
              <w:bottom w:val="single" w:sz="8" w:color="auto"/>
            </w:tcBorders>
          </w:tcPr>
          <w:p>
            <w:pPr>
              <w:jc w:val="right"/>
              <w:ind w:right="97"/>
              <w:spacing w:after="0" w:line="196" w:lineRule="exact"/>
              <w:rPr>
                <w:sz w:val="20"/>
                <w:szCs w:val="20"/>
                <w:color w:val="auto"/>
              </w:rPr>
            </w:pPr>
            <w:r>
              <w:rPr>
                <w:rFonts w:ascii="Arial" w:cs="Arial" w:eastAsia="Arial" w:hAnsi="Arial"/>
                <w:sz w:val="18"/>
                <w:szCs w:val="18"/>
                <w:color w:val="auto"/>
              </w:rPr>
              <w:t>12,950</w:t>
            </w:r>
          </w:p>
        </w:tc>
        <w:tc>
          <w:tcPr>
            <w:tcW w:w="1240" w:type="dxa"/>
            <w:vAlign w:val="bottom"/>
            <w:tcBorders>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12,441</w:t>
            </w:r>
          </w:p>
        </w:tc>
        <w:tc>
          <w:tcPr>
            <w:tcW w:w="1460" w:type="dxa"/>
            <w:vAlign w:val="bottom"/>
            <w:tcBorders>
              <w:bottom w:val="single" w:sz="8" w:color="auto"/>
            </w:tcBorders>
          </w:tcPr>
          <w:p>
            <w:pPr>
              <w:jc w:val="right"/>
              <w:ind w:right="97"/>
              <w:spacing w:after="0" w:line="196" w:lineRule="exact"/>
              <w:rPr>
                <w:sz w:val="20"/>
                <w:szCs w:val="20"/>
                <w:color w:val="auto"/>
              </w:rPr>
            </w:pPr>
            <w:r>
              <w:rPr>
                <w:rFonts w:ascii="Arial" w:cs="Arial" w:eastAsia="Arial" w:hAnsi="Arial"/>
                <w:sz w:val="18"/>
                <w:szCs w:val="18"/>
                <w:color w:val="auto"/>
              </w:rPr>
              <w:t>(27,614)</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38,203</w:t>
            </w:r>
          </w:p>
        </w:tc>
      </w:tr>
      <w:tr>
        <w:trPr>
          <w:trHeight w:val="196"/>
        </w:trPr>
        <w:tc>
          <w:tcPr>
            <w:tcW w:w="2740" w:type="dxa"/>
            <w:vAlign w:val="bottom"/>
            <w:tcBorders>
              <w:bottom w:val="single" w:sz="8" w:color="auto"/>
            </w:tcBorders>
            <w:shd w:val="clear" w:color="auto" w:fill="CCCCCC"/>
          </w:tcPr>
          <w:p>
            <w:pPr>
              <w:ind w:left="60"/>
              <w:spacing w:after="0" w:line="196" w:lineRule="exact"/>
              <w:rPr>
                <w:sz w:val="20"/>
                <w:szCs w:val="20"/>
                <w:color w:val="auto"/>
              </w:rPr>
            </w:pPr>
            <w:r>
              <w:rPr>
                <w:rFonts w:ascii="Arial" w:cs="Arial" w:eastAsia="Arial" w:hAnsi="Arial"/>
                <w:sz w:val="18"/>
                <w:szCs w:val="18"/>
                <w:color w:val="auto"/>
              </w:rPr>
              <w:t>Mr. North</w:t>
            </w:r>
          </w:p>
        </w:tc>
        <w:tc>
          <w:tcPr>
            <w:tcW w:w="3060" w:type="dxa"/>
            <w:vAlign w:val="bottom"/>
            <w:tcBorders>
              <w:bottom w:val="single" w:sz="8" w:color="auto"/>
            </w:tcBorders>
            <w:shd w:val="clear" w:color="auto" w:fill="CCCCCC"/>
          </w:tcPr>
          <w:p>
            <w:pPr>
              <w:jc w:val="right"/>
              <w:ind w:right="77"/>
              <w:spacing w:after="0" w:line="196" w:lineRule="exact"/>
              <w:rPr>
                <w:sz w:val="20"/>
                <w:szCs w:val="20"/>
                <w:color w:val="auto"/>
              </w:rPr>
            </w:pPr>
            <w:r>
              <w:rPr>
                <w:rFonts w:ascii="Arial" w:cs="Arial" w:eastAsia="Arial" w:hAnsi="Arial"/>
                <w:sz w:val="18"/>
                <w:szCs w:val="18"/>
                <w:color w:val="auto"/>
              </w:rPr>
              <w:t>0</w:t>
            </w:r>
          </w:p>
        </w:tc>
        <w:tc>
          <w:tcPr>
            <w:tcW w:w="1480" w:type="dxa"/>
            <w:vAlign w:val="bottom"/>
            <w:tcBorders>
              <w:bottom w:val="single" w:sz="8" w:color="auto"/>
            </w:tcBorders>
            <w:shd w:val="clear" w:color="auto" w:fill="CCCCCC"/>
          </w:tcPr>
          <w:p>
            <w:pPr>
              <w:jc w:val="right"/>
              <w:ind w:right="97"/>
              <w:spacing w:after="0" w:line="196" w:lineRule="exact"/>
              <w:rPr>
                <w:sz w:val="20"/>
                <w:szCs w:val="20"/>
                <w:color w:val="auto"/>
              </w:rPr>
            </w:pPr>
            <w:r>
              <w:rPr>
                <w:rFonts w:ascii="Arial" w:cs="Arial" w:eastAsia="Arial" w:hAnsi="Arial"/>
                <w:sz w:val="18"/>
                <w:szCs w:val="18"/>
                <w:color w:val="auto"/>
              </w:rPr>
              <w:t>0</w:t>
            </w:r>
          </w:p>
        </w:tc>
        <w:tc>
          <w:tcPr>
            <w:tcW w:w="1240" w:type="dxa"/>
            <w:vAlign w:val="bottom"/>
            <w:tcBorders>
              <w:bottom w:val="single" w:sz="8" w:color="auto"/>
            </w:tcBorders>
            <w:shd w:val="clear" w:color="auto" w:fill="CCCCCC"/>
          </w:tcPr>
          <w:p>
            <w:pPr>
              <w:jc w:val="right"/>
              <w:ind w:right="77"/>
              <w:spacing w:after="0" w:line="196" w:lineRule="exact"/>
              <w:rPr>
                <w:sz w:val="20"/>
                <w:szCs w:val="20"/>
                <w:color w:val="auto"/>
              </w:rPr>
            </w:pPr>
            <w:r>
              <w:rPr>
                <w:rFonts w:ascii="Arial" w:cs="Arial" w:eastAsia="Arial" w:hAnsi="Arial"/>
                <w:sz w:val="18"/>
                <w:szCs w:val="18"/>
                <w:color w:val="auto"/>
              </w:rPr>
              <w:t>9,416</w:t>
            </w:r>
          </w:p>
        </w:tc>
        <w:tc>
          <w:tcPr>
            <w:tcW w:w="1460" w:type="dxa"/>
            <w:vAlign w:val="bottom"/>
            <w:tcBorders>
              <w:bottom w:val="single" w:sz="8" w:color="auto"/>
            </w:tcBorders>
            <w:shd w:val="clear" w:color="auto" w:fill="CCCCCC"/>
          </w:tcPr>
          <w:p>
            <w:pPr>
              <w:jc w:val="right"/>
              <w:ind w:right="137"/>
              <w:spacing w:after="0" w:line="196" w:lineRule="exact"/>
              <w:rPr>
                <w:sz w:val="20"/>
                <w:szCs w:val="20"/>
                <w:color w:val="auto"/>
              </w:rPr>
            </w:pPr>
            <w:r>
              <w:rPr>
                <w:rFonts w:ascii="Arial" w:cs="Arial" w:eastAsia="Arial" w:hAnsi="Arial"/>
                <w:sz w:val="18"/>
                <w:szCs w:val="18"/>
                <w:color w:val="auto"/>
              </w:rPr>
              <w:t>0</w:t>
            </w:r>
          </w:p>
        </w:tc>
        <w:tc>
          <w:tcPr>
            <w:tcW w:w="1260" w:type="dxa"/>
            <w:vAlign w:val="bottom"/>
            <w:tcBorders>
              <w:bottom w:val="single" w:sz="8" w:color="auto"/>
            </w:tcBorders>
            <w:shd w:val="clear" w:color="auto" w:fill="CCCCCC"/>
          </w:tcPr>
          <w:p>
            <w:pPr>
              <w:jc w:val="right"/>
              <w:spacing w:after="0" w:line="196" w:lineRule="exact"/>
              <w:rPr>
                <w:sz w:val="20"/>
                <w:szCs w:val="20"/>
                <w:color w:val="auto"/>
              </w:rPr>
            </w:pPr>
            <w:r>
              <w:rPr>
                <w:rFonts w:ascii="Arial" w:cs="Arial" w:eastAsia="Arial" w:hAnsi="Arial"/>
                <w:sz w:val="18"/>
                <w:szCs w:val="18"/>
                <w:color w:val="auto"/>
              </w:rPr>
              <w:t>60,743</w:t>
            </w:r>
          </w:p>
        </w:tc>
      </w:tr>
      <w:tr>
        <w:trPr>
          <w:trHeight w:val="203"/>
        </w:trPr>
        <w:tc>
          <w:tcPr>
            <w:tcW w:w="27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Mr. Tucker</w:t>
            </w:r>
          </w:p>
        </w:tc>
        <w:tc>
          <w:tcPr>
            <w:tcW w:w="3060" w:type="dxa"/>
            <w:vAlign w:val="bottom"/>
            <w:tcBorders>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20,568</w:t>
            </w:r>
          </w:p>
        </w:tc>
        <w:tc>
          <w:tcPr>
            <w:tcW w:w="1480" w:type="dxa"/>
            <w:vAlign w:val="bottom"/>
            <w:tcBorders>
              <w:bottom w:val="single" w:sz="8" w:color="auto"/>
            </w:tcBorders>
          </w:tcPr>
          <w:p>
            <w:pPr>
              <w:jc w:val="right"/>
              <w:ind w:right="97"/>
              <w:spacing w:after="0" w:line="196" w:lineRule="exact"/>
              <w:rPr>
                <w:sz w:val="20"/>
                <w:szCs w:val="20"/>
                <w:color w:val="auto"/>
              </w:rPr>
            </w:pPr>
            <w:r>
              <w:rPr>
                <w:rFonts w:ascii="Arial" w:cs="Arial" w:eastAsia="Arial" w:hAnsi="Arial"/>
                <w:sz w:val="18"/>
                <w:szCs w:val="18"/>
                <w:color w:val="auto"/>
              </w:rPr>
              <w:t>20,568</w:t>
            </w:r>
          </w:p>
        </w:tc>
        <w:tc>
          <w:tcPr>
            <w:tcW w:w="1240" w:type="dxa"/>
            <w:vAlign w:val="bottom"/>
            <w:tcBorders>
              <w:bottom w:val="single" w:sz="8" w:color="auto"/>
            </w:tcBorders>
          </w:tcPr>
          <w:p>
            <w:pPr>
              <w:jc w:val="right"/>
              <w:ind w:right="77"/>
              <w:spacing w:after="0" w:line="196" w:lineRule="exact"/>
              <w:rPr>
                <w:sz w:val="20"/>
                <w:szCs w:val="20"/>
                <w:color w:val="auto"/>
              </w:rPr>
            </w:pPr>
            <w:r>
              <w:rPr>
                <w:rFonts w:ascii="Arial" w:cs="Arial" w:eastAsia="Arial" w:hAnsi="Arial"/>
                <w:sz w:val="18"/>
                <w:szCs w:val="18"/>
                <w:color w:val="auto"/>
              </w:rPr>
              <w:t>19,541</w:t>
            </w:r>
          </w:p>
        </w:tc>
        <w:tc>
          <w:tcPr>
            <w:tcW w:w="1460" w:type="dxa"/>
            <w:vAlign w:val="bottom"/>
            <w:tcBorders>
              <w:bottom w:val="single" w:sz="8" w:color="auto"/>
            </w:tcBorders>
          </w:tcPr>
          <w:p>
            <w:pPr>
              <w:jc w:val="right"/>
              <w:ind w:right="97"/>
              <w:spacing w:after="0" w:line="196" w:lineRule="exact"/>
              <w:rPr>
                <w:sz w:val="20"/>
                <w:szCs w:val="20"/>
                <w:color w:val="auto"/>
              </w:rPr>
            </w:pPr>
            <w:r>
              <w:rPr>
                <w:rFonts w:ascii="Arial" w:cs="Arial" w:eastAsia="Arial" w:hAnsi="Arial"/>
                <w:sz w:val="18"/>
                <w:szCs w:val="18"/>
                <w:color w:val="auto"/>
              </w:rPr>
              <w:t>(50,558)</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60,677</w:t>
            </w:r>
          </w:p>
        </w:tc>
      </w:tr>
    </w:tbl>
    <w:p>
      <w:pPr>
        <w:spacing w:after="0" w:line="72" w:lineRule="exact"/>
        <w:rPr>
          <w:sz w:val="20"/>
          <w:szCs w:val="20"/>
          <w:color w:val="auto"/>
        </w:rPr>
      </w:pPr>
    </w:p>
    <w:p>
      <w:pPr>
        <w:jc w:val="both"/>
        <w:ind w:left="340" w:hanging="332"/>
        <w:spacing w:after="0" w:line="243"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typically contributed to a rabbi trust established for the purpose of holding plan assets. Participants may allocate deferrals to one or more deemed investments under the plan. Matching contributions may be subject to such distribution provisions as determined from time to time; however, all of a participant’s accounts under this plan will be distributed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installments over a period of up to 10 years; however, the participant’s entire account balance will be paid in a single lump-sum following a change in control.</w:t>
      </w:r>
    </w:p>
    <w:p>
      <w:pPr>
        <w:spacing w:after="0" w:line="86"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Company provides matching contributions for its NEOs up to a cap of 6% of base salary and annual incentive, as applicable. In response to effects to the Company’s business during COVID-19, matching contributions were suspended from April 2020 to November 2020.</w:t>
      </w:r>
    </w:p>
    <w:p>
      <w:pPr>
        <w:spacing w:after="0" w:line="72"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amounts are paid. Although funds are potentially subject to the employer’s creditors, they are inaccessible to present and future management until payment is required to be made in accordance with the terms of the plan.</w:t>
      </w:r>
    </w:p>
    <w:p>
      <w:pPr>
        <w:spacing w:after="0" w:line="79"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Amounts represent ordinary-course distributions pursuant to prior payment elections made by the NEOs in accordance with the terms and conditions of the applicable plan (as further discussed in note (a) above).</w:t>
      </w:r>
    </w:p>
    <w:p>
      <w:pPr>
        <w:spacing w:after="0" w:line="7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Represents total trust assets accumulated for all periods of plan participation through the end of 2020. The aggregate balance is the sum of all participant and registrant contributions and investment earnings less any withdrawals or distributions.</w:t>
      </w:r>
    </w:p>
    <w:p>
      <w:pPr>
        <w:spacing w:after="0" w:line="1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Employment Agreements and Other Arrangements</w:t>
      </w:r>
    </w:p>
    <w:p>
      <w:pPr>
        <w:spacing w:after="0" w:line="2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Each NEO has a written agreement with the Company or is eligible to participate under the Executive Severance Plan, as summarized below and discussed under “Employment and Change of Control Agreements; Severance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CEO and President, International</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CEO and President, International are each party to a severance agreement with the Company. Each agreement generally provides that if the executive’s employment is terminated by us other than for “Cause” (as described below), disability or death, he will receive lump-sum severance equal to 200% of the sum of base salary plus target incentive bonus, and perquisites to include, if applicable, car usage and financial planning for a period of up to 24 months.</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in connection with any such termination, each agreement also generally provides for accelerated vesting on termination of the stock-based awards that would have vested in accordance with their original vesting schedule by the two-year anniversary of termination of employment. However, awards that vest based on the achievement of specified objective performance goals will remain outstanding following such termination and become vested or be forfeited based on actual achievement of the applicable performance goals during the two-year period following such termination.</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Severance is contingent upon the executive’s execution and non-revocation of a separation agreement containing a release of claims against the Company and non-competition covenants.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President, International is also party to an employment agreement under English law, which provides customary terms and conditions for employment in the United Kingdom, including non-competition and confidentiality provisions.</w:t>
      </w:r>
    </w:p>
    <w:p>
      <w:pPr>
        <w:spacing w:after="0" w:line="1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NEOs</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Executive Chairman, CFO and Executive Vice President, Americas may be eligible to participate in the Executive Severance Pay Plan adopted by the Board in December 2020 (the “Executive Severance Plan”). The Executive Severance Plan provides that if any of these executives is involuntarily terminated other than for cause and delivers an agreement and general release as set forth in the plan, such executive shall be entitled to:</w:t>
      </w:r>
    </w:p>
    <w:p>
      <w:pPr>
        <w:spacing w:after="0" w:line="191" w:lineRule="exact"/>
        <w:rPr>
          <w:sz w:val="20"/>
          <w:szCs w:val="20"/>
          <w:color w:val="auto"/>
        </w:rPr>
      </w:pPr>
    </w:p>
    <w:p>
      <w:pPr>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two years of base pay;</w:t>
      </w:r>
    </w:p>
    <w:p>
      <w:pPr>
        <w:spacing w:after="0" w:line="103" w:lineRule="exact"/>
        <w:rPr>
          <w:rFonts w:ascii="Arial" w:cs="Arial" w:eastAsia="Arial" w:hAnsi="Arial"/>
          <w:sz w:val="18"/>
          <w:szCs w:val="18"/>
          <w:color w:val="auto"/>
        </w:rPr>
      </w:pPr>
    </w:p>
    <w:p>
      <w:pPr>
        <w:jc w:val="both"/>
        <w:ind w:left="340" w:hanging="332"/>
        <w:spacing w:after="0"/>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 under the short term incentive plan in place in the year of termination, pro rata for the amount of time employed in that year, based on the extent to which performance goals are achieved, with any individual component computed as though the applicable target was reached;</w:t>
      </w:r>
    </w:p>
    <w:p>
      <w:pPr>
        <w:spacing w:after="0" w:line="81"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accelerated vesting of unvested RSUs scheduled to vest within one year of employment termination, and vesting of unvested PSUs scheduled to vest within one year of employment termination based on the extent to which the performance goals are achieved; and</w:t>
      </w:r>
    </w:p>
    <w:p>
      <w:pPr>
        <w:spacing w:after="0" w:line="75"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lump sum payment equal to the Company’s portion of certain health care premiums for one year of coverage, and perquisites to include, if applicable, car usage and financial planning for a period of up to 12 months.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our CFO received an offer letter in connection with his commencement of employment in August 2020, which set out his compensation described in the CD&amp;A under “Pay Decisions Related to 2020 Management Changes.”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Former CFO and Former GC</w:t>
      </w:r>
    </w:p>
    <w:p>
      <w:pPr>
        <w:spacing w:after="0" w:line="2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Former CFO and Former GC separated from the Company in August 2020 and March 2020, respectively. Each separation was considered to be a “termination by the Company other than for cause” under the terms of the existing severance agreement between the Company and each executive. Described below are the terms of the existing severance agreement between the Company and each executive prior to termination together with the actual severance payments made, which were calculated solely in accordance with each applicable severance agreement. No discretionary severance payments were made.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Officer</w:t>
            </w:r>
          </w:p>
        </w:tc>
        <w:tc>
          <w:tcPr>
            <w:tcW w:w="48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Terms of Severance Agreement</w:t>
            </w:r>
          </w:p>
        </w:tc>
        <w:tc>
          <w:tcPr>
            <w:tcW w:w="47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Actual Severance Payments</w:t>
            </w:r>
          </w:p>
        </w:tc>
        <w:tc>
          <w:tcPr>
            <w:tcW w:w="0" w:type="dxa"/>
            <w:vAlign w:val="bottom"/>
          </w:tcPr>
          <w:p>
            <w:pPr>
              <w:spacing w:after="0"/>
              <w:rPr>
                <w:sz w:val="1"/>
                <w:szCs w:val="1"/>
                <w:color w:val="auto"/>
              </w:rPr>
            </w:pPr>
          </w:p>
        </w:tc>
      </w:tr>
      <w:tr>
        <w:trPr>
          <w:trHeight w:val="203"/>
        </w:trPr>
        <w:tc>
          <w:tcPr>
            <w:tcW w:w="164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i w:val="1"/>
                <w:iCs w:val="1"/>
                <w:color w:val="auto"/>
              </w:rPr>
              <w:t>Former CFO</w:t>
            </w:r>
          </w:p>
        </w:tc>
        <w:tc>
          <w:tcPr>
            <w:tcW w:w="4840" w:type="dxa"/>
            <w:vAlign w:val="bottom"/>
            <w:gridSpan w:val="2"/>
            <w:shd w:val="clear" w:color="auto" w:fill="CCCCCC"/>
          </w:tcPr>
          <w:p>
            <w:pPr>
              <w:ind w:left="60"/>
              <w:spacing w:after="0" w:line="202" w:lineRule="exact"/>
              <w:rPr>
                <w:sz w:val="20"/>
                <w:szCs w:val="20"/>
                <w:color w:val="auto"/>
              </w:rPr>
            </w:pPr>
            <w:r>
              <w:rPr>
                <w:rFonts w:ascii="Arial" w:cs="Arial" w:eastAsia="Arial" w:hAnsi="Arial"/>
                <w:sz w:val="18"/>
                <w:szCs w:val="18"/>
                <w:color w:val="auto"/>
              </w:rPr>
              <w:t>In a without cause termination:</w:t>
            </w:r>
          </w:p>
        </w:tc>
        <w:tc>
          <w:tcPr>
            <w:tcW w:w="16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w:t>
            </w:r>
          </w:p>
        </w:tc>
        <w:tc>
          <w:tcPr>
            <w:tcW w:w="46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Cash severance of $2.5 million</w:t>
            </w:r>
          </w:p>
        </w:tc>
        <w:tc>
          <w:tcPr>
            <w:tcW w:w="0" w:type="dxa"/>
            <w:vAlign w:val="bottom"/>
          </w:tcPr>
          <w:p>
            <w:pPr>
              <w:spacing w:after="0"/>
              <w:rPr>
                <w:sz w:val="1"/>
                <w:szCs w:val="1"/>
                <w:color w:val="auto"/>
              </w:rPr>
            </w:pPr>
          </w:p>
        </w:tc>
      </w:tr>
      <w:tr>
        <w:trPr>
          <w:trHeight w:val="404"/>
        </w:trPr>
        <w:tc>
          <w:tcPr>
            <w:tcW w:w="1640" w:type="dxa"/>
            <w:vAlign w:val="bottom"/>
            <w:shd w:val="clear" w:color="auto" w:fill="CCCCCC"/>
          </w:tcPr>
          <w:p>
            <w:pPr>
              <w:spacing w:after="0"/>
              <w:rPr>
                <w:sz w:val="24"/>
                <w:szCs w:val="24"/>
                <w:color w:val="auto"/>
              </w:rPr>
            </w:pPr>
          </w:p>
        </w:tc>
        <w:tc>
          <w:tcPr>
            <w:tcW w:w="200" w:type="dxa"/>
            <w:vAlign w:val="bottom"/>
            <w:shd w:val="clear" w:color="auto" w:fill="CCCCCC"/>
          </w:tcPr>
          <w:p>
            <w:pPr>
              <w:ind w:left="60"/>
              <w:spacing w:after="0"/>
              <w:rPr>
                <w:sz w:val="20"/>
                <w:szCs w:val="20"/>
                <w:color w:val="auto"/>
              </w:rPr>
            </w:pPr>
            <w:r>
              <w:rPr>
                <w:rFonts w:ascii="Arial" w:cs="Arial" w:eastAsia="Arial" w:hAnsi="Arial"/>
                <w:sz w:val="18"/>
                <w:szCs w:val="18"/>
                <w:color w:val="auto"/>
              </w:rPr>
              <w:t>•</w:t>
            </w:r>
          </w:p>
        </w:tc>
        <w:tc>
          <w:tcPr>
            <w:tcW w:w="4640" w:type="dxa"/>
            <w:vAlign w:val="bottom"/>
            <w:shd w:val="clear" w:color="auto" w:fill="CCCCCC"/>
          </w:tcPr>
          <w:p>
            <w:pPr>
              <w:ind w:left="100"/>
              <w:spacing w:after="0"/>
              <w:rPr>
                <w:sz w:val="20"/>
                <w:szCs w:val="20"/>
                <w:color w:val="auto"/>
              </w:rPr>
            </w:pPr>
            <w:r>
              <w:rPr>
                <w:rFonts w:ascii="Arial" w:cs="Arial" w:eastAsia="Arial" w:hAnsi="Arial"/>
                <w:sz w:val="18"/>
                <w:szCs w:val="18"/>
                <w:color w:val="auto"/>
              </w:rPr>
              <w:t>200% of the sum of base salary plus target incentive</w:t>
            </w:r>
          </w:p>
        </w:tc>
        <w:tc>
          <w:tcPr>
            <w:tcW w:w="160" w:type="dxa"/>
            <w:vAlign w:val="bottom"/>
            <w:shd w:val="clear" w:color="auto" w:fill="CCCCCC"/>
          </w:tcPr>
          <w:p>
            <w:pPr>
              <w:ind w:left="40"/>
              <w:spacing w:after="0"/>
              <w:rPr>
                <w:sz w:val="20"/>
                <w:szCs w:val="20"/>
                <w:color w:val="auto"/>
              </w:rPr>
            </w:pPr>
            <w:r>
              <w:rPr>
                <w:rFonts w:ascii="Arial" w:cs="Arial" w:eastAsia="Arial" w:hAnsi="Arial"/>
                <w:sz w:val="18"/>
                <w:szCs w:val="18"/>
                <w:color w:val="auto"/>
              </w:rPr>
              <w:t>•</w:t>
            </w:r>
          </w:p>
        </w:tc>
        <w:tc>
          <w:tcPr>
            <w:tcW w:w="4600" w:type="dxa"/>
            <w:vAlign w:val="bottom"/>
            <w:shd w:val="clear" w:color="auto" w:fill="CCCCCC"/>
          </w:tcPr>
          <w:p>
            <w:pPr>
              <w:ind w:left="60"/>
              <w:spacing w:after="0"/>
              <w:rPr>
                <w:sz w:val="20"/>
                <w:szCs w:val="20"/>
                <w:color w:val="auto"/>
              </w:rPr>
            </w:pPr>
            <w:r>
              <w:rPr>
                <w:rFonts w:ascii="Arial" w:cs="Arial" w:eastAsia="Arial" w:hAnsi="Arial"/>
                <w:sz w:val="18"/>
                <w:szCs w:val="18"/>
                <w:color w:val="auto"/>
              </w:rPr>
              <w:t>Vesting of 99,678 RSUs</w:t>
            </w:r>
          </w:p>
        </w:tc>
        <w:tc>
          <w:tcPr>
            <w:tcW w:w="0" w:type="dxa"/>
            <w:vAlign w:val="bottom"/>
          </w:tcPr>
          <w:p>
            <w:pPr>
              <w:spacing w:after="0"/>
              <w:rPr>
                <w:sz w:val="1"/>
                <w:szCs w:val="1"/>
                <w:color w:val="auto"/>
              </w:rPr>
            </w:pPr>
          </w:p>
        </w:tc>
      </w:tr>
      <w:tr>
        <w:trPr>
          <w:trHeight w:val="217"/>
        </w:trPr>
        <w:tc>
          <w:tcPr>
            <w:tcW w:w="1640" w:type="dxa"/>
            <w:vAlign w:val="bottom"/>
            <w:shd w:val="clear" w:color="auto" w:fill="CCCCCC"/>
          </w:tcPr>
          <w:p>
            <w:pPr>
              <w:spacing w:after="0"/>
              <w:rPr>
                <w:sz w:val="18"/>
                <w:szCs w:val="18"/>
                <w:color w:val="auto"/>
              </w:rPr>
            </w:pPr>
          </w:p>
        </w:tc>
        <w:tc>
          <w:tcPr>
            <w:tcW w:w="200" w:type="dxa"/>
            <w:vAlign w:val="bottom"/>
            <w:shd w:val="clear" w:color="auto" w:fill="CCCCCC"/>
          </w:tcPr>
          <w:p>
            <w:pPr>
              <w:spacing w:after="0"/>
              <w:rPr>
                <w:sz w:val="18"/>
                <w:szCs w:val="18"/>
                <w:color w:val="auto"/>
              </w:rPr>
            </w:pPr>
          </w:p>
        </w:tc>
        <w:tc>
          <w:tcPr>
            <w:tcW w:w="4640" w:type="dxa"/>
            <w:vAlign w:val="bottom"/>
            <w:shd w:val="clear" w:color="auto" w:fill="CCCCCC"/>
          </w:tcPr>
          <w:p>
            <w:pPr>
              <w:ind w:left="40"/>
              <w:spacing w:after="0"/>
              <w:rPr>
                <w:sz w:val="20"/>
                <w:szCs w:val="20"/>
                <w:color w:val="auto"/>
              </w:rPr>
            </w:pPr>
            <w:r>
              <w:rPr>
                <w:rFonts w:ascii="Arial" w:cs="Arial" w:eastAsia="Arial" w:hAnsi="Arial"/>
                <w:sz w:val="18"/>
                <w:szCs w:val="18"/>
                <w:color w:val="auto"/>
              </w:rPr>
              <w:t>bonus</w:t>
            </w:r>
          </w:p>
        </w:tc>
        <w:tc>
          <w:tcPr>
            <w:tcW w:w="4760" w:type="dxa"/>
            <w:vAlign w:val="bottom"/>
            <w:gridSpan w:val="2"/>
            <w:vMerge w:val="restart"/>
            <w:shd w:val="clear" w:color="auto" w:fill="CCCCCC"/>
          </w:tcPr>
          <w:p>
            <w:pPr>
              <w:ind w:left="40"/>
              <w:spacing w:after="0"/>
              <w:rPr>
                <w:sz w:val="20"/>
                <w:szCs w:val="20"/>
                <w:color w:val="auto"/>
              </w:rPr>
            </w:pPr>
            <w:r>
              <w:rPr>
                <w:rFonts w:ascii="Arial" w:cs="Arial" w:eastAsia="Arial" w:hAnsi="Arial"/>
                <w:sz w:val="18"/>
                <w:szCs w:val="18"/>
                <w:color w:val="auto"/>
              </w:rPr>
              <w:t>•   21,174  PSUs  remain  outstanding  and  will  vest/be</w:t>
            </w:r>
          </w:p>
        </w:tc>
        <w:tc>
          <w:tcPr>
            <w:tcW w:w="0" w:type="dxa"/>
            <w:vAlign w:val="bottom"/>
          </w:tcPr>
          <w:p>
            <w:pPr>
              <w:spacing w:after="0"/>
              <w:rPr>
                <w:sz w:val="1"/>
                <w:szCs w:val="1"/>
                <w:color w:val="auto"/>
              </w:rPr>
            </w:pPr>
          </w:p>
        </w:tc>
      </w:tr>
      <w:tr>
        <w:trPr>
          <w:trHeight w:val="188"/>
        </w:trPr>
        <w:tc>
          <w:tcPr>
            <w:tcW w:w="1640" w:type="dxa"/>
            <w:vAlign w:val="bottom"/>
            <w:shd w:val="clear" w:color="auto" w:fill="CCCCCC"/>
          </w:tcPr>
          <w:p>
            <w:pPr>
              <w:spacing w:after="0"/>
              <w:rPr>
                <w:sz w:val="16"/>
                <w:szCs w:val="16"/>
                <w:color w:val="auto"/>
              </w:rPr>
            </w:pPr>
          </w:p>
        </w:tc>
        <w:tc>
          <w:tcPr>
            <w:tcW w:w="200" w:type="dxa"/>
            <w:vAlign w:val="bottom"/>
            <w:shd w:val="clear" w:color="auto" w:fill="CCCCCC"/>
          </w:tcPr>
          <w:p>
            <w:pPr>
              <w:spacing w:after="0"/>
              <w:rPr>
                <w:sz w:val="16"/>
                <w:szCs w:val="16"/>
                <w:color w:val="auto"/>
              </w:rPr>
            </w:pPr>
          </w:p>
        </w:tc>
        <w:tc>
          <w:tcPr>
            <w:tcW w:w="4640" w:type="dxa"/>
            <w:vAlign w:val="bottom"/>
            <w:shd w:val="clear" w:color="auto" w:fill="CCCCCC"/>
          </w:tcPr>
          <w:p>
            <w:pPr>
              <w:spacing w:after="0"/>
              <w:rPr>
                <w:sz w:val="16"/>
                <w:szCs w:val="16"/>
                <w:color w:val="auto"/>
              </w:rPr>
            </w:pPr>
          </w:p>
        </w:tc>
        <w:tc>
          <w:tcPr>
            <w:tcW w:w="4760" w:type="dxa"/>
            <w:vAlign w:val="bottom"/>
            <w:gridSpan w:val="2"/>
            <w:vMerge w:val="continue"/>
            <w:shd w:val="clear" w:color="auto" w:fill="CCCCC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CCCC"/>
          </w:tcPr>
          <w:p>
            <w:pPr>
              <w:spacing w:after="0"/>
              <w:rPr>
                <w:sz w:val="17"/>
                <w:szCs w:val="17"/>
                <w:color w:val="auto"/>
              </w:rPr>
            </w:pPr>
          </w:p>
        </w:tc>
        <w:tc>
          <w:tcPr>
            <w:tcW w:w="2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w:t>
            </w:r>
          </w:p>
        </w:tc>
        <w:tc>
          <w:tcPr>
            <w:tcW w:w="4640" w:type="dxa"/>
            <w:vAlign w:val="bottom"/>
            <w:shd w:val="clear" w:color="auto" w:fill="CCCCCC"/>
          </w:tcPr>
          <w:p>
            <w:pPr>
              <w:ind w:left="100"/>
              <w:spacing w:after="0" w:line="202" w:lineRule="exact"/>
              <w:rPr>
                <w:sz w:val="20"/>
                <w:szCs w:val="20"/>
                <w:color w:val="auto"/>
              </w:rPr>
            </w:pPr>
            <w:r>
              <w:rPr>
                <w:rFonts w:ascii="Arial" w:cs="Arial" w:eastAsia="Arial" w:hAnsi="Arial"/>
                <w:sz w:val="18"/>
                <w:szCs w:val="18"/>
                <w:color w:val="auto"/>
              </w:rPr>
              <w:t>Accelerated vesting of stock awards that would have</w:t>
            </w:r>
          </w:p>
        </w:tc>
        <w:tc>
          <w:tcPr>
            <w:tcW w:w="160" w:type="dxa"/>
            <w:vAlign w:val="bottom"/>
            <w:shd w:val="clear" w:color="auto" w:fill="CCCCCC"/>
          </w:tcPr>
          <w:p>
            <w:pPr>
              <w:spacing w:after="0"/>
              <w:rPr>
                <w:sz w:val="17"/>
                <w:szCs w:val="17"/>
                <w:color w:val="auto"/>
              </w:rPr>
            </w:pPr>
          </w:p>
        </w:tc>
        <w:tc>
          <w:tcPr>
            <w:tcW w:w="46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forfeited based on achievement of performance goals,</w:t>
            </w:r>
          </w:p>
        </w:tc>
        <w:tc>
          <w:tcPr>
            <w:tcW w:w="0" w:type="dxa"/>
            <w:vAlign w:val="bottom"/>
          </w:tcPr>
          <w:p>
            <w:pPr>
              <w:spacing w:after="0"/>
              <w:rPr>
                <w:sz w:val="1"/>
                <w:szCs w:val="1"/>
                <w:color w:val="auto"/>
              </w:rPr>
            </w:pPr>
          </w:p>
        </w:tc>
      </w:tr>
      <w:tr>
        <w:trPr>
          <w:trHeight w:val="203"/>
        </w:trPr>
        <w:tc>
          <w:tcPr>
            <w:tcW w:w="1640" w:type="dxa"/>
            <w:vAlign w:val="bottom"/>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464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vested under the terms of the awards by the two-year</w:t>
            </w:r>
          </w:p>
        </w:tc>
        <w:tc>
          <w:tcPr>
            <w:tcW w:w="160" w:type="dxa"/>
            <w:vAlign w:val="bottom"/>
            <w:shd w:val="clear" w:color="auto" w:fill="CCCCCC"/>
          </w:tcPr>
          <w:p>
            <w:pPr>
              <w:spacing w:after="0"/>
              <w:rPr>
                <w:sz w:val="17"/>
                <w:szCs w:val="17"/>
                <w:color w:val="auto"/>
              </w:rPr>
            </w:pPr>
          </w:p>
        </w:tc>
        <w:tc>
          <w:tcPr>
            <w:tcW w:w="46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which are not expected to be met</w:t>
            </w:r>
          </w:p>
        </w:tc>
        <w:tc>
          <w:tcPr>
            <w:tcW w:w="0" w:type="dxa"/>
            <w:vAlign w:val="bottom"/>
          </w:tcPr>
          <w:p>
            <w:pPr>
              <w:spacing w:after="0"/>
              <w:rPr>
                <w:sz w:val="1"/>
                <w:szCs w:val="1"/>
                <w:color w:val="auto"/>
              </w:rPr>
            </w:pPr>
          </w:p>
        </w:tc>
      </w:tr>
      <w:tr>
        <w:trPr>
          <w:trHeight w:val="203"/>
        </w:trPr>
        <w:tc>
          <w:tcPr>
            <w:tcW w:w="1640" w:type="dxa"/>
            <w:vAlign w:val="bottom"/>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464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anniversary of termination; PSUs remain outstanding</w:t>
            </w:r>
          </w:p>
        </w:tc>
        <w:tc>
          <w:tcPr>
            <w:tcW w:w="160" w:type="dxa"/>
            <w:vAlign w:val="bottom"/>
            <w:shd w:val="clear" w:color="auto" w:fill="CCCCCC"/>
          </w:tcPr>
          <w:p>
            <w:pPr>
              <w:spacing w:after="0"/>
              <w:rPr>
                <w:sz w:val="17"/>
                <w:szCs w:val="17"/>
                <w:color w:val="auto"/>
              </w:rPr>
            </w:pPr>
          </w:p>
        </w:tc>
        <w:tc>
          <w:tcPr>
            <w:tcW w:w="4600" w:type="dxa"/>
            <w:vAlign w:val="bottom"/>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40" w:type="dxa"/>
            <w:vAlign w:val="bottom"/>
            <w:shd w:val="clear" w:color="auto" w:fill="CCCCCC"/>
          </w:tcPr>
          <w:p>
            <w:pPr>
              <w:spacing w:after="0"/>
              <w:rPr>
                <w:sz w:val="17"/>
                <w:szCs w:val="17"/>
                <w:color w:val="auto"/>
              </w:rPr>
            </w:pPr>
          </w:p>
        </w:tc>
        <w:tc>
          <w:tcPr>
            <w:tcW w:w="200" w:type="dxa"/>
            <w:vAlign w:val="bottom"/>
            <w:shd w:val="clear" w:color="auto" w:fill="CCCCCC"/>
          </w:tcPr>
          <w:p>
            <w:pPr>
              <w:spacing w:after="0"/>
              <w:rPr>
                <w:sz w:val="17"/>
                <w:szCs w:val="17"/>
                <w:color w:val="auto"/>
              </w:rPr>
            </w:pPr>
          </w:p>
        </w:tc>
        <w:tc>
          <w:tcPr>
            <w:tcW w:w="464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and are vested/forfeited based on performance goal</w:t>
            </w:r>
          </w:p>
        </w:tc>
        <w:tc>
          <w:tcPr>
            <w:tcW w:w="160" w:type="dxa"/>
            <w:vAlign w:val="bottom"/>
            <w:shd w:val="clear" w:color="auto" w:fill="CCCCCC"/>
          </w:tcPr>
          <w:p>
            <w:pPr>
              <w:ind w:left="40"/>
              <w:spacing w:after="0" w:line="202" w:lineRule="exact"/>
              <w:rPr>
                <w:sz w:val="20"/>
                <w:szCs w:val="20"/>
                <w:color w:val="auto"/>
              </w:rPr>
            </w:pPr>
            <w:r>
              <w:rPr>
                <w:rFonts w:ascii="Arial" w:cs="Arial" w:eastAsia="Arial" w:hAnsi="Arial"/>
                <w:sz w:val="18"/>
                <w:szCs w:val="18"/>
                <w:color w:val="auto"/>
              </w:rPr>
              <w:t>•</w:t>
            </w:r>
          </w:p>
        </w:tc>
        <w:tc>
          <w:tcPr>
            <w:tcW w:w="4600" w:type="dxa"/>
            <w:vAlign w:val="bottom"/>
            <w:shd w:val="clear" w:color="auto" w:fill="CCCCCC"/>
          </w:tcPr>
          <w:p>
            <w:pPr>
              <w:ind w:left="60"/>
              <w:spacing w:after="0" w:line="202" w:lineRule="exact"/>
              <w:rPr>
                <w:sz w:val="20"/>
                <w:szCs w:val="20"/>
                <w:color w:val="auto"/>
              </w:rPr>
            </w:pPr>
            <w:r>
              <w:rPr>
                <w:rFonts w:ascii="Arial" w:cs="Arial" w:eastAsia="Arial" w:hAnsi="Arial"/>
                <w:sz w:val="18"/>
                <w:szCs w:val="18"/>
                <w:color w:val="auto"/>
              </w:rPr>
              <w:t>37,933 PSUs and 12,645 RSUs were forfeited</w:t>
            </w:r>
          </w:p>
        </w:tc>
        <w:tc>
          <w:tcPr>
            <w:tcW w:w="0" w:type="dxa"/>
            <w:vAlign w:val="bottom"/>
          </w:tcPr>
          <w:p>
            <w:pPr>
              <w:spacing w:after="0"/>
              <w:rPr>
                <w:sz w:val="1"/>
                <w:szCs w:val="1"/>
                <w:color w:val="auto"/>
              </w:rPr>
            </w:pPr>
          </w:p>
        </w:tc>
      </w:tr>
      <w:tr>
        <w:trPr>
          <w:trHeight w:val="203"/>
        </w:trPr>
        <w:tc>
          <w:tcPr>
            <w:tcW w:w="1640" w:type="dxa"/>
            <w:vAlign w:val="bottom"/>
            <w:tcBorders>
              <w:bottom w:val="single" w:sz="8" w:color="auto"/>
            </w:tcBorders>
            <w:shd w:val="clear" w:color="auto" w:fill="CCCCCC"/>
          </w:tcPr>
          <w:p>
            <w:pPr>
              <w:spacing w:after="0"/>
              <w:rPr>
                <w:sz w:val="17"/>
                <w:szCs w:val="17"/>
                <w:color w:val="auto"/>
              </w:rPr>
            </w:pPr>
          </w:p>
        </w:tc>
        <w:tc>
          <w:tcPr>
            <w:tcW w:w="200" w:type="dxa"/>
            <w:vAlign w:val="bottom"/>
            <w:tcBorders>
              <w:bottom w:val="single" w:sz="8" w:color="auto"/>
            </w:tcBorders>
            <w:shd w:val="clear" w:color="auto" w:fill="CCCCCC"/>
          </w:tcPr>
          <w:p>
            <w:pPr>
              <w:spacing w:after="0"/>
              <w:rPr>
                <w:sz w:val="17"/>
                <w:szCs w:val="17"/>
                <w:color w:val="auto"/>
              </w:rPr>
            </w:pPr>
          </w:p>
        </w:tc>
        <w:tc>
          <w:tcPr>
            <w:tcW w:w="4640" w:type="dxa"/>
            <w:vAlign w:val="bottom"/>
            <w:tcBorders>
              <w:bottom w:val="single" w:sz="8" w:color="auto"/>
            </w:tcBorders>
            <w:shd w:val="clear" w:color="auto" w:fill="CCCCCC"/>
          </w:tcPr>
          <w:p>
            <w:pPr>
              <w:ind w:left="40"/>
              <w:spacing w:after="0" w:line="203" w:lineRule="exact"/>
              <w:rPr>
                <w:sz w:val="20"/>
                <w:szCs w:val="20"/>
                <w:color w:val="auto"/>
              </w:rPr>
            </w:pPr>
            <w:r>
              <w:rPr>
                <w:rFonts w:ascii="Arial" w:cs="Arial" w:eastAsia="Arial" w:hAnsi="Arial"/>
                <w:sz w:val="18"/>
                <w:szCs w:val="18"/>
                <w:color w:val="auto"/>
              </w:rPr>
              <w:t>achievement</w:t>
            </w:r>
          </w:p>
        </w:tc>
        <w:tc>
          <w:tcPr>
            <w:tcW w:w="160" w:type="dxa"/>
            <w:vAlign w:val="bottom"/>
            <w:tcBorders>
              <w:bottom w:val="single" w:sz="8" w:color="auto"/>
            </w:tcBorders>
            <w:shd w:val="clear" w:color="auto" w:fill="CCCCCC"/>
          </w:tcPr>
          <w:p>
            <w:pPr>
              <w:spacing w:after="0"/>
              <w:rPr>
                <w:sz w:val="17"/>
                <w:szCs w:val="17"/>
                <w:color w:val="auto"/>
              </w:rPr>
            </w:pPr>
          </w:p>
        </w:tc>
        <w:tc>
          <w:tcPr>
            <w:tcW w:w="4600" w:type="dxa"/>
            <w:vAlign w:val="bottom"/>
            <w:tcBorders>
              <w:bottom w:val="single" w:sz="8" w:color="auto"/>
            </w:tcBorders>
            <w:shd w:val="clear" w:color="auto" w:fill="CCCCC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640" w:type="dxa"/>
            <w:vAlign w:val="bottom"/>
          </w:tcPr>
          <w:p>
            <w:pPr>
              <w:ind w:left="40"/>
              <w:spacing w:after="0"/>
              <w:rPr>
                <w:sz w:val="20"/>
                <w:szCs w:val="20"/>
                <w:color w:val="auto"/>
              </w:rPr>
            </w:pPr>
            <w:r>
              <w:rPr>
                <w:rFonts w:ascii="Arial" w:cs="Arial" w:eastAsia="Arial" w:hAnsi="Arial"/>
                <w:sz w:val="18"/>
                <w:szCs w:val="18"/>
                <w:i w:val="1"/>
                <w:iCs w:val="1"/>
                <w:color w:val="auto"/>
              </w:rPr>
              <w:t>Former GC</w:t>
            </w:r>
          </w:p>
        </w:tc>
        <w:tc>
          <w:tcPr>
            <w:tcW w:w="4840" w:type="dxa"/>
            <w:vAlign w:val="bottom"/>
            <w:gridSpan w:val="2"/>
          </w:tcPr>
          <w:p>
            <w:pPr>
              <w:ind w:left="60"/>
              <w:spacing w:after="0"/>
              <w:rPr>
                <w:sz w:val="20"/>
                <w:szCs w:val="20"/>
                <w:color w:val="auto"/>
              </w:rPr>
            </w:pPr>
            <w:r>
              <w:rPr>
                <w:rFonts w:ascii="Arial" w:cs="Arial" w:eastAsia="Arial" w:hAnsi="Arial"/>
                <w:sz w:val="18"/>
                <w:szCs w:val="18"/>
                <w:color w:val="auto"/>
              </w:rPr>
              <w:t>In a without cause termination:</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4600" w:type="dxa"/>
            <w:vAlign w:val="bottom"/>
          </w:tcPr>
          <w:p>
            <w:pPr>
              <w:ind w:left="60"/>
              <w:spacing w:after="0"/>
              <w:rPr>
                <w:sz w:val="20"/>
                <w:szCs w:val="20"/>
                <w:color w:val="auto"/>
              </w:rPr>
            </w:pPr>
            <w:r>
              <w:rPr>
                <w:rFonts w:ascii="Arial" w:cs="Arial" w:eastAsia="Arial" w:hAnsi="Arial"/>
                <w:sz w:val="18"/>
                <w:szCs w:val="18"/>
                <w:color w:val="auto"/>
              </w:rPr>
              <w:t>Cash severance of $1.8 million</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880" w:right="1020" w:hanging="171"/>
        <w:spacing w:after="0" w:line="246" w:lineRule="auto"/>
        <w:tabs>
          <w:tab w:leader="none" w:pos="1932" w:val="left"/>
        </w:tabs>
        <w:numPr>
          <w:ilvl w:val="0"/>
          <w:numId w:val="54"/>
        </w:numPr>
        <w:rPr>
          <w:rFonts w:ascii="Arial" w:cs="Arial" w:eastAsia="Arial" w:hAnsi="Arial"/>
          <w:sz w:val="18"/>
          <w:szCs w:val="18"/>
          <w:color w:val="auto"/>
        </w:rPr>
      </w:pPr>
      <w:r>
        <w:rPr>
          <w:rFonts w:ascii="Arial" w:cs="Arial" w:eastAsia="Arial" w:hAnsi="Arial"/>
          <w:sz w:val="18"/>
          <w:szCs w:val="18"/>
          <w:color w:val="auto"/>
        </w:rPr>
        <w:t>200% of the sum of base salary plus target incentive • 9,097 RSUs and 7,387 PSUs were forfeited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entered into separation agreements with each of the Former CFO and Former GC that, consistent with each severance agreement in effect prior to termination, document the terms described above, provide for the continuation of perquisites (including car usage and financial planning for a period of 24 months), provide that all severance payments are subject to a release condition, and, for our Former CFO, include the continuation of restricted covenants for 24 months post-separation (including non-competition and non-solicitation obligations). In addition, our Former CFO agreed to provide advisory services to ensure a smooth transition through the end of 2020 for cash compensation of $30,000.</w:t>
      </w:r>
    </w:p>
    <w:p>
      <w:pPr>
        <w:spacing w:after="0" w:line="205" w:lineRule="exact"/>
        <w:rPr>
          <w:sz w:val="20"/>
          <w:szCs w:val="20"/>
          <w:color w:val="auto"/>
        </w:rPr>
      </w:pPr>
    </w:p>
    <w:p>
      <w:pPr>
        <w:jc w:val="center"/>
        <w:ind w:right="440"/>
        <w:spacing w:after="0" w:line="449" w:lineRule="auto"/>
        <w:rPr>
          <w:sz w:val="20"/>
          <w:szCs w:val="20"/>
          <w:color w:val="auto"/>
        </w:rPr>
      </w:pPr>
      <w:r>
        <w:rPr>
          <w:rFonts w:ascii="Arial" w:cs="Arial" w:eastAsia="Arial" w:hAnsi="Arial"/>
          <w:sz w:val="18"/>
          <w:szCs w:val="18"/>
          <w:color w:val="auto"/>
        </w:rPr>
        <w:t>As noted above, no NEO is entitled to any tax gross-up or other payments for any “golden parachute” excise taxes, interest or penalties.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of Cause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all NEOs, “cause” is defined to generally include the willful failure to substantially perform duties, any act of fraud, embezzlement or similar conduct and conviction of a felony.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Discussion of Change-in-Control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Amended and Restated Equity and Incentive Plan (the “Equity Plan”) generally provides that equity awards accelerate following a Change in Control (as defined in the Equity Plan) of the Company only if a participant is also terminated without cause or experiences a Constructive Discharge (as defined in the Equity Plan) within two years following a Change in Control. Under the Equity Plan:</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“Change in Control” is generally defined as (a) any person or entity is or becomes the “beneficial owner” of 50% or more of the combined voting power of the Company’s then outstanding voting securities; (b) a change in the majority of the members of the Board unless approved or recommended by a vote of at least a majority of the directors then still in office; (c) there is a merger or consolidation of the Company (other than when 50% or more of the voting power remains the same or a recapitalization where no person owns more than 50% of the voting power); or (d) shareholders of the Company approve a plan of complete liquidation or dissolution of the Company or there is a sale or disposition by the Company, of all or substantially all of the Company’s assets; and</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“Constructive Discharge” is generally defined as set forth in a grantee’s employment agreement, or if no agreement or definition exists it is defined as: (a) a material reduction in base compensation, (b) a material adverse change in the nature or status of duties or responsibilities, or (c) a relocation of more than 30 miles from the principal place of employment.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Potential severance payments are described above, none of which are payable solely due to a Change in Control (as defined above).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Termination, Severance and Change of Control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and narrative below describes the potential severance payments for each NEO, as of December 31,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rPr>
              <w:t>Accelerated</w:t>
            </w:r>
          </w:p>
        </w:tc>
        <w:tc>
          <w:tcPr>
            <w:tcW w:w="1340" w:type="dxa"/>
            <w:vAlign w:val="bottom"/>
          </w:tcPr>
          <w:p>
            <w:pPr>
              <w:jc w:val="center"/>
              <w:ind w:right="108"/>
              <w:spacing w:after="0"/>
              <w:rPr>
                <w:sz w:val="20"/>
                <w:szCs w:val="20"/>
                <w:color w:val="auto"/>
              </w:rPr>
            </w:pPr>
            <w:r>
              <w:rPr>
                <w:rFonts w:ascii="Arial" w:cs="Arial" w:eastAsia="Arial" w:hAnsi="Arial"/>
                <w:sz w:val="14"/>
                <w:szCs w:val="14"/>
                <w:b w:val="1"/>
                <w:bCs w:val="1"/>
                <w:color w:val="auto"/>
              </w:rPr>
              <w:t>Continuation</w:t>
            </w:r>
          </w:p>
        </w:tc>
        <w:tc>
          <w:tcPr>
            <w:tcW w:w="96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Lump-Sum</w:t>
            </w: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rPr>
              <w:t>Vesting of</w:t>
            </w:r>
          </w:p>
        </w:tc>
        <w:tc>
          <w:tcPr>
            <w:tcW w:w="1340" w:type="dxa"/>
            <w:vAlign w:val="bottom"/>
          </w:tcPr>
          <w:p>
            <w:pPr>
              <w:jc w:val="center"/>
              <w:ind w:right="108"/>
              <w:spacing w:after="0"/>
              <w:rPr>
                <w:sz w:val="20"/>
                <w:szCs w:val="20"/>
                <w:color w:val="auto"/>
              </w:rPr>
            </w:pPr>
            <w:r>
              <w:rPr>
                <w:rFonts w:ascii="Arial" w:cs="Arial" w:eastAsia="Arial" w:hAnsi="Arial"/>
                <w:sz w:val="14"/>
                <w:szCs w:val="14"/>
                <w:b w:val="1"/>
                <w:bCs w:val="1"/>
                <w:color w:val="auto"/>
              </w:rPr>
              <w:t>of Benefits</w:t>
            </w:r>
          </w:p>
        </w:tc>
        <w:tc>
          <w:tcPr>
            <w:tcW w:w="96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Severance</w:t>
            </w: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rPr>
              <w:t>Stock-based</w:t>
            </w:r>
          </w:p>
        </w:tc>
        <w:tc>
          <w:tcPr>
            <w:tcW w:w="134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and</w:t>
            </w:r>
          </w:p>
        </w:tc>
        <w:tc>
          <w:tcPr>
            <w:tcW w:w="960" w:type="dxa"/>
            <w:vAlign w:val="bottom"/>
          </w:tcPr>
          <w:p>
            <w:pPr>
              <w:spacing w:after="0"/>
              <w:rPr>
                <w:sz w:val="14"/>
                <w:szCs w:val="14"/>
                <w:color w:val="auto"/>
              </w:rPr>
            </w:pPr>
          </w:p>
        </w:tc>
      </w:tr>
      <w:tr>
        <w:trPr>
          <w:trHeight w:val="162"/>
        </w:trPr>
        <w:tc>
          <w:tcPr>
            <w:tcW w:w="62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Payment</w:t>
            </w:r>
          </w:p>
        </w:tc>
        <w:tc>
          <w:tcPr>
            <w:tcW w:w="1380" w:type="dxa"/>
            <w:vAlign w:val="bottom"/>
          </w:tcPr>
          <w:p>
            <w:pPr>
              <w:jc w:val="center"/>
              <w:ind w:right="68"/>
              <w:spacing w:after="0"/>
              <w:rPr>
                <w:sz w:val="20"/>
                <w:szCs w:val="20"/>
                <w:color w:val="auto"/>
              </w:rPr>
            </w:pPr>
            <w:r>
              <w:rPr>
                <w:rFonts w:ascii="Arial" w:cs="Arial" w:eastAsia="Arial" w:hAnsi="Arial"/>
                <w:sz w:val="14"/>
                <w:szCs w:val="14"/>
                <w:b w:val="1"/>
                <w:bCs w:val="1"/>
                <w:color w:val="auto"/>
              </w:rPr>
              <w:t>Awards</w:t>
            </w:r>
          </w:p>
        </w:tc>
        <w:tc>
          <w:tcPr>
            <w:tcW w:w="1340" w:type="dxa"/>
            <w:vAlign w:val="bottom"/>
          </w:tcPr>
          <w:p>
            <w:pPr>
              <w:jc w:val="center"/>
              <w:ind w:right="108"/>
              <w:spacing w:after="0"/>
              <w:rPr>
                <w:sz w:val="20"/>
                <w:szCs w:val="20"/>
                <w:color w:val="auto"/>
              </w:rPr>
            </w:pPr>
            <w:r>
              <w:rPr>
                <w:rFonts w:ascii="Arial" w:cs="Arial" w:eastAsia="Arial" w:hAnsi="Arial"/>
                <w:sz w:val="14"/>
                <w:szCs w:val="14"/>
                <w:b w:val="1"/>
                <w:bCs w:val="1"/>
                <w:color w:val="auto"/>
              </w:rPr>
              <w:t>Perquisites</w:t>
            </w:r>
          </w:p>
        </w:tc>
        <w:tc>
          <w:tcPr>
            <w:tcW w:w="960" w:type="dxa"/>
            <w:vAlign w:val="bottom"/>
          </w:tcPr>
          <w:p>
            <w:pPr>
              <w:jc w:val="right"/>
              <w:ind w:right="308"/>
              <w:spacing w:after="0"/>
              <w:rPr>
                <w:sz w:val="20"/>
                <w:szCs w:val="20"/>
                <w:color w:val="auto"/>
              </w:rPr>
            </w:pPr>
            <w:r>
              <w:rPr>
                <w:rFonts w:ascii="Arial" w:cs="Arial" w:eastAsia="Arial" w:hAnsi="Arial"/>
                <w:sz w:val="14"/>
                <w:szCs w:val="14"/>
                <w:b w:val="1"/>
                <w:bCs w:val="1"/>
                <w:color w:val="auto"/>
              </w:rPr>
              <w:t>Total</w:t>
            </w:r>
          </w:p>
        </w:tc>
      </w:tr>
      <w:tr>
        <w:trPr>
          <w:trHeight w:val="182"/>
        </w:trPr>
        <w:tc>
          <w:tcPr>
            <w:tcW w:w="62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and Triggering Event(a)</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13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w:t>
            </w:r>
          </w:p>
        </w:tc>
        <w:tc>
          <w:tcPr>
            <w:tcW w:w="13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($)(d)</w:t>
            </w: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w:t>
            </w:r>
          </w:p>
        </w:tc>
      </w:tr>
      <w:tr>
        <w:trPr>
          <w:trHeight w:val="175"/>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Mr. Ferraro</w:t>
            </w:r>
          </w:p>
        </w:tc>
        <w:tc>
          <w:tcPr>
            <w:tcW w:w="1360" w:type="dxa"/>
            <w:vAlign w:val="bottom"/>
            <w:shd w:val="clear" w:color="auto" w:fill="CCCCCC"/>
          </w:tcPr>
          <w:p>
            <w:pPr>
              <w:spacing w:after="0"/>
              <w:rPr>
                <w:sz w:val="15"/>
                <w:szCs w:val="15"/>
                <w:color w:val="auto"/>
              </w:rPr>
            </w:pPr>
          </w:p>
        </w:tc>
        <w:tc>
          <w:tcPr>
            <w:tcW w:w="1380" w:type="dxa"/>
            <w:vAlign w:val="bottom"/>
            <w:shd w:val="clear" w:color="auto" w:fill="CCCCCC"/>
          </w:tcPr>
          <w:p>
            <w:pPr>
              <w:spacing w:after="0"/>
              <w:rPr>
                <w:sz w:val="15"/>
                <w:szCs w:val="15"/>
                <w:color w:val="auto"/>
              </w:rPr>
            </w:pPr>
          </w:p>
        </w:tc>
        <w:tc>
          <w:tcPr>
            <w:tcW w:w="1340" w:type="dxa"/>
            <w:vAlign w:val="bottom"/>
            <w:shd w:val="clear" w:color="auto" w:fill="CCCCCC"/>
          </w:tcPr>
          <w:p>
            <w:pPr>
              <w:spacing w:after="0"/>
              <w:rPr>
                <w:sz w:val="15"/>
                <w:szCs w:val="15"/>
                <w:color w:val="auto"/>
              </w:rPr>
            </w:pPr>
          </w:p>
        </w:tc>
        <w:tc>
          <w:tcPr>
            <w:tcW w:w="960" w:type="dxa"/>
            <w:vAlign w:val="bottom"/>
            <w:shd w:val="clear" w:color="auto" w:fill="CCCCCC"/>
          </w:tcPr>
          <w:p>
            <w:pPr>
              <w:spacing w:after="0"/>
              <w:rPr>
                <w:sz w:val="15"/>
                <w:szCs w:val="15"/>
                <w:color w:val="auto"/>
              </w:rPr>
            </w:pPr>
          </w:p>
        </w:tc>
      </w:tr>
      <w:tr>
        <w:trPr>
          <w:trHeight w:val="175"/>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8,120,919</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8,120,919</w:t>
            </w:r>
          </w:p>
        </w:tc>
      </w:tr>
      <w:tr>
        <w:trPr>
          <w:trHeight w:val="162"/>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4,000,000</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4,499,983</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97,539</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8,597,522</w:t>
            </w:r>
          </w:p>
        </w:tc>
      </w:tr>
      <w:tr>
        <w:trPr>
          <w:trHeight w:val="167"/>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 a</w:t>
            </w:r>
          </w:p>
        </w:tc>
        <w:tc>
          <w:tcPr>
            <w:tcW w:w="136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134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r>
      <w:tr>
        <w:trPr>
          <w:trHeight w:val="171"/>
        </w:trPr>
        <w:tc>
          <w:tcPr>
            <w:tcW w:w="6200" w:type="dxa"/>
            <w:vAlign w:val="bottom"/>
            <w:shd w:val="clear" w:color="auto" w:fill="CCCCCC"/>
          </w:tcPr>
          <w:p>
            <w:pPr>
              <w:ind w:left="240"/>
              <w:spacing w:after="0"/>
              <w:rPr>
                <w:sz w:val="20"/>
                <w:szCs w:val="20"/>
                <w:color w:val="auto"/>
              </w:rPr>
            </w:pPr>
            <w:r>
              <w:rPr>
                <w:rFonts w:ascii="Arial" w:cs="Arial" w:eastAsia="Arial" w:hAnsi="Arial"/>
                <w:sz w:val="14"/>
                <w:szCs w:val="14"/>
                <w:color w:val="auto"/>
              </w:rPr>
              <w:t>Constructive Discharge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4,000,000</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8,120,919</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97,539</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12,218,458</w:t>
            </w:r>
          </w:p>
        </w:tc>
      </w:tr>
      <w:tr>
        <w:trPr>
          <w:trHeight w:val="162"/>
        </w:trPr>
        <w:tc>
          <w:tcPr>
            <w:tcW w:w="62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Change of Control Transaction without Termination</w:t>
            </w:r>
          </w:p>
        </w:tc>
        <w:tc>
          <w:tcPr>
            <w:tcW w:w="136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60"/>
        </w:trPr>
        <w:tc>
          <w:tcPr>
            <w:tcW w:w="6200" w:type="dxa"/>
            <w:vAlign w:val="bottom"/>
          </w:tcPr>
          <w:p>
            <w:pPr>
              <w:ind w:left="60"/>
              <w:spacing w:after="0"/>
              <w:rPr>
                <w:sz w:val="20"/>
                <w:szCs w:val="20"/>
                <w:color w:val="auto"/>
              </w:rPr>
            </w:pPr>
            <w:r>
              <w:rPr>
                <w:rFonts w:ascii="Arial" w:cs="Arial" w:eastAsia="Arial" w:hAnsi="Arial"/>
                <w:sz w:val="14"/>
                <w:szCs w:val="14"/>
                <w:b w:val="1"/>
                <w:bCs w:val="1"/>
                <w:color w:val="auto"/>
              </w:rPr>
              <w:t>Mr. Choi</w:t>
            </w:r>
          </w:p>
        </w:tc>
        <w:tc>
          <w:tcPr>
            <w:tcW w:w="1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3,280,572</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3,280,572</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1,125,000</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1,093,524</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25,546</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2,244,070</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6200" w:type="dxa"/>
            <w:vAlign w:val="bottom"/>
          </w:tcPr>
          <w:p>
            <w:pPr>
              <w:ind w:left="240"/>
              <w:spacing w:after="0"/>
              <w:rPr>
                <w:sz w:val="20"/>
                <w:szCs w:val="20"/>
                <w:color w:val="auto"/>
              </w:rPr>
            </w:pPr>
            <w:r>
              <w:rPr>
                <w:rFonts w:ascii="Arial" w:cs="Arial" w:eastAsia="Arial" w:hAnsi="Arial"/>
                <w:sz w:val="14"/>
                <w:szCs w:val="14"/>
                <w:color w:val="auto"/>
              </w:rPr>
              <w:t>Constructive Discharge</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1,125,000</w:t>
            </w:r>
          </w:p>
        </w:tc>
        <w:tc>
          <w:tcPr>
            <w:tcW w:w="1380" w:type="dxa"/>
            <w:vAlign w:val="bottom"/>
          </w:tcPr>
          <w:p>
            <w:pPr>
              <w:jc w:val="right"/>
              <w:ind w:right="68"/>
              <w:spacing w:after="0"/>
              <w:rPr>
                <w:sz w:val="20"/>
                <w:szCs w:val="20"/>
                <w:color w:val="auto"/>
              </w:rPr>
            </w:pPr>
            <w:r>
              <w:rPr>
                <w:rFonts w:ascii="Arial" w:cs="Arial" w:eastAsia="Arial" w:hAnsi="Arial"/>
                <w:sz w:val="14"/>
                <w:szCs w:val="14"/>
                <w:color w:val="auto"/>
              </w:rPr>
              <w:t>3,280,572</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25,546</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4,431,118</w:t>
            </w:r>
          </w:p>
        </w:tc>
      </w:tr>
      <w:tr>
        <w:trPr>
          <w:trHeight w:val="157"/>
        </w:trPr>
        <w:tc>
          <w:tcPr>
            <w:tcW w:w="620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Change of Control Transaction without Termination</w:t>
            </w:r>
          </w:p>
        </w:tc>
        <w:tc>
          <w:tcPr>
            <w:tcW w:w="13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68"/>
              <w:spacing w:after="0" w:line="157"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r>
      <w:tr>
        <w:trPr>
          <w:trHeight w:val="169"/>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Mr. Hees</w:t>
            </w:r>
          </w:p>
        </w:tc>
        <w:tc>
          <w:tcPr>
            <w:tcW w:w="136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134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r>
      <w:tr>
        <w:trPr>
          <w:trHeight w:val="175"/>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r>
        <w:trPr>
          <w:trHeight w:val="175"/>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5,529,464</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5,529,464</w:t>
            </w:r>
          </w:p>
        </w:tc>
      </w:tr>
      <w:tr>
        <w:trPr>
          <w:trHeight w:val="162"/>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1,125,000</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3,044,352</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4,169,352</w:t>
            </w:r>
          </w:p>
        </w:tc>
      </w:tr>
      <w:tr>
        <w:trPr>
          <w:trHeight w:val="167"/>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 a</w:t>
            </w:r>
          </w:p>
        </w:tc>
        <w:tc>
          <w:tcPr>
            <w:tcW w:w="1360" w:type="dxa"/>
            <w:vAlign w:val="bottom"/>
            <w:shd w:val="clear" w:color="auto" w:fill="CCCCCC"/>
          </w:tcPr>
          <w:p>
            <w:pPr>
              <w:spacing w:after="0"/>
              <w:rPr>
                <w:sz w:val="14"/>
                <w:szCs w:val="14"/>
                <w:color w:val="auto"/>
              </w:rPr>
            </w:pPr>
          </w:p>
        </w:tc>
        <w:tc>
          <w:tcPr>
            <w:tcW w:w="1380" w:type="dxa"/>
            <w:vAlign w:val="bottom"/>
            <w:shd w:val="clear" w:color="auto" w:fill="CCCCCC"/>
          </w:tcPr>
          <w:p>
            <w:pPr>
              <w:spacing w:after="0"/>
              <w:rPr>
                <w:sz w:val="14"/>
                <w:szCs w:val="14"/>
                <w:color w:val="auto"/>
              </w:rPr>
            </w:pPr>
          </w:p>
        </w:tc>
        <w:tc>
          <w:tcPr>
            <w:tcW w:w="1340" w:type="dxa"/>
            <w:vAlign w:val="bottom"/>
            <w:shd w:val="clear" w:color="auto" w:fill="CCCCCC"/>
          </w:tcPr>
          <w:p>
            <w:pPr>
              <w:spacing w:after="0"/>
              <w:rPr>
                <w:sz w:val="14"/>
                <w:szCs w:val="14"/>
                <w:color w:val="auto"/>
              </w:rPr>
            </w:pPr>
          </w:p>
        </w:tc>
        <w:tc>
          <w:tcPr>
            <w:tcW w:w="960" w:type="dxa"/>
            <w:vAlign w:val="bottom"/>
            <w:shd w:val="clear" w:color="auto" w:fill="CCCCCC"/>
          </w:tcPr>
          <w:p>
            <w:pPr>
              <w:spacing w:after="0"/>
              <w:rPr>
                <w:sz w:val="14"/>
                <w:szCs w:val="14"/>
                <w:color w:val="auto"/>
              </w:rPr>
            </w:pPr>
          </w:p>
        </w:tc>
      </w:tr>
      <w:tr>
        <w:trPr>
          <w:trHeight w:val="171"/>
        </w:trPr>
        <w:tc>
          <w:tcPr>
            <w:tcW w:w="6200" w:type="dxa"/>
            <w:vAlign w:val="bottom"/>
            <w:shd w:val="clear" w:color="auto" w:fill="CCCCCC"/>
          </w:tcPr>
          <w:p>
            <w:pPr>
              <w:ind w:left="240"/>
              <w:spacing w:after="0"/>
              <w:rPr>
                <w:sz w:val="20"/>
                <w:szCs w:val="20"/>
                <w:color w:val="auto"/>
              </w:rPr>
            </w:pPr>
            <w:r>
              <w:rPr>
                <w:rFonts w:ascii="Arial" w:cs="Arial" w:eastAsia="Arial" w:hAnsi="Arial"/>
                <w:sz w:val="14"/>
                <w:szCs w:val="14"/>
                <w:color w:val="auto"/>
              </w:rPr>
              <w:t>Constructive Discharge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1,125,000</w:t>
            </w:r>
          </w:p>
        </w:tc>
        <w:tc>
          <w:tcPr>
            <w:tcW w:w="138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5,529,464</w:t>
            </w:r>
          </w:p>
        </w:tc>
        <w:tc>
          <w:tcPr>
            <w:tcW w:w="1340" w:type="dxa"/>
            <w:vAlign w:val="bottom"/>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6,654,464</w:t>
            </w:r>
          </w:p>
        </w:tc>
      </w:tr>
      <w:tr>
        <w:trPr>
          <w:trHeight w:val="162"/>
        </w:trPr>
        <w:tc>
          <w:tcPr>
            <w:tcW w:w="62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Change of Control Transaction without Termination</w:t>
            </w:r>
          </w:p>
        </w:tc>
        <w:tc>
          <w:tcPr>
            <w:tcW w:w="136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CCCC"/>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CCCC"/>
          </w:tcPr>
          <w:p>
            <w:pPr>
              <w:jc w:val="right"/>
              <w:ind w:right="28"/>
              <w:spacing w:after="0"/>
              <w:rPr>
                <w:sz w:val="20"/>
                <w:szCs w:val="20"/>
                <w:color w:val="auto"/>
              </w:rPr>
            </w:pPr>
            <w:r>
              <w:rPr>
                <w:rFonts w:ascii="Arial" w:cs="Arial" w:eastAsia="Arial" w:hAnsi="Arial"/>
                <w:sz w:val="14"/>
                <w:szCs w:val="14"/>
                <w:color w:val="auto"/>
              </w:rPr>
              <w:t>—</w:t>
            </w:r>
          </w:p>
        </w:tc>
      </w:tr>
    </w:tbl>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200" w:type="dxa"/>
            <w:vAlign w:val="bottom"/>
            <w:tcBorders>
              <w:top w:val="single" w:sz="8" w:color="auto"/>
            </w:tcBorders>
          </w:tcPr>
          <w:p>
            <w:pPr>
              <w:ind w:left="60"/>
              <w:spacing w:after="0"/>
              <w:rPr>
                <w:sz w:val="20"/>
                <w:szCs w:val="20"/>
                <w:color w:val="auto"/>
              </w:rPr>
            </w:pPr>
            <w:r>
              <w:rPr>
                <w:rFonts w:ascii="Arial" w:cs="Arial" w:eastAsia="Arial" w:hAnsi="Arial"/>
                <w:sz w:val="14"/>
                <w:szCs w:val="14"/>
                <w:b w:val="1"/>
                <w:bCs w:val="1"/>
                <w:color w:val="auto"/>
              </w:rPr>
              <w:t>Mr. Rankin</w:t>
            </w:r>
          </w:p>
        </w:tc>
        <w:tc>
          <w:tcPr>
            <w:tcW w:w="136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3,948,540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3,948,540</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2,151,872</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1,814,160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37,298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4,003,330</w:t>
            </w:r>
          </w:p>
        </w:tc>
      </w:tr>
      <w:tr>
        <w:trPr>
          <w:trHeight w:val="162"/>
        </w:trPr>
        <w:tc>
          <w:tcPr>
            <w:tcW w:w="6200" w:type="dxa"/>
            <w:vAlign w:val="bottom"/>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 a</w:t>
            </w:r>
          </w:p>
        </w:tc>
        <w:tc>
          <w:tcPr>
            <w:tcW w:w="13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6200" w:type="dxa"/>
            <w:vAlign w:val="bottom"/>
          </w:tcPr>
          <w:p>
            <w:pPr>
              <w:ind w:left="240"/>
              <w:spacing w:after="0"/>
              <w:rPr>
                <w:sz w:val="20"/>
                <w:szCs w:val="20"/>
                <w:color w:val="auto"/>
              </w:rPr>
            </w:pPr>
            <w:r>
              <w:rPr>
                <w:rFonts w:ascii="Arial" w:cs="Arial" w:eastAsia="Arial" w:hAnsi="Arial"/>
                <w:sz w:val="14"/>
                <w:szCs w:val="14"/>
                <w:color w:val="auto"/>
              </w:rPr>
              <w:t>Constructive Discharge</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2,151,872</w:t>
            </w:r>
          </w:p>
        </w:tc>
        <w:tc>
          <w:tcPr>
            <w:tcW w:w="1680" w:type="dxa"/>
            <w:vAlign w:val="bottom"/>
          </w:tcPr>
          <w:p>
            <w:pPr>
              <w:jc w:val="right"/>
              <w:ind w:right="368"/>
              <w:spacing w:after="0"/>
              <w:rPr>
                <w:sz w:val="20"/>
                <w:szCs w:val="20"/>
                <w:color w:val="auto"/>
              </w:rPr>
            </w:pPr>
            <w:r>
              <w:rPr>
                <w:rFonts w:ascii="Arial" w:cs="Arial" w:eastAsia="Arial" w:hAnsi="Arial"/>
                <w:sz w:val="14"/>
                <w:szCs w:val="14"/>
                <w:color w:val="auto"/>
              </w:rPr>
              <w:t>3,948,540</w:t>
            </w:r>
          </w:p>
        </w:tc>
        <w:tc>
          <w:tcPr>
            <w:tcW w:w="1080" w:type="dxa"/>
            <w:vAlign w:val="bottom"/>
          </w:tcPr>
          <w:p>
            <w:pPr>
              <w:jc w:val="right"/>
              <w:ind w:right="108"/>
              <w:spacing w:after="0"/>
              <w:rPr>
                <w:sz w:val="20"/>
                <w:szCs w:val="20"/>
                <w:color w:val="auto"/>
              </w:rPr>
            </w:pPr>
            <w:r>
              <w:rPr>
                <w:rFonts w:ascii="Arial" w:cs="Arial" w:eastAsia="Arial" w:hAnsi="Arial"/>
                <w:sz w:val="14"/>
                <w:szCs w:val="14"/>
                <w:color w:val="auto"/>
              </w:rPr>
              <w:t>37,298</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6,137,710</w:t>
            </w:r>
          </w:p>
        </w:tc>
      </w:tr>
      <w:tr>
        <w:trPr>
          <w:trHeight w:val="157"/>
        </w:trPr>
        <w:tc>
          <w:tcPr>
            <w:tcW w:w="6200" w:type="dxa"/>
            <w:vAlign w:val="bottom"/>
            <w:tcBorders>
              <w:bottom w:val="single" w:sz="8" w:color="auto"/>
            </w:tcBorders>
          </w:tcPr>
          <w:p>
            <w:pPr>
              <w:ind w:left="60"/>
              <w:spacing w:after="0" w:line="157" w:lineRule="exact"/>
              <w:rPr>
                <w:sz w:val="20"/>
                <w:szCs w:val="20"/>
                <w:color w:val="auto"/>
              </w:rPr>
            </w:pPr>
            <w:r>
              <w:rPr>
                <w:rFonts w:ascii="Arial" w:cs="Arial" w:eastAsia="Arial" w:hAnsi="Arial"/>
                <w:sz w:val="14"/>
                <w:szCs w:val="14"/>
                <w:color w:val="auto"/>
              </w:rPr>
              <w:t>Change of Control Transaction without Termination</w:t>
            </w:r>
          </w:p>
        </w:tc>
        <w:tc>
          <w:tcPr>
            <w:tcW w:w="1360" w:type="dxa"/>
            <w:vAlign w:val="bottom"/>
            <w:tcBorders>
              <w:bottom w:val="single" w:sz="8" w:color="auto"/>
            </w:tcBorders>
          </w:tcPr>
          <w:p>
            <w:pPr>
              <w:jc w:val="right"/>
              <w:ind w:right="48"/>
              <w:spacing w:after="0" w:line="157" w:lineRule="exact"/>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ind w:right="368"/>
              <w:spacing w:after="0" w:line="157"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08"/>
              <w:spacing w:after="0" w:line="157"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line="157" w:lineRule="exact"/>
              <w:rPr>
                <w:sz w:val="20"/>
                <w:szCs w:val="20"/>
                <w:color w:val="auto"/>
              </w:rPr>
            </w:pPr>
            <w:r>
              <w:rPr>
                <w:rFonts w:ascii="Arial" w:cs="Arial" w:eastAsia="Arial" w:hAnsi="Arial"/>
                <w:sz w:val="14"/>
                <w:szCs w:val="14"/>
                <w:color w:val="auto"/>
              </w:rPr>
              <w:t>—</w:t>
            </w:r>
          </w:p>
        </w:tc>
      </w:tr>
      <w:tr>
        <w:trPr>
          <w:trHeight w:val="169"/>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b w:val="1"/>
                <w:bCs w:val="1"/>
                <w:color w:val="auto"/>
              </w:rPr>
              <w:t>Ms. Martins</w:t>
            </w:r>
          </w:p>
        </w:tc>
        <w:tc>
          <w:tcPr>
            <w:tcW w:w="1360" w:type="dxa"/>
            <w:vAlign w:val="bottom"/>
            <w:shd w:val="clear" w:color="auto" w:fill="CCCCCC"/>
          </w:tcPr>
          <w:p>
            <w:pPr>
              <w:spacing w:after="0"/>
              <w:rPr>
                <w:sz w:val="14"/>
                <w:szCs w:val="14"/>
                <w:color w:val="auto"/>
              </w:rPr>
            </w:pPr>
          </w:p>
        </w:tc>
        <w:tc>
          <w:tcPr>
            <w:tcW w:w="1680" w:type="dxa"/>
            <w:vAlign w:val="bottom"/>
            <w:shd w:val="clear" w:color="auto" w:fill="CCCCCC"/>
          </w:tcPr>
          <w:p>
            <w:pPr>
              <w:spacing w:after="0"/>
              <w:rPr>
                <w:sz w:val="14"/>
                <w:szCs w:val="14"/>
                <w:color w:val="auto"/>
              </w:rPr>
            </w:pPr>
          </w:p>
        </w:tc>
        <w:tc>
          <w:tcPr>
            <w:tcW w:w="108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r>
      <w:tr>
        <w:trPr>
          <w:trHeight w:val="176"/>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Resignation or Termination by Company for Cause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spacing w:after="0"/>
              <w:rPr>
                <w:sz w:val="15"/>
                <w:szCs w:val="15"/>
                <w:color w:val="auto"/>
              </w:rPr>
            </w:pPr>
          </w:p>
        </w:tc>
      </w:tr>
      <w:tr>
        <w:trPr>
          <w:trHeight w:val="176"/>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due to Death or Disability</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4,263,726</w:t>
            </w:r>
          </w:p>
        </w:tc>
        <w:tc>
          <w:tcPr>
            <w:tcW w:w="10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4,263,726</w:t>
            </w:r>
          </w:p>
        </w:tc>
      </w:tr>
      <w:tr>
        <w:trPr>
          <w:trHeight w:val="162"/>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Termination by Company without Cause or due to Constructive Discharge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1,056,250</w:t>
            </w:r>
          </w:p>
        </w:tc>
        <w:tc>
          <w:tcPr>
            <w:tcW w:w="168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549,210</w:t>
            </w:r>
          </w:p>
        </w:tc>
        <w:tc>
          <w:tcPr>
            <w:tcW w:w="10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42,148</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1,647,608</w:t>
            </w:r>
          </w:p>
        </w:tc>
      </w:tr>
      <w:tr>
        <w:trPr>
          <w:trHeight w:val="167"/>
        </w:trPr>
        <w:tc>
          <w:tcPr>
            <w:tcW w:w="6200" w:type="dxa"/>
            <w:vAlign w:val="bottom"/>
            <w:shd w:val="clear" w:color="auto" w:fill="CCCCCC"/>
          </w:tcPr>
          <w:p>
            <w:pPr>
              <w:ind w:left="60"/>
              <w:spacing w:after="0"/>
              <w:rPr>
                <w:sz w:val="20"/>
                <w:szCs w:val="20"/>
                <w:color w:val="auto"/>
              </w:rPr>
            </w:pPr>
            <w:r>
              <w:rPr>
                <w:rFonts w:ascii="Arial" w:cs="Arial" w:eastAsia="Arial" w:hAnsi="Arial"/>
                <w:sz w:val="14"/>
                <w:szCs w:val="14"/>
                <w:color w:val="auto"/>
              </w:rPr>
              <w:t>Change of Control Transaction and Termination by Company without Cause or due to</w:t>
            </w:r>
          </w:p>
        </w:tc>
        <w:tc>
          <w:tcPr>
            <w:tcW w:w="1360" w:type="dxa"/>
            <w:vAlign w:val="bottom"/>
            <w:shd w:val="clear" w:color="auto" w:fill="CCCCCC"/>
          </w:tcPr>
          <w:p>
            <w:pPr>
              <w:spacing w:after="0"/>
              <w:rPr>
                <w:sz w:val="14"/>
                <w:szCs w:val="14"/>
                <w:color w:val="auto"/>
              </w:rPr>
            </w:pPr>
          </w:p>
        </w:tc>
        <w:tc>
          <w:tcPr>
            <w:tcW w:w="1680" w:type="dxa"/>
            <w:vAlign w:val="bottom"/>
            <w:shd w:val="clear" w:color="auto" w:fill="CCCCCC"/>
          </w:tcPr>
          <w:p>
            <w:pPr>
              <w:spacing w:after="0"/>
              <w:rPr>
                <w:sz w:val="14"/>
                <w:szCs w:val="14"/>
                <w:color w:val="auto"/>
              </w:rPr>
            </w:pPr>
          </w:p>
        </w:tc>
        <w:tc>
          <w:tcPr>
            <w:tcW w:w="1080" w:type="dxa"/>
            <w:vAlign w:val="bottom"/>
            <w:shd w:val="clear" w:color="auto" w:fill="CCCCCC"/>
          </w:tcPr>
          <w:p>
            <w:pPr>
              <w:spacing w:after="0"/>
              <w:rPr>
                <w:sz w:val="14"/>
                <w:szCs w:val="14"/>
                <w:color w:val="auto"/>
              </w:rPr>
            </w:pPr>
          </w:p>
        </w:tc>
        <w:tc>
          <w:tcPr>
            <w:tcW w:w="920" w:type="dxa"/>
            <w:vAlign w:val="bottom"/>
            <w:shd w:val="clear" w:color="auto" w:fill="CCCCCC"/>
          </w:tcPr>
          <w:p>
            <w:pPr>
              <w:spacing w:after="0"/>
              <w:rPr>
                <w:sz w:val="14"/>
                <w:szCs w:val="14"/>
                <w:color w:val="auto"/>
              </w:rPr>
            </w:pPr>
          </w:p>
        </w:tc>
      </w:tr>
      <w:tr>
        <w:trPr>
          <w:trHeight w:val="171"/>
        </w:trPr>
        <w:tc>
          <w:tcPr>
            <w:tcW w:w="6200" w:type="dxa"/>
            <w:vAlign w:val="bottom"/>
            <w:shd w:val="clear" w:color="auto" w:fill="CCCCCC"/>
          </w:tcPr>
          <w:p>
            <w:pPr>
              <w:ind w:left="240"/>
              <w:spacing w:after="0"/>
              <w:rPr>
                <w:sz w:val="20"/>
                <w:szCs w:val="20"/>
                <w:color w:val="auto"/>
              </w:rPr>
            </w:pPr>
            <w:r>
              <w:rPr>
                <w:rFonts w:ascii="Arial" w:cs="Arial" w:eastAsia="Arial" w:hAnsi="Arial"/>
                <w:sz w:val="14"/>
                <w:szCs w:val="14"/>
                <w:color w:val="auto"/>
              </w:rPr>
              <w:t>Constructive Discharge</w:t>
            </w:r>
          </w:p>
        </w:tc>
        <w:tc>
          <w:tcPr>
            <w:tcW w:w="1360" w:type="dxa"/>
            <w:vAlign w:val="bottom"/>
            <w:shd w:val="clear" w:color="auto" w:fill="CCCCCC"/>
          </w:tcPr>
          <w:p>
            <w:pPr>
              <w:jc w:val="right"/>
              <w:ind w:right="48"/>
              <w:spacing w:after="0"/>
              <w:rPr>
                <w:sz w:val="20"/>
                <w:szCs w:val="20"/>
                <w:color w:val="auto"/>
              </w:rPr>
            </w:pPr>
            <w:r>
              <w:rPr>
                <w:rFonts w:ascii="Arial" w:cs="Arial" w:eastAsia="Arial" w:hAnsi="Arial"/>
                <w:sz w:val="14"/>
                <w:szCs w:val="14"/>
                <w:color w:val="auto"/>
              </w:rPr>
              <w:t>1,056,250</w:t>
            </w:r>
          </w:p>
        </w:tc>
        <w:tc>
          <w:tcPr>
            <w:tcW w:w="1680" w:type="dxa"/>
            <w:vAlign w:val="bottom"/>
            <w:shd w:val="clear" w:color="auto" w:fill="CCCCCC"/>
          </w:tcPr>
          <w:p>
            <w:pPr>
              <w:jc w:val="right"/>
              <w:ind w:right="368"/>
              <w:spacing w:after="0"/>
              <w:rPr>
                <w:sz w:val="20"/>
                <w:szCs w:val="20"/>
                <w:color w:val="auto"/>
              </w:rPr>
            </w:pPr>
            <w:r>
              <w:rPr>
                <w:rFonts w:ascii="Arial" w:cs="Arial" w:eastAsia="Arial" w:hAnsi="Arial"/>
                <w:sz w:val="14"/>
                <w:szCs w:val="14"/>
                <w:color w:val="auto"/>
              </w:rPr>
              <w:t>4,263,726</w:t>
            </w:r>
          </w:p>
        </w:tc>
        <w:tc>
          <w:tcPr>
            <w:tcW w:w="1080" w:type="dxa"/>
            <w:vAlign w:val="bottom"/>
            <w:shd w:val="clear" w:color="auto" w:fill="CCCCCC"/>
          </w:tcPr>
          <w:p>
            <w:pPr>
              <w:jc w:val="right"/>
              <w:ind w:right="108"/>
              <w:spacing w:after="0"/>
              <w:rPr>
                <w:sz w:val="20"/>
                <w:szCs w:val="20"/>
                <w:color w:val="auto"/>
              </w:rPr>
            </w:pPr>
            <w:r>
              <w:rPr>
                <w:rFonts w:ascii="Arial" w:cs="Arial" w:eastAsia="Arial" w:hAnsi="Arial"/>
                <w:sz w:val="14"/>
                <w:szCs w:val="14"/>
                <w:color w:val="auto"/>
              </w:rPr>
              <w:t>42,148</w:t>
            </w:r>
          </w:p>
        </w:tc>
        <w:tc>
          <w:tcPr>
            <w:tcW w:w="920" w:type="dxa"/>
            <w:vAlign w:val="bottom"/>
            <w:shd w:val="clear" w:color="auto" w:fill="CCCCCC"/>
          </w:tcPr>
          <w:p>
            <w:pPr>
              <w:jc w:val="right"/>
              <w:ind w:right="28"/>
              <w:spacing w:after="0"/>
              <w:rPr>
                <w:sz w:val="20"/>
                <w:szCs w:val="20"/>
                <w:color w:val="auto"/>
              </w:rPr>
            </w:pPr>
            <w:r>
              <w:rPr>
                <w:rFonts w:ascii="Arial" w:cs="Arial" w:eastAsia="Arial" w:hAnsi="Arial"/>
                <w:sz w:val="14"/>
                <w:szCs w:val="14"/>
                <w:color w:val="auto"/>
              </w:rPr>
              <w:t>5,362,124</w:t>
            </w:r>
          </w:p>
        </w:tc>
      </w:tr>
      <w:tr>
        <w:trPr>
          <w:trHeight w:val="169"/>
        </w:trPr>
        <w:tc>
          <w:tcPr>
            <w:tcW w:w="6200" w:type="dxa"/>
            <w:vAlign w:val="bottom"/>
            <w:tcBorders>
              <w:bottom w:val="single" w:sz="8" w:color="auto"/>
            </w:tcBorders>
            <w:shd w:val="clear" w:color="auto" w:fill="CCCCCC"/>
          </w:tcPr>
          <w:p>
            <w:pPr>
              <w:ind w:left="60"/>
              <w:spacing w:after="0"/>
              <w:rPr>
                <w:sz w:val="20"/>
                <w:szCs w:val="20"/>
                <w:color w:val="auto"/>
              </w:rPr>
            </w:pPr>
            <w:r>
              <w:rPr>
                <w:rFonts w:ascii="Arial" w:cs="Arial" w:eastAsia="Arial" w:hAnsi="Arial"/>
                <w:sz w:val="14"/>
                <w:szCs w:val="14"/>
                <w:color w:val="auto"/>
              </w:rPr>
              <w:t>Change of Control Transaction without Termination</w:t>
            </w:r>
          </w:p>
        </w:tc>
        <w:tc>
          <w:tcPr>
            <w:tcW w:w="1360" w:type="dxa"/>
            <w:vAlign w:val="bottom"/>
            <w:tcBorders>
              <w:bottom w:val="single" w:sz="8" w:color="auto"/>
            </w:tcBorders>
            <w:shd w:val="clear" w:color="auto" w:fill="CCCCCC"/>
          </w:tcPr>
          <w:p>
            <w:pPr>
              <w:jc w:val="right"/>
              <w:ind w:right="4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shd w:val="clear" w:color="auto" w:fill="CCCCCC"/>
          </w:tcPr>
          <w:p>
            <w:pPr>
              <w:jc w:val="right"/>
              <w:ind w:right="3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CCCC"/>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CCCC"/>
          </w:tcPr>
          <w:p>
            <w:pPr>
              <w:spacing w:after="0"/>
              <w:rPr>
                <w:sz w:val="14"/>
                <w:szCs w:val="14"/>
                <w:color w:val="auto"/>
              </w:rPr>
            </w:pPr>
          </w:p>
        </w:tc>
      </w:tr>
    </w:tbl>
    <w:p>
      <w:pPr>
        <w:spacing w:after="0" w:line="99" w:lineRule="exact"/>
        <w:rPr>
          <w:sz w:val="20"/>
          <w:szCs w:val="20"/>
          <w:color w:val="auto"/>
        </w:rPr>
      </w:pPr>
    </w:p>
    <w:p>
      <w:pPr>
        <w:ind w:left="340" w:right="20" w:hanging="332"/>
        <w:spacing w:after="0" w:line="258"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Descriptions of the terms “Cause” and “Constructive Discharge” are provided above under the sections captioned “Employment Agreements and Other Arrangements — Definition of Cause” and “Discussion of Change-in-Control Provisions.”</w:t>
      </w:r>
    </w:p>
    <w:p>
      <w:pPr>
        <w:spacing w:after="0" w:line="72" w:lineRule="exact"/>
        <w:rPr>
          <w:rFonts w:ascii="Arial" w:cs="Arial" w:eastAsia="Arial" w:hAnsi="Arial"/>
          <w:sz w:val="14"/>
          <w:szCs w:val="14"/>
          <w:color w:val="auto"/>
        </w:rPr>
      </w:pPr>
    </w:p>
    <w:p>
      <w:pPr>
        <w:jc w:val="both"/>
        <w:ind w:left="340" w:hanging="332"/>
        <w:spacing w:after="0" w:line="247"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Messrs. Ferraro and Rankin, lump-sum severance payments, other than due to death or disability, were calculated based on each executive’s base salary and target annual incentive as of December 31, 2020 and multiplied by 200%. Severance due to death and disability is calculated based on actual annual incentives for Messrs. Ferraro and Rankin of which no payments were made under the AIP in 2020. For Messrs. Hees and Choi and Ms. Martins, lump-sum severance payments were calculated based on each executive’s base salary and 25% of their target annual incentive as of December 31, 2020 and multiplied by 100%.</w:t>
      </w:r>
    </w:p>
    <w:p>
      <w:pPr>
        <w:spacing w:after="0" w:line="79"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values of RSUs and PSUs were calculated assuming accelerated vesting as of December 31, 2020 and based on the closing price of our Common Stock of $37.30. Descriptions of the accelerated vesting provisions are provided under “Employment Agreements and Other Arrangements.”</w:t>
      </w:r>
    </w:p>
    <w:p>
      <w:pPr>
        <w:spacing w:after="0" w:line="72"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Mr. Ferraro, reflects 24 months of continued health and dental, car benefits and financial planning. For Messrs. Hees and Choi, and Ms. Martins, reflects 12 months of continued health and dental, car benefits and financial planning. For Mr. Rankin, includes 24 months of continued car benefits and financial planning.</w:t>
      </w:r>
    </w:p>
    <w:p>
      <w:pPr>
        <w:spacing w:after="0" w:line="1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Director Compensation</w:t>
      </w:r>
    </w:p>
    <w:p>
      <w:pPr>
        <w:spacing w:after="0" w:line="2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non-employee directors are eligible to receive an annual director retainer of $225,000. To reflect their additional responsibilities, the chairs and members of the Audit, Compensation and Corporate Governance Committees are also eligible to receive additional annual retainers. The current rates of these retainers are set forth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4760" w:type="dxa"/>
            <w:vAlign w:val="bottom"/>
          </w:tcPr>
          <w:p>
            <w:pPr>
              <w:jc w:val="right"/>
              <w:ind w:right="555"/>
              <w:spacing w:after="0"/>
              <w:rPr>
                <w:sz w:val="20"/>
                <w:szCs w:val="20"/>
                <w:color w:val="auto"/>
              </w:rPr>
            </w:pPr>
            <w:r>
              <w:rPr>
                <w:rFonts w:ascii="Arial" w:cs="Arial" w:eastAsia="Arial" w:hAnsi="Arial"/>
                <w:sz w:val="14"/>
                <w:szCs w:val="14"/>
                <w:b w:val="1"/>
                <w:bCs w:val="1"/>
                <w:color w:val="auto"/>
              </w:rPr>
              <w:t>Annual Retainers</w:t>
            </w:r>
          </w:p>
        </w:tc>
      </w:tr>
      <w:tr>
        <w:trPr>
          <w:trHeight w:val="182"/>
        </w:trPr>
        <w:tc>
          <w:tcPr>
            <w:tcW w:w="6480" w:type="dxa"/>
            <w:vAlign w:val="bottom"/>
            <w:tcBorders>
              <w:bottom w:val="single" w:sz="8" w:color="auto"/>
            </w:tcBorders>
          </w:tcPr>
          <w:p>
            <w:pPr>
              <w:spacing w:after="0"/>
              <w:rPr>
                <w:sz w:val="15"/>
                <w:szCs w:val="15"/>
                <w:color w:val="auto"/>
              </w:rPr>
            </w:pPr>
          </w:p>
        </w:tc>
        <w:tc>
          <w:tcPr>
            <w:tcW w:w="4760" w:type="dxa"/>
            <w:vAlign w:val="bottom"/>
            <w:tcBorders>
              <w:bottom w:val="single" w:sz="8" w:color="auto"/>
            </w:tcBorders>
          </w:tcPr>
          <w:p>
            <w:pPr>
              <w:jc w:val="right"/>
              <w:ind w:right="1055"/>
              <w:spacing w:after="0"/>
              <w:rPr>
                <w:sz w:val="20"/>
                <w:szCs w:val="20"/>
                <w:color w:val="auto"/>
              </w:rPr>
            </w:pPr>
            <w:r>
              <w:rPr>
                <w:rFonts w:ascii="Arial" w:cs="Arial" w:eastAsia="Arial" w:hAnsi="Arial"/>
                <w:sz w:val="14"/>
                <w:szCs w:val="14"/>
                <w:b w:val="1"/>
                <w:bCs w:val="1"/>
                <w:color w:val="auto"/>
              </w:rPr>
              <w:t>($)</w:t>
            </w:r>
          </w:p>
        </w:tc>
      </w:tr>
      <w:tr>
        <w:trPr>
          <w:trHeight w:val="216"/>
        </w:trPr>
        <w:tc>
          <w:tcPr>
            <w:tcW w:w="648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Audit Committee Chair</w:t>
            </w:r>
          </w:p>
        </w:tc>
        <w:tc>
          <w:tcPr>
            <w:tcW w:w="4760" w:type="dxa"/>
            <w:vAlign w:val="bottom"/>
            <w:tcBorders>
              <w:bottom w:val="single" w:sz="8" w:color="auto"/>
            </w:tcBorders>
            <w:shd w:val="clear" w:color="auto" w:fill="D2D3D5"/>
          </w:tcPr>
          <w:p>
            <w:pPr>
              <w:jc w:val="right"/>
              <w:ind w:right="915"/>
              <w:spacing w:after="0"/>
              <w:rPr>
                <w:sz w:val="20"/>
                <w:szCs w:val="20"/>
                <w:color w:val="auto"/>
              </w:rPr>
            </w:pPr>
            <w:r>
              <w:rPr>
                <w:rFonts w:ascii="Arial" w:cs="Arial" w:eastAsia="Arial" w:hAnsi="Arial"/>
                <w:sz w:val="18"/>
                <w:szCs w:val="18"/>
                <w:color w:val="auto"/>
              </w:rPr>
              <w:t>25,000</w:t>
            </w:r>
          </w:p>
        </w:tc>
      </w:tr>
      <w:tr>
        <w:trPr>
          <w:trHeight w:val="209"/>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Audit Committee Member</w:t>
            </w:r>
          </w:p>
        </w:tc>
        <w:tc>
          <w:tcPr>
            <w:tcW w:w="476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rPr>
              <w:t>12,500</w:t>
            </w:r>
          </w:p>
        </w:tc>
      </w:tr>
      <w:tr>
        <w:trPr>
          <w:trHeight w:val="210"/>
        </w:trPr>
        <w:tc>
          <w:tcPr>
            <w:tcW w:w="648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Compensation Committee Chair</w:t>
            </w:r>
          </w:p>
        </w:tc>
        <w:tc>
          <w:tcPr>
            <w:tcW w:w="4760" w:type="dxa"/>
            <w:vAlign w:val="bottom"/>
            <w:tcBorders>
              <w:bottom w:val="single" w:sz="8" w:color="auto"/>
            </w:tcBorders>
            <w:shd w:val="clear" w:color="auto" w:fill="D2D3D5"/>
          </w:tcPr>
          <w:p>
            <w:pPr>
              <w:jc w:val="right"/>
              <w:ind w:right="915"/>
              <w:spacing w:after="0"/>
              <w:rPr>
                <w:sz w:val="20"/>
                <w:szCs w:val="20"/>
                <w:color w:val="auto"/>
              </w:rPr>
            </w:pPr>
            <w:r>
              <w:rPr>
                <w:rFonts w:ascii="Arial" w:cs="Arial" w:eastAsia="Arial" w:hAnsi="Arial"/>
                <w:sz w:val="18"/>
                <w:szCs w:val="18"/>
                <w:color w:val="auto"/>
              </w:rPr>
              <w:t>25,000</w:t>
            </w:r>
          </w:p>
        </w:tc>
      </w:tr>
      <w:tr>
        <w:trPr>
          <w:trHeight w:val="209"/>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Compensation Committee Member</w:t>
            </w:r>
          </w:p>
        </w:tc>
        <w:tc>
          <w:tcPr>
            <w:tcW w:w="476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rPr>
              <w:t>12,500</w:t>
            </w:r>
          </w:p>
        </w:tc>
      </w:tr>
      <w:tr>
        <w:trPr>
          <w:trHeight w:val="209"/>
        </w:trPr>
        <w:tc>
          <w:tcPr>
            <w:tcW w:w="648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Corporate Governance Committee Chair</w:t>
            </w:r>
          </w:p>
        </w:tc>
        <w:tc>
          <w:tcPr>
            <w:tcW w:w="4760" w:type="dxa"/>
            <w:vAlign w:val="bottom"/>
            <w:tcBorders>
              <w:bottom w:val="single" w:sz="8" w:color="auto"/>
            </w:tcBorders>
            <w:shd w:val="clear" w:color="auto" w:fill="D2D3D5"/>
          </w:tcPr>
          <w:p>
            <w:pPr>
              <w:jc w:val="right"/>
              <w:ind w:right="915"/>
              <w:spacing w:after="0"/>
              <w:rPr>
                <w:sz w:val="20"/>
                <w:szCs w:val="20"/>
                <w:color w:val="auto"/>
              </w:rPr>
            </w:pPr>
            <w:r>
              <w:rPr>
                <w:rFonts w:ascii="Arial" w:cs="Arial" w:eastAsia="Arial" w:hAnsi="Arial"/>
                <w:sz w:val="18"/>
                <w:szCs w:val="18"/>
                <w:color w:val="auto"/>
              </w:rPr>
              <w:t>18,000</w:t>
            </w:r>
          </w:p>
        </w:tc>
      </w:tr>
      <w:tr>
        <w:trPr>
          <w:trHeight w:val="217"/>
        </w:trPr>
        <w:tc>
          <w:tcPr>
            <w:tcW w:w="64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Corporate Governance Committee Member</w:t>
            </w:r>
          </w:p>
        </w:tc>
        <w:tc>
          <w:tcPr>
            <w:tcW w:w="4760" w:type="dxa"/>
            <w:vAlign w:val="bottom"/>
            <w:tcBorders>
              <w:bottom w:val="single" w:sz="8" w:color="auto"/>
            </w:tcBorders>
          </w:tcPr>
          <w:p>
            <w:pPr>
              <w:jc w:val="right"/>
              <w:ind w:right="915"/>
              <w:spacing w:after="0"/>
              <w:rPr>
                <w:sz w:val="20"/>
                <w:szCs w:val="20"/>
                <w:color w:val="auto"/>
              </w:rPr>
            </w:pPr>
            <w:r>
              <w:rPr>
                <w:rFonts w:ascii="Arial" w:cs="Arial" w:eastAsia="Arial" w:hAnsi="Arial"/>
                <w:sz w:val="18"/>
                <w:szCs w:val="18"/>
                <w:color w:val="auto"/>
              </w:rPr>
              <w:t>9,000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2020, the Company also provided additional retainers for:</w:t>
      </w:r>
    </w:p>
    <w:p>
      <w:pPr>
        <w:spacing w:after="0" w:line="212"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Independent Board Chair from January through June at an annual rate of $125,000;</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ad hoc Strategy Committee and an Executive Committee at the same annual rates as the Corporate Governance Committee; and</w:t>
      </w:r>
    </w:p>
    <w:p>
      <w:pPr>
        <w:spacing w:after="0" w:line="225"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Executive Search Committee for which aggregate compensation in the amount of $15,000 (Chair) and $10,000 (member) was paid in third quarter 2020.</w:t>
      </w:r>
    </w:p>
    <w:p>
      <w:pPr>
        <w:spacing w:after="0" w:line="197"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ad hoc Strategy Committee disbanded in May 2020, and the Executive Search Committee and the Executive Committee disbanded in June 2020.</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Annual retainers described above (collectively, “Director Fees”) are normally paid (i) 50% in cash on a quarterly basis and (ii) 50% in the form of an annual RSU award with vesting scheduled on the one-year anniversary of the grant date, subject to an annual cap of 30,000 units. In 2020, directors were initially paid consistent with the foregoing description; however, for the period of June through December 2020, directors were paid 100% in quarterly RSU awards, each scheduled to vest on the one-year anniversary of the applicable grant date.</w:t>
      </w:r>
    </w:p>
    <w:p>
      <w:pPr>
        <w:spacing w:after="0" w:line="20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Company’s deferred compensation plan applicable to non-employee directors (the “NED Plan”), directors may elect to defer all or a portion of their Director Fees. Directors who elect to defer cash fees may choose from various investment choices similar to those available to the NEOs under our executive deferred compensation plan or may elect to receive an increased RSU award in lieu of some or all of such cash fees. Under the NED Plan, settlement of RSUs is automatically deferred. Such units convert on a one-on-one basis into the Company’s Common Stock upon termination of service, a change in control, or at a different time based on a director’s election. Directors can also elect settlement to occur on the scheduled vesting date.</w:t>
      </w:r>
    </w:p>
    <w:p>
      <w:pPr>
        <w:spacing w:after="0" w:line="20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Directors do not receive any meeting fees or any benefits such as life or medical insurance. Any member of the Board who is also an officer or employee of our Company does not receive compensation for serving as a director, other than reimbursement of travel-related expenses for meetings held outside the Company’s headquarters. Directors are eligible for limited matching of charitable contributions through the Avis Budget Group Charitable Foundation. Directors are also eligible to purchase vehicles through the auto lease program we make available to our employees; however, such purchases do not result in an associated incremental cost to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Ownership Guidelines</w:t>
      </w:r>
    </w:p>
    <w:p>
      <w:pPr>
        <w:spacing w:after="0" w:line="25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Minimum stock ownership guidelines require each non-employee director to acquire and hold designated levels of our Company’s Common Stock. Under these guidelines, our non-employee directors are required to retain a minimum of 50% of the net shares (net of taxes) awarded in connection with their director compensation, until reaching an ownership threshold of five times the annual cash retainer. Given the mandatory hold provision until the threshold is obtained, there is no specified deadline for achieving designated thresholds. Under these guidelines, stock ownership is defined to include stock owned by the director directly or indirectly, any vested award deferred under the NED Plan, and the “in-the-money” portion of vested stock options, if any. As of March 15, 2021, all current directors subject to these guidelines had exceeded such minimum</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ownership threshold. Messrs. Choi, Pahwa and Sarma each elected not to receive compensation for Board service. In addition, SRS’s policies do not allow Mr. Pahwa to directly own any shares of the Company’s Common Stock, and he is therefore not subject to the Company’s stock ownership guidelines.</w:t>
      </w:r>
    </w:p>
    <w:p>
      <w:pPr>
        <w:spacing w:after="0" w:line="16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2020 Director Compensation Table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Change in Pension</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9"/>
              </w:rPr>
              <w:t>Value and</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Nonqualified</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2320" w:type="dxa"/>
            <w:vAlign w:val="bottom"/>
          </w:tcPr>
          <w:p>
            <w:pPr>
              <w:jc w:val="center"/>
              <w:ind w:left="934"/>
              <w:spacing w:after="0"/>
              <w:rPr>
                <w:sz w:val="20"/>
                <w:szCs w:val="20"/>
                <w:color w:val="auto"/>
              </w:rPr>
            </w:pPr>
            <w:r>
              <w:rPr>
                <w:rFonts w:ascii="Arial" w:cs="Arial" w:eastAsia="Arial" w:hAnsi="Arial"/>
                <w:sz w:val="14"/>
                <w:szCs w:val="14"/>
                <w:b w:val="1"/>
                <w:bCs w:val="1"/>
                <w:color w:val="auto"/>
              </w:rPr>
              <w:t>Fees Earned</w:t>
            </w:r>
          </w:p>
        </w:tc>
        <w:tc>
          <w:tcPr>
            <w:tcW w:w="14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Deferred</w:t>
            </w: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2320" w:type="dxa"/>
            <w:vAlign w:val="bottom"/>
          </w:tcPr>
          <w:p>
            <w:pPr>
              <w:jc w:val="center"/>
              <w:ind w:left="934"/>
              <w:spacing w:after="0"/>
              <w:rPr>
                <w:sz w:val="20"/>
                <w:szCs w:val="20"/>
                <w:color w:val="auto"/>
              </w:rPr>
            </w:pPr>
            <w:r>
              <w:rPr>
                <w:rFonts w:ascii="Arial" w:cs="Arial" w:eastAsia="Arial" w:hAnsi="Arial"/>
                <w:sz w:val="14"/>
                <w:szCs w:val="14"/>
                <w:b w:val="1"/>
                <w:bCs w:val="1"/>
                <w:color w:val="auto"/>
                <w:w w:val="99"/>
              </w:rPr>
              <w:t>or</w:t>
            </w:r>
          </w:p>
        </w:tc>
        <w:tc>
          <w:tcPr>
            <w:tcW w:w="1420" w:type="dxa"/>
            <w:vAlign w:val="bottom"/>
          </w:tcPr>
          <w:p>
            <w:pPr>
              <w:spacing w:after="0"/>
              <w:rPr>
                <w:sz w:val="14"/>
                <w:szCs w:val="14"/>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980" w:type="dxa"/>
            <w:vAlign w:val="bottom"/>
          </w:tcPr>
          <w:p>
            <w:pPr>
              <w:spacing w:after="0"/>
              <w:rPr>
                <w:sz w:val="14"/>
                <w:szCs w:val="14"/>
                <w:color w:val="auto"/>
              </w:rPr>
            </w:pPr>
          </w:p>
        </w:tc>
      </w:tr>
      <w:tr>
        <w:trPr>
          <w:trHeight w:val="162"/>
        </w:trPr>
        <w:tc>
          <w:tcPr>
            <w:tcW w:w="3240" w:type="dxa"/>
            <w:vAlign w:val="bottom"/>
          </w:tcPr>
          <w:p>
            <w:pPr>
              <w:spacing w:after="0"/>
              <w:rPr>
                <w:sz w:val="14"/>
                <w:szCs w:val="14"/>
                <w:color w:val="auto"/>
              </w:rPr>
            </w:pPr>
          </w:p>
        </w:tc>
        <w:tc>
          <w:tcPr>
            <w:tcW w:w="2320" w:type="dxa"/>
            <w:vAlign w:val="bottom"/>
          </w:tcPr>
          <w:p>
            <w:pPr>
              <w:jc w:val="center"/>
              <w:ind w:left="934"/>
              <w:spacing w:after="0"/>
              <w:rPr>
                <w:sz w:val="20"/>
                <w:szCs w:val="20"/>
                <w:color w:val="auto"/>
              </w:rPr>
            </w:pPr>
            <w:r>
              <w:rPr>
                <w:rFonts w:ascii="Arial" w:cs="Arial" w:eastAsia="Arial" w:hAnsi="Arial"/>
                <w:sz w:val="14"/>
                <w:szCs w:val="14"/>
                <w:b w:val="1"/>
                <w:bCs w:val="1"/>
                <w:color w:val="auto"/>
              </w:rPr>
              <w:t>Paid In Cash</w:t>
            </w:r>
          </w:p>
        </w:tc>
        <w:tc>
          <w:tcPr>
            <w:tcW w:w="1420" w:type="dxa"/>
            <w:vAlign w:val="bottom"/>
          </w:tcPr>
          <w:p>
            <w:pPr>
              <w:jc w:val="right"/>
              <w:ind w:right="152"/>
              <w:spacing w:after="0"/>
              <w:rPr>
                <w:sz w:val="20"/>
                <w:szCs w:val="20"/>
                <w:color w:val="auto"/>
              </w:rPr>
            </w:pPr>
            <w:r>
              <w:rPr>
                <w:rFonts w:ascii="Arial" w:cs="Arial" w:eastAsia="Arial" w:hAnsi="Arial"/>
                <w:sz w:val="14"/>
                <w:szCs w:val="14"/>
                <w:b w:val="1"/>
                <w:bCs w:val="1"/>
                <w:color w:val="auto"/>
              </w:rPr>
              <w:t>Stock Awards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Earnings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980" w:type="dxa"/>
            <w:vAlign w:val="bottom"/>
          </w:tcPr>
          <w:p>
            <w:pPr>
              <w:jc w:val="right"/>
              <w:ind w:right="252"/>
              <w:spacing w:after="0"/>
              <w:rPr>
                <w:sz w:val="20"/>
                <w:szCs w:val="20"/>
                <w:color w:val="auto"/>
              </w:rPr>
            </w:pPr>
            <w:r>
              <w:rPr>
                <w:rFonts w:ascii="Arial" w:cs="Arial" w:eastAsia="Arial" w:hAnsi="Arial"/>
                <w:sz w:val="14"/>
                <w:szCs w:val="14"/>
                <w:b w:val="1"/>
                <w:bCs w:val="1"/>
                <w:color w:val="auto"/>
              </w:rPr>
              <w:t>Total</w:t>
            </w:r>
          </w:p>
        </w:tc>
      </w:tr>
      <w:tr>
        <w:trPr>
          <w:trHeight w:val="182"/>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Name of Director</w:t>
            </w:r>
          </w:p>
        </w:tc>
        <w:tc>
          <w:tcPr>
            <w:tcW w:w="2320" w:type="dxa"/>
            <w:vAlign w:val="bottom"/>
            <w:tcBorders>
              <w:bottom w:val="single" w:sz="8" w:color="auto"/>
            </w:tcBorders>
          </w:tcPr>
          <w:p>
            <w:pPr>
              <w:jc w:val="center"/>
              <w:ind w:left="934"/>
              <w:spacing w:after="0"/>
              <w:rPr>
                <w:sz w:val="20"/>
                <w:szCs w:val="20"/>
                <w:color w:val="auto"/>
              </w:rPr>
            </w:pPr>
            <w:r>
              <w:rPr>
                <w:rFonts w:ascii="Arial" w:cs="Arial" w:eastAsia="Arial" w:hAnsi="Arial"/>
                <w:sz w:val="14"/>
                <w:szCs w:val="14"/>
                <w:b w:val="1"/>
                <w:bCs w:val="1"/>
                <w:color w:val="auto"/>
                <w:w w:val="99"/>
              </w:rPr>
              <w:t>($)(a)</w:t>
            </w:r>
          </w:p>
        </w:tc>
        <w:tc>
          <w:tcPr>
            <w:tcW w:w="14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($)(b)</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w:t>
            </w: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r>
      <w:tr>
        <w:trPr>
          <w:trHeight w:val="216"/>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b w:val="1"/>
                <w:bCs w:val="1"/>
                <w:color w:val="auto"/>
              </w:rPr>
              <w:t>Current Directors</w:t>
            </w:r>
          </w:p>
        </w:tc>
        <w:tc>
          <w:tcPr>
            <w:tcW w:w="2320" w:type="dxa"/>
            <w:vAlign w:val="bottom"/>
            <w:tcBorders>
              <w:bottom w:val="single" w:sz="8" w:color="auto"/>
            </w:tcBorders>
            <w:shd w:val="clear" w:color="auto" w:fill="D2D3D5"/>
          </w:tcPr>
          <w:p>
            <w:pPr>
              <w:spacing w:after="0"/>
              <w:rPr>
                <w:sz w:val="18"/>
                <w:szCs w:val="18"/>
                <w:color w:val="auto"/>
              </w:rPr>
            </w:pPr>
          </w:p>
        </w:tc>
        <w:tc>
          <w:tcPr>
            <w:tcW w:w="1420" w:type="dxa"/>
            <w:vAlign w:val="bottom"/>
            <w:tcBorders>
              <w:bottom w:val="single" w:sz="8" w:color="auto"/>
            </w:tcBorders>
            <w:shd w:val="clear" w:color="auto" w:fill="D2D3D5"/>
          </w:tcPr>
          <w:p>
            <w:pPr>
              <w:spacing w:after="0"/>
              <w:rPr>
                <w:sz w:val="18"/>
                <w:szCs w:val="18"/>
                <w:color w:val="auto"/>
              </w:rPr>
            </w:pPr>
          </w:p>
        </w:tc>
        <w:tc>
          <w:tcPr>
            <w:tcW w:w="1780" w:type="dxa"/>
            <w:vAlign w:val="bottom"/>
            <w:tcBorders>
              <w:bottom w:val="single" w:sz="8" w:color="auto"/>
            </w:tcBorders>
            <w:shd w:val="clear" w:color="auto" w:fill="D2D3D5"/>
          </w:tcPr>
          <w:p>
            <w:pPr>
              <w:spacing w:after="0"/>
              <w:rPr>
                <w:sz w:val="18"/>
                <w:szCs w:val="18"/>
                <w:color w:val="auto"/>
              </w:rPr>
            </w:pPr>
          </w:p>
        </w:tc>
        <w:tc>
          <w:tcPr>
            <w:tcW w:w="1500" w:type="dxa"/>
            <w:vAlign w:val="bottom"/>
            <w:tcBorders>
              <w:bottom w:val="single" w:sz="8" w:color="auto"/>
            </w:tcBorders>
            <w:shd w:val="clear" w:color="auto" w:fill="D2D3D5"/>
          </w:tcPr>
          <w:p>
            <w:pPr>
              <w:spacing w:after="0"/>
              <w:rPr>
                <w:sz w:val="18"/>
                <w:szCs w:val="18"/>
                <w:color w:val="auto"/>
              </w:rPr>
            </w:pPr>
          </w:p>
        </w:tc>
        <w:tc>
          <w:tcPr>
            <w:tcW w:w="980" w:type="dxa"/>
            <w:vAlign w:val="bottom"/>
            <w:tcBorders>
              <w:bottom w:val="single" w:sz="8" w:color="auto"/>
            </w:tcBorders>
            <w:shd w:val="clear" w:color="auto" w:fill="D2D3D5"/>
          </w:tcPr>
          <w:p>
            <w:pPr>
              <w:spacing w:after="0"/>
              <w:rPr>
                <w:sz w:val="18"/>
                <w:szCs w:val="18"/>
                <w:color w:val="auto"/>
              </w:rPr>
            </w:pPr>
          </w:p>
        </w:tc>
      </w:tr>
      <w:tr>
        <w:trPr>
          <w:trHeight w:val="209"/>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Hess, Bernardo (d)</w:t>
            </w:r>
          </w:p>
        </w:tc>
        <w:tc>
          <w:tcPr>
            <w:tcW w:w="23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72,799</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160,887</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238,686</w:t>
            </w:r>
          </w:p>
        </w:tc>
      </w:tr>
      <w:tr>
        <w:trPr>
          <w:trHeight w:val="209"/>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Pahwa, Jagdeep (e)</w:t>
            </w:r>
          </w:p>
        </w:tc>
        <w:tc>
          <w:tcPr>
            <w:tcW w:w="2320" w:type="dxa"/>
            <w:vAlign w:val="bottom"/>
            <w:tcBorders>
              <w:bottom w:val="single" w:sz="8" w:color="auto"/>
            </w:tcBorders>
            <w:shd w:val="clear" w:color="auto" w:fill="D2D3D5"/>
          </w:tcPr>
          <w:p>
            <w:pPr>
              <w:jc w:val="right"/>
              <w:ind w:right="274"/>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D2D3D5"/>
          </w:tcPr>
          <w:p>
            <w:pPr>
              <w:jc w:val="right"/>
              <w:ind w:right="2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2D3D5"/>
          </w:tcPr>
          <w:p>
            <w:pPr>
              <w:jc w:val="right"/>
              <w:ind w:right="4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D2D3D5"/>
          </w:tcPr>
          <w:p>
            <w:pPr>
              <w:jc w:val="right"/>
              <w:ind w:right="12"/>
              <w:spacing w:after="0"/>
              <w:rPr>
                <w:sz w:val="20"/>
                <w:szCs w:val="20"/>
                <w:color w:val="auto"/>
              </w:rPr>
            </w:pPr>
            <w:r>
              <w:rPr>
                <w:rFonts w:ascii="Arial" w:cs="Arial" w:eastAsia="Arial" w:hAnsi="Arial"/>
                <w:sz w:val="18"/>
                <w:szCs w:val="18"/>
                <w:color w:val="auto"/>
              </w:rPr>
              <w:t>—</w:t>
            </w:r>
          </w:p>
        </w:tc>
      </w:tr>
      <w:tr>
        <w:trPr>
          <w:trHeight w:val="210"/>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Krominga, Lynn</w:t>
            </w:r>
          </w:p>
        </w:tc>
        <w:tc>
          <w:tcPr>
            <w:tcW w:w="23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65,413</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215,182</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285,595</w:t>
            </w:r>
          </w:p>
        </w:tc>
      </w:tr>
      <w:tr>
        <w:trPr>
          <w:trHeight w:val="209"/>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Lurie, Glenn</w:t>
            </w:r>
          </w:p>
        </w:tc>
        <w:tc>
          <w:tcPr>
            <w:tcW w:w="2320" w:type="dxa"/>
            <w:vAlign w:val="bottom"/>
            <w:tcBorders>
              <w:bottom w:val="single" w:sz="8" w:color="auto"/>
            </w:tcBorders>
            <w:shd w:val="clear" w:color="auto" w:fill="D2D3D5"/>
          </w:tcPr>
          <w:p>
            <w:pPr>
              <w:jc w:val="right"/>
              <w:ind w:right="274"/>
              <w:spacing w:after="0"/>
              <w:rPr>
                <w:sz w:val="20"/>
                <w:szCs w:val="20"/>
                <w:color w:val="auto"/>
              </w:rPr>
            </w:pPr>
            <w:r>
              <w:rPr>
                <w:rFonts w:ascii="Arial" w:cs="Arial" w:eastAsia="Arial" w:hAnsi="Arial"/>
                <w:sz w:val="18"/>
                <w:szCs w:val="18"/>
                <w:color w:val="auto"/>
              </w:rPr>
              <w:t>61,888</w:t>
            </w:r>
          </w:p>
        </w:tc>
        <w:tc>
          <w:tcPr>
            <w:tcW w:w="1420" w:type="dxa"/>
            <w:vAlign w:val="bottom"/>
            <w:tcBorders>
              <w:bottom w:val="single" w:sz="8" w:color="auto"/>
            </w:tcBorders>
            <w:shd w:val="clear" w:color="auto" w:fill="D2D3D5"/>
          </w:tcPr>
          <w:p>
            <w:pPr>
              <w:jc w:val="right"/>
              <w:ind w:right="232"/>
              <w:spacing w:after="0"/>
              <w:rPr>
                <w:sz w:val="20"/>
                <w:szCs w:val="20"/>
                <w:color w:val="auto"/>
              </w:rPr>
            </w:pPr>
            <w:r>
              <w:rPr>
                <w:rFonts w:ascii="Arial" w:cs="Arial" w:eastAsia="Arial" w:hAnsi="Arial"/>
                <w:sz w:val="18"/>
                <w:szCs w:val="18"/>
                <w:color w:val="auto"/>
              </w:rPr>
              <w:t>196,191</w:t>
            </w:r>
          </w:p>
        </w:tc>
        <w:tc>
          <w:tcPr>
            <w:tcW w:w="178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2D3D5"/>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shd w:val="clear" w:color="auto" w:fill="D2D3D5"/>
          </w:tcPr>
          <w:p>
            <w:pPr>
              <w:jc w:val="right"/>
              <w:ind w:right="12"/>
              <w:spacing w:after="0"/>
              <w:rPr>
                <w:sz w:val="20"/>
                <w:szCs w:val="20"/>
                <w:color w:val="auto"/>
              </w:rPr>
            </w:pPr>
            <w:r>
              <w:rPr>
                <w:rFonts w:ascii="Arial" w:cs="Arial" w:eastAsia="Arial" w:hAnsi="Arial"/>
                <w:sz w:val="18"/>
                <w:szCs w:val="18"/>
                <w:color w:val="auto"/>
              </w:rPr>
              <w:t>263,079</w:t>
            </w:r>
          </w:p>
        </w:tc>
      </w:tr>
      <w:tr>
        <w:trPr>
          <w:trHeight w:val="209"/>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Sarma, Karthik (e)</w:t>
            </w:r>
          </w:p>
        </w:tc>
        <w:tc>
          <w:tcPr>
            <w:tcW w:w="23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0"/>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Sparks, Carl</w:t>
            </w:r>
          </w:p>
        </w:tc>
        <w:tc>
          <w:tcPr>
            <w:tcW w:w="2320" w:type="dxa"/>
            <w:vAlign w:val="bottom"/>
            <w:tcBorders>
              <w:bottom w:val="single" w:sz="8" w:color="auto"/>
            </w:tcBorders>
            <w:shd w:val="clear" w:color="auto" w:fill="D2D3D5"/>
          </w:tcPr>
          <w:p>
            <w:pPr>
              <w:jc w:val="right"/>
              <w:ind w:right="274"/>
              <w:spacing w:after="0"/>
              <w:rPr>
                <w:sz w:val="20"/>
                <w:szCs w:val="20"/>
                <w:color w:val="auto"/>
              </w:rPr>
            </w:pPr>
            <w:r>
              <w:rPr>
                <w:rFonts w:ascii="Arial" w:cs="Arial" w:eastAsia="Arial" w:hAnsi="Arial"/>
                <w:sz w:val="18"/>
                <w:szCs w:val="18"/>
                <w:color w:val="auto"/>
              </w:rPr>
              <w:t>63,461</w:t>
            </w:r>
          </w:p>
        </w:tc>
        <w:tc>
          <w:tcPr>
            <w:tcW w:w="1420" w:type="dxa"/>
            <w:vAlign w:val="bottom"/>
            <w:tcBorders>
              <w:bottom w:val="single" w:sz="8" w:color="auto"/>
            </w:tcBorders>
            <w:shd w:val="clear" w:color="auto" w:fill="D2D3D5"/>
          </w:tcPr>
          <w:p>
            <w:pPr>
              <w:jc w:val="right"/>
              <w:ind w:right="232"/>
              <w:spacing w:after="0"/>
              <w:rPr>
                <w:sz w:val="20"/>
                <w:szCs w:val="20"/>
                <w:color w:val="auto"/>
              </w:rPr>
            </w:pPr>
            <w:r>
              <w:rPr>
                <w:rFonts w:ascii="Arial" w:cs="Arial" w:eastAsia="Arial" w:hAnsi="Arial"/>
                <w:sz w:val="18"/>
                <w:szCs w:val="18"/>
                <w:color w:val="auto"/>
              </w:rPr>
              <w:t>192,818</w:t>
            </w:r>
          </w:p>
        </w:tc>
        <w:tc>
          <w:tcPr>
            <w:tcW w:w="178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2D3D5"/>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shd w:val="clear" w:color="auto" w:fill="D2D3D5"/>
          </w:tcPr>
          <w:p>
            <w:pPr>
              <w:jc w:val="right"/>
              <w:ind w:right="12"/>
              <w:spacing w:after="0"/>
              <w:rPr>
                <w:sz w:val="20"/>
                <w:szCs w:val="20"/>
                <w:color w:val="auto"/>
              </w:rPr>
            </w:pPr>
            <w:r>
              <w:rPr>
                <w:rFonts w:ascii="Arial" w:cs="Arial" w:eastAsia="Arial" w:hAnsi="Arial"/>
                <w:sz w:val="18"/>
                <w:szCs w:val="18"/>
                <w:color w:val="auto"/>
              </w:rPr>
              <w:t>261,279</w:t>
            </w:r>
          </w:p>
        </w:tc>
      </w:tr>
      <w:tr>
        <w:trPr>
          <w:trHeight w:val="209"/>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Former Directors</w:t>
            </w:r>
          </w:p>
        </w:tc>
        <w:tc>
          <w:tcPr>
            <w:tcW w:w="2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Coleman, Leonard S.(f)</w:t>
            </w:r>
          </w:p>
        </w:tc>
        <w:tc>
          <w:tcPr>
            <w:tcW w:w="2320" w:type="dxa"/>
            <w:vAlign w:val="bottom"/>
            <w:tcBorders>
              <w:bottom w:val="single" w:sz="8" w:color="auto"/>
            </w:tcBorders>
            <w:shd w:val="clear" w:color="auto" w:fill="D2D3D5"/>
          </w:tcPr>
          <w:p>
            <w:pPr>
              <w:jc w:val="right"/>
              <w:ind w:right="274"/>
              <w:spacing w:after="0"/>
              <w:rPr>
                <w:sz w:val="20"/>
                <w:szCs w:val="20"/>
                <w:color w:val="auto"/>
              </w:rPr>
            </w:pPr>
            <w:r>
              <w:rPr>
                <w:rFonts w:ascii="Arial" w:cs="Arial" w:eastAsia="Arial" w:hAnsi="Arial"/>
                <w:sz w:val="18"/>
                <w:szCs w:val="18"/>
                <w:color w:val="auto"/>
              </w:rPr>
              <w:t>50,186</w:t>
            </w:r>
          </w:p>
        </w:tc>
        <w:tc>
          <w:tcPr>
            <w:tcW w:w="1420" w:type="dxa"/>
            <w:vAlign w:val="bottom"/>
            <w:tcBorders>
              <w:bottom w:val="single" w:sz="8" w:color="auto"/>
            </w:tcBorders>
            <w:shd w:val="clear" w:color="auto" w:fill="D2D3D5"/>
          </w:tcPr>
          <w:p>
            <w:pPr>
              <w:jc w:val="right"/>
              <w:ind w:right="232"/>
              <w:spacing w:after="0"/>
              <w:rPr>
                <w:sz w:val="20"/>
                <w:szCs w:val="20"/>
                <w:color w:val="auto"/>
              </w:rPr>
            </w:pPr>
            <w:r>
              <w:rPr>
                <w:rFonts w:ascii="Arial" w:cs="Arial" w:eastAsia="Arial" w:hAnsi="Arial"/>
                <w:sz w:val="18"/>
                <w:szCs w:val="18"/>
                <w:color w:val="auto"/>
              </w:rPr>
              <w:t>134,184</w:t>
            </w:r>
          </w:p>
        </w:tc>
        <w:tc>
          <w:tcPr>
            <w:tcW w:w="178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2D3D5"/>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shd w:val="clear" w:color="auto" w:fill="D2D3D5"/>
          </w:tcPr>
          <w:p>
            <w:pPr>
              <w:jc w:val="right"/>
              <w:ind w:right="12"/>
              <w:spacing w:after="0"/>
              <w:rPr>
                <w:sz w:val="20"/>
                <w:szCs w:val="20"/>
                <w:color w:val="auto"/>
              </w:rPr>
            </w:pPr>
            <w:r>
              <w:rPr>
                <w:rFonts w:ascii="Arial" w:cs="Arial" w:eastAsia="Arial" w:hAnsi="Arial"/>
                <w:sz w:val="18"/>
                <w:szCs w:val="18"/>
                <w:color w:val="auto"/>
              </w:rPr>
              <w:t>189,370</w:t>
            </w:r>
          </w:p>
        </w:tc>
      </w:tr>
      <w:tr>
        <w:trPr>
          <w:trHeight w:val="209"/>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Choi, Brian J. (g)</w:t>
            </w:r>
          </w:p>
        </w:tc>
        <w:tc>
          <w:tcPr>
            <w:tcW w:w="23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09"/>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Choksi, Mary C. (f)</w:t>
            </w:r>
          </w:p>
        </w:tc>
        <w:tc>
          <w:tcPr>
            <w:tcW w:w="2320" w:type="dxa"/>
            <w:vAlign w:val="bottom"/>
            <w:tcBorders>
              <w:bottom w:val="single" w:sz="8" w:color="auto"/>
            </w:tcBorders>
            <w:shd w:val="clear" w:color="auto" w:fill="D2D3D5"/>
          </w:tcPr>
          <w:p>
            <w:pPr>
              <w:jc w:val="right"/>
              <w:ind w:right="274"/>
              <w:spacing w:after="0"/>
              <w:rPr>
                <w:sz w:val="20"/>
                <w:szCs w:val="20"/>
                <w:color w:val="auto"/>
              </w:rPr>
            </w:pPr>
            <w:r>
              <w:rPr>
                <w:rFonts w:ascii="Arial" w:cs="Arial" w:eastAsia="Arial" w:hAnsi="Arial"/>
                <w:sz w:val="18"/>
                <w:szCs w:val="18"/>
                <w:color w:val="auto"/>
              </w:rPr>
              <w:t>42,464</w:t>
            </w:r>
          </w:p>
        </w:tc>
        <w:tc>
          <w:tcPr>
            <w:tcW w:w="1420" w:type="dxa"/>
            <w:vAlign w:val="bottom"/>
            <w:tcBorders>
              <w:bottom w:val="single" w:sz="8" w:color="auto"/>
            </w:tcBorders>
            <w:shd w:val="clear" w:color="auto" w:fill="D2D3D5"/>
          </w:tcPr>
          <w:p>
            <w:pPr>
              <w:jc w:val="right"/>
              <w:ind w:right="232"/>
              <w:spacing w:after="0"/>
              <w:rPr>
                <w:sz w:val="20"/>
                <w:szCs w:val="20"/>
                <w:color w:val="auto"/>
              </w:rPr>
            </w:pPr>
            <w:r>
              <w:rPr>
                <w:rFonts w:ascii="Arial" w:cs="Arial" w:eastAsia="Arial" w:hAnsi="Arial"/>
                <w:sz w:val="18"/>
                <w:szCs w:val="18"/>
                <w:color w:val="auto"/>
              </w:rPr>
              <w:t>119,371</w:t>
            </w:r>
          </w:p>
        </w:tc>
        <w:tc>
          <w:tcPr>
            <w:tcW w:w="178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2D3D5"/>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shd w:val="clear" w:color="auto" w:fill="D2D3D5"/>
          </w:tcPr>
          <w:p>
            <w:pPr>
              <w:jc w:val="right"/>
              <w:ind w:right="12"/>
              <w:spacing w:after="0"/>
              <w:rPr>
                <w:sz w:val="20"/>
                <w:szCs w:val="20"/>
                <w:color w:val="auto"/>
              </w:rPr>
            </w:pPr>
            <w:r>
              <w:rPr>
                <w:rFonts w:ascii="Arial" w:cs="Arial" w:eastAsia="Arial" w:hAnsi="Arial"/>
                <w:sz w:val="18"/>
                <w:szCs w:val="18"/>
                <w:color w:val="auto"/>
              </w:rPr>
              <w:t>166,835</w:t>
            </w:r>
          </w:p>
        </w:tc>
      </w:tr>
      <w:tr>
        <w:trPr>
          <w:trHeight w:val="210"/>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Fox, Jeffrey H. (f)</w:t>
            </w:r>
          </w:p>
        </w:tc>
        <w:tc>
          <w:tcPr>
            <w:tcW w:w="23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41,818</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118,747</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165,565</w:t>
            </w:r>
          </w:p>
        </w:tc>
      </w:tr>
      <w:tr>
        <w:trPr>
          <w:trHeight w:val="209"/>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Salerno, F. Robert (f)(h)</w:t>
            </w:r>
          </w:p>
        </w:tc>
        <w:tc>
          <w:tcPr>
            <w:tcW w:w="2320" w:type="dxa"/>
            <w:vAlign w:val="bottom"/>
            <w:tcBorders>
              <w:bottom w:val="single" w:sz="8" w:color="auto"/>
            </w:tcBorders>
            <w:shd w:val="clear" w:color="auto" w:fill="D2D3D5"/>
          </w:tcPr>
          <w:p>
            <w:pPr>
              <w:jc w:val="right"/>
              <w:ind w:right="274"/>
              <w:spacing w:after="0"/>
              <w:rPr>
                <w:sz w:val="20"/>
                <w:szCs w:val="20"/>
                <w:color w:val="auto"/>
              </w:rPr>
            </w:pPr>
            <w:r>
              <w:rPr>
                <w:rFonts w:ascii="Arial" w:cs="Arial" w:eastAsia="Arial" w:hAnsi="Arial"/>
                <w:sz w:val="18"/>
                <w:szCs w:val="18"/>
                <w:color w:val="auto"/>
              </w:rPr>
              <w:t>45,660</w:t>
            </w:r>
          </w:p>
        </w:tc>
        <w:tc>
          <w:tcPr>
            <w:tcW w:w="1420" w:type="dxa"/>
            <w:vAlign w:val="bottom"/>
            <w:tcBorders>
              <w:bottom w:val="single" w:sz="8" w:color="auto"/>
            </w:tcBorders>
            <w:shd w:val="clear" w:color="auto" w:fill="D2D3D5"/>
          </w:tcPr>
          <w:p>
            <w:pPr>
              <w:jc w:val="right"/>
              <w:ind w:right="232"/>
              <w:spacing w:after="0"/>
              <w:rPr>
                <w:sz w:val="20"/>
                <w:szCs w:val="20"/>
                <w:color w:val="auto"/>
              </w:rPr>
            </w:pPr>
            <w:r>
              <w:rPr>
                <w:rFonts w:ascii="Arial" w:cs="Arial" w:eastAsia="Arial" w:hAnsi="Arial"/>
                <w:sz w:val="18"/>
                <w:szCs w:val="18"/>
                <w:color w:val="auto"/>
              </w:rPr>
              <w:t>132,266</w:t>
            </w:r>
          </w:p>
        </w:tc>
        <w:tc>
          <w:tcPr>
            <w:tcW w:w="178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2D3D5"/>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shd w:val="clear" w:color="auto" w:fill="D2D3D5"/>
          </w:tcPr>
          <w:p>
            <w:pPr>
              <w:jc w:val="right"/>
              <w:ind w:right="12"/>
              <w:spacing w:after="0"/>
              <w:rPr>
                <w:sz w:val="20"/>
                <w:szCs w:val="20"/>
                <w:color w:val="auto"/>
              </w:rPr>
            </w:pPr>
            <w:r>
              <w:rPr>
                <w:rFonts w:ascii="Arial" w:cs="Arial" w:eastAsia="Arial" w:hAnsi="Arial"/>
                <w:sz w:val="18"/>
                <w:szCs w:val="18"/>
                <w:color w:val="auto"/>
              </w:rPr>
              <w:t>182,926</w:t>
            </w:r>
          </w:p>
        </w:tc>
      </w:tr>
      <w:tr>
        <w:trPr>
          <w:trHeight w:val="210"/>
        </w:trPr>
        <w:tc>
          <w:tcPr>
            <w:tcW w:w="3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Shammo, Francis J. (f)</w:t>
            </w:r>
          </w:p>
        </w:tc>
        <w:tc>
          <w:tcPr>
            <w:tcW w:w="232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40,910</w:t>
            </w:r>
          </w:p>
        </w:tc>
        <w:tc>
          <w:tcPr>
            <w:tcW w:w="14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113,810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159,720</w:t>
            </w:r>
          </w:p>
        </w:tc>
      </w:tr>
      <w:tr>
        <w:trPr>
          <w:trHeight w:val="216"/>
        </w:trPr>
        <w:tc>
          <w:tcPr>
            <w:tcW w:w="3240" w:type="dxa"/>
            <w:vAlign w:val="bottom"/>
            <w:tcBorders>
              <w:bottom w:val="single" w:sz="8" w:color="auto"/>
            </w:tcBorders>
            <w:shd w:val="clear" w:color="auto" w:fill="D2D3D5"/>
          </w:tcPr>
          <w:p>
            <w:pPr>
              <w:ind w:left="60"/>
              <w:spacing w:after="0"/>
              <w:rPr>
                <w:sz w:val="20"/>
                <w:szCs w:val="20"/>
                <w:color w:val="auto"/>
              </w:rPr>
            </w:pPr>
            <w:r>
              <w:rPr>
                <w:rFonts w:ascii="Arial" w:cs="Arial" w:eastAsia="Arial" w:hAnsi="Arial"/>
                <w:sz w:val="18"/>
                <w:szCs w:val="18"/>
                <w:color w:val="auto"/>
              </w:rPr>
              <w:t>Viswanathan, Sanoke (f)</w:t>
            </w:r>
          </w:p>
        </w:tc>
        <w:tc>
          <w:tcPr>
            <w:tcW w:w="2320" w:type="dxa"/>
            <w:vAlign w:val="bottom"/>
            <w:tcBorders>
              <w:bottom w:val="single" w:sz="8" w:color="auto"/>
            </w:tcBorders>
            <w:shd w:val="clear" w:color="auto" w:fill="D2D3D5"/>
          </w:tcPr>
          <w:p>
            <w:pPr>
              <w:jc w:val="right"/>
              <w:ind w:right="274"/>
              <w:spacing w:after="0"/>
              <w:rPr>
                <w:sz w:val="20"/>
                <w:szCs w:val="20"/>
                <w:color w:val="auto"/>
              </w:rPr>
            </w:pPr>
            <w:r>
              <w:rPr>
                <w:rFonts w:ascii="Arial" w:cs="Arial" w:eastAsia="Arial" w:hAnsi="Arial"/>
                <w:sz w:val="18"/>
                <w:szCs w:val="18"/>
                <w:color w:val="auto"/>
              </w:rPr>
              <w:t>39,617</w:t>
            </w:r>
          </w:p>
        </w:tc>
        <w:tc>
          <w:tcPr>
            <w:tcW w:w="1420" w:type="dxa"/>
            <w:vAlign w:val="bottom"/>
            <w:tcBorders>
              <w:bottom w:val="single" w:sz="8" w:color="auto"/>
            </w:tcBorders>
            <w:shd w:val="clear" w:color="auto" w:fill="D2D3D5"/>
          </w:tcPr>
          <w:p>
            <w:pPr>
              <w:jc w:val="right"/>
              <w:ind w:right="232"/>
              <w:spacing w:after="0"/>
              <w:rPr>
                <w:sz w:val="20"/>
                <w:szCs w:val="20"/>
                <w:color w:val="auto"/>
              </w:rPr>
            </w:pPr>
            <w:r>
              <w:rPr>
                <w:rFonts w:ascii="Arial" w:cs="Arial" w:eastAsia="Arial" w:hAnsi="Arial"/>
                <w:sz w:val="18"/>
                <w:szCs w:val="18"/>
                <w:color w:val="auto"/>
              </w:rPr>
              <w:t>112,515</w:t>
            </w:r>
          </w:p>
        </w:tc>
        <w:tc>
          <w:tcPr>
            <w:tcW w:w="1780" w:type="dxa"/>
            <w:vAlign w:val="bottom"/>
            <w:tcBorders>
              <w:bottom w:val="single" w:sz="8" w:color="auto"/>
            </w:tcBorders>
            <w:shd w:val="clear" w:color="auto" w:fill="D2D3D5"/>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D2D3D5"/>
          </w:tcPr>
          <w:p>
            <w:pPr>
              <w:jc w:val="right"/>
              <w:ind w:right="493"/>
              <w:spacing w:after="0"/>
              <w:rPr>
                <w:sz w:val="20"/>
                <w:szCs w:val="20"/>
                <w:color w:val="auto"/>
              </w:rPr>
            </w:pPr>
            <w:r>
              <w:rPr>
                <w:rFonts w:ascii="Arial" w:cs="Arial" w:eastAsia="Arial" w:hAnsi="Arial"/>
                <w:sz w:val="18"/>
                <w:szCs w:val="18"/>
                <w:color w:val="auto"/>
              </w:rPr>
              <w:t>5,000</w:t>
            </w:r>
          </w:p>
        </w:tc>
        <w:tc>
          <w:tcPr>
            <w:tcW w:w="980" w:type="dxa"/>
            <w:vAlign w:val="bottom"/>
            <w:tcBorders>
              <w:bottom w:val="single" w:sz="8" w:color="auto"/>
            </w:tcBorders>
            <w:shd w:val="clear" w:color="auto" w:fill="D2D3D5"/>
          </w:tcPr>
          <w:p>
            <w:pPr>
              <w:jc w:val="right"/>
              <w:ind w:right="12"/>
              <w:spacing w:after="0"/>
              <w:rPr>
                <w:sz w:val="20"/>
                <w:szCs w:val="20"/>
                <w:color w:val="auto"/>
              </w:rPr>
            </w:pPr>
            <w:r>
              <w:rPr>
                <w:rFonts w:ascii="Arial" w:cs="Arial" w:eastAsia="Arial" w:hAnsi="Arial"/>
                <w:sz w:val="18"/>
                <w:szCs w:val="18"/>
                <w:color w:val="auto"/>
              </w:rPr>
              <w:t>157,132</w:t>
            </w:r>
          </w:p>
        </w:tc>
      </w:tr>
    </w:tbl>
    <w:p>
      <w:pPr>
        <w:spacing w:after="0" w:line="72"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no more than 50% of non-employee director compensation as discussed above.</w:t>
      </w:r>
    </w:p>
    <w:p>
      <w:pPr>
        <w:spacing w:after="0" w:line="55" w:lineRule="exact"/>
        <w:rPr>
          <w:rFonts w:ascii="Arial" w:cs="Arial" w:eastAsia="Arial" w:hAnsi="Arial"/>
          <w:sz w:val="14"/>
          <w:szCs w:val="14"/>
          <w:color w:val="auto"/>
        </w:rPr>
      </w:pPr>
    </w:p>
    <w:p>
      <w:pPr>
        <w:jc w:val="both"/>
        <w:ind w:left="340" w:hanging="332"/>
        <w:spacing w:after="0" w:line="249"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Stock awards represent a minimum of 50% of non-employee director compensation in the form of RSU awards. Amounts represent the aggregate grant date fair value computed in accordance with FASB ASC Topic 718. The number of stock units are determined by dividing such value by the Company’s closing stock price on the date of grant. See footnotes (d) and (f) for amounts that were forfeited as a result of partial award cancellations due to retirements or change in status.</w:t>
      </w:r>
    </w:p>
    <w:p>
      <w:pPr>
        <w:spacing w:after="0" w:line="38" w:lineRule="exact"/>
        <w:rPr>
          <w:rFonts w:ascii="Arial" w:cs="Arial" w:eastAsia="Arial" w:hAnsi="Arial"/>
          <w:sz w:val="14"/>
          <w:szCs w:val="14"/>
          <w:color w:val="auto"/>
        </w:rPr>
      </w:pPr>
    </w:p>
    <w:p>
      <w:pPr>
        <w:ind w:left="340"/>
        <w:spacing w:after="0" w:line="258" w:lineRule="auto"/>
        <w:rPr>
          <w:rFonts w:ascii="Arial" w:cs="Arial" w:eastAsia="Arial" w:hAnsi="Arial"/>
          <w:sz w:val="14"/>
          <w:szCs w:val="14"/>
          <w:color w:val="auto"/>
        </w:rPr>
      </w:pPr>
      <w:r>
        <w:rPr>
          <w:rFonts w:ascii="Arial" w:cs="Arial" w:eastAsia="Arial" w:hAnsi="Arial"/>
          <w:sz w:val="14"/>
          <w:szCs w:val="14"/>
          <w:color w:val="auto"/>
        </w:rPr>
        <w:t>Outstanding awards for the Company’s current non-employee directors at fiscal year-end were as follows: for Ms. Krominga, 59,487 RSUs; for Mr. Lurie, 10,600 RSUs; and for Mr. Sparks, 10,678 RSUs.</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Group Charitable Foundation.</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$87,778 of the stock award amount was forfeited when Mr. Hees became Executive Chairman in July 2020 and the award was partially canceled.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Mr. Pahwa and Mr. Sarma have waived compensation for Board service.</w:t>
      </w:r>
    </w:p>
    <w:p>
      <w:pPr>
        <w:spacing w:after="0" w:line="55"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following stock award amounts were forfeited as a result of partial award cancelations due to retirements, effective May 7, 2020: for Ms. Choksi; $77,375; for Mr. Coleman, $86,963; for Mr. Fox, $76,944; for Mr. Salerno, $85,717; for Mr. Shammo, $73,732; and for Mr. Viswanathan, $72,917.</w:t>
      </w:r>
    </w:p>
    <w:p>
      <w:pPr>
        <w:spacing w:after="0" w:line="31" w:lineRule="exact"/>
        <w:rPr>
          <w:rFonts w:ascii="Arial" w:cs="Arial" w:eastAsia="Arial" w:hAnsi="Arial"/>
          <w:sz w:val="14"/>
          <w:szCs w:val="14"/>
          <w:color w:val="auto"/>
        </w:r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Compensation for Board service was waived. Mr. Choi resigned from the Board and assumed the role of Chief Financial Officer, effective August 24, 2020.</w:t>
      </w:r>
    </w:p>
    <w:p>
      <w:pPr>
        <w:spacing w:after="0" w:line="55"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 addition to the compensation reflected above, Mr. Salerno was also paid the following amounts in 2020, which were previously earned and accrued during his prior employment with the Company: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40" w:type="dxa"/>
            <w:vAlign w:val="bottom"/>
            <w:tcBorders>
              <w:top w:val="single" w:sz="8" w:color="D2D3D5"/>
            </w:tcBorders>
            <w:shd w:val="clear" w:color="auto" w:fill="D2D3D5"/>
          </w:tcPr>
          <w:p>
            <w:pPr>
              <w:spacing w:after="0"/>
              <w:rPr>
                <w:sz w:val="21"/>
                <w:szCs w:val="21"/>
                <w:color w:val="auto"/>
              </w:rPr>
            </w:pPr>
          </w:p>
        </w:tc>
        <w:tc>
          <w:tcPr>
            <w:tcW w:w="6940" w:type="dxa"/>
            <w:vAlign w:val="bottom"/>
            <w:tcBorders>
              <w:top w:val="single" w:sz="8" w:color="auto"/>
            </w:tcBorders>
            <w:shd w:val="clear" w:color="auto" w:fill="D2D3D5"/>
          </w:tcPr>
          <w:p>
            <w:pPr>
              <w:ind w:left="60"/>
              <w:spacing w:after="0"/>
              <w:rPr>
                <w:sz w:val="20"/>
                <w:szCs w:val="20"/>
                <w:color w:val="auto"/>
              </w:rPr>
            </w:pPr>
            <w:r>
              <w:rPr>
                <w:rFonts w:ascii="Arial" w:cs="Arial" w:eastAsia="Arial" w:hAnsi="Arial"/>
                <w:sz w:val="14"/>
                <w:szCs w:val="14"/>
                <w:color w:val="auto"/>
              </w:rPr>
              <w:t>Avis Rent A Car System, LLC Pension Plan</w:t>
            </w:r>
          </w:p>
        </w:tc>
        <w:tc>
          <w:tcPr>
            <w:tcW w:w="2840" w:type="dxa"/>
            <w:vAlign w:val="bottom"/>
            <w:tcBorders>
              <w:top w:val="single" w:sz="8" w:color="auto"/>
            </w:tcBorders>
            <w:shd w:val="clear" w:color="auto" w:fill="D2D3D5"/>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D2D3D5"/>
          </w:tcPr>
          <w:p>
            <w:pPr>
              <w:jc w:val="right"/>
              <w:ind w:right="488"/>
              <w:spacing w:after="0"/>
              <w:rPr>
                <w:sz w:val="20"/>
                <w:szCs w:val="20"/>
                <w:color w:val="auto"/>
              </w:rPr>
            </w:pPr>
            <w:r>
              <w:rPr>
                <w:rFonts w:ascii="Arial" w:cs="Arial" w:eastAsia="Arial" w:hAnsi="Arial"/>
                <w:sz w:val="14"/>
                <w:szCs w:val="14"/>
                <w:color w:val="auto"/>
              </w:rPr>
              <w:t>40,597</w:t>
            </w:r>
          </w:p>
        </w:tc>
      </w:tr>
      <w:tr>
        <w:trPr>
          <w:trHeight w:val="237"/>
        </w:trPr>
        <w:tc>
          <w:tcPr>
            <w:tcW w:w="340" w:type="dxa"/>
            <w:vAlign w:val="bottom"/>
          </w:tcPr>
          <w:p>
            <w:pPr>
              <w:spacing w:after="0"/>
              <w:rPr>
                <w:sz w:val="20"/>
                <w:szCs w:val="20"/>
                <w:color w:val="auto"/>
              </w:rPr>
            </w:pPr>
          </w:p>
        </w:tc>
        <w:tc>
          <w:tcPr>
            <w:tcW w:w="69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Avis Rent A Car System, LLC Retirement Equalization Benefit Plan</w:t>
            </w:r>
          </w:p>
        </w:tc>
        <w:tc>
          <w:tcPr>
            <w:tcW w:w="2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59,075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-307975</wp:posOffset>
            </wp:positionV>
            <wp:extent cx="214630" cy="3003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4630" cy="300355"/>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Committee Interlocks and Insider Participation</w:t>
      </w:r>
    </w:p>
    <w:p>
      <w:pPr>
        <w:spacing w:after="0" w:line="2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Compensation Committee is comprised entirely of independent directors and administers the Company’s executive compensation policies and programs. Glenn Lurie was appointed to the Compensation Committee in May 2020 and Karthik Sarma and Lynn Krominga were appointed to the Compensation Committee in August 2020. None of these Directors were officers or employees of the Company or any of the Company’s subsidiaries or had any relationship requiring disclosure by the Company under Item 404 of the SEC’s Regulation S-K during 2020 or before.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Report of Audit Committee</w:t>
      </w:r>
    </w:p>
    <w:p>
      <w:pPr>
        <w:spacing w:after="0" w:line="2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Management has the primary responsibility for the financial statements and the reporting process, including the system of internal controls. The independent auditors are responsible for performing an independent audit of the Company’s consolidated financial statements and opining on the effectiveness of the Company’s controls in accordance with the standards of the Public Company Accounting Oversight Board (United States) (“PCAOB”) and issuing their reports thereon.</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performing its oversight function, the Audit Committee reviewed and discussed the consolidated financial statements with management and the independent auditors. The Audit Committee also discussed with the independent auditors the matters required to be discussed under the rules adopted by the PCAOB and the SEC.</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applicable requirements of the PCAOB regarding the independent accountant’s communications with the Audit Committee concerning independence.</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and the evaluations of the Company’s internal controls.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Based on the reviews and discussions referred to above and subject to the limitations on the roles and responsibilities of the Audit Committee referred to above and in its Charter, the Audit Committee recommended to the Board of Directors that the audited consolidated financial statements be included in the Company’s Annual Report on Form 10-K for the year ended December 31, 2020 for filing with the SEC. The Audit Committee also has recommended the selection of the Company’s independent registered public accounting firm for fiscal year 2021.</w:t>
      </w:r>
    </w:p>
    <w:p>
      <w:pPr>
        <w:spacing w:after="0" w:line="180"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THE AUDIT COMMITTEE</w:t>
      </w:r>
    </w:p>
    <w:p>
      <w:pPr>
        <w:spacing w:after="0" w:line="202"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auto"/>
        </w:rPr>
        <w:t>Carl Sparks, Chair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Lynn Krominga,</w:t>
      </w:r>
    </w:p>
    <w:p>
      <w:pPr>
        <w:jc w:val="center"/>
        <w:spacing w:after="0"/>
        <w:rPr>
          <w:sz w:val="20"/>
          <w:szCs w:val="20"/>
          <w:color w:val="auto"/>
        </w:rPr>
      </w:pPr>
      <w:r>
        <w:rPr>
          <w:rFonts w:ascii="Arial" w:cs="Arial" w:eastAsia="Arial" w:hAnsi="Arial"/>
          <w:sz w:val="18"/>
          <w:szCs w:val="18"/>
          <w:i w:val="1"/>
          <w:iCs w:val="1"/>
          <w:color w:val="auto"/>
        </w:rPr>
        <w:t>Glenn Lurie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color w:val="auto"/>
        </w:rPr>
        <w:t>Proposal No. 2</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Ratification of Appointment of Auditors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Charter provides that the Audit Committee is responsible for:</w:t>
      </w:r>
    </w:p>
    <w:p>
      <w:pPr>
        <w:spacing w:after="0" w:line="212" w:lineRule="exact"/>
        <w:rPr>
          <w:sz w:val="20"/>
          <w:szCs w:val="20"/>
          <w:color w:val="auto"/>
        </w:rPr>
      </w:pPr>
    </w:p>
    <w:p>
      <w:pPr>
        <w:ind w:left="340" w:hanging="332"/>
        <w:spacing w:after="0" w:line="246" w:lineRule="auto"/>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appointing, compensating and overseeing the work performed by our independent auditors related to the audit of our annual consolidated financial statements and internal controls over financial reporting; and</w:t>
      </w:r>
    </w:p>
    <w:p>
      <w:pPr>
        <w:spacing w:after="0" w:line="196" w:lineRule="exact"/>
        <w:rPr>
          <w:rFonts w:ascii="Arial" w:cs="Arial" w:eastAsia="Arial" w:hAnsi="Arial"/>
          <w:sz w:val="18"/>
          <w:szCs w:val="18"/>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evaluating the qualifications, performance and independence of our independent auditors with the assistance of management.</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Audit Committee has appointed Deloitte &amp; Touche LLP (“Deloitte”) as the Company’s independent registered public accounting firm for the fiscal year ending December 31, 2021. Deloitte has served as our independent registered public accounting firm since 1997. Prior to appointing Deloitte for 2021, the Audit Committee considered Deloitte’s tenure, technical expertise, capabilities as independent auditors, industry knowledge and communication with the Audit Committee, and also considered the impact on the Company of changing independent auditors.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lead engagement partner from Deloitte is required to be rotated every five years. The process for selecting a new lead engagement partner includes a meeting between the Audit Committee Chair and the candidate for this role, as well as discussion by the full Audit Committee and with senior management.</w:t>
      </w:r>
    </w:p>
    <w:p>
      <w:pPr>
        <w:spacing w:after="0" w:line="20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representative of Deloitte is expected to be present at the Meeting and will have the opportunity to make a statement if he or she desires to do so and will be available to respond to appropriate questions of shareholders.</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Principal Accounting Firm Fees</w:t>
      </w:r>
      <w:r>
        <w:rPr>
          <w:rFonts w:ascii="Arial" w:cs="Arial" w:eastAsia="Arial" w:hAnsi="Arial"/>
          <w:sz w:val="18"/>
          <w:szCs w:val="18"/>
          <w:color w:val="auto"/>
        </w:rPr>
        <w:t>. Fees billed to the Company by Deloitte, the member firms of Deloitte Touche Tohmatsu, and their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(collectively, the “Deloitte Entities”) for the years ended December 31, 2020 and 2019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jc w:val="right"/>
              <w:ind w:right="294"/>
              <w:spacing w:after="0"/>
              <w:rPr>
                <w:sz w:val="20"/>
                <w:szCs w:val="20"/>
                <w:color w:val="auto"/>
              </w:rPr>
            </w:pPr>
            <w:r>
              <w:rPr>
                <w:rFonts w:ascii="Arial" w:cs="Arial" w:eastAsia="Arial" w:hAnsi="Arial"/>
                <w:sz w:val="14"/>
                <w:szCs w:val="14"/>
                <w:b w:val="1"/>
                <w:bCs w:val="1"/>
                <w:color w:val="auto"/>
              </w:rPr>
              <w:t>Fee</w:t>
            </w:r>
          </w:p>
        </w:tc>
        <w:tc>
          <w:tcPr>
            <w:tcW w:w="780" w:type="dxa"/>
            <w:vAlign w:val="bottom"/>
          </w:tcPr>
          <w:p>
            <w:pPr>
              <w:spacing w:after="0"/>
              <w:rPr>
                <w:sz w:val="14"/>
                <w:szCs w:val="14"/>
                <w:color w:val="auto"/>
              </w:rPr>
            </w:pPr>
          </w:p>
        </w:tc>
      </w:tr>
      <w:tr>
        <w:trPr>
          <w:trHeight w:val="182"/>
        </w:trPr>
        <w:tc>
          <w:tcPr>
            <w:tcW w:w="514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Borders>
              <w:bottom w:val="single" w:sz="8" w:color="auto"/>
            </w:tcBorders>
          </w:tcPr>
          <w:p>
            <w:pPr>
              <w:spacing w:after="0"/>
              <w:rPr>
                <w:sz w:val="15"/>
                <w:szCs w:val="15"/>
                <w:color w:val="auto"/>
              </w:rPr>
            </w:pPr>
          </w:p>
        </w:tc>
      </w:tr>
      <w:tr>
        <w:trPr>
          <w:trHeight w:val="169"/>
        </w:trPr>
        <w:tc>
          <w:tcPr>
            <w:tcW w:w="5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Type of Fees</w:t>
            </w:r>
          </w:p>
        </w:tc>
        <w:tc>
          <w:tcPr>
            <w:tcW w:w="37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03"/>
        </w:trPr>
        <w:tc>
          <w:tcPr>
            <w:tcW w:w="5140" w:type="dxa"/>
            <w:vAlign w:val="bottom"/>
            <w:tcBorders>
              <w:bottom w:val="single" w:sz="8" w:color="auto"/>
            </w:tcBorders>
            <w:shd w:val="clear" w:color="auto" w:fill="D2D3D5"/>
          </w:tcPr>
          <w:p>
            <w:pPr>
              <w:ind w:left="60"/>
              <w:spacing w:after="0" w:line="202" w:lineRule="exact"/>
              <w:rPr>
                <w:sz w:val="20"/>
                <w:szCs w:val="20"/>
                <w:color w:val="auto"/>
              </w:rPr>
            </w:pPr>
            <w:r>
              <w:rPr>
                <w:rFonts w:ascii="Arial" w:cs="Arial" w:eastAsia="Arial" w:hAnsi="Arial"/>
                <w:sz w:val="18"/>
                <w:szCs w:val="18"/>
                <w:color w:val="auto"/>
              </w:rPr>
              <w:t>Audit Fees</w:t>
            </w:r>
          </w:p>
        </w:tc>
        <w:tc>
          <w:tcPr>
            <w:tcW w:w="3740" w:type="dxa"/>
            <w:vAlign w:val="bottom"/>
            <w:tcBorders>
              <w:bottom w:val="single" w:sz="8" w:color="auto"/>
            </w:tcBorders>
            <w:shd w:val="clear" w:color="auto" w:fill="D2D3D5"/>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2D3D5"/>
          </w:tcPr>
          <w:p>
            <w:pPr>
              <w:jc w:val="right"/>
              <w:spacing w:after="0" w:line="202" w:lineRule="exact"/>
              <w:rPr>
                <w:sz w:val="20"/>
                <w:szCs w:val="20"/>
                <w:color w:val="auto"/>
              </w:rPr>
            </w:pPr>
            <w:r>
              <w:rPr>
                <w:rFonts w:ascii="Arial" w:cs="Arial" w:eastAsia="Arial" w:hAnsi="Arial"/>
                <w:sz w:val="18"/>
                <w:szCs w:val="18"/>
                <w:color w:val="auto"/>
              </w:rPr>
              <w:t>7,301</w:t>
            </w:r>
          </w:p>
        </w:tc>
        <w:tc>
          <w:tcPr>
            <w:tcW w:w="700" w:type="dxa"/>
            <w:vAlign w:val="bottom"/>
            <w:tcBorders>
              <w:bottom w:val="single" w:sz="8" w:color="auto"/>
            </w:tcBorders>
            <w:shd w:val="clear" w:color="auto" w:fill="D2D3D5"/>
          </w:tcPr>
          <w:p>
            <w:pPr>
              <w:jc w:val="right"/>
              <w:ind w:right="134"/>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2D3D5"/>
          </w:tcPr>
          <w:p>
            <w:pPr>
              <w:jc w:val="right"/>
              <w:ind w:right="14"/>
              <w:spacing w:after="0" w:line="202" w:lineRule="exact"/>
              <w:rPr>
                <w:sz w:val="20"/>
                <w:szCs w:val="20"/>
                <w:color w:val="auto"/>
              </w:rPr>
            </w:pPr>
            <w:r>
              <w:rPr>
                <w:rFonts w:ascii="Arial" w:cs="Arial" w:eastAsia="Arial" w:hAnsi="Arial"/>
                <w:sz w:val="18"/>
                <w:szCs w:val="18"/>
                <w:color w:val="auto"/>
              </w:rPr>
              <w:t>7,822</w:t>
            </w:r>
          </w:p>
        </w:tc>
      </w:tr>
      <w:tr>
        <w:trPr>
          <w:trHeight w:val="196"/>
        </w:trPr>
        <w:tc>
          <w:tcPr>
            <w:tcW w:w="51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Audit-Related Fees</w:t>
            </w:r>
          </w:p>
        </w:tc>
        <w:tc>
          <w:tcPr>
            <w:tcW w:w="3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378</w:t>
            </w:r>
          </w:p>
        </w:tc>
        <w:tc>
          <w:tcPr>
            <w:tcW w:w="70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173</w:t>
            </w:r>
          </w:p>
        </w:tc>
      </w:tr>
      <w:tr>
        <w:trPr>
          <w:trHeight w:val="196"/>
        </w:trPr>
        <w:tc>
          <w:tcPr>
            <w:tcW w:w="5140" w:type="dxa"/>
            <w:vAlign w:val="bottom"/>
            <w:tcBorders>
              <w:bottom w:val="single" w:sz="8" w:color="auto"/>
            </w:tcBorders>
            <w:shd w:val="clear" w:color="auto" w:fill="D2D3D5"/>
          </w:tcPr>
          <w:p>
            <w:pPr>
              <w:ind w:left="60"/>
              <w:spacing w:after="0" w:line="196" w:lineRule="exact"/>
              <w:rPr>
                <w:sz w:val="20"/>
                <w:szCs w:val="20"/>
                <w:color w:val="auto"/>
              </w:rPr>
            </w:pPr>
            <w:r>
              <w:rPr>
                <w:rFonts w:ascii="Arial" w:cs="Arial" w:eastAsia="Arial" w:hAnsi="Arial"/>
                <w:sz w:val="18"/>
                <w:szCs w:val="18"/>
                <w:color w:val="auto"/>
              </w:rPr>
              <w:t>Tax Fees</w:t>
            </w:r>
          </w:p>
        </w:tc>
        <w:tc>
          <w:tcPr>
            <w:tcW w:w="3740" w:type="dxa"/>
            <w:vAlign w:val="bottom"/>
            <w:tcBorders>
              <w:bottom w:val="single" w:sz="8" w:color="auto"/>
            </w:tcBorders>
            <w:shd w:val="clear" w:color="auto" w:fill="D2D3D5"/>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2D3D5"/>
          </w:tcPr>
          <w:p>
            <w:pPr>
              <w:jc w:val="right"/>
              <w:spacing w:after="0" w:line="196" w:lineRule="exact"/>
              <w:rPr>
                <w:sz w:val="20"/>
                <w:szCs w:val="20"/>
                <w:color w:val="auto"/>
              </w:rPr>
            </w:pPr>
            <w:r>
              <w:rPr>
                <w:rFonts w:ascii="Arial" w:cs="Arial" w:eastAsia="Arial" w:hAnsi="Arial"/>
                <w:sz w:val="18"/>
                <w:szCs w:val="18"/>
                <w:color w:val="auto"/>
              </w:rPr>
              <w:t>2,231</w:t>
            </w:r>
          </w:p>
        </w:tc>
        <w:tc>
          <w:tcPr>
            <w:tcW w:w="700" w:type="dxa"/>
            <w:vAlign w:val="bottom"/>
            <w:tcBorders>
              <w:bottom w:val="single" w:sz="8" w:color="auto"/>
            </w:tcBorders>
            <w:shd w:val="clear" w:color="auto" w:fill="D2D3D5"/>
          </w:tcPr>
          <w:p>
            <w:pPr>
              <w:jc w:val="right"/>
              <w:ind w:right="134"/>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D2D3D5"/>
          </w:tcPr>
          <w:p>
            <w:pPr>
              <w:jc w:val="right"/>
              <w:ind w:right="14"/>
              <w:spacing w:after="0" w:line="196" w:lineRule="exact"/>
              <w:rPr>
                <w:sz w:val="20"/>
                <w:szCs w:val="20"/>
                <w:color w:val="auto"/>
              </w:rPr>
            </w:pPr>
            <w:r>
              <w:rPr>
                <w:rFonts w:ascii="Arial" w:cs="Arial" w:eastAsia="Arial" w:hAnsi="Arial"/>
                <w:sz w:val="18"/>
                <w:szCs w:val="18"/>
                <w:color w:val="auto"/>
              </w:rPr>
              <w:t>3,033</w:t>
            </w:r>
          </w:p>
        </w:tc>
      </w:tr>
      <w:tr>
        <w:trPr>
          <w:trHeight w:val="203"/>
        </w:trPr>
        <w:tc>
          <w:tcPr>
            <w:tcW w:w="5140" w:type="dxa"/>
            <w:vAlign w:val="bottom"/>
            <w:tcBorders>
              <w:bottom w:val="single" w:sz="8" w:color="auto"/>
            </w:tcBorders>
          </w:tcPr>
          <w:p>
            <w:pPr>
              <w:ind w:left="60"/>
              <w:spacing w:after="0" w:line="196" w:lineRule="exact"/>
              <w:rPr>
                <w:sz w:val="20"/>
                <w:szCs w:val="20"/>
                <w:color w:val="auto"/>
              </w:rPr>
            </w:pPr>
            <w:r>
              <w:rPr>
                <w:rFonts w:ascii="Arial" w:cs="Arial" w:eastAsia="Arial" w:hAnsi="Arial"/>
                <w:sz w:val="18"/>
                <w:szCs w:val="18"/>
                <w:color w:val="auto"/>
              </w:rPr>
              <w:t>All Other Fees</w:t>
            </w:r>
          </w:p>
        </w:tc>
        <w:tc>
          <w:tcPr>
            <w:tcW w:w="37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34"/>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4"/>
              <w:spacing w:after="0" w:line="196" w:lineRule="exact"/>
              <w:rPr>
                <w:sz w:val="20"/>
                <w:szCs w:val="20"/>
                <w:color w:val="auto"/>
              </w:rPr>
            </w:pPr>
            <w:r>
              <w:rPr>
                <w:rFonts w:ascii="Arial" w:cs="Arial" w:eastAsia="Arial" w:hAnsi="Arial"/>
                <w:sz w:val="18"/>
                <w:szCs w:val="18"/>
                <w:color w:val="auto"/>
              </w:rPr>
              <w:t>—</w:t>
            </w:r>
          </w:p>
        </w:tc>
      </w:tr>
    </w:tbl>
    <w:p>
      <w:pPr>
        <w:spacing w:after="0" w:line="19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 aggregate audit fees primarily relate to the audit of the Company’s annual consolidated financial statements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2020 and 2019 and for the reviews of the consolidated condensed financial statements included in the Company’s Quarterly Reports on Form 10-Q and for other attest services, including services related to regulatory and statutory filings and financings.</w:t>
      </w:r>
    </w:p>
    <w:p>
      <w:pPr>
        <w:spacing w:after="0" w:line="18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audit-related fees for 2020 and 2019 primarily relate to services in connection with potential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investments and audits of employee benefit plans.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The aggregate fees billed for tax services for the fiscal years ended December 31, 2020 and 2019 relate to tax compliance, tax</w:t>
      </w:r>
      <w:r>
        <w:rPr>
          <w:rFonts w:ascii="Arial" w:cs="Arial" w:eastAsia="Arial" w:hAnsi="Arial"/>
          <w:sz w:val="18"/>
          <w:szCs w:val="18"/>
          <w:i w:val="1"/>
          <w:iCs w:val="1"/>
          <w:color w:val="auto"/>
        </w:rPr>
        <w:t xml:space="preserve"> </w:t>
      </w:r>
      <w:r>
        <w:rPr>
          <w:rFonts w:ascii="Arial" w:cs="Arial" w:eastAsia="Arial" w:hAnsi="Arial"/>
          <w:sz w:val="18"/>
          <w:szCs w:val="18"/>
          <w:color w:val="auto"/>
        </w:rPr>
        <w:t>advice and tax planning. For the fiscal year ended December 31, 2020, approximately $1.0 million of such fees related to tax compliance and approximately $1.2 million related to tax advice and tax planning. For the fiscal year ended December 31, 2019, approximately $1.6 million of such fees related to tax compliance and approximately $1.4 million related to tax advice and tax planning.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ll Other Fees.</w:t>
      </w:r>
      <w:r>
        <w:rPr>
          <w:rFonts w:ascii="Arial" w:cs="Arial" w:eastAsia="Arial" w:hAnsi="Arial"/>
          <w:sz w:val="18"/>
          <w:szCs w:val="18"/>
          <w:color w:val="auto"/>
        </w:rPr>
        <w:t xml:space="preserve"> There were no other fees for the fiscal year ended December 31, 2020 or December 31, 2019.</w:t>
      </w:r>
    </w:p>
    <w:p>
      <w:pPr>
        <w:spacing w:after="0" w:line="23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auditing procedures or providing accounting advice to the Company within a specified period of time in any role in which such person would be in a position to influence the contents of the Company’s consolidated financial statements.</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Audit Committee has established a policy for the pre-approval of all audit and permissible non-audit services to be provided by the independent registered public accounting firm, as described below.</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All services performed by the independent registered public accounting firm in 2020 were pre-approved in accordance with the pre-approval policy and procedures adopted by the Audit Committee. This policy describes the permitted audit, audit-related, tax and other services (collectively, the “Disclosure Categories”) that the independent registered public accounting firm may perform. Prior to the beginning of each fiscal year, a description of the services (the “Service List”) anticipated to be performed by the independent registered public accounting firm in each of the Disclosure Categories in the ensuing fiscal year is presented to the Audit Committee for approval.</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no later than the next regularly scheduled meeting for any interim approvals granted.</w:t>
      </w:r>
    </w:p>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for the fiscal year.</w:t>
      </w:r>
    </w:p>
    <w:p>
      <w:pPr>
        <w:spacing w:after="0" w:line="1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w:t>
      </w:r>
    </w:p>
    <w:p>
      <w:pPr>
        <w:spacing w:after="0" w:line="197"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Although not required by the Company’s By-laws or otherwise, the Board of Directors is submitting for shareholder ratification the selection of Deloitte as the Company’s independent registered public accounting firm. If the selection is not ratified, the Audit Committee will consider whether it is appropriate to select another independent registered public accounting firm.</w:t>
      </w:r>
    </w:p>
    <w:p>
      <w:pPr>
        <w:spacing w:after="0" w:line="171"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b w:val="1"/>
          <w:bCs w:val="1"/>
          <w:color w:val="auto"/>
        </w:rPr>
        <w:t>THE BOARD OF DIRECTORS RECOMMENDS A VOTE “FOR” THE RATIFICATION OF DELOITTE &amp; TOUCHE LLP AS THE COMPANY’S INDEPENDENT REGISTERED PUBLIC ACCOUNTING FIRM FOR THE FISCAL YEAR ENDING DECEMBER 31, 2021.</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color w:val="auto"/>
        </w:rPr>
        <w:t>Proposal No. 3</w:t>
      </w:r>
    </w:p>
    <w:p>
      <w:pPr>
        <w:spacing w:after="0" w:line="18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Advisory Approval Of Executive Compensation</w:t>
      </w:r>
    </w:p>
    <w:p>
      <w:pPr>
        <w:spacing w:after="0" w:line="25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required by Section 14A of the Exchange Act, the Company is asking its shareholders to approve an advisory resolution to approve the compensation of our named executive officers as follows:</w:t>
      </w:r>
    </w:p>
    <w:p>
      <w:pPr>
        <w:spacing w:after="0" w:line="179"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i w:val="1"/>
          <w:iCs w:val="1"/>
          <w:color w:val="auto"/>
        </w:rPr>
        <w:t>“RESOLVED, that the compensation paid to the Company’s named executive officers as disclosed pursuant to the compensation rules of the Securities and Exchange Commission, including the Compensation Discussion and Analysis, the compensation tables and any related material disclosed in this Proxy Statement, is hereby APPROVED.”</w:t>
      </w:r>
    </w:p>
    <w:p>
      <w:pPr>
        <w:spacing w:after="0" w:line="19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This vote is not intended to address any specific item of compensation, but rather the overall compensation of our named executive officers, as described in this Proxy Statement.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vote is advisory and, therefore, will not be binding on the Company, the Compensation Committee or our Board of Directors, nor will it overrule any prior decision or require the Board or the Compensation Committee to take any action. However, the Compensation Committee and our Board of Directors value the opinions of our shareholders, and to the extent there is any significant vote against the named executive officer compensation as disclosed in this Proxy Statement, the Compensation Committee and our Board of Directors will consider shareholders’ concerns and the Compensation Committee will evaluate whether any actions are necessary to address those concerns.</w:t>
      </w:r>
    </w:p>
    <w:p>
      <w:pPr>
        <w:spacing w:after="0" w:line="171" w:lineRule="exact"/>
        <w:rPr>
          <w:sz w:val="20"/>
          <w:szCs w:val="20"/>
          <w:color w:val="auto"/>
        </w:rPr>
      </w:pPr>
    </w:p>
    <w:p>
      <w:pPr>
        <w:ind w:left="2520"/>
        <w:spacing w:after="0"/>
        <w:rPr>
          <w:sz w:val="20"/>
          <w:szCs w:val="20"/>
          <w:color w:val="auto"/>
        </w:rPr>
      </w:pPr>
      <w:r>
        <w:rPr>
          <w:rFonts w:ascii="Arial" w:cs="Arial" w:eastAsia="Arial" w:hAnsi="Arial"/>
          <w:sz w:val="22"/>
          <w:szCs w:val="22"/>
          <w:b w:val="1"/>
          <w:bCs w:val="1"/>
          <w:color w:val="auto"/>
        </w:rPr>
        <w:t>THE BOARD OF DIRECTORS RECOMMENDS A VOTE “FOR”</w:t>
      </w:r>
    </w:p>
    <w:p>
      <w:pPr>
        <w:spacing w:after="0" w:line="16"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THE APPROVAL OF THE RESOLUTION SET FORTH ABOVE.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34" w:lineRule="exact"/>
        <w:rPr>
          <w:sz w:val="20"/>
          <w:szCs w:val="20"/>
          <w:color w:val="auto"/>
        </w:rPr>
      </w:pPr>
    </w:p>
    <w:p>
      <w:pPr>
        <w:spacing w:after="0"/>
        <w:rPr>
          <w:sz w:val="20"/>
          <w:szCs w:val="20"/>
          <w:color w:val="auto"/>
        </w:rPr>
      </w:pPr>
      <w:r>
        <w:rPr>
          <w:rFonts w:ascii="Arial" w:cs="Arial" w:eastAsia="Arial" w:hAnsi="Arial"/>
          <w:sz w:val="32"/>
          <w:szCs w:val="32"/>
          <w:color w:val="auto"/>
        </w:rPr>
        <w:t>Shareholder Proposals for 2022 Annual Meeting</w:t>
      </w:r>
    </w:p>
    <w:p>
      <w:pPr>
        <w:spacing w:after="0" w:line="2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Proposals received from shareholders are given careful consideration by the Company. Shareholder proposals submitted in accordance with Rule 14a-8 under the Exchange Act are eligible for consideration for inclusion in the Company’s proxy statement for the 2022 annual meeting of shareholders if they are received by the Company on or before November 30, 2021. Any proposal should be directed to the attention of the Corporate Secretary, Avis Budget Group, Inc., 6 Sylvan Way, Parsippany, N.J. 07054. In order for a shareholder proposal submitted outside of Rule 14a-8 to be considered at the 2022 annual meeting of shareholders, such proposal must be received by the Company not later than the last date for submission of shareholder proposals under the By-laws). In order for a proposal (other than nominations of directors) to be timely under the By-laws, it must be received not less than sixty days (i.e., March 27, 2022) nor more than ninety days (i.e., February 25, 2022) before the anniversary date of the immediately preceding annual meeting of shareholders. In order for a director nomination to be timely under the By-laws, it must be received not less than ninety days (i.e., February 25, 2022) before the anniversary date of the immediately preceding annual meeting of shareholders. However, in the event that the annual meeting of shareholders is called for a date that is not within twenty-five days before or after the anniversary date of the immediately preceding annual meeting of shareholders, notice of a shareholder proposal in order to be timely must be received not later than the close of business on the tenth day following the day on which notice of the date of the annual meeting of shareholders was mailed or public disclosure of the date of the annual meeting of shareholders was made, whichever occurs first.</w:t>
      </w:r>
    </w:p>
    <w:p>
      <w:pPr>
        <w:spacing w:after="0" w:line="218" w:lineRule="exact"/>
        <w:rPr>
          <w:sz w:val="20"/>
          <w:szCs w:val="20"/>
          <w:color w:val="auto"/>
        </w:rPr>
      </w:pPr>
    </w:p>
    <w:p>
      <w:pPr>
        <w:spacing w:after="0"/>
        <w:rPr>
          <w:sz w:val="20"/>
          <w:szCs w:val="20"/>
          <w:color w:val="auto"/>
        </w:rPr>
      </w:pPr>
      <w:r>
        <w:rPr>
          <w:rFonts w:ascii="Arial" w:cs="Arial" w:eastAsia="Arial" w:hAnsi="Arial"/>
          <w:sz w:val="32"/>
          <w:szCs w:val="32"/>
          <w:color w:val="auto"/>
        </w:rPr>
        <w:t>Additional Information</w:t>
      </w:r>
    </w:p>
    <w:p>
      <w:pPr>
        <w:spacing w:after="0" w:line="20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Additional Copies. </w:t>
      </w:r>
      <w:r>
        <w:rPr>
          <w:rFonts w:ascii="Arial" w:cs="Arial" w:eastAsia="Arial" w:hAnsi="Arial"/>
          <w:sz w:val="18"/>
          <w:szCs w:val="18"/>
          <w:color w:val="auto"/>
        </w:rPr>
        <w:t>If you share an address with other shareholders of the Company, you may receive a single copy of the proxy materials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a copy of the Proxy Statement and the 2020 Annual Report), unless your bank, broker or other intermediary that provides the notification receives contrary instructions from the affected shareholders. This practice, permitted under SEC rules and commonly referred to as “householding,” is designed to provide extra convenience for shareholders and potential cost savings for companies.</w:t>
      </w:r>
    </w:p>
    <w:p>
      <w:pPr>
        <w:spacing w:after="0" w:line="1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set of proxy materials, please notify your broker if your shares of Common Stock are held in a brokerage account or the Company if you hold registered shares of Common Stock. We will promptly deliver a separate copy of the proxy materials upon request. You can notify the Company by sending a written request to Avis Budget Group, Inc., 6 Sylvan Way, Parsippany, N.J. 07054, Attention: Corporate Secretary or by calling (973) 496-4700 and selecting the “Investor Relations” option.</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Solicitation of Proxies. </w:t>
      </w:r>
      <w:r>
        <w:rPr>
          <w:rFonts w:ascii="Arial" w:cs="Arial" w:eastAsia="Arial" w:hAnsi="Arial"/>
          <w:sz w:val="18"/>
          <w:szCs w:val="18"/>
          <w:color w:val="auto"/>
        </w:rPr>
        <w:t>The accompanying form of proxy is being solicited on behalf of the Board of Directors of the Company. The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of solicitation of proxies for the Meeting will be paid by the Company. In addition to the mailing of the proxy materials,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Common Stock. The Company has hired Innisfree M&amp;A Incorporated to aid in the solicitation of proxies. We estimate that the fee for Innisfree M&amp;A Incorporated will be up to $15,000 plus the reimbursement of reasonable out-of-pocket costs and expenses. Such fee will be paid by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34" w:lineRule="auto"/>
        <w:rPr>
          <w:sz w:val="20"/>
          <w:szCs w:val="20"/>
          <w:color w:val="auto"/>
        </w:rPr>
      </w:pPr>
      <w:r>
        <w:rPr>
          <w:rFonts w:ascii="Arial" w:cs="Arial" w:eastAsia="Arial" w:hAnsi="Arial"/>
          <w:sz w:val="18"/>
          <w:szCs w:val="18"/>
          <w:color w:val="auto"/>
        </w:rPr>
        <w:t>JEAN M. SERA</w:t>
      </w:r>
    </w:p>
    <w:p>
      <w:pPr>
        <w:spacing w:after="0" w:line="235" w:lineRule="auto"/>
        <w:rPr>
          <w:sz w:val="20"/>
          <w:szCs w:val="20"/>
          <w:color w:val="auto"/>
        </w:rPr>
      </w:pPr>
      <w:r>
        <w:rPr>
          <w:rFonts w:ascii="Arial" w:cs="Arial" w:eastAsia="Arial" w:hAnsi="Arial"/>
          <w:sz w:val="18"/>
          <w:szCs w:val="18"/>
          <w:color w:val="auto"/>
        </w:rPr>
        <w:t>Corporate Secretary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Dated: March 30,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1781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17816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1781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178165"/>
                    </a:xfrm>
                    <a:prstGeom prst="rect">
                      <a:avLst/>
                    </a:prstGeom>
                    <a:noFill/>
                  </pic:spPr>
                </pic:pic>
              </a:graphicData>
            </a:graphic>
          </wp:anchor>
        </w:drawing>
      </w:r>
    </w:p>
    <w:sectPr>
      <w:pgSz w:w="11900" w:h="16838" w:orient="portrait"/>
      <w:cols w:equalWidth="0" w:num="1">
        <w:col w:w="10139"/>
      </w:cols>
      <w:pgMar w:left="32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upperLetter"/>
      <w:start w:val="24"/>
    </w:lvl>
  </w:abstractNum>
  <w:abstractNum w:abstractNumId="2">
    <w:nsid w:val="1E7FF521"/>
    <w:multiLevelType w:val="hybridMultilevel"/>
    <w:lvl w:ilvl="0">
      <w:lvlJc w:val="left"/>
      <w:lvlText w:val="[%1]"/>
      <w:numFmt w:val="upperLetter"/>
      <w:start w:val="24"/>
    </w:lvl>
  </w:abstractNum>
  <w:abstractNum w:abstractNumId="3">
    <w:nsid w:val="7C3DBD3D"/>
    <w:multiLevelType w:val="hybridMultilevel"/>
    <w:lvl w:ilvl="0">
      <w:lvlJc w:val="left"/>
      <w:lvlText w:val="["/>
      <w:numFmt w:val="bullet"/>
      <w:start w:val="1"/>
    </w:lvl>
    <w:lvl w:ilvl="1">
      <w:lvlJc w:val="left"/>
      <w:lvlText w:val="%2)"/>
      <w:numFmt w:val="decimal"/>
      <w:start w:val="1"/>
    </w:lvl>
  </w:abstractNum>
  <w:abstractNum w:abstractNumId="4">
    <w:nsid w:val="737B8DDC"/>
    <w:multiLevelType w:val="hybridMultilevel"/>
    <w:lvl w:ilvl="0">
      <w:lvlJc w:val="left"/>
      <w:lvlText w:val="["/>
      <w:numFmt w:val="bullet"/>
      <w:start w:val="1"/>
    </w:lvl>
    <w:lvl w:ilvl="1">
      <w:lvlJc w:val="left"/>
      <w:lvlText w:val="%2)"/>
      <w:numFmt w:val="decimal"/>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
      <w:numFmt w:val="bullet"/>
      <w:start w:val="1"/>
    </w:lvl>
  </w:abstractNum>
  <w:abstractNum w:abstractNumId="15">
    <w:nsid w:val="77465F01"/>
    <w:multiLevelType w:val="hybridMultilevel"/>
    <w:lvl w:ilvl="0">
      <w:lvlJc w:val="left"/>
      <w:lvlText w:val="·"/>
      <w:numFmt w:val="bullet"/>
      <w:start w:val="1"/>
    </w:lvl>
  </w:abstractNum>
  <w:abstractNum w:abstractNumId="16">
    <w:nsid w:val="7724C67E"/>
    <w:multiLevelType w:val="hybridMultilevel"/>
    <w:lvl w:ilvl="0">
      <w:lvlJc w:val="left"/>
      <w:lvlText w:val="·"/>
      <w:numFmt w:val="bullet"/>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
      <w:numFmt w:val="bullet"/>
      <w:start w:val="1"/>
    </w:lvl>
  </w:abstractNum>
  <w:abstractNum w:abstractNumId="19">
    <w:nsid w:val="5E884ADC"/>
    <w:multiLevelType w:val="hybridMultilevel"/>
    <w:lvl w:ilvl="0">
      <w:lvlJc w:val="left"/>
      <w:lvlText w:val="·"/>
      <w:numFmt w:val="bullet"/>
      <w:start w:val="1"/>
    </w:lvl>
  </w:abstractNum>
  <w:abstractNum w:abstractNumId="20">
    <w:nsid w:val="51EAD36B"/>
    <w:multiLevelType w:val="hybridMultilevel"/>
    <w:lvl w:ilvl="0">
      <w:lvlJc w:val="left"/>
      <w:lvlText w:val="·"/>
      <w:numFmt w:val="bullet"/>
      <w:start w:val="1"/>
    </w:lvl>
  </w:abstractNum>
  <w:abstractNum w:abstractNumId="21">
    <w:nsid w:val="2D517796"/>
    <w:multiLevelType w:val="hybridMultilevel"/>
    <w:lvl w:ilvl="0">
      <w:lvlJc w:val="left"/>
      <w:lvlText w:val="·"/>
      <w:numFmt w:val="bullet"/>
      <w:start w:val="1"/>
    </w:lvl>
  </w:abstractNum>
  <w:abstractNum w:abstractNumId="22">
    <w:nsid w:val="580BD78F"/>
    <w:multiLevelType w:val="hybridMultilevel"/>
    <w:lvl w:ilvl="0">
      <w:lvlJc w:val="left"/>
      <w:lvlText w:val="·"/>
      <w:numFmt w:val="bullet"/>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1)"/>
      <w:numFmt w:val="decimal"/>
      <w:start w:val="1"/>
    </w:lvl>
  </w:abstractNum>
  <w:abstractNum w:abstractNumId="26">
    <w:nsid w:val="6A2342EC"/>
    <w:multiLevelType w:val="hybridMultilevel"/>
    <w:lvl w:ilvl="0">
      <w:lvlJc w:val="left"/>
      <w:lvlText w:val="(%1)"/>
      <w:numFmt w:val="decimal"/>
      <w:start w:val="6"/>
    </w:lvl>
  </w:abstractNum>
  <w:abstractNum w:abstractNumId="27">
    <w:nsid w:val="2A487CB0"/>
    <w:multiLevelType w:val="hybridMultilevel"/>
    <w:lvl w:ilvl="0">
      <w:lvlJc w:val="left"/>
      <w:lvlText w:val="*"/>
      <w:numFmt w:val="bullet"/>
      <w:start w:val="1"/>
    </w:lvl>
  </w:abstractNum>
  <w:abstractNum w:abstractNumId="28">
    <w:nsid w:val="1D4ED43B"/>
    <w:multiLevelType w:val="hybridMultilevel"/>
    <w:lvl w:ilvl="0">
      <w:lvlJc w:val="left"/>
      <w:lvlText w:val="·"/>
      <w:numFmt w:val="bullet"/>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1"/>
      <w:numFmt w:val="bullet"/>
      <w:start w:val="1"/>
    </w:lvl>
  </w:abstractNum>
  <w:abstractNum w:abstractNumId="34">
    <w:nsid w:val="542289EC"/>
    <w:multiLevelType w:val="hybridMultilevel"/>
    <w:lvl w:ilvl="0">
      <w:lvlJc w:val="left"/>
      <w:lvlText w:val="2"/>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
      <w:numFmt w:val="bullet"/>
      <w:start w:val="1"/>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3"/>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1)"/>
      <w:numFmt w:val="lowerLetter"/>
      <w:start w:val="1"/>
    </w:lvl>
  </w:abstractNum>
  <w:abstractNum w:abstractNumId="45">
    <w:nsid w:val="75C6C33A"/>
    <w:multiLevelType w:val="hybridMultilevel"/>
    <w:lvl w:ilvl="0">
      <w:lvlJc w:val="left"/>
      <w:lvlText w:val="(%1)"/>
      <w:numFmt w:val="lowerLetter"/>
      <w:start w:val="1"/>
    </w:lvl>
  </w:abstractNum>
  <w:abstractNum w:abstractNumId="46">
    <w:nsid w:val="12E685FB"/>
    <w:multiLevelType w:val="hybridMultilevel"/>
    <w:lvl w:ilvl="0">
      <w:lvlJc w:val="left"/>
      <w:lvlText w:val="(%1)"/>
      <w:numFmt w:val="lowerLetter"/>
      <w:start w:val="1"/>
    </w:lvl>
  </w:abstractNum>
  <w:abstractNum w:abstractNumId="47">
    <w:nsid w:val="70C6A529"/>
    <w:multiLevelType w:val="hybridMultilevel"/>
    <w:lvl w:ilvl="0">
      <w:lvlJc w:val="left"/>
      <w:lvlText w:val="(%1)"/>
      <w:numFmt w:val="lowerLetter"/>
      <w:start w:val="1"/>
    </w:lvl>
  </w:abstractNum>
  <w:abstractNum w:abstractNumId="48">
    <w:nsid w:val="520EEDD1"/>
    <w:multiLevelType w:val="hybridMultilevel"/>
    <w:lvl w:ilvl="0">
      <w:lvlJc w:val="left"/>
      <w:lvlText w:val="(%1)"/>
      <w:numFmt w:val="lowerLetter"/>
      <w:start w:val="1"/>
    </w:lvl>
  </w:abstractNum>
  <w:abstractNum w:abstractNumId="49">
    <w:nsid w:val="374A3FE6"/>
    <w:multiLevelType w:val="hybridMultilevel"/>
    <w:lvl w:ilvl="0">
      <w:lvlJc w:val="left"/>
      <w:lvlText w:val="(%1)"/>
      <w:numFmt w:val="lowerLetter"/>
      <w:start w:val="1"/>
    </w:lvl>
  </w:abstractNum>
  <w:abstractNum w:abstractNumId="50">
    <w:nsid w:val="4F4EF005"/>
    <w:multiLevelType w:val="hybridMultilevel"/>
    <w:lvl w:ilvl="0">
      <w:lvlJc w:val="left"/>
      <w:lvlText w:val="(%1)"/>
      <w:numFmt w:val="lowerLetter"/>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lowerLetter"/>
      <w:start w:val="1"/>
    </w:lvl>
  </w:abstractNum>
  <w:abstractNum w:abstractNumId="57">
    <w:nsid w:val="235BA86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2021-03-30T16:32:56Z</dcterms:created>
  <dcterms:modified xsi:type="dcterms:W3CDTF">2021-03-30T16:32:56Z</dcterms:modified>
</cp:coreProperties>
</file>